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2051F" w:rsidP="0002051F" w:rsidRDefault="0002051F" w14:paraId="1FF2B29E" w14:textId="77777777">
      <w:r>
        <w:t>Geachte voorzitter,</w:t>
      </w:r>
    </w:p>
    <w:p w:rsidR="0002051F" w:rsidP="0002051F" w:rsidRDefault="0002051F" w14:paraId="3CBB2A45" w14:textId="77777777"/>
    <w:p w:rsidR="0055213C" w:rsidP="007D7B6F" w:rsidRDefault="007D7B6F" w14:paraId="73516EDB" w14:textId="77777777">
      <w:bookmarkStart w:name="_Hlk189578886" w:id="0"/>
      <w:r w:rsidRPr="007D7B6F">
        <w:t xml:space="preserve">De Europese Commissie informeerde de lidstaten op 28 januari jl. over de resultaten van de jaarlijkse nacalculatie voor de </w:t>
      </w:r>
      <w:proofErr w:type="spellStart"/>
      <w:r w:rsidRPr="007D7B6F">
        <w:t>bni</w:t>
      </w:r>
      <w:proofErr w:type="spellEnd"/>
      <w:r w:rsidRPr="007D7B6F">
        <w:t xml:space="preserve">-, btw- en plastic-afdrachten aan de Europese Unie (EU). </w:t>
      </w:r>
      <w:bookmarkStart w:name="_Hlk189578918" w:id="1"/>
      <w:bookmarkEnd w:id="0"/>
      <w:r w:rsidRPr="007D7B6F">
        <w:t>Dit is een reguliere technische exercitie waarbij met terugwerkende kracht wordt berekend wat de EU-afdrachten van lidstaten hadden moeten zijn op basis van de realisaties en economische prestaties</w:t>
      </w:r>
      <w:bookmarkEnd w:id="1"/>
      <w:r w:rsidRPr="007D7B6F">
        <w:t xml:space="preserve">. </w:t>
      </w:r>
      <w:bookmarkStart w:name="_Hlk189578929" w:id="2"/>
      <w:r w:rsidRPr="007D7B6F">
        <w:t>Het gaat daarmee om een herijking van afdrachten tussen de lidstaten</w:t>
      </w:r>
      <w:bookmarkEnd w:id="2"/>
      <w:r w:rsidRPr="007D7B6F">
        <w:t xml:space="preserve">, en niet om meer of minder afdrachten aan de EU. Dit jaar valt de reguliere nacalculatie samen met de vijfjaarlijkse verificatiecyclus (de bronnenrevisie) van het </w:t>
      </w:r>
      <w:proofErr w:type="spellStart"/>
      <w:r w:rsidRPr="007D7B6F">
        <w:t>bni</w:t>
      </w:r>
      <w:proofErr w:type="spellEnd"/>
      <w:r w:rsidRPr="007D7B6F">
        <w:t xml:space="preserve"> door de nationale statistiekbureaus (het CBS) en </w:t>
      </w:r>
      <w:proofErr w:type="spellStart"/>
      <w:r w:rsidRPr="007D7B6F">
        <w:t>Eurostat</w:t>
      </w:r>
      <w:proofErr w:type="spellEnd"/>
      <w:r w:rsidRPr="007D7B6F">
        <w:t xml:space="preserve">. </w:t>
      </w:r>
      <w:r w:rsidRPr="002056C9" w:rsidR="002056C9">
        <w:t>De jaarlijkse nacalculatie kan betekenen dat een lidstaat moet nabetalen of geld terug krijgt. Zo ontving Nederland in 2022 een bedrag terug van 556 miljoen euro.</w:t>
      </w:r>
    </w:p>
    <w:p w:rsidR="002056C9" w:rsidP="007D7B6F" w:rsidRDefault="002056C9" w14:paraId="1616C6F1" w14:textId="77777777"/>
    <w:p w:rsidRPr="0055213C" w:rsidR="007D7B6F" w:rsidP="007D7B6F" w:rsidRDefault="002056C9" w14:paraId="02DAB6F0" w14:textId="77777777">
      <w:pPr>
        <w:rPr>
          <w:color w:val="auto"/>
        </w:rPr>
      </w:pPr>
      <w:r>
        <w:rPr>
          <w:color w:val="auto"/>
        </w:rPr>
        <w:t>Voor 2024 betekent de nacalculatie</w:t>
      </w:r>
      <w:r w:rsidRPr="00FC50F5" w:rsidR="0055213C">
        <w:rPr>
          <w:color w:val="auto"/>
        </w:rPr>
        <w:t xml:space="preserve"> voor 2024 voor Nederland een eenmalige extra afdracht van in totaal 696,8</w:t>
      </w:r>
      <w:r w:rsidRPr="003870F4" w:rsidR="0055213C">
        <w:rPr>
          <w:color w:val="auto"/>
        </w:rPr>
        <w:t xml:space="preserve"> miljoen euro</w:t>
      </w:r>
      <w:r w:rsidRPr="00587930" w:rsidR="0055213C">
        <w:rPr>
          <w:color w:val="auto"/>
        </w:rPr>
        <w:t xml:space="preserve">, met name </w:t>
      </w:r>
      <w:bookmarkStart w:name="_Hlk189592210" w:id="3"/>
      <w:r w:rsidRPr="00587930" w:rsidR="0055213C">
        <w:rPr>
          <w:color w:val="auto"/>
        </w:rPr>
        <w:t>omdat de Nederlandse economie de afgelopen jaren groter is gebleken dan eerder geraamd</w:t>
      </w:r>
      <w:bookmarkEnd w:id="3"/>
      <w:r w:rsidRPr="00587930" w:rsidR="0055213C">
        <w:rPr>
          <w:color w:val="auto"/>
        </w:rPr>
        <w:t>.</w:t>
      </w:r>
      <w:r w:rsidR="0055213C">
        <w:rPr>
          <w:color w:val="auto"/>
        </w:rPr>
        <w:t xml:space="preserve"> Het grootste gedeelte daarvan (674,4 miljoen euro) wordt verrekend </w:t>
      </w:r>
      <w:bookmarkStart w:name="_Hlk189581808" w:id="4"/>
      <w:r w:rsidR="0055213C">
        <w:rPr>
          <w:color w:val="auto"/>
        </w:rPr>
        <w:t>en komt ten laste van het EMU-saldo in het begrotingsjaar 2026</w:t>
      </w:r>
      <w:bookmarkEnd w:id="4"/>
      <w:r w:rsidR="0055213C">
        <w:rPr>
          <w:color w:val="auto"/>
        </w:rPr>
        <w:t>; het andere deel (22,4 miljoen euro) in 2025. U</w:t>
      </w:r>
      <w:r w:rsidR="0055213C">
        <w:t>w Kamer is op 9 december jl. geïnformeerd over de aanstaande</w:t>
      </w:r>
      <w:r w:rsidRPr="00B07242" w:rsidR="0055213C">
        <w:t xml:space="preserve"> nacalculatie</w:t>
      </w:r>
      <w:r w:rsidR="0055213C">
        <w:t>.</w:t>
      </w:r>
      <w:r w:rsidR="0055213C">
        <w:rPr>
          <w:rStyle w:val="Voetnootmarkering"/>
        </w:rPr>
        <w:footnoteReference w:id="1"/>
      </w:r>
      <w:r w:rsidR="0055213C">
        <w:t xml:space="preserve"> In deze brief informeer ik uw Kamer over het proces, de opbouw en verwerking van de nacalculatie.</w:t>
      </w:r>
    </w:p>
    <w:p w:rsidR="0002051F" w:rsidP="0002051F" w:rsidRDefault="0002051F" w14:paraId="1BA8CF2F" w14:textId="77777777"/>
    <w:p w:rsidR="0002051F" w:rsidP="0002051F" w:rsidRDefault="0002051F" w14:paraId="3621082E" w14:textId="77777777">
      <w:pPr>
        <w:spacing w:line="276" w:lineRule="auto"/>
        <w:rPr>
          <w:i/>
        </w:rPr>
      </w:pPr>
      <w:r>
        <w:rPr>
          <w:i/>
        </w:rPr>
        <w:t>Proces jaarlijkse nacalculatie</w:t>
      </w:r>
    </w:p>
    <w:p w:rsidR="0002051F" w:rsidP="0002051F" w:rsidRDefault="0002051F" w14:paraId="2C43AFD8" w14:textId="77777777">
      <w:pPr>
        <w:spacing w:line="276" w:lineRule="auto"/>
        <w:rPr>
          <w:i/>
        </w:rPr>
      </w:pPr>
      <w:r>
        <w:t xml:space="preserve">De jaarlijkse afdrachten van de lidstaten aan de Europese begroting worden enerzijds bepaald door de uitgaven van de EU en anderzijds door de </w:t>
      </w:r>
      <w:r w:rsidRPr="00F41A9C">
        <w:t xml:space="preserve">invoerrechten, de btw-grondslag, de plastic-grondslag en de </w:t>
      </w:r>
      <w:proofErr w:type="spellStart"/>
      <w:r w:rsidRPr="00F41A9C">
        <w:t>bni</w:t>
      </w:r>
      <w:proofErr w:type="spellEnd"/>
      <w:r w:rsidRPr="00F41A9C">
        <w:t>-grondslag van een lidstaat. Jaarlijks worden de verschillen tussen de ramingen en de realisaties van deze grondslagen met terugwerkende kracht verrekend tussen de lidstaten.</w:t>
      </w:r>
      <w:bookmarkStart w:name="_Hlk189581631" w:id="5"/>
      <w:r w:rsidR="00FE7FC5">
        <w:t xml:space="preserve"> </w:t>
      </w:r>
      <w:r w:rsidRPr="00F41A9C">
        <w:t>Het doel van de nacalculatie is om de bijdrage van lidstaten aan de EU in lijn te brengen met hun daadwerkelijke (economische) prestaties</w:t>
      </w:r>
      <w:bookmarkEnd w:id="5"/>
      <w:r w:rsidRPr="00F41A9C">
        <w:t xml:space="preserve">. Voor het proces van de huidige nacalculatie zijn de btw-grondslag, de </w:t>
      </w:r>
      <w:proofErr w:type="spellStart"/>
      <w:r w:rsidRPr="00F41A9C">
        <w:t>bni</w:t>
      </w:r>
      <w:proofErr w:type="spellEnd"/>
      <w:r w:rsidRPr="00F41A9C">
        <w:t>-grondslag en de plastic-</w:t>
      </w:r>
      <w:r w:rsidRPr="00F41A9C">
        <w:lastRenderedPageBreak/>
        <w:t>grondslag relevant.</w:t>
      </w:r>
      <w:r w:rsidRPr="00F41A9C">
        <w:rPr>
          <w:rStyle w:val="Voetnootmarkering"/>
        </w:rPr>
        <w:footnoteReference w:id="2"/>
      </w:r>
      <w:r w:rsidRPr="00F41A9C">
        <w:t xml:space="preserve"> Dit is het tweede jaar dat de plastic-grondslag wordt meegenomen in de nacalculatie. Over de invoerrechten vindt geen nacalculatie plaats, omdat deze niet op basis van een raming maar op basis van de kasinkomsten wordt afgedragen.</w:t>
      </w:r>
      <w:r>
        <w:t xml:space="preserve"> </w:t>
      </w:r>
      <w:r w:rsidRPr="003870F4">
        <w:rPr>
          <w:color w:val="auto"/>
        </w:rPr>
        <w:t xml:space="preserve">De nacalculatie van de </w:t>
      </w:r>
      <w:proofErr w:type="spellStart"/>
      <w:r w:rsidRPr="003870F4">
        <w:rPr>
          <w:color w:val="auto"/>
        </w:rPr>
        <w:t>bni</w:t>
      </w:r>
      <w:proofErr w:type="spellEnd"/>
      <w:r w:rsidRPr="003870F4">
        <w:rPr>
          <w:color w:val="auto"/>
        </w:rPr>
        <w:t>- en btw-afdrachten heeft</w:t>
      </w:r>
      <w:r>
        <w:rPr>
          <w:color w:val="auto"/>
        </w:rPr>
        <w:t xml:space="preserve"> betrekking op 2023 en voorgaande jaren. Voor de plastic-afdracht betreft de nacalculatie de jaren 2021 en 2022.</w:t>
      </w:r>
    </w:p>
    <w:p w:rsidR="0002051F" w:rsidP="0002051F" w:rsidRDefault="0002051F" w14:paraId="3BBDB0DC" w14:textId="77777777">
      <w:pPr>
        <w:spacing w:line="276" w:lineRule="auto"/>
      </w:pPr>
    </w:p>
    <w:p w:rsidR="0002051F" w:rsidP="0002051F" w:rsidRDefault="0002051F" w14:paraId="7736B505" w14:textId="77777777">
      <w:pPr>
        <w:spacing w:line="276" w:lineRule="auto"/>
      </w:pPr>
      <w:r>
        <w:t>In de relevante expertgroepen</w:t>
      </w:r>
      <w:r>
        <w:rPr>
          <w:rStyle w:val="Voetnootmarkering"/>
        </w:rPr>
        <w:footnoteReference w:id="3"/>
      </w:r>
      <w:r>
        <w:t xml:space="preserve"> van de EU worden de realisaties van de </w:t>
      </w:r>
      <w:proofErr w:type="spellStart"/>
      <w:r>
        <w:t>bni</w:t>
      </w:r>
      <w:proofErr w:type="spellEnd"/>
      <w:r>
        <w:t>-, btw- en plastic-grondslagen jaarlijks vastgesteld. De realisaties kunnen tot vier jaar</w:t>
      </w:r>
      <w:r>
        <w:rPr>
          <w:rStyle w:val="Voetnootmarkering"/>
        </w:rPr>
        <w:footnoteReference w:id="4"/>
      </w:r>
      <w:r>
        <w:t xml:space="preserve"> terug worden bijgesteld, bijvoorbeeld op basis van nieuwe informatie, bronnenrevisies of een verandering in de vaststellingsmethode. </w:t>
      </w:r>
      <w:r w:rsidRPr="00CF2DDA">
        <w:t>Tevens wordt, bij vaststelling van de cijfers, besloten over eerder gemaakte voorbehouden</w:t>
      </w:r>
      <w:r>
        <w:rPr>
          <w:rStyle w:val="Voetnootmarkering"/>
        </w:rPr>
        <w:footnoteReference w:id="5"/>
      </w:r>
      <w:r w:rsidRPr="00CF2DDA">
        <w:t xml:space="preserve"> bij de </w:t>
      </w:r>
      <w:proofErr w:type="spellStart"/>
      <w:r w:rsidRPr="00CF2DDA">
        <w:t>bni</w:t>
      </w:r>
      <w:proofErr w:type="spellEnd"/>
      <w:r w:rsidRPr="00CF2DDA">
        <w:t xml:space="preserve">- en btw-statistieken door </w:t>
      </w:r>
      <w:proofErr w:type="spellStart"/>
      <w:r w:rsidRPr="00CF2DDA">
        <w:t>Eurostat</w:t>
      </w:r>
      <w:proofErr w:type="spellEnd"/>
      <w:r w:rsidRPr="00CF2DDA">
        <w:t>. Deze voorbehouden kunnen verder dan vier jaar terug worden bijgesteld, afhankelijk van het verslagjaar vanaf welke het voorbehoud geldt. Het voldoen aan eerder geplaatste</w:t>
      </w:r>
      <w:r>
        <w:t xml:space="preserve"> voorbehouden – die bijvoorbeeld zijn geplaatst omdat nog niet alle gegevens van een bepaalde component van het </w:t>
      </w:r>
      <w:proofErr w:type="spellStart"/>
      <w:r>
        <w:t>bni</w:t>
      </w:r>
      <w:proofErr w:type="spellEnd"/>
      <w:r>
        <w:t xml:space="preserve"> volledig geanalyseerd waren – kan eveneens leiden tot aanpassing van het </w:t>
      </w:r>
      <w:proofErr w:type="spellStart"/>
      <w:r>
        <w:t>bni</w:t>
      </w:r>
      <w:proofErr w:type="spellEnd"/>
      <w:r>
        <w:t xml:space="preserve"> van afzonderlijke lidstaten. De </w:t>
      </w:r>
      <w:proofErr w:type="spellStart"/>
      <w:r>
        <w:t>bni</w:t>
      </w:r>
      <w:proofErr w:type="spellEnd"/>
      <w:r>
        <w:t xml:space="preserve">-realisaties en -bijstellingen zijn gepresenteerd in het </w:t>
      </w:r>
      <w:r>
        <w:rPr>
          <w:i/>
        </w:rPr>
        <w:t xml:space="preserve">Summary </w:t>
      </w:r>
      <w:proofErr w:type="spellStart"/>
      <w:r>
        <w:rPr>
          <w:i/>
        </w:rPr>
        <w:t>Quality</w:t>
      </w:r>
      <w:proofErr w:type="spellEnd"/>
      <w:r>
        <w:rPr>
          <w:i/>
        </w:rPr>
        <w:t xml:space="preserve"> Report</w:t>
      </w:r>
      <w:r>
        <w:t>.</w:t>
      </w:r>
      <w:r>
        <w:rPr>
          <w:rStyle w:val="Voetnootmarkering"/>
        </w:rPr>
        <w:footnoteReference w:id="6"/>
      </w:r>
      <w:r>
        <w:t xml:space="preserve"> </w:t>
      </w:r>
    </w:p>
    <w:p w:rsidR="0002051F" w:rsidP="0002051F" w:rsidRDefault="0002051F" w14:paraId="08CB7D80" w14:textId="77777777">
      <w:pPr>
        <w:spacing w:line="276" w:lineRule="auto"/>
      </w:pPr>
    </w:p>
    <w:p w:rsidRPr="00CF2DDA" w:rsidR="0002051F" w:rsidP="0002051F" w:rsidRDefault="0002051F" w14:paraId="019A5492" w14:textId="77777777">
      <w:pPr>
        <w:spacing w:line="276" w:lineRule="auto"/>
      </w:pPr>
      <w:bookmarkStart w:name="_Hlk189581659" w:id="6"/>
      <w:r>
        <w:t xml:space="preserve">Dit jaar wordt in de reguliere jaarlijkse nacalculatie ook het effect van de </w:t>
      </w:r>
      <w:r w:rsidRPr="003870F4">
        <w:t>vijfjaarlijkse verificatiecyclus</w:t>
      </w:r>
      <w:r>
        <w:t xml:space="preserve"> </w:t>
      </w:r>
      <w:r w:rsidRPr="003870F4">
        <w:t xml:space="preserve">van het </w:t>
      </w:r>
      <w:proofErr w:type="spellStart"/>
      <w:r w:rsidRPr="003870F4">
        <w:t>bni</w:t>
      </w:r>
      <w:proofErr w:type="spellEnd"/>
      <w:r>
        <w:rPr>
          <w:rStyle w:val="Voetnootmarkering"/>
        </w:rPr>
        <w:footnoteReference w:id="7"/>
      </w:r>
      <w:r>
        <w:t xml:space="preserve">, </w:t>
      </w:r>
      <w:r w:rsidRPr="00CF2DDA">
        <w:t xml:space="preserve">resulterend in de </w:t>
      </w:r>
      <w:r>
        <w:t>bronnenrevisie, meegenomen</w:t>
      </w:r>
      <w:bookmarkEnd w:id="6"/>
      <w:r>
        <w:t xml:space="preserve">. </w:t>
      </w:r>
      <w:bookmarkStart w:name="_Hlk189593258" w:id="7"/>
      <w:r>
        <w:t xml:space="preserve">De bronnenrevisie wordt in alle lidstaten uitgevoerd door de nationale statistiekbureaus, in Nederland het Centraal Bureau voor de Statistiek (CBS), en gecontroleerd door </w:t>
      </w:r>
      <w:proofErr w:type="spellStart"/>
      <w:r>
        <w:t>Eurostat</w:t>
      </w:r>
      <w:bookmarkEnd w:id="7"/>
      <w:proofErr w:type="spellEnd"/>
      <w:r w:rsidRPr="003870F4">
        <w:t>.</w:t>
      </w:r>
      <w:r>
        <w:rPr>
          <w:rStyle w:val="Voetnootmarkering"/>
        </w:rPr>
        <w:footnoteReference w:id="8"/>
      </w:r>
      <w:r w:rsidRPr="003870F4">
        <w:t xml:space="preserve"> D</w:t>
      </w:r>
      <w:r>
        <w:t>e verificatiecyclus</w:t>
      </w:r>
      <w:r w:rsidRPr="003870F4">
        <w:t xml:space="preserve"> heeft betrekking op </w:t>
      </w:r>
      <w:r>
        <w:t xml:space="preserve">de jaren </w:t>
      </w:r>
      <w:r w:rsidRPr="003870F4">
        <w:t>2018-2022 en de eerste realisatiecijfers voor 2023</w:t>
      </w:r>
      <w:r>
        <w:t xml:space="preserve">. Er is voor deze jaren sprake van een opwaartse bijstelling van het Nederlandse </w:t>
      </w:r>
      <w:proofErr w:type="spellStart"/>
      <w:r>
        <w:t>bni</w:t>
      </w:r>
      <w:proofErr w:type="spellEnd"/>
      <w:r>
        <w:t xml:space="preserve"> van gemiddeld 2,8%.</w:t>
      </w:r>
      <w:r>
        <w:rPr>
          <w:rStyle w:val="Voetnootmarkering"/>
        </w:rPr>
        <w:footnoteReference w:id="9"/>
      </w:r>
      <w:r>
        <w:t xml:space="preserve"> </w:t>
      </w:r>
      <w:bookmarkStart w:name="_Hlk189570052" w:id="8"/>
      <w:r>
        <w:t xml:space="preserve">Dit komt onder andere doordat de Nederlandse economie meer is gegroeid dan eerder </w:t>
      </w:r>
      <w:bookmarkEnd w:id="8"/>
      <w:r>
        <w:t xml:space="preserve">geraamd. </w:t>
      </w:r>
      <w:bookmarkStart w:name="_Hlk189592237" w:id="9"/>
      <w:r w:rsidRPr="00CF2DDA">
        <w:t xml:space="preserve">Daarnaast is een aantal redenen van technische aard: (1) aanbevelingen of actiepunten als gevolg van de verificatie van de cijfers door </w:t>
      </w:r>
      <w:proofErr w:type="spellStart"/>
      <w:r w:rsidRPr="00CF2DDA">
        <w:t>Eurostat</w:t>
      </w:r>
      <w:proofErr w:type="spellEnd"/>
      <w:r w:rsidRPr="00CF2DDA">
        <w:t xml:space="preserve">, (2) de beschikbaarheid van nieuwe bronnen op basis waarvan het </w:t>
      </w:r>
      <w:proofErr w:type="spellStart"/>
      <w:r w:rsidRPr="00CF2DDA">
        <w:t>bni</w:t>
      </w:r>
      <w:proofErr w:type="spellEnd"/>
      <w:r w:rsidRPr="00CF2DDA">
        <w:t xml:space="preserve"> berekend wordt, en (3) betere aansluiting op de bestaande bronnen. Voor de hoge ontwikkeling in 2023 speelt ook de relatief hoge inflatie in Nederland en de stijging van rente die pensioenfondsen ontvangen een rol.</w:t>
      </w:r>
    </w:p>
    <w:bookmarkEnd w:id="9"/>
    <w:p w:rsidR="0002051F" w:rsidP="0002051F" w:rsidRDefault="0002051F" w14:paraId="18AB19F1" w14:textId="77777777">
      <w:pPr>
        <w:spacing w:line="276" w:lineRule="auto"/>
      </w:pPr>
    </w:p>
    <w:p w:rsidR="0002051F" w:rsidP="0002051F" w:rsidRDefault="0002051F" w14:paraId="770EEF2A" w14:textId="77777777">
      <w:pPr>
        <w:spacing w:line="276" w:lineRule="auto"/>
      </w:pPr>
      <w:bookmarkStart w:name="_Hlk189592107" w:id="10"/>
      <w:r w:rsidRPr="007F7F1A">
        <w:t xml:space="preserve">Op EU-niveau is er sprake van opwaartse bijstellingen van het </w:t>
      </w:r>
      <w:proofErr w:type="spellStart"/>
      <w:r w:rsidRPr="007F7F1A">
        <w:t>bni</w:t>
      </w:r>
      <w:proofErr w:type="spellEnd"/>
      <w:r w:rsidRPr="007F7F1A">
        <w:t xml:space="preserve"> met gemiddeld ca. 1% over de jaren 2018-2023. Het Nederlandse</w:t>
      </w:r>
      <w:r w:rsidRPr="00C63D62">
        <w:t xml:space="preserve"> </w:t>
      </w:r>
      <w:proofErr w:type="spellStart"/>
      <w:r w:rsidRPr="00C63D62">
        <w:t>bni</w:t>
      </w:r>
      <w:proofErr w:type="spellEnd"/>
      <w:r w:rsidRPr="00C63D62">
        <w:t xml:space="preserve"> is </w:t>
      </w:r>
      <w:r>
        <w:t xml:space="preserve">daarmee </w:t>
      </w:r>
      <w:r w:rsidRPr="00C63D62">
        <w:t xml:space="preserve">relatief gezien verder naar boven bijgesteld door </w:t>
      </w:r>
      <w:bookmarkEnd w:id="10"/>
      <w:r w:rsidRPr="00C63D62">
        <w:t>een optelling van alle bovengenoemde factoren.</w:t>
      </w:r>
      <w:r>
        <w:t xml:space="preserve"> </w:t>
      </w:r>
      <w:r w:rsidRPr="00B07242">
        <w:t>Uit de</w:t>
      </w:r>
      <w:r>
        <w:t>ze</w:t>
      </w:r>
      <w:r w:rsidRPr="00B07242">
        <w:t xml:space="preserve"> geactualiseerde economische gegevens blijkt dat Nederland in de periode 2018-2023 </w:t>
      </w:r>
      <w:r>
        <w:t>dus te weinig heeft afgedragen,</w:t>
      </w:r>
      <w:r w:rsidRPr="00B07242">
        <w:t xml:space="preserve"> </w:t>
      </w:r>
      <w:r>
        <w:t>omdat het gerealiseerde</w:t>
      </w:r>
      <w:r w:rsidRPr="00B07242">
        <w:t xml:space="preserve"> Nederlandse </w:t>
      </w:r>
      <w:proofErr w:type="spellStart"/>
      <w:r w:rsidRPr="00B07242">
        <w:t>bni</w:t>
      </w:r>
      <w:proofErr w:type="spellEnd"/>
      <w:r w:rsidRPr="00B07242">
        <w:t>-aandeel binnen de EU groter is gebleken dan</w:t>
      </w:r>
      <w:r>
        <w:t xml:space="preserve"> het geraamde </w:t>
      </w:r>
      <w:proofErr w:type="spellStart"/>
      <w:r>
        <w:t>bni</w:t>
      </w:r>
      <w:proofErr w:type="spellEnd"/>
      <w:r>
        <w:t>-aandeel</w:t>
      </w:r>
      <w:r w:rsidRPr="00B07242">
        <w:t xml:space="preserve"> waarop de oorspronkelijke afdrachten waren gebaseerd.</w:t>
      </w:r>
      <w:r>
        <w:t xml:space="preserve"> Via het proces van de nacalculatie wordt hiervoor gecorrigeerd. </w:t>
      </w:r>
    </w:p>
    <w:p w:rsidR="0055213C" w:rsidP="0002051F" w:rsidRDefault="0055213C" w14:paraId="12FA27F1" w14:textId="77777777">
      <w:pPr>
        <w:spacing w:line="276" w:lineRule="auto"/>
      </w:pPr>
    </w:p>
    <w:p w:rsidR="0002051F" w:rsidP="0002051F" w:rsidRDefault="0002051F" w14:paraId="21DB0638" w14:textId="77777777">
      <w:pPr>
        <w:spacing w:line="276" w:lineRule="auto"/>
      </w:pPr>
      <w:r w:rsidRPr="00C001AC">
        <w:t xml:space="preserve">Aangezien uit de nacalculatie blijkt dat het Nederlands </w:t>
      </w:r>
      <w:proofErr w:type="spellStart"/>
      <w:r w:rsidRPr="00C001AC">
        <w:t>bni</w:t>
      </w:r>
      <w:proofErr w:type="spellEnd"/>
      <w:r w:rsidRPr="00C001AC">
        <w:t xml:space="preserve"> relatief gezien is toegenomen, werkt dit mogelijk ook meerjarig door op de geraamde afdrachten. </w:t>
      </w:r>
      <w:bookmarkStart w:name="_Hlk189582086" w:id="11"/>
      <w:r w:rsidRPr="00C001AC">
        <w:t xml:space="preserve">Meer informatie over dit effect wordt bekend met de publicatie van de Lenteraming door de Europese Commissie in </w:t>
      </w:r>
      <w:bookmarkEnd w:id="11"/>
      <w:r w:rsidRPr="00C001AC">
        <w:t>juli. In deze Lenteramingen worden de grondslagen geactualiseerd waarop de afdrachten zijn gebaseerd. Het effect van de Lenteraming op de Nederlandse afdrachten wordt normaliter gepresenteerd bij Miljoenennota.</w:t>
      </w:r>
    </w:p>
    <w:p w:rsidR="0002051F" w:rsidP="0002051F" w:rsidRDefault="0002051F" w14:paraId="6A8A58A0" w14:textId="77777777">
      <w:pPr>
        <w:spacing w:line="276" w:lineRule="auto"/>
      </w:pPr>
    </w:p>
    <w:p w:rsidR="0002051F" w:rsidP="0002051F" w:rsidRDefault="0002051F" w14:paraId="5876DA80" w14:textId="77777777">
      <w:pPr>
        <w:spacing w:line="276" w:lineRule="auto"/>
        <w:rPr>
          <w:i/>
          <w:iCs/>
        </w:rPr>
      </w:pPr>
      <w:r>
        <w:rPr>
          <w:i/>
          <w:iCs/>
        </w:rPr>
        <w:t>Budgettaire gevolgen nacalculatie</w:t>
      </w:r>
    </w:p>
    <w:p w:rsidR="0002051F" w:rsidP="0002051F" w:rsidRDefault="0002051F" w14:paraId="62A93B50" w14:textId="77777777">
      <w:pPr>
        <w:spacing w:line="276" w:lineRule="auto"/>
        <w:rPr>
          <w:color w:val="auto"/>
        </w:rPr>
      </w:pPr>
      <w:bookmarkStart w:name="_Hlk189579012" w:id="12"/>
      <w:r w:rsidRPr="0082694E">
        <w:rPr>
          <w:color w:val="auto"/>
        </w:rPr>
        <w:t>Per saldo resulteert de definitieve nacalculatie voor Nederland in een eenmalige extra bijdrage van 696,8 miljoen euro.</w:t>
      </w:r>
      <w:bookmarkEnd w:id="12"/>
      <w:r>
        <w:rPr>
          <w:color w:val="auto"/>
        </w:rPr>
        <w:t xml:space="preserve"> </w:t>
      </w:r>
      <w:bookmarkStart w:name="_Hlk189581709" w:id="13"/>
      <w:r>
        <w:rPr>
          <w:color w:val="auto"/>
        </w:rPr>
        <w:t xml:space="preserve">De nacalculatie van de </w:t>
      </w:r>
      <w:proofErr w:type="spellStart"/>
      <w:r>
        <w:rPr>
          <w:color w:val="auto"/>
        </w:rPr>
        <w:t>bni</w:t>
      </w:r>
      <w:proofErr w:type="spellEnd"/>
      <w:r>
        <w:rPr>
          <w:color w:val="auto"/>
        </w:rPr>
        <w:t>- en btw-afdrachten leidt voor Nederland tot een eenmalige extra afdracht van 674,4 miljoen euro.</w:t>
      </w:r>
      <w:bookmarkEnd w:id="13"/>
      <w:r>
        <w:t xml:space="preserve"> De nacalculatie van de plastic-afdracht komt voor Nederland uit op een eenmalige verhoging van de afdracht met 22,4 miljoen euro. De</w:t>
      </w:r>
      <w:r>
        <w:rPr>
          <w:color w:val="auto"/>
        </w:rPr>
        <w:t xml:space="preserve"> technische verwerking in de Nederlandse begroting vindt plaats bij eerste suppletoire begroting 2025 van het ministerie van Buitenlandse Zaken. In Europees verband is afgesproken dat de verrekening van nacalculatie van de </w:t>
      </w:r>
      <w:proofErr w:type="spellStart"/>
      <w:r>
        <w:rPr>
          <w:color w:val="auto"/>
        </w:rPr>
        <w:t>bni</w:t>
      </w:r>
      <w:proofErr w:type="spellEnd"/>
      <w:r>
        <w:rPr>
          <w:color w:val="auto"/>
        </w:rPr>
        <w:t xml:space="preserve">- en btw-afdrachten plaatsvindt in het jaar volgend op de publicatie van de nacalculatie (t+1) en van de nacalculatie van de plastic-afdracht in hetzelfde jaar (t). </w:t>
      </w:r>
      <w:r w:rsidRPr="003607D2">
        <w:rPr>
          <w:color w:val="auto"/>
        </w:rPr>
        <w:t xml:space="preserve">Dit houdt in dat de nacalculatie van de </w:t>
      </w:r>
      <w:proofErr w:type="spellStart"/>
      <w:r>
        <w:rPr>
          <w:color w:val="auto"/>
        </w:rPr>
        <w:t>bni</w:t>
      </w:r>
      <w:proofErr w:type="spellEnd"/>
      <w:r w:rsidRPr="003607D2">
        <w:rPr>
          <w:color w:val="auto"/>
        </w:rPr>
        <w:t xml:space="preserve">- en btw-afdracht ter hoogte van 674,4 miljoen euro wordt </w:t>
      </w:r>
      <w:bookmarkStart w:name="_Hlk189581728" w:id="14"/>
      <w:r w:rsidRPr="003607D2">
        <w:rPr>
          <w:color w:val="auto"/>
        </w:rPr>
        <w:t>verrekend in het begrotingsjaar 2026</w:t>
      </w:r>
      <w:bookmarkEnd w:id="14"/>
      <w:r w:rsidRPr="003607D2">
        <w:rPr>
          <w:color w:val="auto"/>
        </w:rPr>
        <w:t xml:space="preserve">, terwijl </w:t>
      </w:r>
      <w:bookmarkStart w:name="_Hlk189581747" w:id="15"/>
      <w:r w:rsidRPr="003607D2">
        <w:rPr>
          <w:color w:val="auto"/>
        </w:rPr>
        <w:t>de nacalculatie van de plastic</w:t>
      </w:r>
      <w:r>
        <w:rPr>
          <w:color w:val="auto"/>
        </w:rPr>
        <w:t>-</w:t>
      </w:r>
      <w:r w:rsidRPr="003607D2">
        <w:rPr>
          <w:color w:val="auto"/>
        </w:rPr>
        <w:t>afdracht van 22,4 miljoen euro impact heeft op het begrotingsjaar 2025</w:t>
      </w:r>
      <w:bookmarkEnd w:id="15"/>
      <w:r w:rsidRPr="003607D2">
        <w:rPr>
          <w:color w:val="auto"/>
        </w:rPr>
        <w:t>.</w:t>
      </w:r>
      <w:r>
        <w:rPr>
          <w:color w:val="auto"/>
        </w:rPr>
        <w:t xml:space="preserve"> Tabel 1 geeft een overzicht van de nacalculaties per lidstaat.</w:t>
      </w:r>
    </w:p>
    <w:p w:rsidR="0002051F" w:rsidP="0002051F" w:rsidRDefault="0002051F" w14:paraId="11554B99" w14:textId="77777777">
      <w:pPr>
        <w:spacing w:line="276" w:lineRule="auto"/>
        <w:rPr>
          <w:color w:val="auto"/>
        </w:rPr>
      </w:pPr>
    </w:p>
    <w:tbl>
      <w:tblPr>
        <w:tblW w:w="4515" w:type="dxa"/>
        <w:tblInd w:w="70" w:type="dxa"/>
        <w:tblCellMar>
          <w:left w:w="70" w:type="dxa"/>
          <w:right w:w="70" w:type="dxa"/>
        </w:tblCellMar>
        <w:tblLook w:val="04A0" w:firstRow="1" w:lastRow="0" w:firstColumn="1" w:lastColumn="0" w:noHBand="0" w:noVBand="1"/>
      </w:tblPr>
      <w:tblGrid>
        <w:gridCol w:w="1418"/>
        <w:gridCol w:w="883"/>
        <w:gridCol w:w="1099"/>
        <w:gridCol w:w="1115"/>
      </w:tblGrid>
      <w:tr w:rsidR="0002051F" w:rsidTr="00AA55AA" w14:paraId="4DA469EF" w14:textId="77777777">
        <w:trPr>
          <w:trHeight w:val="702"/>
          <w:tblHeader/>
        </w:trPr>
        <w:tc>
          <w:tcPr>
            <w:tcW w:w="4515" w:type="dxa"/>
            <w:gridSpan w:val="4"/>
            <w:shd w:val="clear" w:color="auto" w:fill="44546A"/>
            <w:vAlign w:val="center"/>
            <w:hideMark/>
          </w:tcPr>
          <w:p w:rsidR="0002051F" w:rsidP="00AA55AA" w:rsidRDefault="0002051F" w14:paraId="1041F6C4" w14:textId="77777777">
            <w:pPr>
              <w:spacing w:line="240" w:lineRule="auto"/>
              <w:rPr>
                <w:rFonts w:eastAsia="Times New Roman" w:cs="Calibri"/>
                <w:b/>
                <w:bCs/>
                <w:color w:val="FFFFFF"/>
                <w:sz w:val="16"/>
                <w:szCs w:val="16"/>
              </w:rPr>
            </w:pPr>
            <w:r>
              <w:rPr>
                <w:rFonts w:eastAsia="Times New Roman" w:cs="Calibri"/>
                <w:b/>
                <w:bCs/>
                <w:color w:val="FFFFFF"/>
                <w:sz w:val="16"/>
                <w:szCs w:val="16"/>
              </w:rPr>
              <w:t>Tabel 1: nacalculatie 2024 (in miljoen euro; Europese Commissie)</w:t>
            </w:r>
          </w:p>
        </w:tc>
      </w:tr>
      <w:tr w:rsidR="0002051F" w:rsidTr="00AA55AA" w14:paraId="51A88883" w14:textId="77777777">
        <w:trPr>
          <w:trHeight w:val="259"/>
        </w:trPr>
        <w:tc>
          <w:tcPr>
            <w:tcW w:w="1418" w:type="dxa"/>
            <w:tcBorders>
              <w:top w:val="nil"/>
              <w:left w:val="nil"/>
              <w:bottom w:val="single" w:color="auto" w:sz="8" w:space="0"/>
              <w:right w:val="nil"/>
            </w:tcBorders>
            <w:noWrap/>
            <w:vAlign w:val="center"/>
            <w:hideMark/>
          </w:tcPr>
          <w:p w:rsidR="0002051F" w:rsidP="00AA55AA" w:rsidRDefault="0002051F" w14:paraId="3780E086" w14:textId="77777777">
            <w:pPr>
              <w:spacing w:line="240" w:lineRule="auto"/>
              <w:rPr>
                <w:rFonts w:eastAsia="Times New Roman" w:cs="Calibri"/>
                <w:b/>
                <w:bCs/>
                <w:sz w:val="16"/>
                <w:szCs w:val="16"/>
              </w:rPr>
            </w:pPr>
            <w:r>
              <w:rPr>
                <w:rFonts w:eastAsia="Times New Roman" w:cs="Calibri"/>
                <w:b/>
                <w:bCs/>
                <w:sz w:val="16"/>
                <w:szCs w:val="16"/>
              </w:rPr>
              <w:t>Lidstaat</w:t>
            </w:r>
          </w:p>
        </w:tc>
        <w:tc>
          <w:tcPr>
            <w:tcW w:w="883" w:type="dxa"/>
            <w:tcBorders>
              <w:top w:val="nil"/>
              <w:left w:val="nil"/>
              <w:bottom w:val="single" w:color="auto" w:sz="8" w:space="0"/>
              <w:right w:val="nil"/>
            </w:tcBorders>
            <w:noWrap/>
            <w:vAlign w:val="center"/>
            <w:hideMark/>
          </w:tcPr>
          <w:p w:rsidR="0002051F" w:rsidP="00AA55AA" w:rsidRDefault="0002051F" w14:paraId="66324154" w14:textId="77777777">
            <w:pPr>
              <w:spacing w:line="240" w:lineRule="auto"/>
              <w:jc w:val="right"/>
              <w:rPr>
                <w:rFonts w:eastAsia="Times New Roman" w:cs="Calibri"/>
                <w:b/>
                <w:bCs/>
                <w:sz w:val="16"/>
                <w:szCs w:val="16"/>
              </w:rPr>
            </w:pPr>
            <w:proofErr w:type="spellStart"/>
            <w:r>
              <w:rPr>
                <w:rFonts w:eastAsia="Times New Roman" w:cs="Calibri"/>
                <w:b/>
                <w:bCs/>
                <w:sz w:val="16"/>
                <w:szCs w:val="16"/>
              </w:rPr>
              <w:t>Bni</w:t>
            </w:r>
            <w:proofErr w:type="spellEnd"/>
            <w:r>
              <w:rPr>
                <w:rFonts w:eastAsia="Times New Roman" w:cs="Calibri"/>
                <w:b/>
                <w:bCs/>
                <w:sz w:val="16"/>
                <w:szCs w:val="16"/>
              </w:rPr>
              <w:t>/btw</w:t>
            </w:r>
          </w:p>
        </w:tc>
        <w:tc>
          <w:tcPr>
            <w:tcW w:w="1099" w:type="dxa"/>
            <w:tcBorders>
              <w:top w:val="nil"/>
              <w:left w:val="nil"/>
              <w:bottom w:val="single" w:color="auto" w:sz="8" w:space="0"/>
              <w:right w:val="nil"/>
            </w:tcBorders>
            <w:noWrap/>
            <w:vAlign w:val="center"/>
            <w:hideMark/>
          </w:tcPr>
          <w:p w:rsidR="0002051F" w:rsidP="00AA55AA" w:rsidRDefault="0002051F" w14:paraId="31012CC0" w14:textId="77777777">
            <w:pPr>
              <w:spacing w:line="240" w:lineRule="auto"/>
              <w:jc w:val="right"/>
              <w:rPr>
                <w:rFonts w:eastAsia="Times New Roman" w:cs="Calibri"/>
                <w:b/>
                <w:bCs/>
                <w:sz w:val="16"/>
                <w:szCs w:val="16"/>
              </w:rPr>
            </w:pPr>
            <w:r>
              <w:rPr>
                <w:rFonts w:eastAsia="Times New Roman" w:cs="Calibri"/>
                <w:b/>
                <w:bCs/>
                <w:sz w:val="16"/>
                <w:szCs w:val="16"/>
              </w:rPr>
              <w:t>plastic</w:t>
            </w:r>
          </w:p>
        </w:tc>
        <w:tc>
          <w:tcPr>
            <w:tcW w:w="1115" w:type="dxa"/>
            <w:tcBorders>
              <w:top w:val="nil"/>
              <w:left w:val="nil"/>
              <w:bottom w:val="single" w:color="auto" w:sz="8" w:space="0"/>
              <w:right w:val="nil"/>
            </w:tcBorders>
            <w:noWrap/>
            <w:vAlign w:val="center"/>
            <w:hideMark/>
          </w:tcPr>
          <w:p w:rsidR="0002051F" w:rsidP="00AA55AA" w:rsidRDefault="0002051F" w14:paraId="151E978C" w14:textId="77777777">
            <w:pPr>
              <w:spacing w:line="240" w:lineRule="auto"/>
              <w:jc w:val="right"/>
              <w:rPr>
                <w:rFonts w:eastAsia="Times New Roman" w:cs="Calibri"/>
                <w:b/>
                <w:bCs/>
                <w:sz w:val="16"/>
                <w:szCs w:val="16"/>
              </w:rPr>
            </w:pPr>
            <w:r>
              <w:rPr>
                <w:rFonts w:eastAsia="Times New Roman" w:cs="Calibri"/>
                <w:b/>
                <w:bCs/>
                <w:sz w:val="16"/>
                <w:szCs w:val="16"/>
              </w:rPr>
              <w:t xml:space="preserve">netto </w:t>
            </w:r>
          </w:p>
        </w:tc>
      </w:tr>
      <w:tr w:rsidR="0002051F" w:rsidTr="00AA55AA" w14:paraId="4D4D61A7" w14:textId="77777777">
        <w:trPr>
          <w:trHeight w:val="246"/>
        </w:trPr>
        <w:tc>
          <w:tcPr>
            <w:tcW w:w="1418" w:type="dxa"/>
            <w:tcBorders>
              <w:top w:val="single" w:color="auto" w:sz="8" w:space="0"/>
              <w:left w:val="nil"/>
              <w:bottom w:val="single" w:color="E8E8E8" w:themeColor="background2" w:sz="2" w:space="0"/>
              <w:right w:val="single" w:color="E8E8E8" w:themeColor="background2" w:sz="2" w:space="0"/>
            </w:tcBorders>
            <w:noWrap/>
            <w:vAlign w:val="center"/>
            <w:hideMark/>
          </w:tcPr>
          <w:p w:rsidR="0002051F" w:rsidP="00AA55AA" w:rsidRDefault="0002051F" w14:paraId="4989DB56" w14:textId="77777777">
            <w:pPr>
              <w:spacing w:line="240" w:lineRule="auto"/>
              <w:rPr>
                <w:rFonts w:eastAsia="Times New Roman" w:cs="Calibri"/>
                <w:sz w:val="16"/>
                <w:szCs w:val="16"/>
              </w:rPr>
            </w:pPr>
            <w:r>
              <w:rPr>
                <w:rFonts w:eastAsia="Times New Roman" w:cs="Calibri"/>
                <w:sz w:val="16"/>
                <w:szCs w:val="16"/>
              </w:rPr>
              <w:t>België</w:t>
            </w:r>
          </w:p>
        </w:tc>
        <w:tc>
          <w:tcPr>
            <w:tcW w:w="883" w:type="dxa"/>
            <w:tcBorders>
              <w:top w:val="single" w:color="E8E8E8" w:themeColor="background2" w:sz="8"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48B0529A" w14:textId="77777777">
            <w:pPr>
              <w:spacing w:line="240" w:lineRule="auto"/>
              <w:jc w:val="right"/>
              <w:rPr>
                <w:rFonts w:eastAsia="Times New Roman" w:cs="Calibri"/>
                <w:sz w:val="16"/>
                <w:szCs w:val="16"/>
              </w:rPr>
            </w:pPr>
            <w:r w:rsidRPr="00C9140F">
              <w:rPr>
                <w:sz w:val="16"/>
                <w:szCs w:val="16"/>
              </w:rPr>
              <w:t>-12</w:t>
            </w:r>
          </w:p>
        </w:tc>
        <w:tc>
          <w:tcPr>
            <w:tcW w:w="1099" w:type="dxa"/>
            <w:tcBorders>
              <w:top w:val="single" w:color="E8E8E8" w:themeColor="background2" w:sz="8"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2F5DA80D" w14:textId="77777777">
            <w:pPr>
              <w:spacing w:line="240" w:lineRule="auto"/>
              <w:jc w:val="right"/>
              <w:rPr>
                <w:rFonts w:eastAsia="Times New Roman" w:cs="Calibri"/>
                <w:sz w:val="16"/>
                <w:szCs w:val="16"/>
              </w:rPr>
            </w:pPr>
            <w:r w:rsidRPr="00C9140F">
              <w:rPr>
                <w:sz w:val="16"/>
                <w:szCs w:val="16"/>
              </w:rPr>
              <w:t>-36</w:t>
            </w:r>
          </w:p>
        </w:tc>
        <w:tc>
          <w:tcPr>
            <w:tcW w:w="1115" w:type="dxa"/>
            <w:tcBorders>
              <w:top w:val="single" w:color="auto" w:sz="8" w:space="0"/>
              <w:left w:val="single" w:color="E8E8E8" w:themeColor="background2" w:sz="2" w:space="0"/>
              <w:bottom w:val="single" w:color="E8E8E8" w:themeColor="background2" w:sz="2" w:space="0"/>
              <w:right w:val="nil"/>
            </w:tcBorders>
            <w:noWrap/>
            <w:hideMark/>
          </w:tcPr>
          <w:p w:rsidRPr="00401B63" w:rsidR="0002051F" w:rsidP="00AA55AA" w:rsidRDefault="0002051F" w14:paraId="3704C6DA" w14:textId="77777777">
            <w:pPr>
              <w:spacing w:line="240" w:lineRule="auto"/>
              <w:jc w:val="right"/>
              <w:rPr>
                <w:rFonts w:eastAsia="Times New Roman" w:cs="Calibri"/>
                <w:sz w:val="16"/>
                <w:szCs w:val="16"/>
              </w:rPr>
            </w:pPr>
            <w:r w:rsidRPr="00401B63">
              <w:rPr>
                <w:sz w:val="16"/>
                <w:szCs w:val="16"/>
              </w:rPr>
              <w:t>-48</w:t>
            </w:r>
          </w:p>
        </w:tc>
      </w:tr>
      <w:tr w:rsidR="0002051F" w:rsidTr="00AA55AA" w14:paraId="2AFB6E0B"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2CA80FF2" w14:textId="77777777">
            <w:pPr>
              <w:spacing w:line="240" w:lineRule="auto"/>
              <w:rPr>
                <w:rFonts w:eastAsia="Times New Roman" w:cs="Calibri"/>
                <w:sz w:val="16"/>
                <w:szCs w:val="16"/>
              </w:rPr>
            </w:pPr>
            <w:r>
              <w:rPr>
                <w:rFonts w:eastAsia="Times New Roman" w:cs="Calibri"/>
                <w:sz w:val="16"/>
                <w:szCs w:val="16"/>
              </w:rPr>
              <w:t>Bulgarije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46788D4E" w14:textId="77777777">
            <w:pPr>
              <w:spacing w:line="240" w:lineRule="auto"/>
              <w:jc w:val="right"/>
              <w:rPr>
                <w:rFonts w:eastAsia="Times New Roman" w:cs="Calibri"/>
                <w:sz w:val="16"/>
                <w:szCs w:val="16"/>
              </w:rPr>
            </w:pPr>
            <w:r w:rsidRPr="00C9140F">
              <w:rPr>
                <w:sz w:val="16"/>
                <w:szCs w:val="16"/>
              </w:rPr>
              <w:t>-67</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9D1D3BD" w14:textId="77777777">
            <w:pPr>
              <w:spacing w:line="240" w:lineRule="auto"/>
              <w:jc w:val="right"/>
              <w:rPr>
                <w:rFonts w:eastAsia="Times New Roman" w:cs="Calibri"/>
                <w:sz w:val="16"/>
                <w:szCs w:val="16"/>
              </w:rPr>
            </w:pPr>
            <w:r w:rsidRPr="00C9140F">
              <w:rPr>
                <w:sz w:val="16"/>
                <w:szCs w:val="16"/>
              </w:rPr>
              <w:t>25</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1B4AA71" w14:textId="77777777">
            <w:pPr>
              <w:spacing w:line="240" w:lineRule="auto"/>
              <w:jc w:val="right"/>
              <w:rPr>
                <w:rFonts w:eastAsia="Times New Roman" w:cs="Calibri"/>
                <w:sz w:val="16"/>
                <w:szCs w:val="16"/>
              </w:rPr>
            </w:pPr>
            <w:r w:rsidRPr="00401B63">
              <w:rPr>
                <w:sz w:val="16"/>
                <w:szCs w:val="16"/>
              </w:rPr>
              <w:t>-42</w:t>
            </w:r>
          </w:p>
        </w:tc>
      </w:tr>
      <w:tr w:rsidR="0002051F" w:rsidTr="00AA55AA" w14:paraId="4B685B1A"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0AB9704B" w14:textId="77777777">
            <w:pPr>
              <w:spacing w:line="240" w:lineRule="auto"/>
              <w:rPr>
                <w:rFonts w:eastAsia="Times New Roman" w:cs="Calibri"/>
                <w:sz w:val="16"/>
                <w:szCs w:val="16"/>
              </w:rPr>
            </w:pPr>
            <w:r>
              <w:rPr>
                <w:rFonts w:eastAsia="Times New Roman" w:cs="Calibri"/>
                <w:sz w:val="16"/>
                <w:szCs w:val="16"/>
              </w:rPr>
              <w:t>Tsjechië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0715ADFD" w14:textId="77777777">
            <w:pPr>
              <w:spacing w:line="240" w:lineRule="auto"/>
              <w:jc w:val="right"/>
              <w:rPr>
                <w:rFonts w:eastAsia="Times New Roman" w:cs="Calibri"/>
                <w:sz w:val="16"/>
                <w:szCs w:val="16"/>
              </w:rPr>
            </w:pPr>
            <w:r w:rsidRPr="00C9140F">
              <w:rPr>
                <w:sz w:val="16"/>
                <w:szCs w:val="16"/>
              </w:rPr>
              <w:t>192</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5C073FC" w14:textId="77777777">
            <w:pPr>
              <w:spacing w:line="240" w:lineRule="auto"/>
              <w:jc w:val="right"/>
              <w:rPr>
                <w:rFonts w:eastAsia="Times New Roman" w:cs="Calibri"/>
                <w:sz w:val="16"/>
                <w:szCs w:val="16"/>
              </w:rPr>
            </w:pPr>
            <w:r w:rsidRPr="00C9140F">
              <w:rPr>
                <w:sz w:val="16"/>
                <w:szCs w:val="16"/>
              </w:rPr>
              <w:t>23</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32E89C7" w14:textId="77777777">
            <w:pPr>
              <w:spacing w:line="240" w:lineRule="auto"/>
              <w:jc w:val="right"/>
              <w:rPr>
                <w:rFonts w:eastAsia="Times New Roman" w:cs="Calibri"/>
                <w:sz w:val="16"/>
                <w:szCs w:val="16"/>
              </w:rPr>
            </w:pPr>
            <w:r w:rsidRPr="00401B63">
              <w:rPr>
                <w:sz w:val="16"/>
                <w:szCs w:val="16"/>
              </w:rPr>
              <w:t>215</w:t>
            </w:r>
          </w:p>
        </w:tc>
      </w:tr>
      <w:tr w:rsidR="0002051F" w:rsidTr="00AA55AA" w14:paraId="30133D08"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D7BDD0B" w14:textId="77777777">
            <w:pPr>
              <w:spacing w:line="240" w:lineRule="auto"/>
              <w:rPr>
                <w:rFonts w:eastAsia="Times New Roman" w:cs="Calibri"/>
                <w:sz w:val="16"/>
                <w:szCs w:val="16"/>
              </w:rPr>
            </w:pPr>
            <w:r>
              <w:rPr>
                <w:rFonts w:eastAsia="Times New Roman" w:cs="Calibri"/>
                <w:sz w:val="16"/>
                <w:szCs w:val="16"/>
              </w:rPr>
              <w:t>Denemarken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3DBDEB8" w14:textId="77777777">
            <w:pPr>
              <w:spacing w:line="240" w:lineRule="auto"/>
              <w:jc w:val="right"/>
              <w:rPr>
                <w:rFonts w:eastAsia="Times New Roman" w:cs="Calibri"/>
                <w:sz w:val="16"/>
                <w:szCs w:val="16"/>
              </w:rPr>
            </w:pPr>
            <w:r w:rsidRPr="00C9140F">
              <w:rPr>
                <w:sz w:val="16"/>
                <w:szCs w:val="16"/>
              </w:rPr>
              <w:t>-237</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74FBE5B9" w14:textId="77777777">
            <w:pPr>
              <w:spacing w:line="240" w:lineRule="auto"/>
              <w:jc w:val="right"/>
              <w:rPr>
                <w:rFonts w:eastAsia="Times New Roman" w:cs="Calibri"/>
                <w:sz w:val="16"/>
                <w:szCs w:val="16"/>
              </w:rPr>
            </w:pPr>
            <w:r w:rsidRPr="00C9140F">
              <w:rPr>
                <w:sz w:val="16"/>
                <w:szCs w:val="16"/>
              </w:rPr>
              <w:t>-1</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7EA8E2D7" w14:textId="77777777">
            <w:pPr>
              <w:spacing w:line="240" w:lineRule="auto"/>
              <w:jc w:val="right"/>
              <w:rPr>
                <w:rFonts w:eastAsia="Times New Roman" w:cs="Calibri"/>
                <w:sz w:val="16"/>
                <w:szCs w:val="16"/>
              </w:rPr>
            </w:pPr>
            <w:r w:rsidRPr="00401B63">
              <w:rPr>
                <w:sz w:val="16"/>
                <w:szCs w:val="16"/>
              </w:rPr>
              <w:t>-237</w:t>
            </w:r>
          </w:p>
        </w:tc>
      </w:tr>
      <w:tr w:rsidR="0002051F" w:rsidTr="00AA55AA" w14:paraId="22217DBC"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6D19172C" w14:textId="77777777">
            <w:pPr>
              <w:spacing w:line="240" w:lineRule="auto"/>
              <w:rPr>
                <w:rFonts w:eastAsia="Times New Roman" w:cs="Calibri"/>
                <w:sz w:val="16"/>
                <w:szCs w:val="16"/>
              </w:rPr>
            </w:pPr>
            <w:r>
              <w:rPr>
                <w:rFonts w:eastAsia="Times New Roman" w:cs="Calibri"/>
                <w:sz w:val="16"/>
                <w:szCs w:val="16"/>
              </w:rPr>
              <w:t>Duitsland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769AE6D2" w14:textId="77777777">
            <w:pPr>
              <w:spacing w:line="240" w:lineRule="auto"/>
              <w:jc w:val="right"/>
              <w:rPr>
                <w:rFonts w:eastAsia="Times New Roman" w:cs="Calibri"/>
                <w:sz w:val="16"/>
                <w:szCs w:val="16"/>
              </w:rPr>
            </w:pPr>
            <w:r w:rsidRPr="00C9140F">
              <w:rPr>
                <w:sz w:val="16"/>
                <w:szCs w:val="16"/>
              </w:rPr>
              <w:t>1160</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2F95FF99" w14:textId="77777777">
            <w:pPr>
              <w:spacing w:line="240" w:lineRule="auto"/>
              <w:jc w:val="right"/>
              <w:rPr>
                <w:rFonts w:eastAsia="Times New Roman" w:cs="Calibri"/>
                <w:sz w:val="16"/>
                <w:szCs w:val="16"/>
              </w:rPr>
            </w:pPr>
            <w:r w:rsidRPr="00C9140F">
              <w:rPr>
                <w:sz w:val="16"/>
                <w:szCs w:val="16"/>
              </w:rPr>
              <w:t>-246</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87B6D6C" w14:textId="77777777">
            <w:pPr>
              <w:spacing w:line="240" w:lineRule="auto"/>
              <w:jc w:val="right"/>
              <w:rPr>
                <w:rFonts w:eastAsia="Times New Roman" w:cs="Calibri"/>
                <w:sz w:val="16"/>
                <w:szCs w:val="16"/>
              </w:rPr>
            </w:pPr>
            <w:r w:rsidRPr="00401B63">
              <w:rPr>
                <w:sz w:val="16"/>
                <w:szCs w:val="16"/>
              </w:rPr>
              <w:t>914</w:t>
            </w:r>
          </w:p>
        </w:tc>
      </w:tr>
      <w:tr w:rsidR="0002051F" w:rsidTr="00AA55AA" w14:paraId="7BB232F8"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9E1634B" w14:textId="77777777">
            <w:pPr>
              <w:spacing w:line="240" w:lineRule="auto"/>
              <w:rPr>
                <w:rFonts w:eastAsia="Times New Roman" w:cs="Calibri"/>
                <w:sz w:val="16"/>
                <w:szCs w:val="16"/>
              </w:rPr>
            </w:pPr>
            <w:r>
              <w:rPr>
                <w:rFonts w:eastAsia="Times New Roman" w:cs="Calibri"/>
                <w:sz w:val="16"/>
                <w:szCs w:val="16"/>
              </w:rPr>
              <w:t>Estland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56AB37D2" w14:textId="77777777">
            <w:pPr>
              <w:spacing w:line="240" w:lineRule="auto"/>
              <w:jc w:val="right"/>
              <w:rPr>
                <w:rFonts w:eastAsia="Times New Roman" w:cs="Calibri"/>
                <w:sz w:val="16"/>
                <w:szCs w:val="16"/>
              </w:rPr>
            </w:pPr>
            <w:r w:rsidRPr="00C9140F">
              <w:rPr>
                <w:sz w:val="16"/>
                <w:szCs w:val="16"/>
              </w:rPr>
              <w:t>-10</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01894BA2" w14:textId="77777777">
            <w:pPr>
              <w:spacing w:line="240" w:lineRule="auto"/>
              <w:jc w:val="right"/>
              <w:rPr>
                <w:rFonts w:eastAsia="Times New Roman" w:cs="Calibri"/>
                <w:sz w:val="16"/>
                <w:szCs w:val="16"/>
              </w:rPr>
            </w:pPr>
            <w:r w:rsidRPr="00C9140F">
              <w:rPr>
                <w:sz w:val="16"/>
                <w:szCs w:val="16"/>
              </w:rPr>
              <w:t>-9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0B273F40" w14:textId="77777777">
            <w:pPr>
              <w:spacing w:line="240" w:lineRule="auto"/>
              <w:jc w:val="right"/>
              <w:rPr>
                <w:rFonts w:eastAsia="Times New Roman" w:cs="Calibri"/>
                <w:sz w:val="16"/>
                <w:szCs w:val="16"/>
              </w:rPr>
            </w:pPr>
            <w:r w:rsidRPr="00401B63">
              <w:rPr>
                <w:sz w:val="16"/>
                <w:szCs w:val="16"/>
              </w:rPr>
              <w:t>-19</w:t>
            </w:r>
          </w:p>
        </w:tc>
      </w:tr>
      <w:tr w:rsidR="0002051F" w:rsidTr="00AA55AA" w14:paraId="7EA4E2C8"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E5A4CB0" w14:textId="77777777">
            <w:pPr>
              <w:spacing w:line="240" w:lineRule="auto"/>
              <w:rPr>
                <w:rFonts w:eastAsia="Times New Roman" w:cs="Calibri"/>
                <w:sz w:val="16"/>
                <w:szCs w:val="16"/>
              </w:rPr>
            </w:pPr>
            <w:r>
              <w:rPr>
                <w:rFonts w:eastAsia="Times New Roman" w:cs="Calibri"/>
                <w:sz w:val="16"/>
                <w:szCs w:val="16"/>
              </w:rPr>
              <w:t>Ierland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93CF671" w14:textId="77777777">
            <w:pPr>
              <w:spacing w:line="240" w:lineRule="auto"/>
              <w:jc w:val="right"/>
              <w:rPr>
                <w:rFonts w:eastAsia="Times New Roman" w:cs="Calibri"/>
                <w:sz w:val="16"/>
                <w:szCs w:val="16"/>
              </w:rPr>
            </w:pPr>
            <w:r w:rsidRPr="00C9140F">
              <w:rPr>
                <w:sz w:val="16"/>
                <w:szCs w:val="16"/>
              </w:rPr>
              <w:t>-353</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2C74CA7" w14:textId="77777777">
            <w:pPr>
              <w:spacing w:line="240" w:lineRule="auto"/>
              <w:jc w:val="right"/>
              <w:rPr>
                <w:rFonts w:eastAsia="Times New Roman" w:cs="Calibri"/>
                <w:sz w:val="16"/>
                <w:szCs w:val="16"/>
              </w:rPr>
            </w:pPr>
            <w:r w:rsidRPr="00C9140F">
              <w:rPr>
                <w:sz w:val="16"/>
                <w:szCs w:val="16"/>
              </w:rPr>
              <w:t>-25</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12D48953" w14:textId="77777777">
            <w:pPr>
              <w:spacing w:line="240" w:lineRule="auto"/>
              <w:jc w:val="right"/>
              <w:rPr>
                <w:rFonts w:eastAsia="Times New Roman" w:cs="Calibri"/>
                <w:sz w:val="16"/>
                <w:szCs w:val="16"/>
              </w:rPr>
            </w:pPr>
            <w:r w:rsidRPr="00401B63">
              <w:rPr>
                <w:sz w:val="16"/>
                <w:szCs w:val="16"/>
              </w:rPr>
              <w:t>-378</w:t>
            </w:r>
          </w:p>
        </w:tc>
      </w:tr>
      <w:tr w:rsidR="0002051F" w:rsidTr="00AA55AA" w14:paraId="26232B6E"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169D0440" w14:textId="77777777">
            <w:pPr>
              <w:spacing w:line="240" w:lineRule="auto"/>
              <w:rPr>
                <w:rFonts w:eastAsia="Times New Roman" w:cs="Calibri"/>
                <w:sz w:val="16"/>
                <w:szCs w:val="16"/>
              </w:rPr>
            </w:pPr>
            <w:r>
              <w:rPr>
                <w:rFonts w:eastAsia="Times New Roman" w:cs="Calibri"/>
                <w:sz w:val="16"/>
                <w:szCs w:val="16"/>
              </w:rPr>
              <w:t>Griekenland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20B8CCD1" w14:textId="77777777">
            <w:pPr>
              <w:spacing w:line="240" w:lineRule="auto"/>
              <w:jc w:val="right"/>
              <w:rPr>
                <w:rFonts w:eastAsia="Times New Roman" w:cs="Calibri"/>
                <w:sz w:val="16"/>
                <w:szCs w:val="16"/>
              </w:rPr>
            </w:pPr>
            <w:r w:rsidRPr="00C9140F">
              <w:rPr>
                <w:sz w:val="16"/>
                <w:szCs w:val="16"/>
              </w:rPr>
              <w:t>-45</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C961EED" w14:textId="77777777">
            <w:pPr>
              <w:spacing w:line="240" w:lineRule="auto"/>
              <w:jc w:val="right"/>
              <w:rPr>
                <w:rFonts w:eastAsia="Times New Roman" w:cs="Calibri"/>
                <w:sz w:val="16"/>
                <w:szCs w:val="16"/>
              </w:rPr>
            </w:pPr>
            <w:r w:rsidRPr="00C9140F">
              <w:rPr>
                <w:sz w:val="16"/>
                <w:szCs w:val="16"/>
              </w:rPr>
              <w:t>29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562D625B" w14:textId="77777777">
            <w:pPr>
              <w:spacing w:line="240" w:lineRule="auto"/>
              <w:jc w:val="right"/>
              <w:rPr>
                <w:rFonts w:eastAsia="Times New Roman" w:cs="Calibri"/>
                <w:sz w:val="16"/>
                <w:szCs w:val="16"/>
              </w:rPr>
            </w:pPr>
            <w:r w:rsidRPr="00401B63">
              <w:rPr>
                <w:sz w:val="16"/>
                <w:szCs w:val="16"/>
              </w:rPr>
              <w:t>-16</w:t>
            </w:r>
          </w:p>
        </w:tc>
      </w:tr>
      <w:tr w:rsidR="0002051F" w:rsidTr="00AA55AA" w14:paraId="6470AC4C"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2E45E3CB" w14:textId="77777777">
            <w:pPr>
              <w:spacing w:line="240" w:lineRule="auto"/>
              <w:rPr>
                <w:rFonts w:eastAsia="Times New Roman" w:cs="Calibri"/>
                <w:sz w:val="16"/>
                <w:szCs w:val="16"/>
              </w:rPr>
            </w:pPr>
            <w:r>
              <w:rPr>
                <w:rFonts w:eastAsia="Times New Roman" w:cs="Calibri"/>
                <w:sz w:val="16"/>
                <w:szCs w:val="16"/>
              </w:rPr>
              <w:t>Spanje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4A40AB80" w14:textId="77777777">
            <w:pPr>
              <w:spacing w:line="240" w:lineRule="auto"/>
              <w:jc w:val="right"/>
              <w:rPr>
                <w:rFonts w:eastAsia="Times New Roman" w:cs="Calibri"/>
                <w:sz w:val="16"/>
                <w:szCs w:val="16"/>
              </w:rPr>
            </w:pPr>
            <w:r w:rsidRPr="00C9140F">
              <w:rPr>
                <w:sz w:val="16"/>
                <w:szCs w:val="16"/>
              </w:rPr>
              <w:t>369</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2E0035A7" w14:textId="77777777">
            <w:pPr>
              <w:spacing w:line="240" w:lineRule="auto"/>
              <w:jc w:val="right"/>
              <w:rPr>
                <w:rFonts w:eastAsia="Times New Roman" w:cs="Calibri"/>
                <w:sz w:val="16"/>
                <w:szCs w:val="16"/>
              </w:rPr>
            </w:pPr>
            <w:r w:rsidRPr="00C9140F">
              <w:rPr>
                <w:sz w:val="16"/>
                <w:szCs w:val="16"/>
              </w:rPr>
              <w:t>283</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59170D93" w14:textId="77777777">
            <w:pPr>
              <w:spacing w:line="240" w:lineRule="auto"/>
              <w:jc w:val="right"/>
              <w:rPr>
                <w:rFonts w:eastAsia="Times New Roman" w:cs="Calibri"/>
                <w:sz w:val="16"/>
                <w:szCs w:val="16"/>
              </w:rPr>
            </w:pPr>
            <w:r w:rsidRPr="00401B63">
              <w:rPr>
                <w:sz w:val="16"/>
                <w:szCs w:val="16"/>
              </w:rPr>
              <w:t>652</w:t>
            </w:r>
          </w:p>
        </w:tc>
      </w:tr>
      <w:tr w:rsidR="0002051F" w:rsidTr="00AA55AA" w14:paraId="474C24BA"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518ECF07" w14:textId="77777777">
            <w:pPr>
              <w:spacing w:line="240" w:lineRule="auto"/>
              <w:rPr>
                <w:rFonts w:eastAsia="Times New Roman" w:cs="Calibri"/>
                <w:sz w:val="16"/>
                <w:szCs w:val="16"/>
              </w:rPr>
            </w:pPr>
            <w:r>
              <w:rPr>
                <w:rFonts w:eastAsia="Times New Roman" w:cs="Calibri"/>
                <w:sz w:val="16"/>
                <w:szCs w:val="16"/>
              </w:rPr>
              <w:t>Frankrijk</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EA91D33" w14:textId="77777777">
            <w:pPr>
              <w:spacing w:line="240" w:lineRule="auto"/>
              <w:jc w:val="right"/>
              <w:rPr>
                <w:rFonts w:eastAsia="Times New Roman" w:cs="Calibri"/>
                <w:sz w:val="16"/>
                <w:szCs w:val="16"/>
              </w:rPr>
            </w:pPr>
            <w:r w:rsidRPr="00C9140F">
              <w:rPr>
                <w:sz w:val="16"/>
                <w:szCs w:val="16"/>
              </w:rPr>
              <w:t>-681</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8D22FAD" w14:textId="77777777">
            <w:pPr>
              <w:spacing w:line="240" w:lineRule="auto"/>
              <w:jc w:val="right"/>
              <w:rPr>
                <w:rFonts w:eastAsia="Times New Roman" w:cs="Calibri"/>
                <w:sz w:val="16"/>
                <w:szCs w:val="16"/>
              </w:rPr>
            </w:pPr>
            <w:r w:rsidRPr="00C9140F">
              <w:rPr>
                <w:sz w:val="16"/>
                <w:szCs w:val="16"/>
              </w:rPr>
              <w:t>42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627BED51" w14:textId="77777777">
            <w:pPr>
              <w:spacing w:line="240" w:lineRule="auto"/>
              <w:jc w:val="right"/>
              <w:rPr>
                <w:rFonts w:eastAsia="Times New Roman" w:cs="Calibri"/>
                <w:sz w:val="16"/>
                <w:szCs w:val="16"/>
              </w:rPr>
            </w:pPr>
            <w:r w:rsidRPr="00401B63">
              <w:rPr>
                <w:sz w:val="16"/>
                <w:szCs w:val="16"/>
              </w:rPr>
              <w:t>-639</w:t>
            </w:r>
          </w:p>
        </w:tc>
      </w:tr>
      <w:tr w:rsidR="0002051F" w:rsidTr="00AA55AA" w14:paraId="3A76F2E7"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4F29C76A" w14:textId="77777777">
            <w:pPr>
              <w:spacing w:line="240" w:lineRule="auto"/>
              <w:rPr>
                <w:rFonts w:eastAsia="Times New Roman" w:cs="Calibri"/>
                <w:sz w:val="16"/>
                <w:szCs w:val="16"/>
              </w:rPr>
            </w:pPr>
            <w:r>
              <w:rPr>
                <w:rFonts w:eastAsia="Times New Roman" w:cs="Calibri"/>
                <w:sz w:val="16"/>
                <w:szCs w:val="16"/>
              </w:rPr>
              <w:t>Kroatië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0D4112A" w14:textId="77777777">
            <w:pPr>
              <w:spacing w:line="240" w:lineRule="auto"/>
              <w:jc w:val="right"/>
              <w:rPr>
                <w:rFonts w:eastAsia="Times New Roman" w:cs="Calibri"/>
                <w:sz w:val="16"/>
                <w:szCs w:val="16"/>
              </w:rPr>
            </w:pPr>
            <w:r w:rsidRPr="00C9140F">
              <w:rPr>
                <w:sz w:val="16"/>
                <w:szCs w:val="16"/>
              </w:rPr>
              <w:t>-6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32A34210" w14:textId="77777777">
            <w:pPr>
              <w:spacing w:line="240" w:lineRule="auto"/>
              <w:jc w:val="right"/>
              <w:rPr>
                <w:rFonts w:eastAsia="Times New Roman" w:cs="Calibri"/>
                <w:sz w:val="16"/>
                <w:szCs w:val="16"/>
              </w:rPr>
            </w:pPr>
            <w:r w:rsidRPr="00C9140F">
              <w:rPr>
                <w:sz w:val="16"/>
                <w:szCs w:val="16"/>
              </w:rPr>
              <w:t>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3C2A366E" w14:textId="77777777">
            <w:pPr>
              <w:spacing w:line="240" w:lineRule="auto"/>
              <w:jc w:val="right"/>
              <w:rPr>
                <w:rFonts w:eastAsia="Times New Roman" w:cs="Calibri"/>
                <w:sz w:val="16"/>
                <w:szCs w:val="16"/>
              </w:rPr>
            </w:pPr>
            <w:r w:rsidRPr="00401B63">
              <w:rPr>
                <w:sz w:val="16"/>
                <w:szCs w:val="16"/>
              </w:rPr>
              <w:t>-3</w:t>
            </w:r>
          </w:p>
        </w:tc>
      </w:tr>
      <w:tr w:rsidR="0002051F" w:rsidTr="00AA55AA" w14:paraId="3838FA1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005152B3" w14:textId="77777777">
            <w:pPr>
              <w:spacing w:line="240" w:lineRule="auto"/>
              <w:rPr>
                <w:rFonts w:eastAsia="Times New Roman" w:cs="Calibri"/>
                <w:sz w:val="16"/>
                <w:szCs w:val="16"/>
              </w:rPr>
            </w:pPr>
            <w:r>
              <w:rPr>
                <w:rFonts w:eastAsia="Times New Roman" w:cs="Calibri"/>
                <w:sz w:val="16"/>
                <w:szCs w:val="16"/>
              </w:rPr>
              <w:t>Italië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4ADE5B24" w14:textId="77777777">
            <w:pPr>
              <w:spacing w:line="240" w:lineRule="auto"/>
              <w:jc w:val="right"/>
              <w:rPr>
                <w:rFonts w:eastAsia="Times New Roman" w:cs="Calibri"/>
                <w:sz w:val="16"/>
                <w:szCs w:val="16"/>
              </w:rPr>
            </w:pPr>
            <w:r w:rsidRPr="00C9140F">
              <w:rPr>
                <w:sz w:val="16"/>
                <w:szCs w:val="16"/>
              </w:rPr>
              <w:t>324</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4F5B642C" w14:textId="77777777">
            <w:pPr>
              <w:spacing w:line="240" w:lineRule="auto"/>
              <w:jc w:val="right"/>
              <w:rPr>
                <w:rFonts w:eastAsia="Times New Roman" w:cs="Calibri"/>
                <w:sz w:val="16"/>
                <w:szCs w:val="16"/>
              </w:rPr>
            </w:pPr>
            <w:r w:rsidRPr="00C9140F">
              <w:rPr>
                <w:sz w:val="16"/>
                <w:szCs w:val="16"/>
              </w:rPr>
              <w:t>-62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001ECA06" w14:textId="77777777">
            <w:pPr>
              <w:spacing w:line="240" w:lineRule="auto"/>
              <w:jc w:val="right"/>
              <w:rPr>
                <w:rFonts w:eastAsia="Times New Roman" w:cs="Calibri"/>
                <w:sz w:val="16"/>
                <w:szCs w:val="16"/>
              </w:rPr>
            </w:pPr>
            <w:r w:rsidRPr="00401B63">
              <w:rPr>
                <w:sz w:val="16"/>
                <w:szCs w:val="16"/>
              </w:rPr>
              <w:t>263</w:t>
            </w:r>
          </w:p>
        </w:tc>
      </w:tr>
      <w:tr w:rsidR="0002051F" w:rsidTr="00AA55AA" w14:paraId="7FF4F994"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CDED06B" w14:textId="77777777">
            <w:pPr>
              <w:spacing w:line="240" w:lineRule="auto"/>
              <w:rPr>
                <w:rFonts w:eastAsia="Times New Roman" w:cs="Calibri"/>
                <w:sz w:val="16"/>
                <w:szCs w:val="16"/>
              </w:rPr>
            </w:pPr>
            <w:r>
              <w:rPr>
                <w:rFonts w:eastAsia="Times New Roman" w:cs="Calibri"/>
                <w:sz w:val="16"/>
                <w:szCs w:val="16"/>
              </w:rPr>
              <w:t>Cyprus</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0AEE8A77" w14:textId="77777777">
            <w:pPr>
              <w:spacing w:line="240" w:lineRule="auto"/>
              <w:jc w:val="right"/>
              <w:rPr>
                <w:rFonts w:eastAsia="Times New Roman" w:cs="Calibri"/>
                <w:sz w:val="16"/>
                <w:szCs w:val="16"/>
              </w:rPr>
            </w:pPr>
            <w:r w:rsidRPr="00C9140F">
              <w:rPr>
                <w:sz w:val="16"/>
                <w:szCs w:val="16"/>
              </w:rPr>
              <w:t>26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7C42B8CA" w14:textId="77777777">
            <w:pPr>
              <w:spacing w:line="240" w:lineRule="auto"/>
              <w:jc w:val="right"/>
              <w:rPr>
                <w:rFonts w:eastAsia="Times New Roman" w:cs="Calibri"/>
                <w:sz w:val="16"/>
                <w:szCs w:val="16"/>
              </w:rPr>
            </w:pPr>
            <w:r w:rsidRPr="00C9140F">
              <w:rPr>
                <w:sz w:val="16"/>
                <w:szCs w:val="16"/>
              </w:rPr>
              <w:t>4</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6B81B1D" w14:textId="77777777">
            <w:pPr>
              <w:spacing w:line="240" w:lineRule="auto"/>
              <w:jc w:val="right"/>
              <w:rPr>
                <w:rFonts w:eastAsia="Times New Roman" w:cs="Calibri"/>
                <w:sz w:val="16"/>
                <w:szCs w:val="16"/>
              </w:rPr>
            </w:pPr>
            <w:r w:rsidRPr="00401B63">
              <w:rPr>
                <w:sz w:val="16"/>
                <w:szCs w:val="16"/>
              </w:rPr>
              <w:t>30</w:t>
            </w:r>
          </w:p>
        </w:tc>
      </w:tr>
      <w:tr w:rsidR="0002051F" w:rsidTr="00AA55AA" w14:paraId="1AC496E9"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4179EFE" w14:textId="77777777">
            <w:pPr>
              <w:spacing w:line="240" w:lineRule="auto"/>
              <w:rPr>
                <w:rFonts w:eastAsia="Times New Roman" w:cs="Calibri"/>
                <w:sz w:val="16"/>
                <w:szCs w:val="16"/>
              </w:rPr>
            </w:pPr>
            <w:r>
              <w:rPr>
                <w:rFonts w:eastAsia="Times New Roman" w:cs="Calibri"/>
                <w:sz w:val="16"/>
                <w:szCs w:val="16"/>
              </w:rPr>
              <w:t>Letland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493B7CC5" w14:textId="77777777">
            <w:pPr>
              <w:spacing w:line="240" w:lineRule="auto"/>
              <w:jc w:val="right"/>
              <w:rPr>
                <w:rFonts w:eastAsia="Times New Roman" w:cs="Calibri"/>
                <w:sz w:val="16"/>
                <w:szCs w:val="16"/>
              </w:rPr>
            </w:pPr>
            <w:r w:rsidRPr="00C9140F">
              <w:rPr>
                <w:sz w:val="16"/>
                <w:szCs w:val="16"/>
              </w:rPr>
              <w:t>-91</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0A2E6D35" w14:textId="77777777">
            <w:pPr>
              <w:spacing w:line="240" w:lineRule="auto"/>
              <w:jc w:val="right"/>
              <w:rPr>
                <w:rFonts w:eastAsia="Times New Roman" w:cs="Calibri"/>
                <w:sz w:val="16"/>
                <w:szCs w:val="16"/>
              </w:rPr>
            </w:pPr>
            <w:r w:rsidRPr="00C9140F">
              <w:rPr>
                <w:sz w:val="16"/>
                <w:szCs w:val="16"/>
              </w:rPr>
              <w:t>-2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3220435A" w14:textId="77777777">
            <w:pPr>
              <w:spacing w:line="240" w:lineRule="auto"/>
              <w:jc w:val="right"/>
              <w:rPr>
                <w:rFonts w:eastAsia="Times New Roman" w:cs="Calibri"/>
                <w:sz w:val="16"/>
                <w:szCs w:val="16"/>
              </w:rPr>
            </w:pPr>
            <w:r w:rsidRPr="00401B63">
              <w:rPr>
                <w:sz w:val="16"/>
                <w:szCs w:val="16"/>
              </w:rPr>
              <w:t>-93</w:t>
            </w:r>
          </w:p>
        </w:tc>
      </w:tr>
      <w:tr w:rsidR="0002051F" w:rsidTr="00AA55AA" w14:paraId="6BCEC363"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02DE1980" w14:textId="77777777">
            <w:pPr>
              <w:spacing w:line="240" w:lineRule="auto"/>
              <w:rPr>
                <w:rFonts w:eastAsia="Times New Roman" w:cs="Calibri"/>
                <w:sz w:val="16"/>
                <w:szCs w:val="16"/>
              </w:rPr>
            </w:pPr>
            <w:r>
              <w:rPr>
                <w:rFonts w:eastAsia="Times New Roman" w:cs="Calibri"/>
                <w:sz w:val="16"/>
                <w:szCs w:val="16"/>
              </w:rPr>
              <w:t>Litouwen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D850776" w14:textId="77777777">
            <w:pPr>
              <w:spacing w:line="240" w:lineRule="auto"/>
              <w:jc w:val="right"/>
              <w:rPr>
                <w:rFonts w:eastAsia="Times New Roman" w:cs="Calibri"/>
                <w:sz w:val="16"/>
                <w:szCs w:val="16"/>
              </w:rPr>
            </w:pPr>
            <w:r w:rsidRPr="00C9140F">
              <w:rPr>
                <w:sz w:val="16"/>
                <w:szCs w:val="16"/>
              </w:rPr>
              <w:t>-37</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37C0A0C" w14:textId="77777777">
            <w:pPr>
              <w:spacing w:line="240" w:lineRule="auto"/>
              <w:jc w:val="right"/>
              <w:rPr>
                <w:rFonts w:eastAsia="Times New Roman" w:cs="Calibri"/>
                <w:sz w:val="16"/>
                <w:szCs w:val="16"/>
              </w:rPr>
            </w:pPr>
            <w:r w:rsidRPr="00C9140F">
              <w:rPr>
                <w:sz w:val="16"/>
                <w:szCs w:val="16"/>
              </w:rPr>
              <w:t>23</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189A201D" w14:textId="77777777">
            <w:pPr>
              <w:spacing w:line="240" w:lineRule="auto"/>
              <w:jc w:val="right"/>
              <w:rPr>
                <w:rFonts w:eastAsia="Times New Roman" w:cs="Calibri"/>
                <w:sz w:val="16"/>
                <w:szCs w:val="16"/>
              </w:rPr>
            </w:pPr>
            <w:r w:rsidRPr="00401B63">
              <w:rPr>
                <w:sz w:val="16"/>
                <w:szCs w:val="16"/>
              </w:rPr>
              <w:t>-14</w:t>
            </w:r>
          </w:p>
        </w:tc>
      </w:tr>
      <w:tr w:rsidR="0002051F" w:rsidTr="00AA55AA" w14:paraId="508DFCE3"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62A9869" w14:textId="77777777">
            <w:pPr>
              <w:spacing w:line="240" w:lineRule="auto"/>
              <w:rPr>
                <w:rFonts w:eastAsia="Times New Roman" w:cs="Calibri"/>
                <w:sz w:val="16"/>
                <w:szCs w:val="16"/>
              </w:rPr>
            </w:pPr>
            <w:r>
              <w:rPr>
                <w:rFonts w:eastAsia="Times New Roman" w:cs="Calibri"/>
                <w:sz w:val="16"/>
                <w:szCs w:val="16"/>
              </w:rPr>
              <w:t>Luxemburg</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5B25E044" w14:textId="77777777">
            <w:pPr>
              <w:spacing w:line="240" w:lineRule="auto"/>
              <w:jc w:val="right"/>
              <w:rPr>
                <w:rFonts w:eastAsia="Times New Roman" w:cs="Calibri"/>
                <w:sz w:val="16"/>
                <w:szCs w:val="16"/>
              </w:rPr>
            </w:pPr>
            <w:r w:rsidRPr="00C9140F">
              <w:rPr>
                <w:sz w:val="16"/>
                <w:szCs w:val="16"/>
              </w:rPr>
              <w:t>-56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57196EBD" w14:textId="77777777">
            <w:pPr>
              <w:spacing w:line="240" w:lineRule="auto"/>
              <w:jc w:val="right"/>
              <w:rPr>
                <w:rFonts w:eastAsia="Times New Roman" w:cs="Calibri"/>
                <w:sz w:val="16"/>
                <w:szCs w:val="16"/>
              </w:rPr>
            </w:pPr>
            <w:r w:rsidRPr="00C9140F">
              <w:rPr>
                <w:sz w:val="16"/>
                <w:szCs w:val="16"/>
              </w:rPr>
              <w:t>-4</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05BA20EE" w14:textId="77777777">
            <w:pPr>
              <w:spacing w:line="240" w:lineRule="auto"/>
              <w:jc w:val="right"/>
              <w:rPr>
                <w:rFonts w:eastAsia="Times New Roman" w:cs="Calibri"/>
                <w:sz w:val="16"/>
                <w:szCs w:val="16"/>
              </w:rPr>
            </w:pPr>
            <w:r w:rsidRPr="00401B63">
              <w:rPr>
                <w:sz w:val="16"/>
                <w:szCs w:val="16"/>
              </w:rPr>
              <w:t>-60</w:t>
            </w:r>
          </w:p>
        </w:tc>
      </w:tr>
      <w:tr w:rsidR="0002051F" w:rsidTr="00AA55AA" w14:paraId="391B0D6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22B73AB" w14:textId="77777777">
            <w:pPr>
              <w:spacing w:line="240" w:lineRule="auto"/>
              <w:rPr>
                <w:rFonts w:eastAsia="Times New Roman" w:cs="Calibri"/>
                <w:sz w:val="16"/>
                <w:szCs w:val="16"/>
              </w:rPr>
            </w:pPr>
            <w:r>
              <w:rPr>
                <w:rFonts w:eastAsia="Times New Roman" w:cs="Calibri"/>
                <w:sz w:val="16"/>
                <w:szCs w:val="16"/>
              </w:rPr>
              <w:t>Hongarije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080153D9" w14:textId="77777777">
            <w:pPr>
              <w:spacing w:line="240" w:lineRule="auto"/>
              <w:jc w:val="right"/>
              <w:rPr>
                <w:rFonts w:eastAsia="Times New Roman" w:cs="Calibri"/>
                <w:sz w:val="16"/>
                <w:szCs w:val="16"/>
              </w:rPr>
            </w:pPr>
            <w:r w:rsidRPr="00C9140F">
              <w:rPr>
                <w:sz w:val="16"/>
                <w:szCs w:val="16"/>
              </w:rPr>
              <w:t>-69</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35FA4E86" w14:textId="77777777">
            <w:pPr>
              <w:spacing w:line="240" w:lineRule="auto"/>
              <w:jc w:val="right"/>
              <w:rPr>
                <w:rFonts w:eastAsia="Times New Roman" w:cs="Calibri"/>
                <w:sz w:val="16"/>
                <w:szCs w:val="16"/>
              </w:rPr>
            </w:pPr>
            <w:r w:rsidRPr="00C9140F">
              <w:rPr>
                <w:sz w:val="16"/>
                <w:szCs w:val="16"/>
              </w:rPr>
              <w:t>10</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5EA34857" w14:textId="77777777">
            <w:pPr>
              <w:spacing w:line="240" w:lineRule="auto"/>
              <w:jc w:val="right"/>
              <w:rPr>
                <w:rFonts w:eastAsia="Times New Roman" w:cs="Calibri"/>
                <w:sz w:val="16"/>
                <w:szCs w:val="16"/>
              </w:rPr>
            </w:pPr>
            <w:r w:rsidRPr="00401B63">
              <w:rPr>
                <w:sz w:val="16"/>
                <w:szCs w:val="16"/>
              </w:rPr>
              <w:t>-59</w:t>
            </w:r>
          </w:p>
        </w:tc>
      </w:tr>
      <w:tr w:rsidR="0002051F" w:rsidTr="00AA55AA" w14:paraId="2BAC111D"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5DDDA2B9" w14:textId="77777777">
            <w:pPr>
              <w:spacing w:line="240" w:lineRule="auto"/>
              <w:rPr>
                <w:rFonts w:eastAsia="Times New Roman" w:cs="Calibri"/>
                <w:sz w:val="16"/>
                <w:szCs w:val="16"/>
              </w:rPr>
            </w:pPr>
            <w:r>
              <w:rPr>
                <w:rFonts w:eastAsia="Times New Roman" w:cs="Calibri"/>
                <w:sz w:val="16"/>
                <w:szCs w:val="16"/>
              </w:rPr>
              <w:t>Malta</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AB8748B" w14:textId="77777777">
            <w:pPr>
              <w:spacing w:line="240" w:lineRule="auto"/>
              <w:jc w:val="right"/>
              <w:rPr>
                <w:rFonts w:eastAsia="Times New Roman" w:cs="Calibri"/>
                <w:sz w:val="16"/>
                <w:szCs w:val="16"/>
              </w:rPr>
            </w:pPr>
            <w:r w:rsidRPr="00C9140F">
              <w:rPr>
                <w:sz w:val="16"/>
                <w:szCs w:val="16"/>
              </w:rPr>
              <w:t>25</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315BAA1A" w14:textId="77777777">
            <w:pPr>
              <w:spacing w:line="240" w:lineRule="auto"/>
              <w:jc w:val="right"/>
              <w:rPr>
                <w:rFonts w:eastAsia="Times New Roman" w:cs="Calibri"/>
                <w:sz w:val="16"/>
                <w:szCs w:val="16"/>
              </w:rPr>
            </w:pPr>
            <w:r w:rsidRPr="00C9140F">
              <w:rPr>
                <w:sz w:val="16"/>
                <w:szCs w:val="16"/>
              </w:rPr>
              <w:t>0</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499645D" w14:textId="77777777">
            <w:pPr>
              <w:spacing w:line="240" w:lineRule="auto"/>
              <w:jc w:val="right"/>
              <w:rPr>
                <w:rFonts w:eastAsia="Times New Roman" w:cs="Calibri"/>
                <w:sz w:val="16"/>
                <w:szCs w:val="16"/>
              </w:rPr>
            </w:pPr>
            <w:r w:rsidRPr="00401B63">
              <w:rPr>
                <w:sz w:val="16"/>
                <w:szCs w:val="16"/>
              </w:rPr>
              <w:t>24</w:t>
            </w:r>
          </w:p>
        </w:tc>
      </w:tr>
      <w:tr w:rsidR="0002051F" w:rsidTr="00AA55AA" w14:paraId="3CF1B520"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03194A66" w14:textId="77777777">
            <w:pPr>
              <w:spacing w:line="240" w:lineRule="auto"/>
              <w:rPr>
                <w:rFonts w:eastAsia="Times New Roman" w:cs="Calibri"/>
                <w:b/>
                <w:bCs/>
                <w:sz w:val="16"/>
                <w:szCs w:val="16"/>
              </w:rPr>
            </w:pPr>
            <w:r>
              <w:rPr>
                <w:rFonts w:eastAsia="Times New Roman" w:cs="Calibri"/>
                <w:b/>
                <w:bCs/>
                <w:sz w:val="16"/>
                <w:szCs w:val="16"/>
              </w:rPr>
              <w:t>Nederland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7C47DBC1" w14:textId="77777777">
            <w:pPr>
              <w:spacing w:line="240" w:lineRule="auto"/>
              <w:jc w:val="right"/>
              <w:rPr>
                <w:rFonts w:eastAsia="Times New Roman" w:cs="Calibri"/>
                <w:b/>
                <w:bCs/>
                <w:sz w:val="16"/>
                <w:szCs w:val="16"/>
              </w:rPr>
            </w:pPr>
            <w:r w:rsidRPr="00C9140F">
              <w:rPr>
                <w:sz w:val="16"/>
                <w:szCs w:val="16"/>
              </w:rPr>
              <w:t>674</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BC67DDD" w14:textId="77777777">
            <w:pPr>
              <w:spacing w:line="240" w:lineRule="auto"/>
              <w:jc w:val="right"/>
              <w:rPr>
                <w:rFonts w:eastAsia="Times New Roman" w:cs="Calibri"/>
                <w:b/>
                <w:bCs/>
                <w:sz w:val="16"/>
                <w:szCs w:val="16"/>
              </w:rPr>
            </w:pPr>
            <w:r w:rsidRPr="00C9140F">
              <w:rPr>
                <w:sz w:val="16"/>
                <w:szCs w:val="16"/>
              </w:rPr>
              <w:t>22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38D776B4" w14:textId="77777777">
            <w:pPr>
              <w:spacing w:line="240" w:lineRule="auto"/>
              <w:jc w:val="right"/>
              <w:rPr>
                <w:rFonts w:eastAsia="Times New Roman" w:cs="Calibri"/>
                <w:b/>
                <w:bCs/>
                <w:sz w:val="16"/>
                <w:szCs w:val="16"/>
              </w:rPr>
            </w:pPr>
            <w:r w:rsidRPr="00401B63">
              <w:rPr>
                <w:sz w:val="16"/>
                <w:szCs w:val="16"/>
              </w:rPr>
              <w:t>697</w:t>
            </w:r>
          </w:p>
        </w:tc>
      </w:tr>
      <w:tr w:rsidR="0002051F" w:rsidTr="00AA55AA" w14:paraId="6D23F3C2"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1FBE6F62" w14:textId="77777777">
            <w:pPr>
              <w:spacing w:line="240" w:lineRule="auto"/>
              <w:rPr>
                <w:rFonts w:eastAsia="Times New Roman" w:cs="Calibri"/>
                <w:sz w:val="16"/>
                <w:szCs w:val="16"/>
              </w:rPr>
            </w:pPr>
            <w:r>
              <w:rPr>
                <w:rFonts w:eastAsia="Times New Roman" w:cs="Calibri"/>
                <w:sz w:val="16"/>
                <w:szCs w:val="16"/>
              </w:rPr>
              <w:t>Oostenrijk</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7C3C583" w14:textId="77777777">
            <w:pPr>
              <w:spacing w:line="240" w:lineRule="auto"/>
              <w:jc w:val="right"/>
              <w:rPr>
                <w:rFonts w:eastAsia="Times New Roman" w:cs="Calibri"/>
                <w:sz w:val="16"/>
                <w:szCs w:val="16"/>
              </w:rPr>
            </w:pPr>
            <w:r w:rsidRPr="00C9140F">
              <w:rPr>
                <w:sz w:val="16"/>
                <w:szCs w:val="16"/>
              </w:rPr>
              <w:t>-174</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5C7D144C" w14:textId="77777777">
            <w:pPr>
              <w:spacing w:line="240" w:lineRule="auto"/>
              <w:jc w:val="right"/>
              <w:rPr>
                <w:rFonts w:eastAsia="Times New Roman" w:cs="Calibri"/>
                <w:sz w:val="16"/>
                <w:szCs w:val="16"/>
              </w:rPr>
            </w:pPr>
            <w:r w:rsidRPr="00C9140F">
              <w:rPr>
                <w:sz w:val="16"/>
                <w:szCs w:val="16"/>
              </w:rPr>
              <w:t>6</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45807C0E" w14:textId="77777777">
            <w:pPr>
              <w:spacing w:line="240" w:lineRule="auto"/>
              <w:jc w:val="right"/>
              <w:rPr>
                <w:rFonts w:eastAsia="Times New Roman" w:cs="Calibri"/>
                <w:sz w:val="16"/>
                <w:szCs w:val="16"/>
              </w:rPr>
            </w:pPr>
            <w:r w:rsidRPr="00401B63">
              <w:rPr>
                <w:sz w:val="16"/>
                <w:szCs w:val="16"/>
              </w:rPr>
              <w:t>-168</w:t>
            </w:r>
          </w:p>
        </w:tc>
      </w:tr>
      <w:tr w:rsidR="0002051F" w:rsidTr="00AA55AA" w14:paraId="28C2618F"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174B4F0B" w14:textId="77777777">
            <w:pPr>
              <w:spacing w:line="240" w:lineRule="auto"/>
              <w:rPr>
                <w:rFonts w:eastAsia="Times New Roman" w:cs="Calibri"/>
                <w:sz w:val="16"/>
                <w:szCs w:val="16"/>
              </w:rPr>
            </w:pPr>
            <w:r>
              <w:rPr>
                <w:rFonts w:eastAsia="Times New Roman" w:cs="Calibri"/>
                <w:sz w:val="16"/>
                <w:szCs w:val="16"/>
              </w:rPr>
              <w:t>Polen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3F240C53" w14:textId="77777777">
            <w:pPr>
              <w:spacing w:line="240" w:lineRule="auto"/>
              <w:jc w:val="right"/>
              <w:rPr>
                <w:rFonts w:eastAsia="Times New Roman" w:cs="Calibri"/>
                <w:sz w:val="16"/>
                <w:szCs w:val="16"/>
              </w:rPr>
            </w:pPr>
            <w:r w:rsidRPr="00C9140F">
              <w:rPr>
                <w:sz w:val="16"/>
                <w:szCs w:val="16"/>
              </w:rPr>
              <w:t>-285</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4F98FE3" w14:textId="77777777">
            <w:pPr>
              <w:spacing w:line="240" w:lineRule="auto"/>
              <w:jc w:val="right"/>
              <w:rPr>
                <w:rFonts w:eastAsia="Times New Roman" w:cs="Calibri"/>
                <w:sz w:val="16"/>
                <w:szCs w:val="16"/>
              </w:rPr>
            </w:pPr>
            <w:r w:rsidRPr="00C9140F">
              <w:rPr>
                <w:sz w:val="16"/>
                <w:szCs w:val="16"/>
              </w:rPr>
              <w:t>-190</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5511D918" w14:textId="77777777">
            <w:pPr>
              <w:spacing w:line="240" w:lineRule="auto"/>
              <w:jc w:val="right"/>
              <w:rPr>
                <w:rFonts w:eastAsia="Times New Roman" w:cs="Calibri"/>
                <w:sz w:val="16"/>
                <w:szCs w:val="16"/>
              </w:rPr>
            </w:pPr>
            <w:r w:rsidRPr="00401B63">
              <w:rPr>
                <w:sz w:val="16"/>
                <w:szCs w:val="16"/>
              </w:rPr>
              <w:t>-474</w:t>
            </w:r>
          </w:p>
        </w:tc>
      </w:tr>
      <w:tr w:rsidR="0002051F" w:rsidTr="00AA55AA" w14:paraId="5A96C8CC"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44257DBF" w14:textId="77777777">
            <w:pPr>
              <w:spacing w:line="240" w:lineRule="auto"/>
              <w:rPr>
                <w:rFonts w:eastAsia="Times New Roman" w:cs="Calibri"/>
                <w:sz w:val="16"/>
                <w:szCs w:val="16"/>
              </w:rPr>
            </w:pPr>
            <w:r>
              <w:rPr>
                <w:rFonts w:eastAsia="Times New Roman" w:cs="Calibri"/>
                <w:sz w:val="16"/>
                <w:szCs w:val="16"/>
              </w:rPr>
              <w:t>Portugal</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D55D735" w14:textId="77777777">
            <w:pPr>
              <w:spacing w:line="240" w:lineRule="auto"/>
              <w:jc w:val="right"/>
              <w:rPr>
                <w:rFonts w:eastAsia="Times New Roman" w:cs="Calibri"/>
                <w:sz w:val="16"/>
                <w:szCs w:val="16"/>
              </w:rPr>
            </w:pPr>
            <w:r w:rsidRPr="00C9140F">
              <w:rPr>
                <w:sz w:val="16"/>
                <w:szCs w:val="16"/>
              </w:rPr>
              <w:t>-11</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12E0FC2" w14:textId="77777777">
            <w:pPr>
              <w:spacing w:line="240" w:lineRule="auto"/>
              <w:jc w:val="right"/>
              <w:rPr>
                <w:rFonts w:eastAsia="Times New Roman" w:cs="Calibri"/>
                <w:sz w:val="16"/>
                <w:szCs w:val="16"/>
              </w:rPr>
            </w:pPr>
            <w:r w:rsidRPr="00C9140F">
              <w:rPr>
                <w:sz w:val="16"/>
                <w:szCs w:val="16"/>
              </w:rPr>
              <w:t>17</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F1F3090" w14:textId="77777777">
            <w:pPr>
              <w:spacing w:line="240" w:lineRule="auto"/>
              <w:jc w:val="right"/>
              <w:rPr>
                <w:rFonts w:eastAsia="Times New Roman" w:cs="Calibri"/>
                <w:sz w:val="16"/>
                <w:szCs w:val="16"/>
              </w:rPr>
            </w:pPr>
            <w:r w:rsidRPr="00401B63">
              <w:rPr>
                <w:sz w:val="16"/>
                <w:szCs w:val="16"/>
              </w:rPr>
              <w:t>6</w:t>
            </w:r>
          </w:p>
        </w:tc>
      </w:tr>
      <w:tr w:rsidR="0002051F" w:rsidTr="00AA55AA" w14:paraId="51D5C6C6"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65A214B2" w14:textId="77777777">
            <w:pPr>
              <w:spacing w:line="240" w:lineRule="auto"/>
              <w:rPr>
                <w:rFonts w:eastAsia="Times New Roman" w:cs="Calibri"/>
                <w:sz w:val="16"/>
                <w:szCs w:val="16"/>
              </w:rPr>
            </w:pPr>
            <w:r>
              <w:rPr>
                <w:rFonts w:eastAsia="Times New Roman" w:cs="Calibri"/>
                <w:sz w:val="16"/>
                <w:szCs w:val="16"/>
              </w:rPr>
              <w:t>Roemenië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600E1A9" w14:textId="77777777">
            <w:pPr>
              <w:spacing w:line="240" w:lineRule="auto"/>
              <w:jc w:val="right"/>
              <w:rPr>
                <w:rFonts w:eastAsia="Times New Roman" w:cs="Calibri"/>
                <w:sz w:val="16"/>
                <w:szCs w:val="16"/>
              </w:rPr>
            </w:pPr>
            <w:r w:rsidRPr="00C9140F">
              <w:rPr>
                <w:sz w:val="16"/>
                <w:szCs w:val="16"/>
              </w:rPr>
              <w:t>-106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3ADDC093" w14:textId="77777777">
            <w:pPr>
              <w:spacing w:line="240" w:lineRule="auto"/>
              <w:jc w:val="right"/>
              <w:rPr>
                <w:rFonts w:eastAsia="Times New Roman" w:cs="Calibri"/>
                <w:sz w:val="16"/>
                <w:szCs w:val="16"/>
              </w:rPr>
            </w:pPr>
            <w:r w:rsidRPr="00C9140F">
              <w:rPr>
                <w:sz w:val="16"/>
                <w:szCs w:val="16"/>
              </w:rPr>
              <w:t>7</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6831995F" w14:textId="77777777">
            <w:pPr>
              <w:spacing w:line="240" w:lineRule="auto"/>
              <w:jc w:val="right"/>
              <w:rPr>
                <w:rFonts w:eastAsia="Times New Roman" w:cs="Calibri"/>
                <w:sz w:val="16"/>
                <w:szCs w:val="16"/>
              </w:rPr>
            </w:pPr>
            <w:r w:rsidRPr="00401B63">
              <w:rPr>
                <w:sz w:val="16"/>
                <w:szCs w:val="16"/>
              </w:rPr>
              <w:t>-99</w:t>
            </w:r>
          </w:p>
        </w:tc>
      </w:tr>
      <w:tr w:rsidR="0002051F" w:rsidTr="00AA55AA" w14:paraId="5D615715"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11377E09" w14:textId="77777777">
            <w:pPr>
              <w:spacing w:line="240" w:lineRule="auto"/>
              <w:rPr>
                <w:rFonts w:eastAsia="Times New Roman" w:cs="Calibri"/>
                <w:sz w:val="16"/>
                <w:szCs w:val="16"/>
              </w:rPr>
            </w:pPr>
            <w:r>
              <w:rPr>
                <w:rFonts w:eastAsia="Times New Roman" w:cs="Calibri"/>
                <w:sz w:val="16"/>
                <w:szCs w:val="16"/>
              </w:rPr>
              <w:t>Slovenië</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18EAEC86" w14:textId="77777777">
            <w:pPr>
              <w:spacing w:line="240" w:lineRule="auto"/>
              <w:jc w:val="right"/>
              <w:rPr>
                <w:rFonts w:eastAsia="Times New Roman" w:cs="Calibri"/>
                <w:sz w:val="16"/>
                <w:szCs w:val="16"/>
              </w:rPr>
            </w:pPr>
            <w:r w:rsidRPr="00C9140F">
              <w:rPr>
                <w:sz w:val="16"/>
                <w:szCs w:val="16"/>
              </w:rPr>
              <w:t>-26</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07808E93" w14:textId="77777777">
            <w:pPr>
              <w:spacing w:line="240" w:lineRule="auto"/>
              <w:jc w:val="right"/>
              <w:rPr>
                <w:rFonts w:eastAsia="Times New Roman" w:cs="Calibri"/>
                <w:sz w:val="16"/>
                <w:szCs w:val="16"/>
              </w:rPr>
            </w:pPr>
            <w:r w:rsidRPr="00C9140F">
              <w:rPr>
                <w:sz w:val="16"/>
                <w:szCs w:val="16"/>
              </w:rPr>
              <w:t>-2</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69EA5239" w14:textId="77777777">
            <w:pPr>
              <w:spacing w:line="240" w:lineRule="auto"/>
              <w:jc w:val="right"/>
              <w:rPr>
                <w:rFonts w:eastAsia="Times New Roman" w:cs="Calibri"/>
                <w:sz w:val="16"/>
                <w:szCs w:val="16"/>
              </w:rPr>
            </w:pPr>
            <w:r w:rsidRPr="00401B63">
              <w:rPr>
                <w:sz w:val="16"/>
                <w:szCs w:val="16"/>
              </w:rPr>
              <w:t>-28</w:t>
            </w:r>
          </w:p>
        </w:tc>
      </w:tr>
      <w:tr w:rsidR="0002051F" w:rsidTr="00AA55AA" w14:paraId="3A5314EE" w14:textId="77777777">
        <w:trPr>
          <w:trHeight w:val="246"/>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7A569C90" w14:textId="77777777">
            <w:pPr>
              <w:spacing w:line="240" w:lineRule="auto"/>
              <w:rPr>
                <w:rFonts w:eastAsia="Times New Roman" w:cs="Calibri"/>
                <w:sz w:val="16"/>
                <w:szCs w:val="16"/>
              </w:rPr>
            </w:pPr>
            <w:r>
              <w:rPr>
                <w:rFonts w:eastAsia="Times New Roman" w:cs="Calibri"/>
                <w:sz w:val="16"/>
                <w:szCs w:val="16"/>
              </w:rPr>
              <w:t>Slowakije</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7C13BA4" w14:textId="77777777">
            <w:pPr>
              <w:spacing w:line="240" w:lineRule="auto"/>
              <w:jc w:val="right"/>
              <w:rPr>
                <w:rFonts w:eastAsia="Times New Roman" w:cs="Calibri"/>
                <w:sz w:val="16"/>
                <w:szCs w:val="16"/>
              </w:rPr>
            </w:pPr>
            <w:r w:rsidRPr="00C9140F">
              <w:rPr>
                <w:sz w:val="16"/>
                <w:szCs w:val="16"/>
              </w:rPr>
              <w:t>-29</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7B1A022D" w14:textId="77777777">
            <w:pPr>
              <w:spacing w:line="240" w:lineRule="auto"/>
              <w:jc w:val="right"/>
              <w:rPr>
                <w:rFonts w:eastAsia="Times New Roman" w:cs="Calibri"/>
                <w:sz w:val="16"/>
                <w:szCs w:val="16"/>
              </w:rPr>
            </w:pPr>
            <w:r w:rsidRPr="00C9140F">
              <w:rPr>
                <w:sz w:val="16"/>
                <w:szCs w:val="16"/>
              </w:rPr>
              <w:t>-9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2FD2855D" w14:textId="77777777">
            <w:pPr>
              <w:spacing w:line="240" w:lineRule="auto"/>
              <w:jc w:val="right"/>
              <w:rPr>
                <w:rFonts w:eastAsia="Times New Roman" w:cs="Calibri"/>
                <w:sz w:val="16"/>
                <w:szCs w:val="16"/>
              </w:rPr>
            </w:pPr>
            <w:r w:rsidRPr="00401B63">
              <w:rPr>
                <w:sz w:val="16"/>
                <w:szCs w:val="16"/>
              </w:rPr>
              <w:t>-39</w:t>
            </w:r>
          </w:p>
        </w:tc>
      </w:tr>
      <w:tr w:rsidR="0002051F" w:rsidTr="00AA55AA" w14:paraId="1E3D3E3E" w14:textId="77777777">
        <w:trPr>
          <w:trHeight w:val="118"/>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2056C7A1" w14:textId="77777777">
            <w:pPr>
              <w:spacing w:line="240" w:lineRule="auto"/>
              <w:rPr>
                <w:rFonts w:eastAsia="Times New Roman" w:cs="Calibri"/>
                <w:sz w:val="16"/>
                <w:szCs w:val="16"/>
              </w:rPr>
            </w:pPr>
            <w:r>
              <w:rPr>
                <w:rFonts w:eastAsia="Times New Roman" w:cs="Calibri"/>
                <w:sz w:val="16"/>
                <w:szCs w:val="16"/>
              </w:rPr>
              <w:t>Finland</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3C3524CF" w14:textId="77777777">
            <w:pPr>
              <w:spacing w:line="240" w:lineRule="auto"/>
              <w:jc w:val="right"/>
              <w:rPr>
                <w:rFonts w:eastAsia="Times New Roman" w:cs="Calibri"/>
                <w:sz w:val="16"/>
                <w:szCs w:val="16"/>
              </w:rPr>
            </w:pPr>
            <w:r w:rsidRPr="00C9140F">
              <w:rPr>
                <w:sz w:val="16"/>
                <w:szCs w:val="16"/>
              </w:rPr>
              <w:t>-92</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5DD1F150" w14:textId="77777777">
            <w:pPr>
              <w:spacing w:line="240" w:lineRule="auto"/>
              <w:jc w:val="right"/>
              <w:rPr>
                <w:rFonts w:eastAsia="Times New Roman" w:cs="Calibri"/>
                <w:sz w:val="16"/>
                <w:szCs w:val="16"/>
              </w:rPr>
            </w:pPr>
            <w:r w:rsidRPr="00C9140F">
              <w:rPr>
                <w:sz w:val="16"/>
                <w:szCs w:val="16"/>
              </w:rPr>
              <w:t>19</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5A237B47" w14:textId="77777777">
            <w:pPr>
              <w:spacing w:line="240" w:lineRule="auto"/>
              <w:jc w:val="right"/>
              <w:rPr>
                <w:rFonts w:eastAsia="Times New Roman" w:cs="Calibri"/>
                <w:sz w:val="16"/>
                <w:szCs w:val="16"/>
              </w:rPr>
            </w:pPr>
            <w:r w:rsidRPr="00401B63">
              <w:rPr>
                <w:sz w:val="16"/>
                <w:szCs w:val="16"/>
              </w:rPr>
              <w:t>-73</w:t>
            </w:r>
          </w:p>
        </w:tc>
      </w:tr>
      <w:tr w:rsidR="0002051F" w:rsidTr="00AA55AA" w14:paraId="36C389DE" w14:textId="77777777">
        <w:trPr>
          <w:trHeight w:val="65"/>
        </w:trPr>
        <w:tc>
          <w:tcPr>
            <w:tcW w:w="1418" w:type="dxa"/>
            <w:tcBorders>
              <w:top w:val="single" w:color="E8E8E8" w:themeColor="background2" w:sz="2" w:space="0"/>
              <w:left w:val="nil"/>
              <w:bottom w:val="single" w:color="E8E8E8" w:themeColor="background2" w:sz="2" w:space="0"/>
              <w:right w:val="single" w:color="E8E8E8" w:themeColor="background2" w:sz="2" w:space="0"/>
            </w:tcBorders>
            <w:noWrap/>
            <w:vAlign w:val="center"/>
            <w:hideMark/>
          </w:tcPr>
          <w:p w:rsidR="0002051F" w:rsidP="00AA55AA" w:rsidRDefault="0002051F" w14:paraId="2E899622" w14:textId="77777777">
            <w:pPr>
              <w:spacing w:line="240" w:lineRule="auto"/>
              <w:rPr>
                <w:rFonts w:eastAsia="Times New Roman" w:cs="Calibri"/>
                <w:sz w:val="16"/>
                <w:szCs w:val="16"/>
              </w:rPr>
            </w:pPr>
            <w:r>
              <w:rPr>
                <w:rFonts w:eastAsia="Times New Roman" w:cs="Calibri"/>
                <w:sz w:val="16"/>
                <w:szCs w:val="16"/>
              </w:rPr>
              <w:t>Zweden</w:t>
            </w:r>
          </w:p>
        </w:tc>
        <w:tc>
          <w:tcPr>
            <w:tcW w:w="883"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6F51665F" w14:textId="77777777">
            <w:pPr>
              <w:spacing w:line="240" w:lineRule="auto"/>
              <w:jc w:val="right"/>
              <w:rPr>
                <w:rFonts w:eastAsia="Times New Roman" w:cs="Calibri"/>
                <w:sz w:val="16"/>
                <w:szCs w:val="16"/>
              </w:rPr>
            </w:pPr>
            <w:r w:rsidRPr="00C9140F">
              <w:rPr>
                <w:sz w:val="16"/>
                <w:szCs w:val="16"/>
              </w:rPr>
              <w:t>-382</w:t>
            </w:r>
          </w:p>
        </w:tc>
        <w:tc>
          <w:tcPr>
            <w:tcW w:w="1099" w:type="dxa"/>
            <w:tcBorders>
              <w:top w:val="single" w:color="E8E8E8" w:themeColor="background2" w:sz="2" w:space="0"/>
              <w:left w:val="single" w:color="E8E8E8" w:themeColor="background2" w:sz="2" w:space="0"/>
              <w:bottom w:val="single" w:color="E8E8E8" w:themeColor="background2" w:sz="2" w:space="0"/>
              <w:right w:val="single" w:color="E8E8E8" w:themeColor="background2" w:sz="2" w:space="0"/>
            </w:tcBorders>
            <w:noWrap/>
            <w:hideMark/>
          </w:tcPr>
          <w:p w:rsidRPr="00C9140F" w:rsidR="0002051F" w:rsidP="00AA55AA" w:rsidRDefault="0002051F" w14:paraId="20D14A6B" w14:textId="77777777">
            <w:pPr>
              <w:spacing w:line="240" w:lineRule="auto"/>
              <w:jc w:val="right"/>
              <w:rPr>
                <w:rFonts w:eastAsia="Times New Roman" w:cs="Calibri"/>
                <w:sz w:val="16"/>
                <w:szCs w:val="16"/>
              </w:rPr>
            </w:pPr>
            <w:r w:rsidRPr="00C9140F">
              <w:rPr>
                <w:sz w:val="16"/>
                <w:szCs w:val="16"/>
              </w:rPr>
              <w:t>71</w:t>
            </w:r>
          </w:p>
        </w:tc>
        <w:tc>
          <w:tcPr>
            <w:tcW w:w="1115" w:type="dxa"/>
            <w:tcBorders>
              <w:top w:val="single" w:color="E8E8E8" w:themeColor="background2" w:sz="2" w:space="0"/>
              <w:left w:val="single" w:color="E8E8E8" w:themeColor="background2" w:sz="2" w:space="0"/>
              <w:bottom w:val="single" w:color="E8E8E8" w:themeColor="background2" w:sz="2" w:space="0"/>
              <w:right w:val="nil"/>
            </w:tcBorders>
            <w:noWrap/>
            <w:hideMark/>
          </w:tcPr>
          <w:p w:rsidRPr="00401B63" w:rsidR="0002051F" w:rsidP="00AA55AA" w:rsidRDefault="0002051F" w14:paraId="1820A0BF" w14:textId="77777777">
            <w:pPr>
              <w:spacing w:line="240" w:lineRule="auto"/>
              <w:jc w:val="right"/>
              <w:rPr>
                <w:rFonts w:eastAsia="Times New Roman" w:cs="Calibri"/>
                <w:sz w:val="16"/>
                <w:szCs w:val="16"/>
              </w:rPr>
            </w:pPr>
            <w:r w:rsidRPr="00401B63">
              <w:rPr>
                <w:sz w:val="16"/>
                <w:szCs w:val="16"/>
              </w:rPr>
              <w:t>-311</w:t>
            </w:r>
          </w:p>
        </w:tc>
      </w:tr>
      <w:tr w:rsidR="0002051F" w:rsidTr="00AA55AA" w14:paraId="1A7FD3E2" w14:textId="77777777">
        <w:trPr>
          <w:trHeight w:val="65"/>
        </w:trPr>
        <w:tc>
          <w:tcPr>
            <w:tcW w:w="1418" w:type="dxa"/>
            <w:tcBorders>
              <w:top w:val="single" w:color="E8E8E8" w:themeColor="background2" w:sz="2" w:space="0"/>
              <w:left w:val="nil"/>
              <w:bottom w:val="nil"/>
              <w:right w:val="single" w:color="E8E8E8" w:themeColor="background2" w:sz="2" w:space="0"/>
            </w:tcBorders>
            <w:noWrap/>
            <w:vAlign w:val="center"/>
            <w:hideMark/>
          </w:tcPr>
          <w:p w:rsidR="0002051F" w:rsidP="00AA55AA" w:rsidRDefault="0002051F" w14:paraId="068CD242" w14:textId="77777777">
            <w:pPr>
              <w:spacing w:line="240" w:lineRule="auto"/>
              <w:rPr>
                <w:rFonts w:eastAsia="Times New Roman" w:cs="Calibri"/>
                <w:b/>
                <w:bCs/>
                <w:sz w:val="16"/>
                <w:szCs w:val="16"/>
              </w:rPr>
            </w:pPr>
            <w:r>
              <w:rPr>
                <w:rFonts w:eastAsia="Times New Roman" w:cs="Calibri"/>
                <w:b/>
                <w:bCs/>
                <w:sz w:val="16"/>
                <w:szCs w:val="16"/>
              </w:rPr>
              <w:t>Totaal</w:t>
            </w:r>
          </w:p>
        </w:tc>
        <w:tc>
          <w:tcPr>
            <w:tcW w:w="883" w:type="dxa"/>
            <w:tcBorders>
              <w:top w:val="single" w:color="E8E8E8" w:themeColor="background2" w:sz="2" w:space="0"/>
              <w:left w:val="single" w:color="E8E8E8" w:themeColor="background2" w:sz="2" w:space="0"/>
              <w:bottom w:val="nil"/>
              <w:right w:val="single" w:color="E8E8E8" w:themeColor="background2" w:sz="2" w:space="0"/>
            </w:tcBorders>
            <w:noWrap/>
            <w:vAlign w:val="center"/>
            <w:hideMark/>
          </w:tcPr>
          <w:p w:rsidRPr="00C9140F" w:rsidR="0002051F" w:rsidP="00AA55AA" w:rsidRDefault="0002051F" w14:paraId="636AE1D3" w14:textId="77777777">
            <w:pPr>
              <w:spacing w:line="240" w:lineRule="auto"/>
              <w:jc w:val="right"/>
              <w:rPr>
                <w:rFonts w:eastAsia="Times New Roman" w:cs="Calibri"/>
                <w:b/>
                <w:bCs/>
                <w:sz w:val="16"/>
                <w:szCs w:val="16"/>
              </w:rPr>
            </w:pPr>
            <w:r w:rsidRPr="00C9140F">
              <w:rPr>
                <w:rFonts w:eastAsia="Times New Roman" w:cs="Calibri"/>
                <w:b/>
                <w:bCs/>
                <w:sz w:val="16"/>
                <w:szCs w:val="16"/>
              </w:rPr>
              <w:t>0</w:t>
            </w:r>
          </w:p>
        </w:tc>
        <w:tc>
          <w:tcPr>
            <w:tcW w:w="1099" w:type="dxa"/>
            <w:tcBorders>
              <w:top w:val="single" w:color="E8E8E8" w:themeColor="background2" w:sz="2" w:space="0"/>
              <w:left w:val="single" w:color="E8E8E8" w:themeColor="background2" w:sz="2" w:space="0"/>
              <w:bottom w:val="nil"/>
              <w:right w:val="single" w:color="E8E8E8" w:themeColor="background2" w:sz="2" w:space="0"/>
            </w:tcBorders>
            <w:noWrap/>
            <w:vAlign w:val="center"/>
            <w:hideMark/>
          </w:tcPr>
          <w:p w:rsidR="0002051F" w:rsidP="00AA55AA" w:rsidRDefault="0002051F" w14:paraId="1666502B" w14:textId="77777777">
            <w:pPr>
              <w:spacing w:line="240" w:lineRule="auto"/>
              <w:jc w:val="right"/>
              <w:rPr>
                <w:rFonts w:eastAsia="Times New Roman" w:cs="Calibri"/>
                <w:b/>
                <w:bCs/>
                <w:sz w:val="16"/>
                <w:szCs w:val="16"/>
              </w:rPr>
            </w:pPr>
            <w:r>
              <w:rPr>
                <w:rFonts w:eastAsia="Times New Roman" w:cs="Calibri"/>
                <w:b/>
                <w:bCs/>
                <w:sz w:val="16"/>
                <w:szCs w:val="16"/>
              </w:rPr>
              <w:t>0</w:t>
            </w:r>
          </w:p>
        </w:tc>
        <w:tc>
          <w:tcPr>
            <w:tcW w:w="1115" w:type="dxa"/>
            <w:tcBorders>
              <w:top w:val="single" w:color="E8E8E8" w:themeColor="background2" w:sz="2" w:space="0"/>
              <w:left w:val="single" w:color="E8E8E8" w:themeColor="background2" w:sz="2" w:space="0"/>
              <w:bottom w:val="nil"/>
              <w:right w:val="nil"/>
            </w:tcBorders>
            <w:noWrap/>
            <w:vAlign w:val="center"/>
            <w:hideMark/>
          </w:tcPr>
          <w:p w:rsidR="0002051F" w:rsidP="00AA55AA" w:rsidRDefault="0002051F" w14:paraId="6E1E4667" w14:textId="77777777">
            <w:pPr>
              <w:spacing w:line="240" w:lineRule="auto"/>
              <w:jc w:val="right"/>
              <w:rPr>
                <w:rFonts w:eastAsia="Times New Roman" w:cs="Calibri"/>
                <w:b/>
                <w:bCs/>
                <w:sz w:val="16"/>
                <w:szCs w:val="16"/>
              </w:rPr>
            </w:pPr>
            <w:r>
              <w:rPr>
                <w:rFonts w:eastAsia="Times New Roman" w:cs="Calibri"/>
                <w:b/>
                <w:bCs/>
                <w:sz w:val="16"/>
                <w:szCs w:val="16"/>
              </w:rPr>
              <w:t>0</w:t>
            </w:r>
          </w:p>
        </w:tc>
      </w:tr>
    </w:tbl>
    <w:p w:rsidR="0002051F" w:rsidP="0002051F" w:rsidRDefault="0002051F" w14:paraId="34F03F52" w14:textId="77777777">
      <w:pPr>
        <w:spacing w:line="276" w:lineRule="auto"/>
        <w:rPr>
          <w:color w:val="auto"/>
        </w:rPr>
      </w:pPr>
    </w:p>
    <w:p w:rsidR="0002051F" w:rsidP="0002051F" w:rsidRDefault="0002051F" w14:paraId="7FBA0BCB" w14:textId="77777777">
      <w:pPr>
        <w:spacing w:line="276" w:lineRule="auto"/>
        <w:rPr>
          <w:color w:val="auto"/>
        </w:rPr>
      </w:pPr>
      <w:r>
        <w:rPr>
          <w:color w:val="auto"/>
        </w:rPr>
        <w:t>Tabel 2 geeft een overzicht van de netto nacalculaties over de Nederlandse afdrachten aan de EU sinds 2014. De omvang van de nacalculatie 2014 werd grotendeels verklaard door de bronnenrevisie die het CBS uitvoerde; de omvang van de nacalculatie 2015 werd grotendeels verklaard door het gezamenlijke onderzoek van het CBS en De Nederlandsche Bank om de nationale rekeningen en de betalingsbalans beter op elkaar te laten aansluiten. De nacalculatie van 2018 was wederom gekoppeld aan een bronnenrevisie door het CBS. De grote meevaller</w:t>
      </w:r>
      <w:r w:rsidR="00FC7C22">
        <w:rPr>
          <w:color w:val="auto"/>
        </w:rPr>
        <w:t xml:space="preserve"> </w:t>
      </w:r>
      <w:bookmarkStart w:name="_Hlk189822570" w:id="16"/>
      <w:r w:rsidR="00FC7C22">
        <w:rPr>
          <w:color w:val="auto"/>
        </w:rPr>
        <w:t>van 556 miljoen euro</w:t>
      </w:r>
      <w:bookmarkEnd w:id="16"/>
      <w:r>
        <w:rPr>
          <w:color w:val="auto"/>
        </w:rPr>
        <w:t xml:space="preserve"> in 2022 was het gevolg van het vervallen van enkele voorbehouden van </w:t>
      </w:r>
      <w:proofErr w:type="spellStart"/>
      <w:r>
        <w:rPr>
          <w:color w:val="auto"/>
        </w:rPr>
        <w:t>Eurostat</w:t>
      </w:r>
      <w:proofErr w:type="spellEnd"/>
      <w:r>
        <w:rPr>
          <w:color w:val="auto"/>
        </w:rPr>
        <w:t xml:space="preserve"> bij het Nederlandse </w:t>
      </w:r>
      <w:proofErr w:type="spellStart"/>
      <w:r>
        <w:rPr>
          <w:color w:val="auto"/>
        </w:rPr>
        <w:t>bni</w:t>
      </w:r>
      <w:proofErr w:type="spellEnd"/>
      <w:r>
        <w:rPr>
          <w:color w:val="auto"/>
        </w:rPr>
        <w:t xml:space="preserve"> tussen 2010 en 2020. Hierdoor nam het binnenlandse inkomen (onderdeel van het </w:t>
      </w:r>
      <w:proofErr w:type="spellStart"/>
      <w:r>
        <w:rPr>
          <w:color w:val="auto"/>
        </w:rPr>
        <w:t>bni</w:t>
      </w:r>
      <w:proofErr w:type="spellEnd"/>
      <w:r>
        <w:rPr>
          <w:color w:val="auto"/>
        </w:rPr>
        <w:t xml:space="preserve">) af en dit leidde tot een neerwaartse bijstelling. In 2023 was de nacalculatie het gevolg van </w:t>
      </w:r>
      <w:r w:rsidRPr="00040442">
        <w:rPr>
          <w:color w:val="auto"/>
        </w:rPr>
        <w:t>hogere winsten van een aantal beursgenoteerde houdstermaatschappijen in 2021 en ramingen uit de coronaperiode die achteraf hoger uit bleken te vallen</w:t>
      </w:r>
      <w:r>
        <w:rPr>
          <w:color w:val="auto"/>
        </w:rPr>
        <w:t xml:space="preserve">. </w:t>
      </w:r>
    </w:p>
    <w:p w:rsidR="00C06E42" w:rsidRDefault="00C06E42" w14:paraId="1F63773D" w14:textId="77777777">
      <w:pPr>
        <w:spacing w:line="240" w:lineRule="auto"/>
        <w:rPr>
          <w:color w:val="auto"/>
          <w:sz w:val="16"/>
          <w:szCs w:val="16"/>
        </w:rPr>
      </w:pPr>
      <w:r>
        <w:rPr>
          <w:color w:val="auto"/>
          <w:sz w:val="16"/>
          <w:szCs w:val="16"/>
        </w:rPr>
        <w:br w:type="page"/>
      </w:r>
    </w:p>
    <w:p w:rsidR="0002051F" w:rsidP="0002051F" w:rsidRDefault="0002051F" w14:paraId="45E228D1" w14:textId="77777777">
      <w:pPr>
        <w:spacing w:line="276" w:lineRule="auto"/>
        <w:rPr>
          <w:color w:val="auto"/>
          <w:sz w:val="16"/>
          <w:szCs w:val="16"/>
        </w:rPr>
      </w:pPr>
    </w:p>
    <w:tbl>
      <w:tblPr>
        <w:tblW w:w="7761" w:type="dxa"/>
        <w:tblCellMar>
          <w:left w:w="70" w:type="dxa"/>
          <w:right w:w="70" w:type="dxa"/>
        </w:tblCellMar>
        <w:tblLook w:val="04A0" w:firstRow="1" w:lastRow="0" w:firstColumn="1" w:lastColumn="0" w:noHBand="0" w:noVBand="1"/>
      </w:tblPr>
      <w:tblGrid>
        <w:gridCol w:w="1088"/>
        <w:gridCol w:w="595"/>
        <w:gridCol w:w="595"/>
        <w:gridCol w:w="595"/>
        <w:gridCol w:w="595"/>
        <w:gridCol w:w="595"/>
        <w:gridCol w:w="595"/>
        <w:gridCol w:w="595"/>
        <w:gridCol w:w="595"/>
        <w:gridCol w:w="595"/>
        <w:gridCol w:w="723"/>
        <w:gridCol w:w="595"/>
      </w:tblGrid>
      <w:tr w:rsidR="0002051F" w:rsidTr="00AA55AA" w14:paraId="341EF57E" w14:textId="77777777">
        <w:trPr>
          <w:trHeight w:val="268"/>
        </w:trPr>
        <w:tc>
          <w:tcPr>
            <w:tcW w:w="7761" w:type="dxa"/>
            <w:gridSpan w:val="12"/>
            <w:shd w:val="clear" w:color="auto" w:fill="44546A"/>
            <w:vAlign w:val="center"/>
            <w:hideMark/>
          </w:tcPr>
          <w:p w:rsidR="0002051F" w:rsidP="00AA55AA" w:rsidRDefault="0002051F" w14:paraId="1044A29C" w14:textId="77777777">
            <w:pPr>
              <w:spacing w:line="240" w:lineRule="auto"/>
              <w:rPr>
                <w:rFonts w:eastAsia="Times New Roman" w:cs="Calibri"/>
                <w:b/>
                <w:bCs/>
                <w:color w:val="FFFFFF"/>
                <w:sz w:val="16"/>
                <w:szCs w:val="16"/>
              </w:rPr>
            </w:pPr>
            <w:bookmarkStart w:name="_Hlk189592765" w:id="17"/>
            <w:r>
              <w:rPr>
                <w:rFonts w:eastAsia="Times New Roman" w:cs="Calibri"/>
                <w:b/>
                <w:bCs/>
                <w:color w:val="FFFFFF"/>
                <w:sz w:val="16"/>
                <w:szCs w:val="16"/>
              </w:rPr>
              <w:t xml:space="preserve">Tabel 2: netto nacalculaties (in miljoen euro) </w:t>
            </w:r>
          </w:p>
        </w:tc>
      </w:tr>
      <w:tr w:rsidR="0002051F" w:rsidTr="00AA55AA" w14:paraId="397FCBCA" w14:textId="77777777">
        <w:trPr>
          <w:trHeight w:val="107"/>
        </w:trPr>
        <w:tc>
          <w:tcPr>
            <w:tcW w:w="1088" w:type="dxa"/>
            <w:tcBorders>
              <w:top w:val="nil"/>
              <w:left w:val="nil"/>
              <w:bottom w:val="single" w:color="E8E8E8" w:themeColor="background2" w:sz="2" w:space="0"/>
              <w:right w:val="single" w:color="E8E8E8" w:themeColor="background2" w:sz="2" w:space="0"/>
            </w:tcBorders>
            <w:vAlign w:val="center"/>
            <w:hideMark/>
          </w:tcPr>
          <w:p w:rsidR="0002051F" w:rsidP="00AA55AA" w:rsidRDefault="0002051F" w14:paraId="22BCACCE" w14:textId="77777777">
            <w:pPr>
              <w:spacing w:line="240" w:lineRule="auto"/>
              <w:rPr>
                <w:rFonts w:eastAsia="Times New Roman" w:cs="Calibri"/>
                <w:color w:val="auto"/>
                <w:sz w:val="16"/>
                <w:szCs w:val="16"/>
              </w:rPr>
            </w:pPr>
            <w:r>
              <w:rPr>
                <w:rFonts w:eastAsia="Times New Roman" w:cs="Calibri"/>
                <w:color w:val="auto"/>
                <w:sz w:val="16"/>
                <w:szCs w:val="16"/>
              </w:rPr>
              <w:t> </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3B3E1FFF" w14:textId="77777777">
            <w:pPr>
              <w:spacing w:line="240" w:lineRule="auto"/>
              <w:jc w:val="right"/>
              <w:rPr>
                <w:rFonts w:eastAsia="Times New Roman" w:cs="Calibri"/>
                <w:b/>
                <w:bCs/>
                <w:sz w:val="16"/>
                <w:szCs w:val="16"/>
              </w:rPr>
            </w:pPr>
            <w:r>
              <w:rPr>
                <w:rFonts w:eastAsia="Times New Roman" w:cs="Calibri"/>
                <w:b/>
                <w:bCs/>
                <w:sz w:val="16"/>
                <w:szCs w:val="16"/>
                <w:lang w:val="en-US"/>
              </w:rPr>
              <w:t>2014</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595E4636" w14:textId="77777777">
            <w:pPr>
              <w:spacing w:line="240" w:lineRule="auto"/>
              <w:jc w:val="right"/>
              <w:rPr>
                <w:rFonts w:eastAsia="Times New Roman" w:cs="Calibri"/>
                <w:b/>
                <w:bCs/>
                <w:sz w:val="16"/>
                <w:szCs w:val="16"/>
              </w:rPr>
            </w:pPr>
            <w:r>
              <w:rPr>
                <w:rFonts w:eastAsia="Times New Roman" w:cs="Calibri"/>
                <w:b/>
                <w:bCs/>
                <w:sz w:val="16"/>
                <w:szCs w:val="16"/>
                <w:lang w:val="en-US"/>
              </w:rPr>
              <w:t>2015</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10B877E3" w14:textId="77777777">
            <w:pPr>
              <w:spacing w:line="240" w:lineRule="auto"/>
              <w:jc w:val="right"/>
              <w:rPr>
                <w:rFonts w:eastAsia="Times New Roman" w:cs="Calibri"/>
                <w:b/>
                <w:bCs/>
                <w:sz w:val="16"/>
                <w:szCs w:val="16"/>
              </w:rPr>
            </w:pPr>
            <w:r>
              <w:rPr>
                <w:rFonts w:eastAsia="Times New Roman" w:cs="Calibri"/>
                <w:b/>
                <w:bCs/>
                <w:sz w:val="16"/>
                <w:szCs w:val="16"/>
                <w:lang w:val="en-US"/>
              </w:rPr>
              <w:t>2016</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0FDBF305" w14:textId="77777777">
            <w:pPr>
              <w:spacing w:line="240" w:lineRule="auto"/>
              <w:jc w:val="right"/>
              <w:rPr>
                <w:rFonts w:eastAsia="Times New Roman" w:cs="Calibri"/>
                <w:b/>
                <w:bCs/>
                <w:sz w:val="16"/>
                <w:szCs w:val="16"/>
              </w:rPr>
            </w:pPr>
            <w:r>
              <w:rPr>
                <w:rFonts w:eastAsia="Times New Roman" w:cs="Calibri"/>
                <w:b/>
                <w:bCs/>
                <w:sz w:val="16"/>
                <w:szCs w:val="16"/>
                <w:lang w:val="en-US"/>
              </w:rPr>
              <w:t>2017</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0406B919" w14:textId="77777777">
            <w:pPr>
              <w:spacing w:line="240" w:lineRule="auto"/>
              <w:jc w:val="right"/>
              <w:rPr>
                <w:rFonts w:eastAsia="Times New Roman" w:cs="Calibri"/>
                <w:b/>
                <w:bCs/>
                <w:sz w:val="16"/>
                <w:szCs w:val="16"/>
              </w:rPr>
            </w:pPr>
            <w:r>
              <w:rPr>
                <w:rFonts w:eastAsia="Times New Roman" w:cs="Calibri"/>
                <w:b/>
                <w:bCs/>
                <w:sz w:val="16"/>
                <w:szCs w:val="16"/>
                <w:lang w:val="en-US"/>
              </w:rPr>
              <w:t>2018</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10F7A2FE" w14:textId="77777777">
            <w:pPr>
              <w:spacing w:line="240" w:lineRule="auto"/>
              <w:jc w:val="right"/>
              <w:rPr>
                <w:rFonts w:eastAsia="Times New Roman" w:cs="Calibri"/>
                <w:b/>
                <w:bCs/>
                <w:sz w:val="16"/>
                <w:szCs w:val="16"/>
              </w:rPr>
            </w:pPr>
            <w:r>
              <w:rPr>
                <w:rFonts w:eastAsia="Times New Roman" w:cs="Calibri"/>
                <w:b/>
                <w:bCs/>
                <w:sz w:val="16"/>
                <w:szCs w:val="16"/>
                <w:lang w:val="en-US"/>
              </w:rPr>
              <w:t>2019</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07349284" w14:textId="77777777">
            <w:pPr>
              <w:spacing w:line="240" w:lineRule="auto"/>
              <w:jc w:val="right"/>
              <w:rPr>
                <w:rFonts w:eastAsia="Times New Roman" w:cs="Calibri"/>
                <w:b/>
                <w:bCs/>
                <w:sz w:val="16"/>
                <w:szCs w:val="16"/>
              </w:rPr>
            </w:pPr>
            <w:r>
              <w:rPr>
                <w:rFonts w:eastAsia="Times New Roman" w:cs="Calibri"/>
                <w:b/>
                <w:bCs/>
                <w:sz w:val="16"/>
                <w:szCs w:val="16"/>
                <w:lang w:val="en-US"/>
              </w:rPr>
              <w:t>2020</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06E573D3" w14:textId="77777777">
            <w:pPr>
              <w:spacing w:line="240" w:lineRule="auto"/>
              <w:jc w:val="right"/>
              <w:rPr>
                <w:rFonts w:eastAsia="Times New Roman" w:cs="Calibri"/>
                <w:b/>
                <w:bCs/>
                <w:sz w:val="16"/>
                <w:szCs w:val="16"/>
              </w:rPr>
            </w:pPr>
            <w:r>
              <w:rPr>
                <w:rFonts w:eastAsia="Times New Roman" w:cs="Calibri"/>
                <w:b/>
                <w:bCs/>
                <w:sz w:val="16"/>
                <w:szCs w:val="16"/>
                <w:lang w:val="en-US"/>
              </w:rPr>
              <w:t>2021</w:t>
            </w:r>
          </w:p>
        </w:tc>
        <w:tc>
          <w:tcPr>
            <w:tcW w:w="595" w:type="dxa"/>
            <w:tcBorders>
              <w:top w:val="nil"/>
              <w:left w:val="single" w:color="E8E8E8" w:themeColor="background2" w:sz="2" w:space="0"/>
              <w:bottom w:val="single" w:color="E8E8E8" w:themeColor="background2" w:sz="2" w:space="0"/>
              <w:right w:val="single" w:color="E8E8E8" w:themeColor="background2" w:sz="2" w:space="0"/>
            </w:tcBorders>
            <w:vAlign w:val="bottom"/>
            <w:hideMark/>
          </w:tcPr>
          <w:p w:rsidR="0002051F" w:rsidP="00AA55AA" w:rsidRDefault="0002051F" w14:paraId="2B991D07" w14:textId="77777777">
            <w:pPr>
              <w:spacing w:line="240" w:lineRule="auto"/>
              <w:jc w:val="right"/>
              <w:rPr>
                <w:rFonts w:eastAsia="Times New Roman" w:cs="Calibri"/>
                <w:b/>
                <w:bCs/>
                <w:sz w:val="16"/>
                <w:szCs w:val="16"/>
              </w:rPr>
            </w:pPr>
            <w:r>
              <w:rPr>
                <w:rFonts w:eastAsia="Times New Roman" w:cs="Calibri"/>
                <w:b/>
                <w:bCs/>
                <w:sz w:val="16"/>
                <w:szCs w:val="16"/>
                <w:lang w:val="en-US"/>
              </w:rPr>
              <w:t>2022</w:t>
            </w:r>
          </w:p>
        </w:tc>
        <w:tc>
          <w:tcPr>
            <w:tcW w:w="723" w:type="dxa"/>
            <w:tcBorders>
              <w:top w:val="nil"/>
              <w:left w:val="single" w:color="E8E8E8" w:themeColor="background2" w:sz="2" w:space="0"/>
              <w:bottom w:val="single" w:color="E8E8E8" w:themeColor="background2" w:sz="2" w:space="0"/>
              <w:right w:val="nil"/>
            </w:tcBorders>
            <w:vAlign w:val="bottom"/>
            <w:hideMark/>
          </w:tcPr>
          <w:p w:rsidR="0002051F" w:rsidP="00AA55AA" w:rsidRDefault="0002051F" w14:paraId="2BFB51F0" w14:textId="77777777">
            <w:pPr>
              <w:spacing w:line="240" w:lineRule="auto"/>
              <w:jc w:val="right"/>
              <w:rPr>
                <w:rFonts w:eastAsia="Times New Roman" w:cs="Calibri"/>
                <w:b/>
                <w:bCs/>
                <w:sz w:val="16"/>
                <w:szCs w:val="16"/>
                <w:lang w:val="en-US"/>
              </w:rPr>
            </w:pPr>
            <w:r>
              <w:rPr>
                <w:rFonts w:eastAsia="Times New Roman" w:cs="Calibri"/>
                <w:b/>
                <w:bCs/>
                <w:sz w:val="16"/>
                <w:szCs w:val="16"/>
                <w:lang w:val="en-US"/>
              </w:rPr>
              <w:t>2023</w:t>
            </w:r>
            <w:r w:rsidRPr="00237C80">
              <w:rPr>
                <w:rStyle w:val="Voetnootmarkering"/>
                <w:rFonts w:eastAsia="Times New Roman" w:cs="Calibri"/>
                <w:sz w:val="16"/>
                <w:szCs w:val="16"/>
                <w:lang w:val="en-US"/>
              </w:rPr>
              <w:footnoteReference w:id="10"/>
            </w:r>
          </w:p>
        </w:tc>
        <w:tc>
          <w:tcPr>
            <w:tcW w:w="595" w:type="dxa"/>
            <w:tcBorders>
              <w:top w:val="nil"/>
              <w:left w:val="single" w:color="E8E8E8" w:themeColor="background2" w:sz="2" w:space="0"/>
              <w:bottom w:val="single" w:color="E8E8E8" w:themeColor="background2" w:sz="2" w:space="0"/>
              <w:right w:val="nil"/>
            </w:tcBorders>
          </w:tcPr>
          <w:p w:rsidR="0002051F" w:rsidP="00AA55AA" w:rsidRDefault="0002051F" w14:paraId="63832719" w14:textId="77777777">
            <w:pPr>
              <w:spacing w:line="240" w:lineRule="auto"/>
              <w:jc w:val="right"/>
              <w:rPr>
                <w:rFonts w:eastAsia="Times New Roman" w:cs="Calibri"/>
                <w:b/>
                <w:bCs/>
                <w:sz w:val="16"/>
                <w:szCs w:val="16"/>
                <w:lang w:val="en-US"/>
              </w:rPr>
            </w:pPr>
            <w:r>
              <w:rPr>
                <w:rFonts w:eastAsia="Times New Roman" w:cs="Calibri"/>
                <w:b/>
                <w:bCs/>
                <w:sz w:val="16"/>
                <w:szCs w:val="16"/>
                <w:lang w:val="en-US"/>
              </w:rPr>
              <w:t>2024</w:t>
            </w:r>
          </w:p>
        </w:tc>
      </w:tr>
      <w:tr w:rsidR="0002051F" w:rsidTr="00AA55AA" w14:paraId="65A012A6" w14:textId="77777777">
        <w:trPr>
          <w:trHeight w:val="210"/>
        </w:trPr>
        <w:tc>
          <w:tcPr>
            <w:tcW w:w="1088" w:type="dxa"/>
            <w:tcBorders>
              <w:top w:val="single" w:color="E8E8E8" w:themeColor="background2" w:sz="2" w:space="0"/>
              <w:left w:val="nil"/>
              <w:bottom w:val="nil"/>
              <w:right w:val="single" w:color="E8E8E8" w:themeColor="background2" w:sz="2" w:space="0"/>
            </w:tcBorders>
            <w:vAlign w:val="bottom"/>
            <w:hideMark/>
          </w:tcPr>
          <w:p w:rsidR="0002051F" w:rsidP="00AA55AA" w:rsidRDefault="0002051F" w14:paraId="76B9D8D3" w14:textId="77777777">
            <w:pPr>
              <w:spacing w:line="240" w:lineRule="auto"/>
              <w:rPr>
                <w:rFonts w:eastAsia="Times New Roman" w:cs="Calibri"/>
                <w:i/>
                <w:iCs/>
                <w:sz w:val="16"/>
                <w:szCs w:val="16"/>
                <w:lang w:val="en-US"/>
              </w:rPr>
            </w:pPr>
            <w:proofErr w:type="spellStart"/>
            <w:r>
              <w:rPr>
                <w:rFonts w:eastAsia="Times New Roman" w:cs="Calibri"/>
                <w:i/>
                <w:iCs/>
                <w:sz w:val="16"/>
                <w:szCs w:val="16"/>
                <w:lang w:val="en-US"/>
              </w:rPr>
              <w:t>Netto-nacalculatie</w:t>
            </w:r>
            <w:proofErr w:type="spellEnd"/>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52C00BB1" w14:textId="77777777">
            <w:pPr>
              <w:spacing w:line="240" w:lineRule="auto"/>
              <w:jc w:val="right"/>
              <w:rPr>
                <w:rFonts w:eastAsia="Times New Roman" w:cs="Calibri"/>
                <w:sz w:val="16"/>
                <w:szCs w:val="16"/>
                <w:lang w:val="en-US"/>
              </w:rPr>
            </w:pPr>
            <w:r>
              <w:rPr>
                <w:rFonts w:eastAsia="Times New Roman" w:cs="Calibri"/>
                <w:sz w:val="16"/>
                <w:szCs w:val="16"/>
                <w:lang w:val="en-US"/>
              </w:rPr>
              <w:t>643</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2C8D54A7" w14:textId="77777777">
            <w:pPr>
              <w:spacing w:line="240" w:lineRule="auto"/>
              <w:jc w:val="right"/>
              <w:rPr>
                <w:rFonts w:eastAsia="Times New Roman" w:cs="Calibri"/>
                <w:sz w:val="16"/>
                <w:szCs w:val="16"/>
                <w:lang w:val="en-US"/>
              </w:rPr>
            </w:pPr>
            <w:r>
              <w:rPr>
                <w:rFonts w:eastAsia="Times New Roman" w:cs="Calibri"/>
                <w:sz w:val="16"/>
                <w:szCs w:val="16"/>
                <w:lang w:val="en-US"/>
              </w:rPr>
              <w:t>446</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44F54BDB" w14:textId="77777777">
            <w:pPr>
              <w:spacing w:line="240" w:lineRule="auto"/>
              <w:jc w:val="right"/>
              <w:rPr>
                <w:rFonts w:eastAsia="Times New Roman" w:cs="Calibri"/>
                <w:sz w:val="16"/>
                <w:szCs w:val="16"/>
                <w:lang w:val="en-US"/>
              </w:rPr>
            </w:pPr>
            <w:r>
              <w:rPr>
                <w:rFonts w:eastAsia="Times New Roman" w:cs="Calibri"/>
                <w:sz w:val="16"/>
                <w:szCs w:val="16"/>
                <w:lang w:val="en-US"/>
              </w:rPr>
              <w:t>-124</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116BEB73" w14:textId="77777777">
            <w:pPr>
              <w:spacing w:line="240" w:lineRule="auto"/>
              <w:jc w:val="right"/>
              <w:rPr>
                <w:rFonts w:eastAsia="Times New Roman" w:cs="Calibri"/>
                <w:sz w:val="16"/>
                <w:szCs w:val="16"/>
                <w:lang w:val="en-US"/>
              </w:rPr>
            </w:pPr>
            <w:r>
              <w:rPr>
                <w:rFonts w:eastAsia="Times New Roman" w:cs="Calibri"/>
                <w:sz w:val="16"/>
                <w:szCs w:val="16"/>
                <w:lang w:val="en-US"/>
              </w:rPr>
              <w:t>-64</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74345AEA" w14:textId="77777777">
            <w:pPr>
              <w:spacing w:line="240" w:lineRule="auto"/>
              <w:jc w:val="right"/>
              <w:rPr>
                <w:rFonts w:eastAsia="Times New Roman" w:cs="Calibri"/>
                <w:sz w:val="16"/>
                <w:szCs w:val="16"/>
                <w:lang w:val="en-US"/>
              </w:rPr>
            </w:pPr>
            <w:r>
              <w:rPr>
                <w:rFonts w:eastAsia="Times New Roman" w:cs="Calibri"/>
                <w:sz w:val="16"/>
                <w:szCs w:val="16"/>
                <w:lang w:val="en-US"/>
              </w:rPr>
              <w:t>318</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1790AF6F" w14:textId="77777777">
            <w:pPr>
              <w:spacing w:line="240" w:lineRule="auto"/>
              <w:jc w:val="right"/>
              <w:rPr>
                <w:rFonts w:eastAsia="Times New Roman" w:cs="Calibri"/>
                <w:sz w:val="16"/>
                <w:szCs w:val="16"/>
                <w:lang w:val="en-US"/>
              </w:rPr>
            </w:pPr>
            <w:r>
              <w:rPr>
                <w:rFonts w:eastAsia="Times New Roman" w:cs="Calibri"/>
                <w:sz w:val="16"/>
                <w:szCs w:val="16"/>
                <w:lang w:val="en-US"/>
              </w:rPr>
              <w:t>-17</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24A6E282" w14:textId="77777777">
            <w:pPr>
              <w:spacing w:line="240" w:lineRule="auto"/>
              <w:jc w:val="right"/>
              <w:rPr>
                <w:rFonts w:eastAsia="Times New Roman" w:cs="Calibri"/>
                <w:sz w:val="16"/>
                <w:szCs w:val="16"/>
                <w:lang w:val="en-US"/>
              </w:rPr>
            </w:pPr>
            <w:r>
              <w:rPr>
                <w:rFonts w:eastAsia="Times New Roman" w:cs="Calibri"/>
                <w:sz w:val="16"/>
                <w:szCs w:val="16"/>
                <w:lang w:val="en-US"/>
              </w:rPr>
              <w:t>45</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314C5D02" w14:textId="77777777">
            <w:pPr>
              <w:spacing w:line="240" w:lineRule="auto"/>
              <w:jc w:val="right"/>
              <w:rPr>
                <w:rFonts w:eastAsia="Times New Roman" w:cs="Calibri"/>
                <w:sz w:val="16"/>
                <w:szCs w:val="16"/>
                <w:lang w:val="en-US"/>
              </w:rPr>
            </w:pPr>
            <w:r>
              <w:rPr>
                <w:rFonts w:eastAsia="Times New Roman" w:cs="Calibri"/>
                <w:sz w:val="16"/>
                <w:szCs w:val="16"/>
                <w:lang w:val="en-US"/>
              </w:rPr>
              <w:t>87</w:t>
            </w:r>
          </w:p>
        </w:tc>
        <w:tc>
          <w:tcPr>
            <w:tcW w:w="595" w:type="dxa"/>
            <w:tcBorders>
              <w:top w:val="single" w:color="E8E8E8" w:themeColor="background2" w:sz="2" w:space="0"/>
              <w:left w:val="single" w:color="E8E8E8" w:themeColor="background2" w:sz="2" w:space="0"/>
              <w:bottom w:val="nil"/>
              <w:right w:val="single" w:color="E8E8E8" w:themeColor="background2" w:sz="2" w:space="0"/>
            </w:tcBorders>
            <w:vAlign w:val="bottom"/>
            <w:hideMark/>
          </w:tcPr>
          <w:p w:rsidR="0002051F" w:rsidP="00AA55AA" w:rsidRDefault="0002051F" w14:paraId="5998F004" w14:textId="77777777">
            <w:pPr>
              <w:spacing w:line="240" w:lineRule="auto"/>
              <w:jc w:val="right"/>
              <w:rPr>
                <w:rFonts w:eastAsia="Times New Roman" w:cs="Calibri"/>
                <w:sz w:val="16"/>
                <w:szCs w:val="16"/>
                <w:lang w:val="en-US"/>
              </w:rPr>
            </w:pPr>
            <w:r>
              <w:rPr>
                <w:rFonts w:eastAsia="Times New Roman" w:cs="Calibri"/>
                <w:sz w:val="16"/>
                <w:szCs w:val="16"/>
                <w:lang w:val="en-US"/>
              </w:rPr>
              <w:t>-556</w:t>
            </w:r>
          </w:p>
        </w:tc>
        <w:tc>
          <w:tcPr>
            <w:tcW w:w="723" w:type="dxa"/>
            <w:tcBorders>
              <w:top w:val="single" w:color="E8E8E8" w:themeColor="background2" w:sz="2" w:space="0"/>
              <w:left w:val="single" w:color="E8E8E8" w:themeColor="background2" w:sz="2" w:space="0"/>
              <w:bottom w:val="nil"/>
              <w:right w:val="nil"/>
            </w:tcBorders>
            <w:vAlign w:val="bottom"/>
            <w:hideMark/>
          </w:tcPr>
          <w:p w:rsidR="0002051F" w:rsidP="00AA55AA" w:rsidRDefault="0002051F" w14:paraId="5B3C9E92" w14:textId="77777777">
            <w:pPr>
              <w:spacing w:line="240" w:lineRule="auto"/>
              <w:jc w:val="right"/>
              <w:rPr>
                <w:rFonts w:eastAsia="Times New Roman" w:cs="Calibri"/>
                <w:sz w:val="16"/>
                <w:szCs w:val="16"/>
                <w:lang w:val="en-US"/>
              </w:rPr>
            </w:pPr>
            <w:r>
              <w:rPr>
                <w:rFonts w:eastAsia="Times New Roman" w:cs="Calibri"/>
                <w:sz w:val="16"/>
                <w:szCs w:val="16"/>
                <w:lang w:val="en-US"/>
              </w:rPr>
              <w:t>216</w:t>
            </w:r>
          </w:p>
        </w:tc>
        <w:tc>
          <w:tcPr>
            <w:tcW w:w="595" w:type="dxa"/>
            <w:tcBorders>
              <w:top w:val="single" w:color="E8E8E8" w:themeColor="background2" w:sz="2" w:space="0"/>
              <w:left w:val="single" w:color="E8E8E8" w:themeColor="background2" w:sz="2" w:space="0"/>
              <w:bottom w:val="nil"/>
              <w:right w:val="nil"/>
            </w:tcBorders>
            <w:vAlign w:val="bottom"/>
          </w:tcPr>
          <w:p w:rsidR="0002051F" w:rsidP="00AA55AA" w:rsidRDefault="0002051F" w14:paraId="3F9C2E11" w14:textId="77777777">
            <w:pPr>
              <w:spacing w:line="240" w:lineRule="auto"/>
              <w:jc w:val="right"/>
              <w:rPr>
                <w:rFonts w:eastAsia="Times New Roman" w:cs="Calibri"/>
                <w:sz w:val="16"/>
                <w:szCs w:val="16"/>
                <w:lang w:val="en-US"/>
              </w:rPr>
            </w:pPr>
            <w:r w:rsidRPr="00401B63">
              <w:rPr>
                <w:sz w:val="16"/>
                <w:szCs w:val="16"/>
              </w:rPr>
              <w:t>697</w:t>
            </w:r>
          </w:p>
        </w:tc>
      </w:tr>
    </w:tbl>
    <w:p w:rsidR="00C06E42" w:rsidP="0002051F" w:rsidRDefault="00C06E42" w14:paraId="48F8474A" w14:textId="77777777">
      <w:pPr>
        <w:pStyle w:val="StandaardSlotzin"/>
      </w:pPr>
      <w:bookmarkStart w:name="_Hlk189657880" w:id="18"/>
      <w:bookmarkEnd w:id="17"/>
    </w:p>
    <w:p w:rsidR="0002051F" w:rsidP="0002051F" w:rsidRDefault="0002051F" w14:paraId="77D3CBAE" w14:textId="77777777">
      <w:pPr>
        <w:pStyle w:val="StandaardSlotzin"/>
      </w:pPr>
      <w:r>
        <w:t>Hoogachtend,</w:t>
      </w:r>
    </w:p>
    <w:p w:rsidR="0002051F" w:rsidP="0002051F" w:rsidRDefault="0002051F" w14:paraId="1339BE56" w14:textId="77777777"/>
    <w:tbl>
      <w:tblPr>
        <w:tblStyle w:val="Tabelzonderranden"/>
        <w:tblW w:w="7498" w:type="dxa"/>
        <w:tblInd w:w="0" w:type="dxa"/>
        <w:tblLayout w:type="fixed"/>
        <w:tblLook w:val="07E0" w:firstRow="1" w:lastRow="1" w:firstColumn="1" w:lastColumn="1" w:noHBand="1" w:noVBand="1"/>
      </w:tblPr>
      <w:tblGrid>
        <w:gridCol w:w="3599"/>
        <w:gridCol w:w="3899"/>
      </w:tblGrid>
      <w:tr w:rsidR="0002051F" w:rsidTr="0055213C" w14:paraId="42719B38" w14:textId="77777777">
        <w:trPr>
          <w:trHeight w:val="1574"/>
        </w:trPr>
        <w:tc>
          <w:tcPr>
            <w:tcW w:w="3599" w:type="dxa"/>
          </w:tcPr>
          <w:p w:rsidR="0002051F" w:rsidP="00AA55AA" w:rsidRDefault="0002051F" w14:paraId="2947A0EA" w14:textId="77777777">
            <w:r>
              <w:t>de minister van Financiën,</w:t>
            </w:r>
            <w:r>
              <w:br/>
            </w:r>
            <w:r>
              <w:br/>
            </w:r>
            <w:r>
              <w:br/>
            </w:r>
            <w:r>
              <w:br/>
            </w:r>
            <w:r>
              <w:br/>
            </w:r>
            <w:r>
              <w:br/>
              <w:t xml:space="preserve"> E. Heinen</w:t>
            </w:r>
          </w:p>
        </w:tc>
        <w:tc>
          <w:tcPr>
            <w:tcW w:w="3899" w:type="dxa"/>
          </w:tcPr>
          <w:p w:rsidR="0002051F" w:rsidP="00AA55AA" w:rsidRDefault="0002051F" w14:paraId="3BF50946" w14:textId="77777777"/>
        </w:tc>
      </w:tr>
      <w:bookmarkEnd w:id="18"/>
    </w:tbl>
    <w:p w:rsidRPr="0002051F" w:rsidR="00314820" w:rsidP="0055213C" w:rsidRDefault="00314820" w14:paraId="1B5C968D" w14:textId="77777777"/>
    <w:sectPr w:rsidRPr="0002051F" w:rsidR="0031482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08FA4" w14:textId="77777777" w:rsidR="00BE3257" w:rsidRDefault="00BE3257">
      <w:pPr>
        <w:spacing w:line="240" w:lineRule="auto"/>
      </w:pPr>
      <w:r>
        <w:separator/>
      </w:r>
    </w:p>
  </w:endnote>
  <w:endnote w:type="continuationSeparator" w:id="0">
    <w:p w14:paraId="122513D3" w14:textId="77777777" w:rsidR="00BE3257" w:rsidRDefault="00BE32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FD524" w14:textId="77777777" w:rsidR="00BE3257" w:rsidRDefault="00BE3257">
      <w:pPr>
        <w:spacing w:line="240" w:lineRule="auto"/>
      </w:pPr>
      <w:r>
        <w:separator/>
      </w:r>
    </w:p>
  </w:footnote>
  <w:footnote w:type="continuationSeparator" w:id="0">
    <w:p w14:paraId="66126BC9" w14:textId="77777777" w:rsidR="00BE3257" w:rsidRDefault="00BE3257">
      <w:pPr>
        <w:spacing w:line="240" w:lineRule="auto"/>
      </w:pPr>
      <w:r>
        <w:continuationSeparator/>
      </w:r>
    </w:p>
  </w:footnote>
  <w:footnote w:id="1">
    <w:p w14:paraId="0489FFB4" w14:textId="77777777" w:rsidR="0055213C" w:rsidRPr="00566EB0" w:rsidRDefault="0055213C" w:rsidP="0055213C">
      <w:pPr>
        <w:pStyle w:val="Voetnoottekst"/>
        <w:rPr>
          <w:lang w:val="nl-NL"/>
        </w:rPr>
      </w:pPr>
      <w:r w:rsidRPr="00566EB0">
        <w:rPr>
          <w:rStyle w:val="Voetnootmarkering"/>
          <w:sz w:val="16"/>
          <w:szCs w:val="16"/>
        </w:rPr>
        <w:footnoteRef/>
      </w:r>
      <w:r w:rsidRPr="00566EB0">
        <w:rPr>
          <w:sz w:val="16"/>
          <w:szCs w:val="16"/>
          <w:lang w:val="nl-NL"/>
        </w:rPr>
        <w:t xml:space="preserve"> </w:t>
      </w:r>
      <w:hyperlink r:id="rId1" w:history="1">
        <w:r w:rsidRPr="00566EB0">
          <w:rPr>
            <w:rStyle w:val="Hyperlink"/>
            <w:color w:val="auto"/>
            <w:sz w:val="16"/>
            <w:szCs w:val="16"/>
            <w:u w:val="none"/>
            <w:lang w:val="nl-NL"/>
          </w:rPr>
          <w:t>https://www.rijksoverheid.nl/documenten/kamerstukken/2024/12/09/kamerbrief-akkoord-europese-jaarbegroting-2025-en-informatie-over-de-aanstaande-nacalculatie</w:t>
        </w:r>
      </w:hyperlink>
      <w:r>
        <w:rPr>
          <w:rStyle w:val="Hyperlink"/>
          <w:color w:val="auto"/>
          <w:sz w:val="16"/>
          <w:szCs w:val="16"/>
          <w:u w:val="none"/>
          <w:lang w:val="nl-NL"/>
        </w:rPr>
        <w:t xml:space="preserve"> </w:t>
      </w:r>
      <w:r>
        <w:rPr>
          <w:sz w:val="16"/>
          <w:szCs w:val="16"/>
          <w:lang w:val="nl-NL"/>
        </w:rPr>
        <w:t xml:space="preserve">  </w:t>
      </w:r>
      <w:r w:rsidRPr="00566EB0">
        <w:rPr>
          <w:sz w:val="16"/>
          <w:szCs w:val="16"/>
          <w:lang w:val="nl-NL"/>
        </w:rPr>
        <w:t xml:space="preserve"> </w:t>
      </w:r>
    </w:p>
  </w:footnote>
  <w:footnote w:id="2">
    <w:p w14:paraId="3D235ACE" w14:textId="77777777" w:rsidR="0002051F" w:rsidRPr="00D3110A" w:rsidRDefault="0002051F" w:rsidP="0002051F">
      <w:pPr>
        <w:pStyle w:val="Voetnoottekst"/>
        <w:rPr>
          <w:sz w:val="16"/>
          <w:szCs w:val="16"/>
          <w:lang w:val="nl-NL"/>
        </w:rPr>
      </w:pPr>
      <w:r w:rsidRPr="00D3110A">
        <w:rPr>
          <w:rStyle w:val="Voetnootmarkering"/>
          <w:sz w:val="16"/>
          <w:szCs w:val="16"/>
        </w:rPr>
        <w:footnoteRef/>
      </w:r>
      <w:r w:rsidRPr="00D3110A">
        <w:rPr>
          <w:sz w:val="16"/>
          <w:szCs w:val="16"/>
          <w:lang w:val="nl-NL"/>
        </w:rPr>
        <w:t xml:space="preserve"> Bij de invoerrechten is geen sprake van een nacalculatie (omvang geïnde rechten bepaalt omvang af te dragen rechten).</w:t>
      </w:r>
    </w:p>
  </w:footnote>
  <w:footnote w:id="3">
    <w:p w14:paraId="105F7671" w14:textId="77777777" w:rsidR="0002051F" w:rsidRPr="00D3110A" w:rsidRDefault="0002051F" w:rsidP="0002051F">
      <w:pPr>
        <w:pStyle w:val="Voetnoottekst"/>
        <w:rPr>
          <w:sz w:val="16"/>
          <w:szCs w:val="16"/>
          <w:lang w:val="nl-NL"/>
        </w:rPr>
      </w:pPr>
      <w:r w:rsidRPr="00D3110A">
        <w:rPr>
          <w:rStyle w:val="Voetnootmarkering"/>
          <w:sz w:val="16"/>
          <w:szCs w:val="16"/>
        </w:rPr>
        <w:footnoteRef/>
      </w:r>
      <w:r w:rsidRPr="00D3110A">
        <w:rPr>
          <w:sz w:val="16"/>
          <w:szCs w:val="16"/>
          <w:lang w:val="nl-NL"/>
        </w:rPr>
        <w:t xml:space="preserve"> Leden</w:t>
      </w:r>
      <w:r>
        <w:rPr>
          <w:sz w:val="16"/>
          <w:szCs w:val="16"/>
          <w:lang w:val="nl-NL"/>
        </w:rPr>
        <w:t xml:space="preserve"> afhankelijk van het eigen middel. Voor </w:t>
      </w:r>
      <w:proofErr w:type="spellStart"/>
      <w:r>
        <w:rPr>
          <w:sz w:val="16"/>
          <w:szCs w:val="16"/>
          <w:lang w:val="nl-NL"/>
        </w:rPr>
        <w:t>bni</w:t>
      </w:r>
      <w:proofErr w:type="spellEnd"/>
      <w:r>
        <w:rPr>
          <w:sz w:val="16"/>
          <w:szCs w:val="16"/>
          <w:lang w:val="nl-NL"/>
        </w:rPr>
        <w:t>-afdrachten</w:t>
      </w:r>
      <w:r w:rsidRPr="00D3110A">
        <w:rPr>
          <w:sz w:val="16"/>
          <w:szCs w:val="16"/>
          <w:lang w:val="nl-NL"/>
        </w:rPr>
        <w:t xml:space="preserve">: </w:t>
      </w:r>
      <w:proofErr w:type="spellStart"/>
      <w:r w:rsidRPr="00D3110A">
        <w:rPr>
          <w:sz w:val="16"/>
          <w:szCs w:val="16"/>
          <w:lang w:val="nl-NL"/>
        </w:rPr>
        <w:t>Eurostat</w:t>
      </w:r>
      <w:proofErr w:type="spellEnd"/>
      <w:r w:rsidRPr="00D3110A">
        <w:rPr>
          <w:sz w:val="16"/>
          <w:szCs w:val="16"/>
          <w:lang w:val="nl-NL"/>
        </w:rPr>
        <w:t>, Europese Commissie, nationale statistiekbureaus waaronder het CBS namens Nederland.</w:t>
      </w:r>
    </w:p>
  </w:footnote>
  <w:footnote w:id="4">
    <w:p w14:paraId="394F8C37" w14:textId="77777777" w:rsidR="0002051F" w:rsidRPr="00900948" w:rsidRDefault="0002051F" w:rsidP="0002051F">
      <w:pPr>
        <w:pStyle w:val="Voetnoottekst"/>
        <w:rPr>
          <w:lang w:val="nl-NL"/>
        </w:rPr>
      </w:pPr>
      <w:r w:rsidRPr="00900948">
        <w:rPr>
          <w:rStyle w:val="Voetnootmarkering"/>
          <w:sz w:val="16"/>
          <w:szCs w:val="16"/>
        </w:rPr>
        <w:footnoteRef/>
      </w:r>
      <w:r>
        <w:rPr>
          <w:sz w:val="16"/>
          <w:szCs w:val="16"/>
          <w:lang w:val="nl-NL"/>
        </w:rPr>
        <w:t xml:space="preserve"> </w:t>
      </w:r>
      <w:r w:rsidRPr="00900948">
        <w:rPr>
          <w:sz w:val="16"/>
          <w:szCs w:val="16"/>
          <w:lang w:val="nl-NL"/>
        </w:rPr>
        <w:t>Voor deze verificatiecyclus gold een algemeen voorbehoud voor alle landen met betrekking tot de cijfers van 2018 en 2019. Om deze reden konden de realisaties tot vijf jaar terug worden aangepast.</w:t>
      </w:r>
    </w:p>
  </w:footnote>
  <w:footnote w:id="5">
    <w:p w14:paraId="3BC2F88A" w14:textId="77777777" w:rsidR="0002051F" w:rsidRPr="00900948" w:rsidRDefault="0002051F" w:rsidP="0002051F">
      <w:pPr>
        <w:pStyle w:val="Voetnoottekst"/>
        <w:rPr>
          <w:lang w:val="nl-NL"/>
        </w:rPr>
      </w:pPr>
      <w:r w:rsidRPr="00900948">
        <w:rPr>
          <w:rStyle w:val="Voetnootmarkering"/>
          <w:sz w:val="16"/>
          <w:szCs w:val="16"/>
        </w:rPr>
        <w:footnoteRef/>
      </w:r>
      <w:r w:rsidRPr="00900948">
        <w:rPr>
          <w:sz w:val="16"/>
          <w:szCs w:val="16"/>
          <w:lang w:val="nl-NL"/>
        </w:rPr>
        <w:t xml:space="preserve"> Een voorbehoud is een onderdeel van de </w:t>
      </w:r>
      <w:proofErr w:type="spellStart"/>
      <w:r>
        <w:rPr>
          <w:sz w:val="16"/>
          <w:szCs w:val="16"/>
          <w:lang w:val="nl-NL"/>
        </w:rPr>
        <w:t>bni</w:t>
      </w:r>
      <w:proofErr w:type="spellEnd"/>
      <w:r w:rsidRPr="00900948">
        <w:rPr>
          <w:sz w:val="16"/>
          <w:szCs w:val="16"/>
          <w:lang w:val="nl-NL"/>
        </w:rPr>
        <w:t xml:space="preserve"> berekening, waarover de Europese commissie een lidstaat officieel heeft geïnformeerd dat zij twijfels heeft over de juistheid van dit onderdeel. De lidstaat (het statistisch bureau) heeft vervolgens de wettelijke plicht ofwel om te laten zien dat het onderdeel wel juist is ofwel om dit onderdeel te verbeteren. Voorbehouden worden geplaatst om te voorkomen dat de BNI cijfers voor eigen middelen na vier jaar definitief worden vastgesteld, terwijl er nog vragen zijn over de juistheid van onderdelen hiervan.</w:t>
      </w:r>
    </w:p>
  </w:footnote>
  <w:footnote w:id="6">
    <w:p w14:paraId="41C5A8D0" w14:textId="77777777" w:rsidR="0002051F" w:rsidRPr="00353FC6" w:rsidRDefault="0002051F" w:rsidP="0002051F">
      <w:pPr>
        <w:pStyle w:val="Voetnoottekst"/>
        <w:rPr>
          <w:rFonts w:eastAsia="DejaVu Sans" w:cs="Lohit Hindi"/>
          <w:sz w:val="16"/>
          <w:szCs w:val="16"/>
          <w:lang w:val="nl-NL"/>
        </w:rPr>
      </w:pPr>
      <w:r w:rsidRPr="00353FC6">
        <w:rPr>
          <w:rStyle w:val="Voetnootmarkering"/>
          <w:sz w:val="16"/>
          <w:szCs w:val="16"/>
        </w:rPr>
        <w:footnoteRef/>
      </w:r>
      <w:r w:rsidRPr="00353FC6">
        <w:rPr>
          <w:sz w:val="16"/>
          <w:szCs w:val="16"/>
          <w:lang w:val="nl-NL"/>
        </w:rPr>
        <w:t xml:space="preserve"> https://www.cbs.nl/-/media/_pdf/2025/03/gni_summary_report_on_quality_2024.pdf</w:t>
      </w:r>
    </w:p>
  </w:footnote>
  <w:footnote w:id="7">
    <w:p w14:paraId="56EA15DE" w14:textId="77777777" w:rsidR="0002051F" w:rsidRPr="00900948" w:rsidRDefault="0002051F" w:rsidP="0002051F">
      <w:pPr>
        <w:pStyle w:val="Voetnoottekst"/>
        <w:rPr>
          <w:lang w:val="nl-NL"/>
        </w:rPr>
      </w:pPr>
      <w:r w:rsidRPr="00900948">
        <w:rPr>
          <w:rStyle w:val="Voetnootmarkering"/>
          <w:sz w:val="16"/>
          <w:szCs w:val="16"/>
        </w:rPr>
        <w:footnoteRef/>
      </w:r>
      <w:r w:rsidRPr="00900948">
        <w:rPr>
          <w:sz w:val="16"/>
          <w:szCs w:val="16"/>
          <w:lang w:val="nl-NL"/>
        </w:rPr>
        <w:t xml:space="preserve"> https://ec.europa.eu/eurostat/statistics-explained/index.php?title=Verification_of_GNI_for_own_resource_purposes&amp;action=statexp-seat&amp;lang=nl</w:t>
      </w:r>
      <w:r>
        <w:rPr>
          <w:sz w:val="16"/>
          <w:szCs w:val="16"/>
          <w:lang w:val="nl-NL"/>
        </w:rPr>
        <w:t xml:space="preserve"> </w:t>
      </w:r>
    </w:p>
  </w:footnote>
  <w:footnote w:id="8">
    <w:p w14:paraId="6D55CB79" w14:textId="77777777" w:rsidR="0002051F" w:rsidRPr="00353FC6" w:rsidRDefault="0002051F" w:rsidP="0002051F">
      <w:pPr>
        <w:pStyle w:val="Voetnoottekst"/>
        <w:rPr>
          <w:sz w:val="16"/>
          <w:szCs w:val="16"/>
          <w:lang w:val="nl-NL"/>
        </w:rPr>
      </w:pPr>
      <w:r w:rsidRPr="00353FC6">
        <w:rPr>
          <w:rStyle w:val="Voetnootmarkering"/>
          <w:sz w:val="16"/>
          <w:szCs w:val="16"/>
        </w:rPr>
        <w:footnoteRef/>
      </w:r>
      <w:r>
        <w:rPr>
          <w:sz w:val="16"/>
          <w:szCs w:val="16"/>
          <w:lang w:val="nl-NL"/>
        </w:rPr>
        <w:t xml:space="preserve"> </w:t>
      </w:r>
      <w:r w:rsidRPr="00353FC6">
        <w:rPr>
          <w:sz w:val="16"/>
          <w:szCs w:val="16"/>
          <w:lang w:val="nl-NL"/>
        </w:rPr>
        <w:t>https://www.cbs.nl/nl-nl/achtergrond/2025/03/bni-cijfers-2024-voor-de-bepaling-van-de-afdracht-voor-de-eigen-middelen-van-de-eu</w:t>
      </w:r>
    </w:p>
  </w:footnote>
  <w:footnote w:id="9">
    <w:p w14:paraId="0F6BDB65" w14:textId="77777777" w:rsidR="0002051F" w:rsidRPr="00A97174" w:rsidRDefault="0002051F" w:rsidP="0002051F">
      <w:pPr>
        <w:pStyle w:val="Voetnoottekst"/>
        <w:rPr>
          <w:sz w:val="16"/>
          <w:szCs w:val="16"/>
          <w:lang w:val="nl-NL"/>
        </w:rPr>
      </w:pPr>
      <w:r w:rsidRPr="00353FC6">
        <w:rPr>
          <w:rStyle w:val="Voetnootmarkering"/>
          <w:sz w:val="16"/>
          <w:szCs w:val="16"/>
        </w:rPr>
        <w:footnoteRef/>
      </w:r>
      <w:r w:rsidRPr="00353FC6">
        <w:rPr>
          <w:sz w:val="16"/>
          <w:szCs w:val="16"/>
          <w:lang w:val="nl-NL"/>
        </w:rPr>
        <w:t xml:space="preserve"> De realisatiecijfers van het Nederlandse </w:t>
      </w:r>
      <w:proofErr w:type="spellStart"/>
      <w:r w:rsidRPr="00353FC6">
        <w:rPr>
          <w:sz w:val="16"/>
          <w:szCs w:val="16"/>
          <w:lang w:val="nl-NL"/>
        </w:rPr>
        <w:t>bni</w:t>
      </w:r>
      <w:proofErr w:type="spellEnd"/>
      <w:r w:rsidRPr="00353FC6">
        <w:rPr>
          <w:sz w:val="16"/>
          <w:szCs w:val="16"/>
          <w:lang w:val="nl-NL"/>
        </w:rPr>
        <w:t xml:space="preserve"> voor de jaren 2018-2022 zijn gemiddeld genomen met 2,2% naar boven bijgesteld t.o.v. de vorige gepubliceerde realisatiecijfers uit 2023. De eerste realisatiecijfers voor 2023 tonen een 5,9% hogere Nederlandse </w:t>
      </w:r>
      <w:proofErr w:type="spellStart"/>
      <w:r w:rsidRPr="00353FC6">
        <w:rPr>
          <w:sz w:val="16"/>
          <w:szCs w:val="16"/>
          <w:lang w:val="nl-NL"/>
        </w:rPr>
        <w:t>bni</w:t>
      </w:r>
      <w:proofErr w:type="spellEnd"/>
      <w:r w:rsidRPr="00353FC6">
        <w:rPr>
          <w:sz w:val="16"/>
          <w:szCs w:val="16"/>
          <w:lang w:val="nl-NL"/>
        </w:rPr>
        <w:t xml:space="preserve">-grondslag dan waar de oorspronkelijke Nederlandse </w:t>
      </w:r>
      <w:proofErr w:type="spellStart"/>
      <w:r w:rsidRPr="00353FC6">
        <w:rPr>
          <w:sz w:val="16"/>
          <w:szCs w:val="16"/>
          <w:lang w:val="nl-NL"/>
        </w:rPr>
        <w:t>bni</w:t>
      </w:r>
      <w:proofErr w:type="spellEnd"/>
      <w:r w:rsidRPr="00353FC6">
        <w:rPr>
          <w:sz w:val="16"/>
          <w:szCs w:val="16"/>
          <w:lang w:val="nl-NL"/>
        </w:rPr>
        <w:t>-afdrachten in 2023 op waren gebaseerd.</w:t>
      </w:r>
      <w:r>
        <w:rPr>
          <w:sz w:val="16"/>
          <w:szCs w:val="16"/>
          <w:lang w:val="nl-NL"/>
        </w:rPr>
        <w:t xml:space="preserve">  </w:t>
      </w:r>
    </w:p>
  </w:footnote>
  <w:footnote w:id="10">
    <w:p w14:paraId="37CC5DAD" w14:textId="77777777" w:rsidR="0002051F" w:rsidRPr="00D3110A" w:rsidRDefault="0002051F" w:rsidP="0002051F">
      <w:pPr>
        <w:pStyle w:val="Voetnoottekst"/>
        <w:rPr>
          <w:sz w:val="16"/>
          <w:szCs w:val="16"/>
          <w:lang w:val="nl-NL"/>
        </w:rPr>
      </w:pPr>
      <w:r w:rsidRPr="00D3110A">
        <w:rPr>
          <w:rStyle w:val="Voetnootmarkering"/>
          <w:sz w:val="16"/>
          <w:szCs w:val="16"/>
        </w:rPr>
        <w:footnoteRef/>
      </w:r>
      <w:r w:rsidRPr="00D3110A">
        <w:rPr>
          <w:sz w:val="16"/>
          <w:szCs w:val="16"/>
          <w:lang w:val="nl-NL"/>
        </w:rPr>
        <w:t xml:space="preserve"> Vanaf dit jaar is voor het eerst ook de plastic-afdracht meegenomen in de nacalculatie.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0B5D" w14:textId="77777777" w:rsidR="00314820" w:rsidRDefault="00BE3257">
    <w:r>
      <w:rPr>
        <w:noProof/>
      </w:rPr>
      <mc:AlternateContent>
        <mc:Choice Requires="wps">
          <w:drawing>
            <wp:anchor distT="0" distB="0" distL="0" distR="0" simplePos="0" relativeHeight="251652096" behindDoc="0" locked="1" layoutInCell="1" allowOverlap="1" wp14:anchorId="37028D57" wp14:editId="77F51B64">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945D92" w14:textId="77777777" w:rsidR="00314820" w:rsidRDefault="00BE3257">
                          <w:pPr>
                            <w:pStyle w:val="StandaardReferentiegegevensKop"/>
                          </w:pPr>
                          <w:r>
                            <w:t>Directie Buitenlandse Financiële Betrekkingen</w:t>
                          </w:r>
                        </w:p>
                        <w:p w14:paraId="38D6792A" w14:textId="77777777" w:rsidR="00314820" w:rsidRDefault="00314820">
                          <w:pPr>
                            <w:pStyle w:val="WitregelW1"/>
                          </w:pPr>
                        </w:p>
                        <w:p w14:paraId="16F312E8" w14:textId="77777777" w:rsidR="00314820" w:rsidRDefault="00BE3257">
                          <w:pPr>
                            <w:pStyle w:val="StandaardReferentiegegevensKop"/>
                          </w:pPr>
                          <w:r>
                            <w:t>Ons kenmerk</w:t>
                          </w:r>
                        </w:p>
                        <w:p w14:paraId="06290F2C" w14:textId="77777777" w:rsidR="003860FF" w:rsidRDefault="00240881">
                          <w:pPr>
                            <w:pStyle w:val="StandaardReferentiegegevens"/>
                          </w:pPr>
                          <w:r>
                            <w:fldChar w:fldCharType="begin"/>
                          </w:r>
                          <w:r>
                            <w:instrText xml:space="preserve"> DOCPROPERTY  "Kenmerk"  \* MERGEFORMAT </w:instrText>
                          </w:r>
                          <w:r>
                            <w:fldChar w:fldCharType="separate"/>
                          </w:r>
                          <w:r>
                            <w:t>2025-0000034635</w:t>
                          </w:r>
                          <w:r>
                            <w:fldChar w:fldCharType="end"/>
                          </w:r>
                        </w:p>
                      </w:txbxContent>
                    </wps:txbx>
                    <wps:bodyPr vert="horz" wrap="square" lIns="0" tIns="0" rIns="0" bIns="0" anchor="t" anchorCtr="0"/>
                  </wps:wsp>
                </a:graphicData>
              </a:graphic>
            </wp:anchor>
          </w:drawing>
        </mc:Choice>
        <mc:Fallback>
          <w:pict>
            <v:shapetype w14:anchorId="37028D5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A945D92" w14:textId="77777777" w:rsidR="00314820" w:rsidRDefault="00BE3257">
                    <w:pPr>
                      <w:pStyle w:val="StandaardReferentiegegevensKop"/>
                    </w:pPr>
                    <w:r>
                      <w:t>Directie Buitenlandse Financiële Betrekkingen</w:t>
                    </w:r>
                  </w:p>
                  <w:p w14:paraId="38D6792A" w14:textId="77777777" w:rsidR="00314820" w:rsidRDefault="00314820">
                    <w:pPr>
                      <w:pStyle w:val="WitregelW1"/>
                    </w:pPr>
                  </w:p>
                  <w:p w14:paraId="16F312E8" w14:textId="77777777" w:rsidR="00314820" w:rsidRDefault="00BE3257">
                    <w:pPr>
                      <w:pStyle w:val="StandaardReferentiegegevensKop"/>
                    </w:pPr>
                    <w:r>
                      <w:t>Ons kenmerk</w:t>
                    </w:r>
                  </w:p>
                  <w:p w14:paraId="06290F2C" w14:textId="77777777" w:rsidR="003860FF" w:rsidRDefault="00240881">
                    <w:pPr>
                      <w:pStyle w:val="StandaardReferentiegegevens"/>
                    </w:pPr>
                    <w:r>
                      <w:fldChar w:fldCharType="begin"/>
                    </w:r>
                    <w:r>
                      <w:instrText xml:space="preserve"> DOCPROPERTY  "Kenmerk"  \* MERGEFORMAT </w:instrText>
                    </w:r>
                    <w:r>
                      <w:fldChar w:fldCharType="separate"/>
                    </w:r>
                    <w:r>
                      <w:t>2025-0000034635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128D4E6" wp14:editId="667C41E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74D32A0" w14:textId="77777777" w:rsidR="003860FF" w:rsidRDefault="0024088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128D4E6"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74D32A0" w14:textId="77777777" w:rsidR="003860FF" w:rsidRDefault="0024088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F976FD" wp14:editId="48569E9A">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33A6322" w14:textId="77777777" w:rsidR="003860FF" w:rsidRDefault="0024088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7F976F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33A6322" w14:textId="77777777" w:rsidR="003860FF" w:rsidRDefault="0024088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A56BE" w14:textId="77777777" w:rsidR="00314820" w:rsidRDefault="00BE3257">
    <w:pPr>
      <w:spacing w:after="7029" w:line="14" w:lineRule="exact"/>
    </w:pPr>
    <w:r>
      <w:rPr>
        <w:noProof/>
      </w:rPr>
      <mc:AlternateContent>
        <mc:Choice Requires="wps">
          <w:drawing>
            <wp:anchor distT="0" distB="0" distL="0" distR="0" simplePos="0" relativeHeight="251655168" behindDoc="0" locked="1" layoutInCell="1" allowOverlap="1" wp14:anchorId="3E0F59DB" wp14:editId="6DF6ED37">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88E2FD7" w14:textId="77777777" w:rsidR="00314820" w:rsidRDefault="00BE3257">
                          <w:pPr>
                            <w:spacing w:line="240" w:lineRule="auto"/>
                          </w:pPr>
                          <w:r>
                            <w:rPr>
                              <w:noProof/>
                            </w:rPr>
                            <w:drawing>
                              <wp:inline distT="0" distB="0" distL="0" distR="0" wp14:anchorId="536C7DEE" wp14:editId="0427EE2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E0F59D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88E2FD7" w14:textId="77777777" w:rsidR="00314820" w:rsidRDefault="00BE3257">
                    <w:pPr>
                      <w:spacing w:line="240" w:lineRule="auto"/>
                    </w:pPr>
                    <w:r>
                      <w:rPr>
                        <w:noProof/>
                      </w:rPr>
                      <w:drawing>
                        <wp:inline distT="0" distB="0" distL="0" distR="0" wp14:anchorId="536C7DEE" wp14:editId="0427EE2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4F73BD6" wp14:editId="0BBF471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AB73D3F" w14:textId="77777777" w:rsidR="00BE3257" w:rsidRDefault="00BE3257"/>
                      </w:txbxContent>
                    </wps:txbx>
                    <wps:bodyPr vert="horz" wrap="square" lIns="0" tIns="0" rIns="0" bIns="0" anchor="t" anchorCtr="0"/>
                  </wps:wsp>
                </a:graphicData>
              </a:graphic>
            </wp:anchor>
          </w:drawing>
        </mc:Choice>
        <mc:Fallback>
          <w:pict>
            <v:shape w14:anchorId="34F73BD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AB73D3F" w14:textId="77777777" w:rsidR="00BE3257" w:rsidRDefault="00BE3257"/>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17796D" wp14:editId="539A214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23D253F" w14:textId="77777777" w:rsidR="00314820" w:rsidRDefault="00BE3257">
                          <w:pPr>
                            <w:pStyle w:val="StandaardReferentiegegevensKop"/>
                          </w:pPr>
                          <w:r>
                            <w:t>Directie Buitenlandse Financiële Betrekkingen</w:t>
                          </w:r>
                        </w:p>
                        <w:p w14:paraId="2ECAC9F7" w14:textId="77777777" w:rsidR="00314820" w:rsidRDefault="00314820">
                          <w:pPr>
                            <w:pStyle w:val="WitregelW1"/>
                          </w:pPr>
                        </w:p>
                        <w:p w14:paraId="34B2C7BF" w14:textId="77777777" w:rsidR="00314820" w:rsidRDefault="00BE3257">
                          <w:pPr>
                            <w:pStyle w:val="StandaardReferentiegegevens"/>
                          </w:pPr>
                          <w:r>
                            <w:t>Korte Voorhout 7</w:t>
                          </w:r>
                        </w:p>
                        <w:p w14:paraId="49A5BB02" w14:textId="77777777" w:rsidR="00314820" w:rsidRDefault="00BE3257">
                          <w:pPr>
                            <w:pStyle w:val="StandaardReferentiegegevens"/>
                          </w:pPr>
                          <w:r>
                            <w:t>2511 CW  'S-GRAVENHAGE</w:t>
                          </w:r>
                        </w:p>
                        <w:p w14:paraId="760426A5" w14:textId="77777777" w:rsidR="00314820" w:rsidRDefault="00BE3257">
                          <w:pPr>
                            <w:pStyle w:val="StandaardReferentiegegevens"/>
                          </w:pPr>
                          <w:r>
                            <w:t>POSTBUS 20201</w:t>
                          </w:r>
                        </w:p>
                        <w:p w14:paraId="184B8FDD" w14:textId="77777777" w:rsidR="00314820" w:rsidRDefault="00BE3257">
                          <w:pPr>
                            <w:pStyle w:val="StandaardReferentiegegevens"/>
                          </w:pPr>
                          <w:r>
                            <w:t>2500 EE  'S-GRAVENHAGE</w:t>
                          </w:r>
                        </w:p>
                        <w:p w14:paraId="25DAD7F2" w14:textId="77777777" w:rsidR="00314820" w:rsidRDefault="00BE3257">
                          <w:pPr>
                            <w:pStyle w:val="StandaardReferentiegegevens"/>
                          </w:pPr>
                          <w:r>
                            <w:t>www.rijksoverheid.nl/fin</w:t>
                          </w:r>
                        </w:p>
                        <w:p w14:paraId="579B1D67" w14:textId="77777777" w:rsidR="00314820" w:rsidRDefault="00314820">
                          <w:pPr>
                            <w:pStyle w:val="WitregelW2"/>
                          </w:pPr>
                        </w:p>
                        <w:p w14:paraId="74C3E4FC" w14:textId="77777777" w:rsidR="00314820" w:rsidRDefault="00BE3257">
                          <w:pPr>
                            <w:pStyle w:val="StandaardReferentiegegevensKop"/>
                          </w:pPr>
                          <w:r>
                            <w:t>Ons kenmerk</w:t>
                          </w:r>
                        </w:p>
                        <w:p w14:paraId="1A349F52" w14:textId="77777777" w:rsidR="003860FF" w:rsidRDefault="00240881">
                          <w:pPr>
                            <w:pStyle w:val="StandaardReferentiegegevens"/>
                          </w:pPr>
                          <w:r>
                            <w:fldChar w:fldCharType="begin"/>
                          </w:r>
                          <w:r>
                            <w:instrText xml:space="preserve"> DOCPROPERTY  "Kenmerk"  \* MERGEFORMAT </w:instrText>
                          </w:r>
                          <w:r>
                            <w:fldChar w:fldCharType="separate"/>
                          </w:r>
                          <w:r>
                            <w:t>2025-0000034635</w:t>
                          </w:r>
                          <w:r>
                            <w:fldChar w:fldCharType="end"/>
                          </w:r>
                        </w:p>
                        <w:p w14:paraId="6FD0C55B" w14:textId="77777777" w:rsidR="00314820" w:rsidRDefault="00314820">
                          <w:pPr>
                            <w:pStyle w:val="WitregelW1"/>
                          </w:pPr>
                        </w:p>
                        <w:p w14:paraId="37303995" w14:textId="77777777" w:rsidR="00314820" w:rsidRDefault="00BE3257">
                          <w:pPr>
                            <w:pStyle w:val="StandaardReferentiegegevensKop"/>
                          </w:pPr>
                          <w:r>
                            <w:t>Uw brief (kenmerk)</w:t>
                          </w:r>
                        </w:p>
                        <w:p w14:paraId="501DD6FB" w14:textId="77777777" w:rsidR="003860FF" w:rsidRDefault="00240881">
                          <w:pPr>
                            <w:pStyle w:val="StandaardReferentiegegevens"/>
                          </w:pPr>
                          <w:r>
                            <w:fldChar w:fldCharType="begin"/>
                          </w:r>
                          <w:r>
                            <w:instrText xml:space="preserve"> DOCPROPERTY  "UwKenmerk"  \* MERGEFORMAT </w:instrText>
                          </w:r>
                          <w:r>
                            <w:fldChar w:fldCharType="end"/>
                          </w:r>
                        </w:p>
                        <w:p w14:paraId="23CD2A76" w14:textId="77777777" w:rsidR="00314820" w:rsidRDefault="00314820">
                          <w:pPr>
                            <w:pStyle w:val="WitregelW1"/>
                          </w:pPr>
                        </w:p>
                        <w:p w14:paraId="10E2AB17" w14:textId="77777777" w:rsidR="00314820" w:rsidRDefault="00BE3257">
                          <w:pPr>
                            <w:pStyle w:val="StandaardReferentiegegevensKop"/>
                          </w:pPr>
                          <w:r>
                            <w:t>Bijlagen</w:t>
                          </w:r>
                        </w:p>
                        <w:p w14:paraId="62CA4A00" w14:textId="77777777" w:rsidR="00314820" w:rsidRDefault="00BE3257">
                          <w:pPr>
                            <w:pStyle w:val="StandaardReferentiegegevens"/>
                          </w:pPr>
                          <w:r>
                            <w:t>(geen)</w:t>
                          </w:r>
                        </w:p>
                      </w:txbxContent>
                    </wps:txbx>
                    <wps:bodyPr vert="horz" wrap="square" lIns="0" tIns="0" rIns="0" bIns="0" anchor="t" anchorCtr="0"/>
                  </wps:wsp>
                </a:graphicData>
              </a:graphic>
            </wp:anchor>
          </w:drawing>
        </mc:Choice>
        <mc:Fallback>
          <w:pict>
            <v:shape w14:anchorId="4417796D"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23D253F" w14:textId="77777777" w:rsidR="00314820" w:rsidRDefault="00BE3257">
                    <w:pPr>
                      <w:pStyle w:val="StandaardReferentiegegevensKop"/>
                    </w:pPr>
                    <w:r>
                      <w:t>Directie Buitenlandse Financiële Betrekkingen</w:t>
                    </w:r>
                  </w:p>
                  <w:p w14:paraId="2ECAC9F7" w14:textId="77777777" w:rsidR="00314820" w:rsidRDefault="00314820">
                    <w:pPr>
                      <w:pStyle w:val="WitregelW1"/>
                    </w:pPr>
                  </w:p>
                  <w:p w14:paraId="34B2C7BF" w14:textId="77777777" w:rsidR="00314820" w:rsidRDefault="00BE3257">
                    <w:pPr>
                      <w:pStyle w:val="StandaardReferentiegegevens"/>
                    </w:pPr>
                    <w:r>
                      <w:t>Korte Voorhout 7</w:t>
                    </w:r>
                  </w:p>
                  <w:p w14:paraId="49A5BB02" w14:textId="77777777" w:rsidR="00314820" w:rsidRDefault="00BE3257">
                    <w:pPr>
                      <w:pStyle w:val="StandaardReferentiegegevens"/>
                    </w:pPr>
                    <w:r>
                      <w:t>2511 CW  'S-GRAVENHAGE</w:t>
                    </w:r>
                  </w:p>
                  <w:p w14:paraId="760426A5" w14:textId="77777777" w:rsidR="00314820" w:rsidRDefault="00BE3257">
                    <w:pPr>
                      <w:pStyle w:val="StandaardReferentiegegevens"/>
                    </w:pPr>
                    <w:r>
                      <w:t>POSTBUS 20201</w:t>
                    </w:r>
                  </w:p>
                  <w:p w14:paraId="184B8FDD" w14:textId="77777777" w:rsidR="00314820" w:rsidRDefault="00BE3257">
                    <w:pPr>
                      <w:pStyle w:val="StandaardReferentiegegevens"/>
                    </w:pPr>
                    <w:r>
                      <w:t>2500 EE  'S-GRAVENHAGE</w:t>
                    </w:r>
                  </w:p>
                  <w:p w14:paraId="25DAD7F2" w14:textId="77777777" w:rsidR="00314820" w:rsidRDefault="00BE3257">
                    <w:pPr>
                      <w:pStyle w:val="StandaardReferentiegegevens"/>
                    </w:pPr>
                    <w:r>
                      <w:t>www.rijksoverheid.nl/fin</w:t>
                    </w:r>
                  </w:p>
                  <w:p w14:paraId="579B1D67" w14:textId="77777777" w:rsidR="00314820" w:rsidRDefault="00314820">
                    <w:pPr>
                      <w:pStyle w:val="WitregelW2"/>
                    </w:pPr>
                  </w:p>
                  <w:p w14:paraId="74C3E4FC" w14:textId="77777777" w:rsidR="00314820" w:rsidRDefault="00BE3257">
                    <w:pPr>
                      <w:pStyle w:val="StandaardReferentiegegevensKop"/>
                    </w:pPr>
                    <w:r>
                      <w:t>Ons kenmerk</w:t>
                    </w:r>
                  </w:p>
                  <w:p w14:paraId="1A349F52" w14:textId="77777777" w:rsidR="003860FF" w:rsidRDefault="00240881">
                    <w:pPr>
                      <w:pStyle w:val="StandaardReferentiegegevens"/>
                    </w:pPr>
                    <w:r>
                      <w:fldChar w:fldCharType="begin"/>
                    </w:r>
                    <w:r>
                      <w:instrText xml:space="preserve"> DOCPROPERTY  "Kenmerk"  \* MERGEFORMAT </w:instrText>
                    </w:r>
                    <w:r>
                      <w:fldChar w:fldCharType="separate"/>
                    </w:r>
                    <w:r>
                      <w:t>2025-0000034635</w:t>
                    </w:r>
                    <w:r>
                      <w:fldChar w:fldCharType="end"/>
                    </w:r>
                  </w:p>
                  <w:p w14:paraId="6FD0C55B" w14:textId="77777777" w:rsidR="00314820" w:rsidRDefault="00314820">
                    <w:pPr>
                      <w:pStyle w:val="WitregelW1"/>
                    </w:pPr>
                  </w:p>
                  <w:p w14:paraId="37303995" w14:textId="77777777" w:rsidR="00314820" w:rsidRDefault="00BE3257">
                    <w:pPr>
                      <w:pStyle w:val="StandaardReferentiegegevensKop"/>
                    </w:pPr>
                    <w:r>
                      <w:t>Uw brief (kenmerk)</w:t>
                    </w:r>
                  </w:p>
                  <w:p w14:paraId="501DD6FB" w14:textId="77777777" w:rsidR="003860FF" w:rsidRDefault="00240881">
                    <w:pPr>
                      <w:pStyle w:val="StandaardReferentiegegevens"/>
                    </w:pPr>
                    <w:r>
                      <w:fldChar w:fldCharType="begin"/>
                    </w:r>
                    <w:r>
                      <w:instrText xml:space="preserve"> DOCPROPERTY  "UwKenmerk"  \* MERGEFORMAT </w:instrText>
                    </w:r>
                    <w:r>
                      <w:fldChar w:fldCharType="end"/>
                    </w:r>
                  </w:p>
                  <w:p w14:paraId="23CD2A76" w14:textId="77777777" w:rsidR="00314820" w:rsidRDefault="00314820">
                    <w:pPr>
                      <w:pStyle w:val="WitregelW1"/>
                    </w:pPr>
                  </w:p>
                  <w:p w14:paraId="10E2AB17" w14:textId="77777777" w:rsidR="00314820" w:rsidRDefault="00BE3257">
                    <w:pPr>
                      <w:pStyle w:val="StandaardReferentiegegevensKop"/>
                    </w:pPr>
                    <w:r>
                      <w:t>Bijlagen</w:t>
                    </w:r>
                  </w:p>
                  <w:p w14:paraId="62CA4A00" w14:textId="77777777" w:rsidR="00314820" w:rsidRDefault="00BE3257">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FBF3CA" wp14:editId="0EC47968">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85B6391" w14:textId="77777777" w:rsidR="00314820" w:rsidRDefault="00BE325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AFBF3C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85B6391" w14:textId="77777777" w:rsidR="00314820" w:rsidRDefault="00BE3257">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2724946" wp14:editId="1571C8A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FA24020" w14:textId="77777777" w:rsidR="003860FF" w:rsidRDefault="00240881">
                          <w:pPr>
                            <w:pStyle w:val="Rubricering"/>
                          </w:pPr>
                          <w:r>
                            <w:fldChar w:fldCharType="begin"/>
                          </w:r>
                          <w:r>
                            <w:instrText xml:space="preserve"> DOCPROPERTY  "Rubricering"  \* MERGEFORMAT </w:instrText>
                          </w:r>
                          <w:r>
                            <w:fldChar w:fldCharType="end"/>
                          </w:r>
                        </w:p>
                        <w:p w14:paraId="3E83029D" w14:textId="77777777" w:rsidR="00314820" w:rsidRDefault="00BE3257">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2272494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FA24020" w14:textId="77777777" w:rsidR="003860FF" w:rsidRDefault="00240881">
                    <w:pPr>
                      <w:pStyle w:val="Rubricering"/>
                    </w:pPr>
                    <w:r>
                      <w:fldChar w:fldCharType="begin"/>
                    </w:r>
                    <w:r>
                      <w:instrText xml:space="preserve"> DOCPROPERTY  "Rubricering"  \* MERGEFORMAT </w:instrText>
                    </w:r>
                    <w:r>
                      <w:fldChar w:fldCharType="end"/>
                    </w:r>
                  </w:p>
                  <w:p w14:paraId="3E83029D" w14:textId="77777777" w:rsidR="00314820" w:rsidRDefault="00BE3257">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92AF69F" wp14:editId="104410B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5CB79C7" w14:textId="77777777" w:rsidR="003860FF" w:rsidRDefault="0024088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92AF69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5CB79C7" w14:textId="77777777" w:rsidR="003860FF" w:rsidRDefault="0024088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415BD3" wp14:editId="4C6C7B5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4820" w14:paraId="32671D07" w14:textId="77777777">
                            <w:trPr>
                              <w:trHeight w:val="200"/>
                            </w:trPr>
                            <w:tc>
                              <w:tcPr>
                                <w:tcW w:w="1140" w:type="dxa"/>
                              </w:tcPr>
                              <w:p w14:paraId="784BC863" w14:textId="77777777" w:rsidR="00314820" w:rsidRDefault="00314820"/>
                            </w:tc>
                            <w:tc>
                              <w:tcPr>
                                <w:tcW w:w="5400" w:type="dxa"/>
                              </w:tcPr>
                              <w:p w14:paraId="0E5372C8" w14:textId="77777777" w:rsidR="00314820" w:rsidRDefault="00314820"/>
                            </w:tc>
                          </w:tr>
                          <w:tr w:rsidR="00314820" w14:paraId="60EE0CEB" w14:textId="77777777">
                            <w:trPr>
                              <w:trHeight w:val="240"/>
                            </w:trPr>
                            <w:tc>
                              <w:tcPr>
                                <w:tcW w:w="1140" w:type="dxa"/>
                              </w:tcPr>
                              <w:p w14:paraId="38D15C20" w14:textId="77777777" w:rsidR="00314820" w:rsidRDefault="00BE3257">
                                <w:r>
                                  <w:t>Datum</w:t>
                                </w:r>
                              </w:p>
                            </w:tc>
                            <w:tc>
                              <w:tcPr>
                                <w:tcW w:w="5400" w:type="dxa"/>
                              </w:tcPr>
                              <w:p w14:paraId="52C81582" w14:textId="7B156B2A" w:rsidR="00314820" w:rsidRDefault="00240881">
                                <w:r>
                                  <w:t>10 februari 2025</w:t>
                                </w:r>
                              </w:p>
                            </w:tc>
                          </w:tr>
                          <w:tr w:rsidR="00314820" w14:paraId="2CFEDFC7" w14:textId="77777777">
                            <w:trPr>
                              <w:trHeight w:val="240"/>
                            </w:trPr>
                            <w:tc>
                              <w:tcPr>
                                <w:tcW w:w="1140" w:type="dxa"/>
                              </w:tcPr>
                              <w:p w14:paraId="27727468" w14:textId="77777777" w:rsidR="00314820" w:rsidRDefault="00BE3257">
                                <w:r>
                                  <w:t>Betreft</w:t>
                                </w:r>
                              </w:p>
                            </w:tc>
                            <w:tc>
                              <w:tcPr>
                                <w:tcW w:w="5400" w:type="dxa"/>
                              </w:tcPr>
                              <w:p w14:paraId="6CE875DF" w14:textId="77777777" w:rsidR="003860FF" w:rsidRDefault="00240881">
                                <w:r>
                                  <w:fldChar w:fldCharType="begin"/>
                                </w:r>
                                <w:r>
                                  <w:instrText xml:space="preserve"> DOCPROPERTY  "Onderwerp"  \* MERGEFORMAT </w:instrText>
                                </w:r>
                                <w:r>
                                  <w:fldChar w:fldCharType="separate"/>
                                </w:r>
                                <w:r>
                                  <w:t>Nacalculatie EU-afdrachten</w:t>
                                </w:r>
                                <w:r>
                                  <w:fldChar w:fldCharType="end"/>
                                </w:r>
                              </w:p>
                            </w:tc>
                          </w:tr>
                          <w:tr w:rsidR="00314820" w14:paraId="6FD238E7" w14:textId="77777777">
                            <w:trPr>
                              <w:trHeight w:val="200"/>
                            </w:trPr>
                            <w:tc>
                              <w:tcPr>
                                <w:tcW w:w="1140" w:type="dxa"/>
                              </w:tcPr>
                              <w:p w14:paraId="48DBA132" w14:textId="77777777" w:rsidR="00314820" w:rsidRDefault="00314820"/>
                            </w:tc>
                            <w:tc>
                              <w:tcPr>
                                <w:tcW w:w="4738" w:type="dxa"/>
                              </w:tcPr>
                              <w:p w14:paraId="2CC3D514" w14:textId="77777777" w:rsidR="00314820" w:rsidRDefault="00314820"/>
                            </w:tc>
                          </w:tr>
                        </w:tbl>
                        <w:p w14:paraId="6EDDF18C" w14:textId="77777777" w:rsidR="00BE3257" w:rsidRDefault="00BE3257"/>
                      </w:txbxContent>
                    </wps:txbx>
                    <wps:bodyPr vert="horz" wrap="square" lIns="0" tIns="0" rIns="0" bIns="0" anchor="t" anchorCtr="0"/>
                  </wps:wsp>
                </a:graphicData>
              </a:graphic>
            </wp:anchor>
          </w:drawing>
        </mc:Choice>
        <mc:Fallback>
          <w:pict>
            <v:shape w14:anchorId="1E415BD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14820" w14:paraId="32671D07" w14:textId="77777777">
                      <w:trPr>
                        <w:trHeight w:val="200"/>
                      </w:trPr>
                      <w:tc>
                        <w:tcPr>
                          <w:tcW w:w="1140" w:type="dxa"/>
                        </w:tcPr>
                        <w:p w14:paraId="784BC863" w14:textId="77777777" w:rsidR="00314820" w:rsidRDefault="00314820"/>
                      </w:tc>
                      <w:tc>
                        <w:tcPr>
                          <w:tcW w:w="5400" w:type="dxa"/>
                        </w:tcPr>
                        <w:p w14:paraId="0E5372C8" w14:textId="77777777" w:rsidR="00314820" w:rsidRDefault="00314820"/>
                      </w:tc>
                    </w:tr>
                    <w:tr w:rsidR="00314820" w14:paraId="60EE0CEB" w14:textId="77777777">
                      <w:trPr>
                        <w:trHeight w:val="240"/>
                      </w:trPr>
                      <w:tc>
                        <w:tcPr>
                          <w:tcW w:w="1140" w:type="dxa"/>
                        </w:tcPr>
                        <w:p w14:paraId="38D15C20" w14:textId="77777777" w:rsidR="00314820" w:rsidRDefault="00BE3257">
                          <w:r>
                            <w:t>Datum</w:t>
                          </w:r>
                        </w:p>
                      </w:tc>
                      <w:tc>
                        <w:tcPr>
                          <w:tcW w:w="5400" w:type="dxa"/>
                        </w:tcPr>
                        <w:p w14:paraId="52C81582" w14:textId="7B156B2A" w:rsidR="00314820" w:rsidRDefault="00240881">
                          <w:r>
                            <w:t>10 februari 2025</w:t>
                          </w:r>
                        </w:p>
                      </w:tc>
                    </w:tr>
                    <w:tr w:rsidR="00314820" w14:paraId="2CFEDFC7" w14:textId="77777777">
                      <w:trPr>
                        <w:trHeight w:val="240"/>
                      </w:trPr>
                      <w:tc>
                        <w:tcPr>
                          <w:tcW w:w="1140" w:type="dxa"/>
                        </w:tcPr>
                        <w:p w14:paraId="27727468" w14:textId="77777777" w:rsidR="00314820" w:rsidRDefault="00BE3257">
                          <w:r>
                            <w:t>Betreft</w:t>
                          </w:r>
                        </w:p>
                      </w:tc>
                      <w:tc>
                        <w:tcPr>
                          <w:tcW w:w="5400" w:type="dxa"/>
                        </w:tcPr>
                        <w:p w14:paraId="6CE875DF" w14:textId="77777777" w:rsidR="003860FF" w:rsidRDefault="00240881">
                          <w:r>
                            <w:fldChar w:fldCharType="begin"/>
                          </w:r>
                          <w:r>
                            <w:instrText xml:space="preserve"> DOCPROPERTY  "Onderwerp"  \* MERGEFORMAT </w:instrText>
                          </w:r>
                          <w:r>
                            <w:fldChar w:fldCharType="separate"/>
                          </w:r>
                          <w:r>
                            <w:t>Nacalculatie EU-afdrachten</w:t>
                          </w:r>
                          <w:r>
                            <w:fldChar w:fldCharType="end"/>
                          </w:r>
                        </w:p>
                      </w:tc>
                    </w:tr>
                    <w:tr w:rsidR="00314820" w14:paraId="6FD238E7" w14:textId="77777777">
                      <w:trPr>
                        <w:trHeight w:val="200"/>
                      </w:trPr>
                      <w:tc>
                        <w:tcPr>
                          <w:tcW w:w="1140" w:type="dxa"/>
                        </w:tcPr>
                        <w:p w14:paraId="48DBA132" w14:textId="77777777" w:rsidR="00314820" w:rsidRDefault="00314820"/>
                      </w:tc>
                      <w:tc>
                        <w:tcPr>
                          <w:tcW w:w="4738" w:type="dxa"/>
                        </w:tcPr>
                        <w:p w14:paraId="2CC3D514" w14:textId="77777777" w:rsidR="00314820" w:rsidRDefault="00314820"/>
                      </w:tc>
                    </w:tr>
                  </w:tbl>
                  <w:p w14:paraId="6EDDF18C" w14:textId="77777777" w:rsidR="00BE3257" w:rsidRDefault="00BE3257"/>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8C51365" wp14:editId="3B85F28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62F32B3" w14:textId="77777777" w:rsidR="003860FF" w:rsidRDefault="0024088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8C51365"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62F32B3" w14:textId="77777777" w:rsidR="003860FF" w:rsidRDefault="00240881">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CB5904A" wp14:editId="7C6D34A8">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D7C6FCC" w14:textId="77777777" w:rsidR="00BE3257" w:rsidRDefault="00BE3257"/>
                      </w:txbxContent>
                    </wps:txbx>
                    <wps:bodyPr vert="horz" wrap="square" lIns="0" tIns="0" rIns="0" bIns="0" anchor="t" anchorCtr="0"/>
                  </wps:wsp>
                </a:graphicData>
              </a:graphic>
            </wp:anchor>
          </w:drawing>
        </mc:Choice>
        <mc:Fallback>
          <w:pict>
            <v:shape w14:anchorId="1CB5904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D7C6FCC" w14:textId="77777777" w:rsidR="00BE3257" w:rsidRDefault="00BE325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AFBB7A"/>
    <w:multiLevelType w:val="multilevel"/>
    <w:tmpl w:val="4635CA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E470338"/>
    <w:multiLevelType w:val="multilevel"/>
    <w:tmpl w:val="2726140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55CBB17"/>
    <w:multiLevelType w:val="multilevel"/>
    <w:tmpl w:val="210758C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EBBF2D"/>
    <w:multiLevelType w:val="multilevel"/>
    <w:tmpl w:val="3D909EE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25E42"/>
    <w:multiLevelType w:val="multilevel"/>
    <w:tmpl w:val="4FBFC4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EB35F6"/>
    <w:multiLevelType w:val="multilevel"/>
    <w:tmpl w:val="9DC77F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7106877">
    <w:abstractNumId w:val="1"/>
  </w:num>
  <w:num w:numId="2" w16cid:durableId="294994702">
    <w:abstractNumId w:val="3"/>
  </w:num>
  <w:num w:numId="3" w16cid:durableId="586353699">
    <w:abstractNumId w:val="0"/>
  </w:num>
  <w:num w:numId="4" w16cid:durableId="347679542">
    <w:abstractNumId w:val="5"/>
  </w:num>
  <w:num w:numId="5" w16cid:durableId="1883856260">
    <w:abstractNumId w:val="2"/>
  </w:num>
  <w:num w:numId="6" w16cid:durableId="452209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20"/>
    <w:rsid w:val="0002051F"/>
    <w:rsid w:val="00071F13"/>
    <w:rsid w:val="002019CC"/>
    <w:rsid w:val="002056C9"/>
    <w:rsid w:val="00240881"/>
    <w:rsid w:val="00314820"/>
    <w:rsid w:val="003860FF"/>
    <w:rsid w:val="004D5B7E"/>
    <w:rsid w:val="00513678"/>
    <w:rsid w:val="0055213C"/>
    <w:rsid w:val="00575F11"/>
    <w:rsid w:val="007D7B6F"/>
    <w:rsid w:val="008E51C8"/>
    <w:rsid w:val="008F6CA0"/>
    <w:rsid w:val="00976D19"/>
    <w:rsid w:val="00A3481E"/>
    <w:rsid w:val="00BE3257"/>
    <w:rsid w:val="00BE34B0"/>
    <w:rsid w:val="00C06E42"/>
    <w:rsid w:val="00DB7E0A"/>
    <w:rsid w:val="00E4269D"/>
    <w:rsid w:val="00FC7C22"/>
    <w:rsid w:val="00FE7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3177855"/>
  <w15:docId w15:val="{AF2C9A8B-3616-48F7-9513-21FD876E4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qFormat/>
    <w:rsid w:val="00BE3257"/>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BE3257"/>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qFormat/>
    <w:rsid w:val="00BE3257"/>
    <w:rPr>
      <w:vertAlign w:val="superscript"/>
    </w:rPr>
  </w:style>
  <w:style w:type="paragraph" w:styleId="Koptekst">
    <w:name w:val="header"/>
    <w:basedOn w:val="Standaard"/>
    <w:link w:val="KoptekstChar"/>
    <w:uiPriority w:val="99"/>
    <w:unhideWhenUsed/>
    <w:rsid w:val="00BE325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E3257"/>
    <w:rPr>
      <w:rFonts w:ascii="Verdana" w:hAnsi="Verdana"/>
      <w:color w:val="000000"/>
      <w:sz w:val="18"/>
      <w:szCs w:val="18"/>
    </w:rPr>
  </w:style>
  <w:style w:type="paragraph" w:styleId="Voettekst">
    <w:name w:val="footer"/>
    <w:basedOn w:val="Standaard"/>
    <w:link w:val="VoettekstChar"/>
    <w:uiPriority w:val="99"/>
    <w:unhideWhenUsed/>
    <w:rsid w:val="00BE325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E3257"/>
    <w:rPr>
      <w:rFonts w:ascii="Verdana" w:hAnsi="Verdana"/>
      <w:color w:val="000000"/>
      <w:sz w:val="18"/>
      <w:szCs w:val="18"/>
    </w:rPr>
  </w:style>
  <w:style w:type="paragraph" w:styleId="Revisie">
    <w:name w:val="Revision"/>
    <w:hidden/>
    <w:uiPriority w:val="99"/>
    <w:semiHidden/>
    <w:rsid w:val="00FE7FC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77620">
      <w:bodyDiv w:val="1"/>
      <w:marLeft w:val="0"/>
      <w:marRight w:val="0"/>
      <w:marTop w:val="0"/>
      <w:marBottom w:val="0"/>
      <w:divBdr>
        <w:top w:val="none" w:sz="0" w:space="0" w:color="auto"/>
        <w:left w:val="none" w:sz="0" w:space="0" w:color="auto"/>
        <w:bottom w:val="none" w:sz="0" w:space="0" w:color="auto"/>
        <w:right w:val="none" w:sz="0" w:space="0" w:color="auto"/>
      </w:divBdr>
    </w:div>
    <w:div w:id="140132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2/09/kamerbrief-akkoord-europese-jaarbegroting-2025-en-informatie-over-de-aanstaande-nacalcula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1321</ap:Words>
  <ap:Characters>7266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Eerste of Tweede Kamer - Nacalculatie EU-afdrachten</vt:lpstr>
    </vt:vector>
  </ap:TitlesOfParts>
  <ap:LinksUpToDate>false</ap:LinksUpToDate>
  <ap:CharactersWithSpaces>8570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2025-02-10T11:31:00.0000000Z</dcterms:created>
  <dcterms:modified xsi:type="dcterms:W3CDTF">2025-02-10T11:31:00.0000000Z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Nacalculatie EU-afdrachten</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5 februari 2025</vt:lpwstr>
  </property>
  <property fmtid="{D5CDD505-2E9C-101B-9397-08002B2CF9AE}" pid="13" name="Opgesteld door, Naam">
    <vt:lpwstr/>
  </property>
  <property fmtid="{D5CDD505-2E9C-101B-9397-08002B2CF9AE}" pid="14" name="Opgesteld door, Telefoonnummer">
    <vt:lpwstr>088-4428853</vt:lpwstr>
  </property>
  <property fmtid="{D5CDD505-2E9C-101B-9397-08002B2CF9AE}" pid="15" name="Kenmerk">
    <vt:lpwstr>2025-0000034635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Nacalculatie EU-afdrachten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2025-02-05T13:27:14Z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c4b7b9d9-4e16-4a87-8fbe-7034c0528446</vt:lpwstr>
  </property>
  <property fmtid="{D5CDD505-2E9C-101B-9397-08002B2CF9AE}" pid="37" name="MSIP_Label_6800fede-0e59-47ad-af95-4e63bbdb932d_ContentBits">
    <vt:lpwstr>0</vt:lpwstr>
  </property>
</Properties>
</file>