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2025Z02394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februari 2025)</w:t>
        <w:br/>
      </w:r>
    </w:p>
    <w:p>
      <w:r>
        <w:t xml:space="preserve">Vragen van het lid Stultiens (GroenLinks-PvdA) aan de staatssecretaris van Financiën over vermogende Nederlanders die dividendbelasting ontwijken via drielandenpuntconstructies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Bent u bekend met het bericht 'Fiscus int €110 mln na doorprikken ‘dubbele verhuizing’ vermogende Nederlanders'? 1)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Kunt u aangeven hoe vaak er gebruik wordt gemaakt van dergelijke drielandenpuntconstructies, waarmee belasting wordt ontweken en nader toelichten hoe dergelijke constructies precies werken?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Wat is uw morele oordeel over belastingconstructies via het buitenland die ervoor zorgen dat miljonairs niet of nauwelijks dividendbelasting of vennootschapsbelasting betalen?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Klopt het dat er wel naheffingen, maar zelden boetes, worden opgelegd, omdat het hier gaat om een “pleitbaar standpunt”?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Welke wijzigingen zijn er wettelijk gezien nodig om dergelijke constructies wel te kunnen laten leiden tot een boete?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Welke beleidswijzigingen zijn er mogelijk voor de Kamer om de Belastingdienst meer ruimte te bieden om dergelijke constructies steviger aan te pakken?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Bent u bereid om zelf verdere stappen te ondernemen om deze belastingconstructies aan te pakken?</w:t>
      </w:r>
      <w:r>
        <w:br/>
      </w:r>
    </w:p>
    <w:p>
      <w:pPr>
        <w:pStyle w:val="ListParagraph"/>
        <w:numPr>
          <w:ilvl w:val="0"/>
          <w:numId w:val="100468070"/>
        </w:numPr>
        <w:ind w:left="360"/>
      </w:pPr>
      <w:r>
        <w:t>Zijn er andere agressieve belastingstructuren van rijke Nederlandse emigranten, die de Kamer verder zou kunnen inperken?</w:t>
      </w:r>
      <w:r>
        <w:br/>
      </w:r>
    </w:p>
    <w:p>
      <w:r>
        <w:t xml:space="preserve"> </w:t>
      </w:r>
      <w:r>
        <w:br/>
      </w:r>
    </w:p>
    <w:p>
      <w:r>
        <w:t xml:space="preserve">1) Financieele Dagblad, 6 februari 2025, Fiscus int €110 mln na doorprikken ‘dubbele verhuizing’ vermogende Nederlanders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