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2025Z02396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februari 2025)</w:t>
        <w:br/>
      </w:r>
    </w:p>
    <w:p>
      <w:r>
        <w:t xml:space="preserve">Vragen van het lid Saris (Nieuw Sociaal Contract) aan de minister van Sociale Zaken en Werkgelegenheid over het niet verlengen van de 60-plusmaatregel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Kunt u bevestigen dat de Kamer op 23 oktober 2024 is geïnformeerd over het niet verlengen van de 60-plusmaatregel? 1)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Kunt u bevestigen dat er in deze Kamerbrief geen voornemens worden geschetst om een alternatieve (en vergelijkbare) regeling uit te werken voor de 60-plusmaatregel?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Bent u bekend met de berichtgeving over de uitwerking van een zogenoemde ‘62+ regeling’? 2)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Wordt er op dit moment een regeling uitgewerkt voor of door het UWV die vergelijkbaar is met de eerdere 60-plusmaatregel?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Als er sprake is van de uitwerking van een dergelijke regeling, wanneer en op welke wijze is de Kamer geïnformeerd over deze voornemens?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Hoe wenselijk zou het volgens u zijn om mensen van 62 jaar en ouder in afwachting van een dergelijke regeling (tijdelijk) te weren van de WIA-beoordeling?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Wat zou het (tijdelijk) weren van mensen van 62 jaar en ouder van een WIA-beoordeling betekenen voor de inkomenszekerheid van deze groep?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Hoe zou het (tijdelijk) weren van mensen van 62 jaar en ouder van een WIA-beoordeling zich verhouden tot de toegang tot en het recht op een IVA-uitkering?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Zijn er regels of wetsgronden om (tijdelijk) onderscheid te maken op basis van leeftijd in de prioritering van WIA-aanvragen?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Kunt u ingaan op welke andere mogelijke maatregelen u overweegt om (op korte termijn) de druk op de uitvoering van het UWV te verlichten?</w:t>
      </w:r>
      <w:r>
        <w:br/>
      </w:r>
    </w:p>
    <w:p>
      <w:pPr>
        <w:pStyle w:val="ListParagraph"/>
        <w:numPr>
          <w:ilvl w:val="0"/>
          <w:numId w:val="100468130"/>
        </w:numPr>
        <w:ind w:left="360"/>
      </w:pPr>
      <w:r>
        <w:t>Kunt u deze vragen één voor éen beantwoorden voor het commissiedebat Arbeidsongeschiktheid op 18 februari?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8131"/>
        </w:numPr>
        <w:ind w:left="360"/>
      </w:pPr>
      <w:r>
        <w:t>Kamerstuk 26 448, nr. 788.</w:t>
      </w:r>
      <w:r>
        <w:br/>
      </w:r>
    </w:p>
    <w:p>
      <w:pPr>
        <w:pStyle w:val="ListParagraph"/>
        <w:numPr>
          <w:ilvl w:val="0"/>
          <w:numId w:val="100468131"/>
        </w:numPr>
        <w:ind w:left="360"/>
      </w:pPr>
      <w:r>
        <w:t>Post op LinkedIn: Casus: Het UWV zegt een geplande afspraak voor een WIA beoordeling tussen… | 47 commentaren.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