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12A5" w:rsidR="00E012A5" w:rsidRDefault="00440DC8" w14:paraId="4B880827" w14:textId="68DAC8D7">
      <w:pPr>
        <w:rPr>
          <w:rFonts w:ascii="Calibri" w:hAnsi="Calibri" w:cs="Calibri"/>
        </w:rPr>
      </w:pPr>
      <w:r w:rsidRPr="00E012A5">
        <w:rPr>
          <w:rFonts w:ascii="Calibri" w:hAnsi="Calibri" w:cs="Calibri"/>
        </w:rPr>
        <w:t>31</w:t>
      </w:r>
      <w:r w:rsidRPr="00E012A5" w:rsidR="00E012A5">
        <w:rPr>
          <w:rFonts w:ascii="Calibri" w:hAnsi="Calibri" w:cs="Calibri"/>
        </w:rPr>
        <w:t xml:space="preserve"> </w:t>
      </w:r>
      <w:r w:rsidRPr="00E012A5">
        <w:rPr>
          <w:rFonts w:ascii="Calibri" w:hAnsi="Calibri" w:cs="Calibri"/>
        </w:rPr>
        <w:t>305</w:t>
      </w:r>
      <w:r w:rsidRPr="00E012A5" w:rsidR="00E012A5">
        <w:rPr>
          <w:rFonts w:ascii="Calibri" w:hAnsi="Calibri" w:cs="Calibri"/>
        </w:rPr>
        <w:tab/>
      </w:r>
      <w:r w:rsidRPr="00E012A5" w:rsidR="00E012A5">
        <w:rPr>
          <w:rFonts w:ascii="Calibri" w:hAnsi="Calibri" w:cs="Calibri"/>
        </w:rPr>
        <w:tab/>
        <w:t>Mobiliteitsbeleid</w:t>
      </w:r>
    </w:p>
    <w:p w:rsidRPr="00E012A5" w:rsidR="00E012A5" w:rsidP="00E012A5" w:rsidRDefault="00E012A5" w14:paraId="5A13AFDA" w14:textId="2C57C51C">
      <w:pPr>
        <w:rPr>
          <w:rFonts w:ascii="Calibri" w:hAnsi="Calibri" w:cs="Calibri"/>
        </w:rPr>
      </w:pPr>
      <w:r w:rsidRPr="00E012A5">
        <w:rPr>
          <w:rFonts w:ascii="Calibri" w:hAnsi="Calibri" w:cs="Calibri"/>
        </w:rPr>
        <w:t>29</w:t>
      </w:r>
      <w:r w:rsidRPr="00E012A5">
        <w:rPr>
          <w:rFonts w:ascii="Calibri" w:hAnsi="Calibri" w:cs="Calibri"/>
        </w:rPr>
        <w:t xml:space="preserve"> </w:t>
      </w:r>
      <w:r w:rsidRPr="00E012A5">
        <w:rPr>
          <w:rFonts w:ascii="Calibri" w:hAnsi="Calibri" w:cs="Calibri"/>
        </w:rPr>
        <w:t>398</w:t>
      </w:r>
      <w:r w:rsidRPr="00E012A5">
        <w:rPr>
          <w:rFonts w:ascii="Calibri" w:hAnsi="Calibri" w:cs="Calibri"/>
        </w:rPr>
        <w:tab/>
      </w:r>
      <w:r w:rsidRPr="00E012A5">
        <w:rPr>
          <w:rFonts w:ascii="Calibri" w:hAnsi="Calibri" w:cs="Calibri"/>
        </w:rPr>
        <w:tab/>
        <w:t>Maatregelen verkeersveiligheid</w:t>
      </w:r>
    </w:p>
    <w:p w:rsidRPr="00E012A5" w:rsidR="00E012A5" w:rsidP="004474D9" w:rsidRDefault="00E012A5" w14:paraId="0A2367D2" w14:textId="77777777">
      <w:pPr>
        <w:rPr>
          <w:rFonts w:ascii="Calibri" w:hAnsi="Calibri" w:cs="Calibri"/>
          <w:color w:val="000000"/>
        </w:rPr>
      </w:pPr>
      <w:r w:rsidRPr="00E012A5">
        <w:rPr>
          <w:rFonts w:ascii="Calibri" w:hAnsi="Calibri" w:cs="Calibri"/>
        </w:rPr>
        <w:t xml:space="preserve">Nr. </w:t>
      </w:r>
      <w:r w:rsidRPr="00E012A5" w:rsidR="00440DC8">
        <w:rPr>
          <w:rFonts w:ascii="Calibri" w:hAnsi="Calibri" w:cs="Calibri"/>
        </w:rPr>
        <w:t>487</w:t>
      </w:r>
      <w:r w:rsidRPr="00E012A5">
        <w:rPr>
          <w:rFonts w:ascii="Calibri" w:hAnsi="Calibri" w:cs="Calibri"/>
        </w:rPr>
        <w:tab/>
      </w:r>
      <w:r w:rsidRPr="00E012A5">
        <w:rPr>
          <w:rFonts w:ascii="Calibri" w:hAnsi="Calibri" w:cs="Calibri"/>
        </w:rPr>
        <w:tab/>
        <w:t>Brief van de minister van Infrastructuur en Waterstaat</w:t>
      </w:r>
    </w:p>
    <w:p w:rsidRPr="00E012A5" w:rsidR="00440DC8" w:rsidP="00440DC8" w:rsidRDefault="00E012A5" w14:paraId="0FB52468" w14:textId="329ABE61">
      <w:pPr>
        <w:autoSpaceDE w:val="0"/>
        <w:adjustRightInd w:val="0"/>
        <w:rPr>
          <w:rFonts w:ascii="Calibri" w:hAnsi="Calibri" w:cs="Calibri"/>
        </w:rPr>
      </w:pPr>
      <w:r w:rsidRPr="00E012A5">
        <w:rPr>
          <w:rFonts w:ascii="Calibri" w:hAnsi="Calibri" w:cs="Calibri"/>
        </w:rPr>
        <w:t>Aan de Voorzitter van de Tweede Kamer der Staten-Generaal</w:t>
      </w:r>
    </w:p>
    <w:p w:rsidRPr="00E012A5" w:rsidR="00E012A5" w:rsidP="00440DC8" w:rsidRDefault="00E012A5" w14:paraId="4068B6B7" w14:textId="729B2803">
      <w:pPr>
        <w:autoSpaceDE w:val="0"/>
        <w:adjustRightInd w:val="0"/>
        <w:rPr>
          <w:rFonts w:ascii="Calibri" w:hAnsi="Calibri" w:cs="Calibri"/>
        </w:rPr>
      </w:pPr>
      <w:r w:rsidRPr="00E012A5">
        <w:rPr>
          <w:rFonts w:ascii="Calibri" w:hAnsi="Calibri" w:cs="Calibri"/>
        </w:rPr>
        <w:t>Den Haag, 10 februari 2025</w:t>
      </w:r>
    </w:p>
    <w:p w:rsidRPr="00E012A5" w:rsidR="00440DC8" w:rsidP="00440DC8" w:rsidRDefault="00440DC8" w14:paraId="6D274B5B" w14:textId="77777777">
      <w:pPr>
        <w:autoSpaceDE w:val="0"/>
        <w:adjustRightInd w:val="0"/>
        <w:rPr>
          <w:rFonts w:ascii="Calibri" w:hAnsi="Calibri" w:cs="Calibri"/>
        </w:rPr>
      </w:pPr>
    </w:p>
    <w:p w:rsidRPr="00E012A5" w:rsidR="00440DC8" w:rsidP="00440DC8" w:rsidRDefault="00440DC8" w14:paraId="749BD07C" w14:textId="20D02BA6">
      <w:pPr>
        <w:autoSpaceDE w:val="0"/>
        <w:adjustRightInd w:val="0"/>
        <w:rPr>
          <w:rFonts w:ascii="Calibri" w:hAnsi="Calibri" w:cs="Calibri"/>
        </w:rPr>
      </w:pPr>
      <w:r w:rsidRPr="00E012A5">
        <w:rPr>
          <w:rFonts w:ascii="Calibri" w:hAnsi="Calibri" w:cs="Calibri"/>
        </w:rPr>
        <w:t>Met deze brief wordt de Kamer op de hoogte gebracht van een tijdelijke tolerantieperiode voor het inbouwen van een nieuwe slimme tachograaf</w:t>
      </w:r>
      <w:r w:rsidRPr="00E012A5">
        <w:rPr>
          <w:rStyle w:val="Voetnootmarkering"/>
          <w:rFonts w:ascii="Calibri" w:hAnsi="Calibri" w:cs="Calibri"/>
        </w:rPr>
        <w:footnoteReference w:id="1"/>
      </w:r>
      <w:r w:rsidRPr="00E012A5">
        <w:rPr>
          <w:rFonts w:ascii="Calibri" w:hAnsi="Calibri" w:cs="Calibri"/>
        </w:rPr>
        <w:t xml:space="preserve"> (hierna Generatie 2 Versie 2, G2V2 tachograaf) in Nederlandse vrachtwagens. Vrachtwagens die nog een oude analoge of basismodel digitale tachograaf geïnstalleerd hadden, moesten uiterlijk 31 december 2024 op grond van Verordening 561/2006 deze tachograaf vervangen door een nieuwe tachograaf. Deze plicht is enkel geldig voor voertuigen die grensoverschrijdend vervoer uitvoeren, vrachtwagens die alleen in Nederland rondrijden kunnen hun bestaande tachograaf blijven gebruiken. Bestaande vrachtwagens met een oude versie van een slimme tachograaf (G2V1) zijn verplicht uiterlijk 19 augustus 2025 een nieuwe tachograaf te laten installeren.</w:t>
      </w:r>
    </w:p>
    <w:p w:rsidRPr="00E012A5" w:rsidR="00440DC8" w:rsidP="00440DC8" w:rsidRDefault="00440DC8" w14:paraId="189A12F8" w14:textId="77777777">
      <w:pPr>
        <w:autoSpaceDE w:val="0"/>
        <w:adjustRightInd w:val="0"/>
        <w:rPr>
          <w:rFonts w:ascii="Calibri" w:hAnsi="Calibri" w:cs="Calibri"/>
        </w:rPr>
      </w:pPr>
    </w:p>
    <w:p w:rsidRPr="00E012A5" w:rsidR="00440DC8" w:rsidP="00440DC8" w:rsidRDefault="00440DC8" w14:paraId="69D6798D" w14:textId="77777777">
      <w:pPr>
        <w:rPr>
          <w:rFonts w:ascii="Calibri" w:hAnsi="Calibri" w:cs="Calibri"/>
        </w:rPr>
      </w:pPr>
      <w:r w:rsidRPr="00E012A5">
        <w:rPr>
          <w:rFonts w:ascii="Calibri" w:hAnsi="Calibri" w:cs="Calibri"/>
        </w:rPr>
        <w:t>De EU vereist de nieuwste slimme tachograaf omdat deze tachograaf in tegenstelling tot eerdere versies grensovergangen automatisch registreert. Ook kan het meer gegevens over rij- en rusttijden verwerken, zodat handhavers een betere controle kunnen uitvoeren.</w:t>
      </w:r>
    </w:p>
    <w:p w:rsidRPr="00E012A5" w:rsidR="00440DC8" w:rsidP="00440DC8" w:rsidRDefault="00440DC8" w14:paraId="6401FEAC" w14:textId="77777777">
      <w:pPr>
        <w:rPr>
          <w:rFonts w:ascii="Calibri" w:hAnsi="Calibri" w:cs="Calibri"/>
        </w:rPr>
      </w:pPr>
    </w:p>
    <w:p w:rsidRPr="00E012A5" w:rsidR="00440DC8" w:rsidP="00440DC8" w:rsidRDefault="00440DC8" w14:paraId="3B93EE44" w14:textId="77777777">
      <w:pPr>
        <w:rPr>
          <w:rFonts w:ascii="Calibri" w:hAnsi="Calibri" w:cs="Calibri"/>
        </w:rPr>
      </w:pPr>
      <w:r w:rsidRPr="00E012A5">
        <w:rPr>
          <w:rFonts w:ascii="Calibri" w:hAnsi="Calibri" w:cs="Calibri"/>
        </w:rPr>
        <w:t>De Europese Commissie heeft eind december 2024 formeel een “educational learning period” geadviseerd aan alle lidstaten ten aanzien van de deadline waarop analoge/digitale non-smart tachografen met een nieuwe slimme G2V2 tachograaf moeten zijn uitgerust. Hierin wordt aan alle lidstaten geadviseerd om de handhaving op de nieuwe tachograaf met twee maanden uit te stellen</w:t>
      </w:r>
      <w:r w:rsidRPr="00E012A5">
        <w:rPr>
          <w:rStyle w:val="Voetnootmarkering"/>
          <w:rFonts w:ascii="Calibri" w:hAnsi="Calibri" w:cs="Calibri"/>
        </w:rPr>
        <w:footnoteReference w:id="2"/>
      </w:r>
      <w:r w:rsidRPr="00E012A5">
        <w:rPr>
          <w:rFonts w:ascii="Calibri" w:hAnsi="Calibri" w:cs="Calibri"/>
        </w:rPr>
        <w:t xml:space="preserve">. Dit vanwege het feit dat mogelijk niet alle ondernemers binnen Europa op de hoogte zijn van deze verplichting, en deze niet onnodig hard te bestraffen. </w:t>
      </w:r>
    </w:p>
    <w:p w:rsidRPr="00E012A5" w:rsidR="00440DC8" w:rsidP="00440DC8" w:rsidRDefault="00440DC8" w14:paraId="3528821E" w14:textId="77777777">
      <w:pPr>
        <w:rPr>
          <w:rFonts w:ascii="Calibri" w:hAnsi="Calibri" w:cs="Calibri"/>
        </w:rPr>
      </w:pPr>
    </w:p>
    <w:p w:rsidRPr="00E012A5" w:rsidR="00440DC8" w:rsidP="00440DC8" w:rsidRDefault="00440DC8" w14:paraId="6E148373" w14:textId="77777777">
      <w:pPr>
        <w:rPr>
          <w:rFonts w:ascii="Calibri" w:hAnsi="Calibri" w:cs="Calibri"/>
        </w:rPr>
      </w:pPr>
      <w:bookmarkStart w:name="_Hlk188365060" w:id="0"/>
      <w:r w:rsidRPr="00E012A5">
        <w:rPr>
          <w:rFonts w:ascii="Calibri" w:hAnsi="Calibri" w:cs="Calibri"/>
        </w:rPr>
        <w:t xml:space="preserve">De branche was hier zeer actief op, en samen met actieve communicatie vanuit de overheid, lijkt het dat Nederlandse ondernemers juist zeer goed voorbereid waren. Hoewel binnen Nederland vervoersondernemers daarmee goed op de hoogte waren van de deadline van 31 december en veel tachografen tijdig zijn omgewisseld, is het belangrijk dat de regels binnen de EU geharmoniseerd worden toegepast. Daarom voert Nederland ook deze ‘educational learning period’ uit. </w:t>
      </w:r>
      <w:bookmarkEnd w:id="0"/>
      <w:r w:rsidRPr="00E012A5">
        <w:rPr>
          <w:rFonts w:ascii="Calibri" w:hAnsi="Calibri" w:cs="Calibri"/>
        </w:rPr>
        <w:t>Dat betekent dat tot en met 28 februari 2025, vrachtwagens uitgerust met een oude analoge of oude digitale tachograaf, nog steeds internationaal vervoer kunnen uitvoeren tot deze nieuwe deadline. Deze tolerantieperiode geldt met terugwerkende kracht vanaf 1 januari 2025. Afspraken zijn hierover gemaakt met de handhavingsinstanties, zoals ILT en Politie.</w:t>
      </w:r>
    </w:p>
    <w:p w:rsidRPr="00E012A5" w:rsidR="00440DC8" w:rsidP="00440DC8" w:rsidRDefault="00440DC8" w14:paraId="2403C8B7" w14:textId="77777777">
      <w:pPr>
        <w:rPr>
          <w:rFonts w:ascii="Calibri" w:hAnsi="Calibri" w:cs="Calibri"/>
        </w:rPr>
      </w:pPr>
    </w:p>
    <w:p w:rsidRPr="00E012A5" w:rsidR="00440DC8" w:rsidP="00440DC8" w:rsidRDefault="00440DC8" w14:paraId="4037EAB9" w14:textId="3F07ED25">
      <w:pPr>
        <w:rPr>
          <w:rFonts w:ascii="Calibri" w:hAnsi="Calibri" w:cs="Calibri"/>
        </w:rPr>
      </w:pPr>
      <w:r w:rsidRPr="00E012A5">
        <w:rPr>
          <w:rFonts w:ascii="Calibri" w:hAnsi="Calibri" w:cs="Calibri"/>
        </w:rPr>
        <w:t>Bij de introductie van de nieuwste versie slimme tachograaf is al eens eerder een tijdelijke maatregel genomen. Eind 2023 was er sprake van een tekort aan tachografen (zie de Kamerbrief van 27 oktober 2023, Kamerstuk 31 305, nr. 432). Daarop volgde een tijdelijke tolerantieperiode (leniency period) tot en met 31 december 2023 waarin niet gehandhaafd werd (Kamerstuk 29 398, nr. 1084)</w:t>
      </w:r>
    </w:p>
    <w:p w:rsidRPr="00E012A5" w:rsidR="00440DC8" w:rsidP="00440DC8" w:rsidRDefault="00440DC8" w14:paraId="3C3497AB" w14:textId="77777777">
      <w:pPr>
        <w:rPr>
          <w:rFonts w:ascii="Calibri" w:hAnsi="Calibri" w:cs="Calibri"/>
        </w:rPr>
      </w:pPr>
    </w:p>
    <w:p w:rsidRPr="00E012A5" w:rsidR="00440DC8" w:rsidP="00440DC8" w:rsidRDefault="00440DC8" w14:paraId="48AB5A81" w14:textId="77777777">
      <w:pPr>
        <w:rPr>
          <w:rFonts w:ascii="Calibri" w:hAnsi="Calibri" w:cs="Calibri"/>
        </w:rPr>
      </w:pPr>
      <w:r w:rsidRPr="00E012A5">
        <w:rPr>
          <w:rFonts w:ascii="Calibri" w:hAnsi="Calibri" w:cs="Calibri"/>
        </w:rPr>
        <w:t>Op dit moment is er geen tekort, maar acht de Europese Commissie het noodzakelijk dat vervoersondernemers iets langer kunnen wennen aan de nieuwe regelgeving. Met deze brief bevestigt het kabinet dat Nederland het advies van de Europese Commissie volgt, en een tijdelijke tolerantieperiode aanhoudt tot eind februari 2025.</w:t>
      </w:r>
    </w:p>
    <w:p w:rsidRPr="00E012A5" w:rsidR="00440DC8" w:rsidP="00440DC8" w:rsidRDefault="00440DC8" w14:paraId="70BBE977" w14:textId="77777777">
      <w:pPr>
        <w:autoSpaceDE w:val="0"/>
        <w:adjustRightInd w:val="0"/>
        <w:rPr>
          <w:rFonts w:ascii="Calibri" w:hAnsi="Calibri" w:cs="Calibri"/>
        </w:rPr>
      </w:pPr>
    </w:p>
    <w:p w:rsidRPr="00E012A5" w:rsidR="00E012A5" w:rsidP="00440DC8" w:rsidRDefault="00E012A5" w14:paraId="0F86D798" w14:textId="77777777">
      <w:pPr>
        <w:pStyle w:val="Default"/>
        <w:rPr>
          <w:rFonts w:ascii="Calibri" w:hAnsi="Calibri" w:cs="Calibri"/>
          <w:sz w:val="22"/>
          <w:szCs w:val="22"/>
        </w:rPr>
      </w:pPr>
    </w:p>
    <w:p w:rsidRPr="00E012A5" w:rsidR="00E012A5" w:rsidP="00E012A5" w:rsidRDefault="00E012A5" w14:paraId="08B21317" w14:textId="6DA77961">
      <w:pPr>
        <w:pStyle w:val="Geenafstand"/>
        <w:rPr>
          <w:rFonts w:ascii="Calibri" w:hAnsi="Calibri" w:cs="Calibri"/>
          <w:color w:val="000000"/>
        </w:rPr>
      </w:pPr>
      <w:r w:rsidRPr="00E012A5">
        <w:rPr>
          <w:rFonts w:ascii="Calibri" w:hAnsi="Calibri" w:cs="Calibri"/>
        </w:rPr>
        <w:t>De minister van Infrastructuur en Waterstaat,</w:t>
      </w:r>
    </w:p>
    <w:p w:rsidRPr="00E012A5" w:rsidR="00440DC8" w:rsidP="00E012A5" w:rsidRDefault="00440DC8" w14:paraId="30E79F71" w14:textId="00CDAE61">
      <w:pPr>
        <w:pStyle w:val="Geenafstand"/>
        <w:rPr>
          <w:rFonts w:ascii="Calibri" w:hAnsi="Calibri" w:cs="Calibri"/>
        </w:rPr>
      </w:pPr>
      <w:r w:rsidRPr="00E012A5">
        <w:rPr>
          <w:rFonts w:ascii="Calibri" w:hAnsi="Calibri" w:cs="Calibri"/>
        </w:rPr>
        <w:t>B</w:t>
      </w:r>
      <w:r w:rsidRPr="00E012A5" w:rsidR="00E012A5">
        <w:rPr>
          <w:rFonts w:ascii="Calibri" w:hAnsi="Calibri" w:cs="Calibri"/>
        </w:rPr>
        <w:t>.</w:t>
      </w:r>
      <w:r w:rsidRPr="00E012A5">
        <w:rPr>
          <w:rFonts w:ascii="Calibri" w:hAnsi="Calibri" w:cs="Calibri"/>
        </w:rPr>
        <w:t xml:space="preserve"> Madlener</w:t>
      </w:r>
    </w:p>
    <w:p w:rsidRPr="00E012A5" w:rsidR="00E6311E" w:rsidRDefault="00E6311E" w14:paraId="40DC7C01" w14:textId="77777777">
      <w:pPr>
        <w:rPr>
          <w:rFonts w:ascii="Calibri" w:hAnsi="Calibri" w:cs="Calibri"/>
        </w:rPr>
      </w:pPr>
    </w:p>
    <w:sectPr w:rsidRPr="00E012A5" w:rsidR="00E6311E" w:rsidSect="00812CC3">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1D08C" w14:textId="77777777" w:rsidR="00440DC8" w:rsidRDefault="00440DC8" w:rsidP="00440DC8">
      <w:pPr>
        <w:spacing w:after="0" w:line="240" w:lineRule="auto"/>
      </w:pPr>
      <w:r>
        <w:separator/>
      </w:r>
    </w:p>
  </w:endnote>
  <w:endnote w:type="continuationSeparator" w:id="0">
    <w:p w14:paraId="1DDF297F" w14:textId="77777777" w:rsidR="00440DC8" w:rsidRDefault="00440DC8" w:rsidP="0044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73A07" w14:textId="77777777" w:rsidR="00440DC8" w:rsidRPr="00440DC8" w:rsidRDefault="00440DC8" w:rsidP="00440D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519B" w14:textId="77777777" w:rsidR="00440DC8" w:rsidRPr="00440DC8" w:rsidRDefault="00440DC8" w:rsidP="00440D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5EA1" w14:textId="77777777" w:rsidR="00440DC8" w:rsidRPr="00440DC8" w:rsidRDefault="00440DC8" w:rsidP="00440D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931E2" w14:textId="77777777" w:rsidR="00440DC8" w:rsidRDefault="00440DC8" w:rsidP="00440DC8">
      <w:pPr>
        <w:spacing w:after="0" w:line="240" w:lineRule="auto"/>
      </w:pPr>
      <w:r>
        <w:separator/>
      </w:r>
    </w:p>
  </w:footnote>
  <w:footnote w:type="continuationSeparator" w:id="0">
    <w:p w14:paraId="5756E476" w14:textId="77777777" w:rsidR="00440DC8" w:rsidRDefault="00440DC8" w:rsidP="00440DC8">
      <w:pPr>
        <w:spacing w:after="0" w:line="240" w:lineRule="auto"/>
      </w:pPr>
      <w:r>
        <w:continuationSeparator/>
      </w:r>
    </w:p>
  </w:footnote>
  <w:footnote w:id="1">
    <w:p w14:paraId="294B9224" w14:textId="77777777" w:rsidR="00440DC8" w:rsidRPr="00E012A5" w:rsidRDefault="00440DC8" w:rsidP="00440DC8">
      <w:pPr>
        <w:pStyle w:val="Voetnoottekst"/>
        <w:rPr>
          <w:rFonts w:ascii="Calibri" w:hAnsi="Calibri" w:cs="Calibri"/>
        </w:rPr>
      </w:pPr>
      <w:r w:rsidRPr="00E012A5">
        <w:rPr>
          <w:rStyle w:val="Voetnootmarkering"/>
          <w:rFonts w:ascii="Calibri" w:hAnsi="Calibri" w:cs="Calibri"/>
        </w:rPr>
        <w:footnoteRef/>
      </w:r>
      <w:r w:rsidRPr="00E012A5">
        <w:rPr>
          <w:rFonts w:ascii="Calibri" w:hAnsi="Calibri" w:cs="Calibri"/>
        </w:rPr>
        <w:t xml:space="preserve"> Een tachograaf registreert de rij- en rusttijden, de snelheid en de afgelegde afstand van een voertuig. Ook registreert het grensovergangen. Zware vrachtwagens, bussen en lichte bedrijfsvoertuigen in het beroepsgoederenvervoer moeten een digitale tachograaf hebben.</w:t>
      </w:r>
    </w:p>
  </w:footnote>
  <w:footnote w:id="2">
    <w:p w14:paraId="533243D2" w14:textId="77777777" w:rsidR="00440DC8" w:rsidRPr="00E012A5" w:rsidRDefault="00440DC8" w:rsidP="00440DC8">
      <w:pPr>
        <w:rPr>
          <w:rFonts w:ascii="Calibri" w:hAnsi="Calibri" w:cs="Calibri"/>
          <w:sz w:val="20"/>
          <w:szCs w:val="20"/>
        </w:rPr>
      </w:pPr>
      <w:r w:rsidRPr="00E012A5">
        <w:rPr>
          <w:rStyle w:val="Voetnootmarkering"/>
          <w:rFonts w:ascii="Calibri" w:hAnsi="Calibri" w:cs="Calibri"/>
          <w:sz w:val="20"/>
          <w:szCs w:val="20"/>
        </w:rPr>
        <w:footnoteRef/>
      </w:r>
      <w:r w:rsidRPr="00E012A5">
        <w:rPr>
          <w:rFonts w:ascii="Calibri" w:hAnsi="Calibri" w:cs="Calibri"/>
          <w:sz w:val="20"/>
          <w:szCs w:val="20"/>
        </w:rPr>
        <w:t xml:space="preserve"> Zie voor het akkoord: </w:t>
      </w:r>
      <w:hyperlink r:id="rId1" w:history="1">
        <w:r w:rsidRPr="00E012A5">
          <w:rPr>
            <w:rStyle w:val="Hyperlink"/>
            <w:rFonts w:ascii="Calibri" w:hAnsi="Calibri" w:cs="Calibri"/>
            <w:sz w:val="20"/>
            <w:szCs w:val="20"/>
          </w:rPr>
          <w:t>https://transport.ec.europa.eu/transport-modes/road/mobility-package-i/tachographs_en</w:t>
        </w:r>
      </w:hyperlink>
      <w:r w:rsidRPr="00E012A5">
        <w:rPr>
          <w:rFonts w:ascii="Calibri" w:hAnsi="Calibri" w:cs="Calibri"/>
          <w:sz w:val="20"/>
          <w:szCs w:val="20"/>
        </w:rPr>
        <w:t xml:space="preserve"> en voor de documentatie van de Commissie: op </w:t>
      </w:r>
      <w:hyperlink r:id="rId2" w:history="1">
        <w:r w:rsidRPr="00E012A5">
          <w:rPr>
            <w:rStyle w:val="Hyperlink"/>
            <w:rFonts w:ascii="Calibri" w:hAnsi="Calibri" w:cs="Calibri"/>
            <w:sz w:val="20"/>
            <w:szCs w:val="20"/>
          </w:rPr>
          <w:t>https://transport.ec.europa.eu/document/download/cd2bd275-73e8-4ec3-a2df-fe42a4b61818_en?filename=Summary_Report_CRTmeeting_2024-12-18.pdf</w:t>
        </w:r>
      </w:hyperlink>
      <w:r w:rsidRPr="00E012A5">
        <w:rPr>
          <w:rFonts w:ascii="Calibri" w:hAnsi="Calibri" w:cs="Calibri"/>
          <w:sz w:val="20"/>
          <w:szCs w:val="20"/>
        </w:rPr>
        <w:t xml:space="preserve">. </w:t>
      </w:r>
    </w:p>
    <w:p w14:paraId="4A60B9D6" w14:textId="77777777" w:rsidR="00440DC8" w:rsidRPr="00E012A5" w:rsidRDefault="00440DC8" w:rsidP="00440DC8">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651A" w14:textId="77777777" w:rsidR="00440DC8" w:rsidRPr="00440DC8" w:rsidRDefault="00440DC8" w:rsidP="00440D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0793" w14:textId="77777777" w:rsidR="00440DC8" w:rsidRPr="00440DC8" w:rsidRDefault="00440DC8" w:rsidP="00440D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AB06" w14:textId="77777777" w:rsidR="00440DC8" w:rsidRPr="00440DC8" w:rsidRDefault="00440DC8" w:rsidP="00440DC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DC8"/>
    <w:rsid w:val="0025703A"/>
    <w:rsid w:val="00440DC8"/>
    <w:rsid w:val="00812CC3"/>
    <w:rsid w:val="00A820B8"/>
    <w:rsid w:val="00C23DFE"/>
    <w:rsid w:val="00C57495"/>
    <w:rsid w:val="00E012A5"/>
    <w:rsid w:val="00E56A7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4320"/>
  <w15:chartTrackingRefBased/>
  <w15:docId w15:val="{874CB8BF-A8A3-4F14-AA7B-F45B09CA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0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0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0D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0D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0D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0D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0D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0D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0D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0D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0D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0D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0D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0D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0D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0D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0D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0DC8"/>
    <w:rPr>
      <w:rFonts w:eastAsiaTheme="majorEastAsia" w:cstheme="majorBidi"/>
      <w:color w:val="272727" w:themeColor="text1" w:themeTint="D8"/>
    </w:rPr>
  </w:style>
  <w:style w:type="paragraph" w:styleId="Titel">
    <w:name w:val="Title"/>
    <w:basedOn w:val="Standaard"/>
    <w:next w:val="Standaard"/>
    <w:link w:val="TitelChar"/>
    <w:uiPriority w:val="10"/>
    <w:qFormat/>
    <w:rsid w:val="00440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0D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0D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0D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0D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0DC8"/>
    <w:rPr>
      <w:i/>
      <w:iCs/>
      <w:color w:val="404040" w:themeColor="text1" w:themeTint="BF"/>
    </w:rPr>
  </w:style>
  <w:style w:type="paragraph" w:styleId="Lijstalinea">
    <w:name w:val="List Paragraph"/>
    <w:basedOn w:val="Standaard"/>
    <w:uiPriority w:val="34"/>
    <w:qFormat/>
    <w:rsid w:val="00440DC8"/>
    <w:pPr>
      <w:ind w:left="720"/>
      <w:contextualSpacing/>
    </w:pPr>
  </w:style>
  <w:style w:type="character" w:styleId="Intensievebenadrukking">
    <w:name w:val="Intense Emphasis"/>
    <w:basedOn w:val="Standaardalinea-lettertype"/>
    <w:uiPriority w:val="21"/>
    <w:qFormat/>
    <w:rsid w:val="00440DC8"/>
    <w:rPr>
      <w:i/>
      <w:iCs/>
      <w:color w:val="0F4761" w:themeColor="accent1" w:themeShade="BF"/>
    </w:rPr>
  </w:style>
  <w:style w:type="paragraph" w:styleId="Duidelijkcitaat">
    <w:name w:val="Intense Quote"/>
    <w:basedOn w:val="Standaard"/>
    <w:next w:val="Standaard"/>
    <w:link w:val="DuidelijkcitaatChar"/>
    <w:uiPriority w:val="30"/>
    <w:qFormat/>
    <w:rsid w:val="00440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0DC8"/>
    <w:rPr>
      <w:i/>
      <w:iCs/>
      <w:color w:val="0F4761" w:themeColor="accent1" w:themeShade="BF"/>
    </w:rPr>
  </w:style>
  <w:style w:type="character" w:styleId="Intensieveverwijzing">
    <w:name w:val="Intense Reference"/>
    <w:basedOn w:val="Standaardalinea-lettertype"/>
    <w:uiPriority w:val="32"/>
    <w:qFormat/>
    <w:rsid w:val="00440DC8"/>
    <w:rPr>
      <w:b/>
      <w:bCs/>
      <w:smallCaps/>
      <w:color w:val="0F4761" w:themeColor="accent1" w:themeShade="BF"/>
      <w:spacing w:val="5"/>
    </w:rPr>
  </w:style>
  <w:style w:type="paragraph" w:customStyle="1" w:styleId="MarginlessContainer">
    <w:name w:val="Marginless Container"/>
    <w:hidden/>
    <w:rsid w:val="00440DC8"/>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440DC8"/>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440DC8"/>
    <w:rPr>
      <w:b/>
    </w:rPr>
  </w:style>
  <w:style w:type="paragraph" w:customStyle="1" w:styleId="Referentiegegevens">
    <w:name w:val="Referentiegegevens"/>
    <w:next w:val="Standaard"/>
    <w:rsid w:val="00440DC8"/>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440DC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440DC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40DC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40DC8"/>
    <w:rPr>
      <w:vertAlign w:val="superscript"/>
    </w:rPr>
  </w:style>
  <w:style w:type="paragraph" w:styleId="Koptekst">
    <w:name w:val="header"/>
    <w:basedOn w:val="Standaard"/>
    <w:link w:val="KoptekstChar"/>
    <w:uiPriority w:val="99"/>
    <w:unhideWhenUsed/>
    <w:rsid w:val="00440DC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40DC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40DC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40DC8"/>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440DC8"/>
    <w:rPr>
      <w:color w:val="0563C1"/>
      <w:u w:val="single"/>
    </w:rPr>
  </w:style>
  <w:style w:type="paragraph" w:customStyle="1" w:styleId="Default">
    <w:name w:val="Default"/>
    <w:rsid w:val="00440DC8"/>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Geenafstand">
    <w:name w:val="No Spacing"/>
    <w:uiPriority w:val="1"/>
    <w:qFormat/>
    <w:rsid w:val="00E012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transport.ec.europa.eu/document/download/cd2bd275-73e8-4ec3-a2df-fe42a4b61818_en?filename=Summary_Report_CRTmeeting_2024-12-18.pdf" TargetMode="External"/><Relationship Id="rId1" Type="http://schemas.openxmlformats.org/officeDocument/2006/relationships/hyperlink" Target="https://transport.ec.europa.eu/transport-modes/road/mobility-package-i/tachographs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519</ap:Words>
  <ap:Characters>2856</ap:Characters>
  <ap:DocSecurity>0</ap:DocSecurity>
  <ap:Lines>23</ap:Lines>
  <ap:Paragraphs>6</ap:Paragraphs>
  <ap:ScaleCrop>false</ap:ScaleCrop>
  <ap:LinksUpToDate>false</ap:LinksUpToDate>
  <ap:CharactersWithSpaces>3369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2025-02-12T15:29:00.0000000Z</dcterms:created>
  <dcterms:modified xsi:type="dcterms:W3CDTF">2025-02-12T15:29:00.0000000Z</dcterms:modified>
  <version/>
  <category/>
</coreProperties>
</file>