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A490C" w:rsidR="00DA490C" w:rsidP="00DA490C" w:rsidRDefault="00DA490C" w14:paraId="56C37A98" w14:textId="7C27C6F1">
      <w:pPr>
        <w:pStyle w:val="Geenafstand"/>
        <w:rPr>
          <w:b/>
          <w:bCs/>
        </w:rPr>
      </w:pPr>
      <w:r w:rsidRPr="00DA490C">
        <w:rPr>
          <w:b/>
          <w:bCs/>
        </w:rPr>
        <w:t>AH 1263</w:t>
      </w:r>
    </w:p>
    <w:p w:rsidR="00DA490C" w:rsidP="00DA490C" w:rsidRDefault="00DA490C" w14:paraId="72FA0D55" w14:textId="240B0B76">
      <w:pPr>
        <w:pStyle w:val="Geenafstand"/>
        <w:rPr>
          <w:b/>
          <w:bCs/>
        </w:rPr>
      </w:pPr>
      <w:r w:rsidRPr="00DA490C">
        <w:rPr>
          <w:b/>
          <w:bCs/>
        </w:rPr>
        <w:t>2025Z01271</w:t>
      </w:r>
    </w:p>
    <w:p w:rsidR="00DA490C" w:rsidP="00DA490C" w:rsidRDefault="00DA490C" w14:paraId="66FE1CA3" w14:textId="77777777">
      <w:pPr>
        <w:pStyle w:val="Geenafstand"/>
        <w:rPr>
          <w:b/>
          <w:bCs/>
        </w:rPr>
      </w:pPr>
    </w:p>
    <w:p w:rsidRPr="00DA490C" w:rsidR="00DA490C" w:rsidP="00DA490C" w:rsidRDefault="00DA490C" w14:paraId="5FFCC799" w14:textId="191DC538">
      <w:pPr>
        <w:pStyle w:val="Geenafstand"/>
        <w:rPr>
          <w:sz w:val="24"/>
          <w:szCs w:val="24"/>
        </w:rPr>
      </w:pPr>
      <w:r w:rsidRPr="00DA490C">
        <w:rPr>
          <w:sz w:val="24"/>
          <w:szCs w:val="24"/>
        </w:rPr>
        <w:t xml:space="preserve">Antwoord van staatssecretaris </w:t>
      </w:r>
      <w:proofErr w:type="spellStart"/>
      <w:r w:rsidRPr="00DA490C">
        <w:rPr>
          <w:sz w:val="24"/>
          <w:szCs w:val="24"/>
        </w:rPr>
        <w:t>Rummenie</w:t>
      </w:r>
      <w:proofErr w:type="spellEnd"/>
      <w:r w:rsidRPr="00DA490C">
        <w:rPr>
          <w:sz w:val="24"/>
          <w:szCs w:val="24"/>
        </w:rPr>
        <w:t xml:space="preserve"> (Landbouw, Visserij, Voedselzekerheid en Natuur) (ontvangen 11 februari 2025)</w:t>
      </w:r>
    </w:p>
    <w:p w:rsidRPr="00DA490C" w:rsidR="00DA490C" w:rsidP="00DA490C" w:rsidRDefault="00DA490C" w14:paraId="447FEA63" w14:textId="77777777">
      <w:pPr>
        <w:pStyle w:val="Geenafstand"/>
      </w:pPr>
    </w:p>
    <w:p w:rsidRPr="00DA490C" w:rsidR="00DA490C" w:rsidP="00DA490C" w:rsidRDefault="00DA490C" w14:paraId="7DDE6E0F" w14:textId="77777777">
      <w:pPr>
        <w:pStyle w:val="Geenafstand"/>
      </w:pPr>
    </w:p>
    <w:p w:rsidRPr="004F378B" w:rsidR="00DA490C" w:rsidP="00DA490C" w:rsidRDefault="00DA490C" w14:paraId="59314323" w14:textId="77777777">
      <w:pPr>
        <w:rPr>
          <w:szCs w:val="18"/>
        </w:rPr>
      </w:pPr>
      <w:r w:rsidRPr="004F378B">
        <w:rPr>
          <w:szCs w:val="18"/>
        </w:rPr>
        <w:t>1</w:t>
      </w:r>
    </w:p>
    <w:p w:rsidRPr="004F378B" w:rsidR="00DA490C" w:rsidP="00DA490C" w:rsidRDefault="00DA490C" w14:paraId="51E98223" w14:textId="77777777">
      <w:pPr>
        <w:rPr>
          <w:szCs w:val="18"/>
        </w:rPr>
      </w:pPr>
      <w:r w:rsidRPr="004F378B">
        <w:rPr>
          <w:szCs w:val="18"/>
        </w:rPr>
        <w:t xml:space="preserve">Hoeveel bestuursrechtelijke maatregelen heeft de Nederlandse Voedsel- en Warenautoriteit (NVWA) in 2024 uitgedeeld aan horeca, supermarkten en </w:t>
      </w:r>
      <w:proofErr w:type="spellStart"/>
      <w:r w:rsidRPr="004F378B">
        <w:rPr>
          <w:szCs w:val="18"/>
        </w:rPr>
        <w:t>retailbedrijven</w:t>
      </w:r>
      <w:proofErr w:type="spellEnd"/>
      <w:r w:rsidRPr="004F378B">
        <w:rPr>
          <w:szCs w:val="18"/>
        </w:rPr>
        <w:t>, distributiecentra, groente- en fruitveilingen en verwerkende bedrijven, eierenverpakkers en ei-verwerkende bedrijven, visafslagen en visverwerkende bedrijven, pluimvee vleesverwerkende bedrijven en overige voedselverwerkende bedrijven? Kunt u deze gegevens uitsplitsten in waarschuwingen en boetes?</w:t>
      </w:r>
    </w:p>
    <w:p w:rsidRPr="004F378B" w:rsidR="00DA490C" w:rsidP="00DA490C" w:rsidRDefault="00DA490C" w14:paraId="06324C30" w14:textId="77777777">
      <w:pPr>
        <w:rPr>
          <w:szCs w:val="18"/>
        </w:rPr>
      </w:pPr>
    </w:p>
    <w:p w:rsidR="00DA490C" w:rsidP="00DA490C" w:rsidRDefault="00DA490C" w14:paraId="52A18E40" w14:textId="77777777">
      <w:pPr>
        <w:rPr>
          <w:szCs w:val="18"/>
        </w:rPr>
      </w:pPr>
      <w:r w:rsidRPr="004F378B">
        <w:rPr>
          <w:szCs w:val="18"/>
        </w:rPr>
        <w:t>Antwoord</w:t>
      </w:r>
    </w:p>
    <w:p w:rsidR="00DA490C" w:rsidP="00DA490C" w:rsidRDefault="00DA490C" w14:paraId="1ADB0BAA" w14:textId="77777777">
      <w:pPr>
        <w:rPr>
          <w:szCs w:val="18"/>
        </w:rPr>
      </w:pPr>
      <w:r w:rsidRPr="00A1354A">
        <w:rPr>
          <w:szCs w:val="18"/>
        </w:rPr>
        <w:t>De informatie op type bedrijf wordt niet op dat detailniveau vastgelegd. Het is wel uit de systemen te halen na een uitvoerige analyse en die is jaarlijks rond de zomer beschikbaar. Op dit moment kan de NVWA wel cijfers leveren op basis van wetgeving en domein waarop de NVWA toezicht houdt. Hieronder</w:t>
      </w:r>
      <w:r w:rsidRPr="00242C63">
        <w:rPr>
          <w:szCs w:val="18"/>
        </w:rPr>
        <w:t xml:space="preserve"> een overzicht van het aantal door de NVWA opgelegde boetes per wet en domein.</w:t>
      </w:r>
    </w:p>
    <w:p w:rsidRPr="00242C63" w:rsidR="00DA490C" w:rsidP="00DA490C" w:rsidRDefault="00DA490C" w14:paraId="605B2723" w14:textId="77777777">
      <w:pPr>
        <w:rPr>
          <w:szCs w:val="18"/>
        </w:rPr>
      </w:pPr>
    </w:p>
    <w:tbl>
      <w:tblPr>
        <w:tblStyle w:val="Tabelraster"/>
        <w:tblW w:w="8080" w:type="dxa"/>
        <w:tblInd w:w="250" w:type="dxa"/>
        <w:tblLayout w:type="fixed"/>
        <w:tblLook w:val="04A0" w:firstRow="1" w:lastRow="0" w:firstColumn="1" w:lastColumn="0" w:noHBand="0" w:noVBand="1"/>
      </w:tblPr>
      <w:tblGrid>
        <w:gridCol w:w="2410"/>
        <w:gridCol w:w="2140"/>
        <w:gridCol w:w="1545"/>
        <w:gridCol w:w="1985"/>
      </w:tblGrid>
      <w:tr w:rsidRPr="00242C63" w:rsidR="00DA490C" w:rsidTr="00D821FE" w14:paraId="17DE32EB" w14:textId="77777777">
        <w:tc>
          <w:tcPr>
            <w:tcW w:w="2410" w:type="dxa"/>
            <w:tcBorders>
              <w:top w:val="single" w:color="auto" w:sz="4" w:space="0"/>
              <w:left w:val="single" w:color="auto" w:sz="4" w:space="0"/>
              <w:bottom w:val="single" w:color="auto" w:sz="4" w:space="0"/>
              <w:right w:val="single" w:color="auto" w:sz="4" w:space="0"/>
            </w:tcBorders>
            <w:hideMark/>
          </w:tcPr>
          <w:p w:rsidRPr="00242C63" w:rsidR="00DA490C" w:rsidP="00D821FE" w:rsidRDefault="00DA490C" w14:paraId="23F95444" w14:textId="77777777">
            <w:pPr>
              <w:rPr>
                <w:szCs w:val="18"/>
              </w:rPr>
            </w:pPr>
            <w:proofErr w:type="spellStart"/>
            <w:r w:rsidRPr="00242C63">
              <w:rPr>
                <w:b/>
                <w:bCs/>
                <w:szCs w:val="18"/>
              </w:rPr>
              <w:t>Wetgeving</w:t>
            </w:r>
            <w:proofErr w:type="spellEnd"/>
            <w:r w:rsidRPr="00242C63">
              <w:rPr>
                <w:b/>
                <w:bCs/>
                <w:szCs w:val="18"/>
              </w:rPr>
              <w:t xml:space="preserve"> (LVVN)</w:t>
            </w:r>
          </w:p>
        </w:tc>
        <w:tc>
          <w:tcPr>
            <w:tcW w:w="2140" w:type="dxa"/>
            <w:tcBorders>
              <w:top w:val="single" w:color="auto" w:sz="4" w:space="0"/>
              <w:left w:val="single" w:color="auto" w:sz="4" w:space="0"/>
              <w:bottom w:val="single" w:color="auto" w:sz="4" w:space="0"/>
              <w:right w:val="single" w:color="auto" w:sz="4" w:space="0"/>
            </w:tcBorders>
            <w:hideMark/>
          </w:tcPr>
          <w:p w:rsidRPr="00242C63" w:rsidR="00DA490C" w:rsidP="00D821FE" w:rsidRDefault="00DA490C" w14:paraId="2F22736B" w14:textId="77777777">
            <w:pPr>
              <w:rPr>
                <w:szCs w:val="18"/>
              </w:rPr>
            </w:pPr>
            <w:proofErr w:type="spellStart"/>
            <w:r w:rsidRPr="00242C63">
              <w:rPr>
                <w:b/>
                <w:bCs/>
                <w:szCs w:val="18"/>
              </w:rPr>
              <w:t>Bestaat</w:t>
            </w:r>
            <w:proofErr w:type="spellEnd"/>
            <w:r w:rsidRPr="00242C63">
              <w:rPr>
                <w:b/>
                <w:bCs/>
                <w:szCs w:val="18"/>
              </w:rPr>
              <w:t xml:space="preserve"> </w:t>
            </w:r>
            <w:proofErr w:type="spellStart"/>
            <w:r w:rsidRPr="00242C63">
              <w:rPr>
                <w:b/>
                <w:bCs/>
                <w:szCs w:val="18"/>
              </w:rPr>
              <w:t>uit</w:t>
            </w:r>
            <w:proofErr w:type="spellEnd"/>
            <w:r w:rsidRPr="00242C63">
              <w:rPr>
                <w:b/>
                <w:bCs/>
                <w:szCs w:val="18"/>
              </w:rPr>
              <w:t xml:space="preserve"> de </w:t>
            </w:r>
            <w:proofErr w:type="spellStart"/>
            <w:r w:rsidRPr="00242C63">
              <w:rPr>
                <w:b/>
                <w:bCs/>
                <w:szCs w:val="18"/>
              </w:rPr>
              <w:t>domeinen</w:t>
            </w:r>
            <w:proofErr w:type="spellEnd"/>
            <w:r w:rsidRPr="00242C63">
              <w:rPr>
                <w:b/>
                <w:bCs/>
                <w:szCs w:val="18"/>
              </w:rPr>
              <w:t xml:space="preserve"> </w:t>
            </w:r>
          </w:p>
        </w:tc>
        <w:tc>
          <w:tcPr>
            <w:tcW w:w="1545" w:type="dxa"/>
            <w:tcBorders>
              <w:top w:val="single" w:color="auto" w:sz="4" w:space="0"/>
              <w:left w:val="single" w:color="auto" w:sz="4" w:space="0"/>
              <w:bottom w:val="single" w:color="auto" w:sz="4" w:space="0"/>
              <w:right w:val="single" w:color="auto" w:sz="4" w:space="0"/>
            </w:tcBorders>
            <w:hideMark/>
          </w:tcPr>
          <w:p w:rsidRPr="00242C63" w:rsidR="00DA490C" w:rsidP="00D821FE" w:rsidRDefault="00DA490C" w14:paraId="57B2AAFC" w14:textId="77777777">
            <w:pPr>
              <w:rPr>
                <w:szCs w:val="18"/>
              </w:rPr>
            </w:pPr>
            <w:proofErr w:type="spellStart"/>
            <w:r w:rsidRPr="00242C63">
              <w:rPr>
                <w:b/>
                <w:bCs/>
                <w:szCs w:val="18"/>
              </w:rPr>
              <w:t>Opgelegde</w:t>
            </w:r>
            <w:proofErr w:type="spellEnd"/>
            <w:r w:rsidRPr="00242C63">
              <w:rPr>
                <w:b/>
                <w:bCs/>
                <w:szCs w:val="18"/>
              </w:rPr>
              <w:t xml:space="preserve"> </w:t>
            </w:r>
            <w:proofErr w:type="spellStart"/>
            <w:r w:rsidRPr="00242C63">
              <w:rPr>
                <w:b/>
                <w:bCs/>
                <w:szCs w:val="18"/>
              </w:rPr>
              <w:t>boetes</w:t>
            </w:r>
            <w:proofErr w:type="spellEnd"/>
            <w:r w:rsidRPr="00242C63">
              <w:rPr>
                <w:b/>
                <w:bCs/>
                <w:szCs w:val="18"/>
              </w:rPr>
              <w:t xml:space="preserve"> in 2024 </w:t>
            </w:r>
          </w:p>
        </w:tc>
        <w:tc>
          <w:tcPr>
            <w:tcW w:w="1985" w:type="dxa"/>
            <w:tcBorders>
              <w:top w:val="single" w:color="auto" w:sz="4" w:space="0"/>
              <w:left w:val="single" w:color="auto" w:sz="4" w:space="0"/>
              <w:bottom w:val="single" w:color="auto" w:sz="4" w:space="0"/>
              <w:right w:val="single" w:color="auto" w:sz="4" w:space="0"/>
            </w:tcBorders>
            <w:hideMark/>
          </w:tcPr>
          <w:p w:rsidRPr="00242C63" w:rsidR="00DA490C" w:rsidP="00D821FE" w:rsidRDefault="00DA490C" w14:paraId="7C565A96" w14:textId="77777777">
            <w:pPr>
              <w:rPr>
                <w:b/>
                <w:bCs/>
                <w:szCs w:val="18"/>
              </w:rPr>
            </w:pPr>
            <w:proofErr w:type="spellStart"/>
            <w:r w:rsidRPr="00242C63">
              <w:rPr>
                <w:b/>
                <w:bCs/>
                <w:szCs w:val="18"/>
              </w:rPr>
              <w:t>Officiële</w:t>
            </w:r>
            <w:proofErr w:type="spellEnd"/>
            <w:r w:rsidRPr="00242C63">
              <w:rPr>
                <w:b/>
                <w:bCs/>
                <w:szCs w:val="18"/>
              </w:rPr>
              <w:t xml:space="preserve"> </w:t>
            </w:r>
            <w:proofErr w:type="spellStart"/>
            <w:r w:rsidRPr="00242C63">
              <w:rPr>
                <w:b/>
                <w:bCs/>
                <w:szCs w:val="18"/>
              </w:rPr>
              <w:t>waarschuwingen</w:t>
            </w:r>
            <w:proofErr w:type="spellEnd"/>
            <w:r w:rsidRPr="00242C63">
              <w:rPr>
                <w:b/>
                <w:bCs/>
                <w:szCs w:val="18"/>
              </w:rPr>
              <w:t xml:space="preserve"> 2024</w:t>
            </w:r>
          </w:p>
        </w:tc>
      </w:tr>
      <w:tr w:rsidRPr="00242C63" w:rsidR="00DA490C" w:rsidTr="00D821FE" w14:paraId="38436DC4" w14:textId="77777777">
        <w:tc>
          <w:tcPr>
            <w:tcW w:w="2410" w:type="dxa"/>
            <w:tcBorders>
              <w:top w:val="single" w:color="auto" w:sz="4" w:space="0"/>
              <w:left w:val="single" w:color="auto" w:sz="4" w:space="0"/>
              <w:bottom w:val="single" w:color="auto" w:sz="4" w:space="0"/>
              <w:right w:val="single" w:color="auto" w:sz="4" w:space="0"/>
            </w:tcBorders>
            <w:hideMark/>
          </w:tcPr>
          <w:p w:rsidRPr="00242C63" w:rsidR="00DA490C" w:rsidP="00D821FE" w:rsidRDefault="00DA490C" w14:paraId="42540FC0" w14:textId="77777777">
            <w:pPr>
              <w:rPr>
                <w:szCs w:val="18"/>
              </w:rPr>
            </w:pPr>
            <w:proofErr w:type="spellStart"/>
            <w:r w:rsidRPr="00242C63">
              <w:rPr>
                <w:b/>
                <w:bCs/>
                <w:szCs w:val="18"/>
              </w:rPr>
              <w:t>Gewasbeschermingsmiddelen</w:t>
            </w:r>
            <w:proofErr w:type="spellEnd"/>
          </w:p>
        </w:tc>
        <w:tc>
          <w:tcPr>
            <w:tcW w:w="2140" w:type="dxa"/>
            <w:tcBorders>
              <w:top w:val="single" w:color="auto" w:sz="4" w:space="0"/>
              <w:left w:val="single" w:color="auto" w:sz="4" w:space="0"/>
              <w:bottom w:val="single" w:color="auto" w:sz="4" w:space="0"/>
              <w:right w:val="single" w:color="auto" w:sz="4" w:space="0"/>
            </w:tcBorders>
            <w:hideMark/>
          </w:tcPr>
          <w:p w:rsidRPr="00242C63" w:rsidR="00DA490C" w:rsidP="00D821FE" w:rsidRDefault="00DA490C" w14:paraId="2DED234D" w14:textId="77777777">
            <w:pPr>
              <w:rPr>
                <w:szCs w:val="18"/>
              </w:rPr>
            </w:pPr>
            <w:proofErr w:type="spellStart"/>
            <w:r w:rsidRPr="00242C63">
              <w:rPr>
                <w:szCs w:val="18"/>
              </w:rPr>
              <w:t>Gewasbescherming</w:t>
            </w:r>
            <w:proofErr w:type="spellEnd"/>
          </w:p>
        </w:tc>
        <w:tc>
          <w:tcPr>
            <w:tcW w:w="1545" w:type="dxa"/>
            <w:tcBorders>
              <w:top w:val="single" w:color="auto" w:sz="4" w:space="0"/>
              <w:left w:val="single" w:color="auto" w:sz="4" w:space="0"/>
              <w:bottom w:val="single" w:color="auto" w:sz="4" w:space="0"/>
              <w:right w:val="single" w:color="auto" w:sz="4" w:space="0"/>
            </w:tcBorders>
            <w:hideMark/>
          </w:tcPr>
          <w:p w:rsidRPr="00242C63" w:rsidR="00DA490C" w:rsidP="00D821FE" w:rsidRDefault="00DA490C" w14:paraId="7D6FFFAF" w14:textId="77777777">
            <w:pPr>
              <w:rPr>
                <w:szCs w:val="18"/>
              </w:rPr>
            </w:pPr>
            <w:r w:rsidRPr="00242C63">
              <w:rPr>
                <w:szCs w:val="18"/>
              </w:rPr>
              <w:t>198</w:t>
            </w:r>
          </w:p>
        </w:tc>
        <w:tc>
          <w:tcPr>
            <w:tcW w:w="1985" w:type="dxa"/>
            <w:tcBorders>
              <w:top w:val="single" w:color="auto" w:sz="4" w:space="0"/>
              <w:left w:val="single" w:color="auto" w:sz="4" w:space="0"/>
              <w:bottom w:val="single" w:color="auto" w:sz="4" w:space="0"/>
              <w:right w:val="single" w:color="auto" w:sz="4" w:space="0"/>
            </w:tcBorders>
            <w:hideMark/>
          </w:tcPr>
          <w:p w:rsidRPr="00242C63" w:rsidR="00DA490C" w:rsidP="00D821FE" w:rsidRDefault="00DA490C" w14:paraId="4CB0DE0D" w14:textId="77777777">
            <w:pPr>
              <w:rPr>
                <w:szCs w:val="18"/>
              </w:rPr>
            </w:pPr>
            <w:r w:rsidRPr="00242C63">
              <w:rPr>
                <w:szCs w:val="18"/>
              </w:rPr>
              <w:t>90</w:t>
            </w:r>
          </w:p>
        </w:tc>
      </w:tr>
      <w:tr w:rsidRPr="00242C63" w:rsidR="00DA490C" w:rsidTr="00D821FE" w14:paraId="503E0A61" w14:textId="77777777">
        <w:tc>
          <w:tcPr>
            <w:tcW w:w="2410" w:type="dxa"/>
            <w:vMerge w:val="restart"/>
            <w:tcBorders>
              <w:top w:val="single" w:color="auto" w:sz="4" w:space="0"/>
              <w:left w:val="single" w:color="auto" w:sz="4" w:space="0"/>
              <w:bottom w:val="single" w:color="auto" w:sz="4" w:space="0"/>
              <w:right w:val="single" w:color="auto" w:sz="4" w:space="0"/>
            </w:tcBorders>
            <w:hideMark/>
          </w:tcPr>
          <w:p w:rsidRPr="00242C63" w:rsidR="00DA490C" w:rsidP="00D821FE" w:rsidRDefault="00DA490C" w14:paraId="0DD6D844" w14:textId="77777777">
            <w:pPr>
              <w:rPr>
                <w:szCs w:val="18"/>
              </w:rPr>
            </w:pPr>
            <w:r w:rsidRPr="00242C63">
              <w:rPr>
                <w:b/>
                <w:bCs/>
                <w:szCs w:val="18"/>
              </w:rPr>
              <w:t xml:space="preserve">Wet </w:t>
            </w:r>
            <w:proofErr w:type="spellStart"/>
            <w:r w:rsidRPr="00242C63">
              <w:rPr>
                <w:b/>
                <w:bCs/>
                <w:szCs w:val="18"/>
              </w:rPr>
              <w:t>Dieren</w:t>
            </w:r>
            <w:proofErr w:type="spellEnd"/>
          </w:p>
        </w:tc>
        <w:tc>
          <w:tcPr>
            <w:tcW w:w="2140" w:type="dxa"/>
            <w:tcBorders>
              <w:top w:val="single" w:color="auto" w:sz="4" w:space="0"/>
              <w:left w:val="single" w:color="auto" w:sz="4" w:space="0"/>
              <w:bottom w:val="single" w:color="auto" w:sz="4" w:space="0"/>
              <w:right w:val="single" w:color="auto" w:sz="4" w:space="0"/>
            </w:tcBorders>
            <w:hideMark/>
          </w:tcPr>
          <w:p w:rsidRPr="00242C63" w:rsidR="00DA490C" w:rsidP="00D821FE" w:rsidRDefault="00DA490C" w14:paraId="063356F0" w14:textId="77777777">
            <w:pPr>
              <w:rPr>
                <w:szCs w:val="18"/>
              </w:rPr>
            </w:pPr>
            <w:proofErr w:type="spellStart"/>
            <w:r w:rsidRPr="00242C63">
              <w:rPr>
                <w:szCs w:val="18"/>
              </w:rPr>
              <w:t>Diergeneesmiddelen</w:t>
            </w:r>
            <w:proofErr w:type="spellEnd"/>
          </w:p>
        </w:tc>
        <w:tc>
          <w:tcPr>
            <w:tcW w:w="1545" w:type="dxa"/>
            <w:vMerge w:val="restart"/>
            <w:tcBorders>
              <w:top w:val="single" w:color="auto" w:sz="4" w:space="0"/>
              <w:left w:val="single" w:color="auto" w:sz="4" w:space="0"/>
              <w:bottom w:val="single" w:color="auto" w:sz="4" w:space="0"/>
              <w:right w:val="single" w:color="auto" w:sz="4" w:space="0"/>
            </w:tcBorders>
            <w:hideMark/>
          </w:tcPr>
          <w:p w:rsidRPr="00242C63" w:rsidR="00DA490C" w:rsidP="00D821FE" w:rsidRDefault="00DA490C" w14:paraId="7A9AEB6F" w14:textId="77777777">
            <w:pPr>
              <w:rPr>
                <w:szCs w:val="18"/>
              </w:rPr>
            </w:pPr>
            <w:r w:rsidRPr="00242C63">
              <w:rPr>
                <w:szCs w:val="18"/>
              </w:rPr>
              <w:t>2222</w:t>
            </w:r>
          </w:p>
        </w:tc>
        <w:tc>
          <w:tcPr>
            <w:tcW w:w="1985" w:type="dxa"/>
            <w:vMerge w:val="restart"/>
            <w:tcBorders>
              <w:top w:val="single" w:color="auto" w:sz="4" w:space="0"/>
              <w:left w:val="single" w:color="auto" w:sz="4" w:space="0"/>
              <w:bottom w:val="single" w:color="auto" w:sz="4" w:space="0"/>
              <w:right w:val="single" w:color="auto" w:sz="4" w:space="0"/>
            </w:tcBorders>
            <w:hideMark/>
          </w:tcPr>
          <w:p w:rsidRPr="00242C63" w:rsidR="00DA490C" w:rsidP="00D821FE" w:rsidRDefault="00DA490C" w14:paraId="2446EEA6" w14:textId="77777777">
            <w:pPr>
              <w:rPr>
                <w:szCs w:val="18"/>
              </w:rPr>
            </w:pPr>
            <w:r w:rsidRPr="00242C63">
              <w:rPr>
                <w:szCs w:val="18"/>
              </w:rPr>
              <w:t>1979</w:t>
            </w:r>
            <w:r w:rsidRPr="00242C63">
              <w:rPr>
                <w:szCs w:val="18"/>
                <w:vertAlign w:val="superscript"/>
              </w:rPr>
              <w:t>*</w:t>
            </w:r>
          </w:p>
        </w:tc>
      </w:tr>
      <w:tr w:rsidRPr="00242C63" w:rsidR="00DA490C" w:rsidTr="00D821FE" w14:paraId="5562644D" w14:textId="77777777">
        <w:tc>
          <w:tcPr>
            <w:tcW w:w="2410" w:type="dxa"/>
            <w:vMerge/>
            <w:tcBorders>
              <w:top w:val="single" w:color="auto" w:sz="4" w:space="0"/>
              <w:left w:val="single" w:color="auto" w:sz="4" w:space="0"/>
              <w:bottom w:val="single" w:color="auto" w:sz="4" w:space="0"/>
              <w:right w:val="single" w:color="auto" w:sz="4" w:space="0"/>
            </w:tcBorders>
            <w:vAlign w:val="center"/>
            <w:hideMark/>
          </w:tcPr>
          <w:p w:rsidRPr="00242C63" w:rsidR="00DA490C" w:rsidP="00D821FE" w:rsidRDefault="00DA490C" w14:paraId="77210E4A" w14:textId="77777777">
            <w:pPr>
              <w:rPr>
                <w:szCs w:val="18"/>
              </w:rPr>
            </w:pPr>
          </w:p>
        </w:tc>
        <w:tc>
          <w:tcPr>
            <w:tcW w:w="2140" w:type="dxa"/>
            <w:tcBorders>
              <w:top w:val="single" w:color="auto" w:sz="4" w:space="0"/>
              <w:left w:val="single" w:color="auto" w:sz="4" w:space="0"/>
              <w:bottom w:val="single" w:color="auto" w:sz="4" w:space="0"/>
              <w:right w:val="single" w:color="auto" w:sz="4" w:space="0"/>
            </w:tcBorders>
            <w:hideMark/>
          </w:tcPr>
          <w:p w:rsidRPr="00242C63" w:rsidR="00DA490C" w:rsidP="00D821FE" w:rsidRDefault="00DA490C" w14:paraId="4A2E3208" w14:textId="77777777">
            <w:pPr>
              <w:rPr>
                <w:szCs w:val="18"/>
              </w:rPr>
            </w:pPr>
            <w:proofErr w:type="spellStart"/>
            <w:r w:rsidRPr="00242C63">
              <w:rPr>
                <w:szCs w:val="18"/>
              </w:rPr>
              <w:t>Dierlijke</w:t>
            </w:r>
            <w:proofErr w:type="spellEnd"/>
            <w:r w:rsidRPr="00242C63">
              <w:rPr>
                <w:szCs w:val="18"/>
              </w:rPr>
              <w:t xml:space="preserve"> </w:t>
            </w:r>
            <w:proofErr w:type="spellStart"/>
            <w:r w:rsidRPr="00242C63">
              <w:rPr>
                <w:szCs w:val="18"/>
              </w:rPr>
              <w:t>bijproducten</w:t>
            </w:r>
            <w:proofErr w:type="spellEnd"/>
          </w:p>
        </w:tc>
        <w:tc>
          <w:tcPr>
            <w:tcW w:w="1545" w:type="dxa"/>
            <w:vMerge/>
            <w:tcBorders>
              <w:top w:val="single" w:color="auto" w:sz="4" w:space="0"/>
              <w:left w:val="single" w:color="auto" w:sz="4" w:space="0"/>
              <w:bottom w:val="single" w:color="auto" w:sz="4" w:space="0"/>
              <w:right w:val="single" w:color="auto" w:sz="4" w:space="0"/>
            </w:tcBorders>
            <w:vAlign w:val="center"/>
            <w:hideMark/>
          </w:tcPr>
          <w:p w:rsidRPr="00242C63" w:rsidR="00DA490C" w:rsidP="00D821FE" w:rsidRDefault="00DA490C" w14:paraId="69422E34" w14:textId="77777777">
            <w:pPr>
              <w:rPr>
                <w:szCs w:val="18"/>
              </w:rPr>
            </w:pPr>
          </w:p>
        </w:tc>
        <w:tc>
          <w:tcPr>
            <w:tcW w:w="1985" w:type="dxa"/>
            <w:vMerge/>
            <w:tcBorders>
              <w:top w:val="single" w:color="auto" w:sz="4" w:space="0"/>
              <w:left w:val="single" w:color="auto" w:sz="4" w:space="0"/>
              <w:bottom w:val="single" w:color="auto" w:sz="4" w:space="0"/>
              <w:right w:val="single" w:color="auto" w:sz="4" w:space="0"/>
            </w:tcBorders>
            <w:vAlign w:val="center"/>
            <w:hideMark/>
          </w:tcPr>
          <w:p w:rsidRPr="00242C63" w:rsidR="00DA490C" w:rsidP="00D821FE" w:rsidRDefault="00DA490C" w14:paraId="2AF35DCE" w14:textId="77777777">
            <w:pPr>
              <w:rPr>
                <w:szCs w:val="18"/>
              </w:rPr>
            </w:pPr>
          </w:p>
        </w:tc>
      </w:tr>
      <w:tr w:rsidRPr="00242C63" w:rsidR="00DA490C" w:rsidTr="00D821FE" w14:paraId="74C89AD6" w14:textId="77777777">
        <w:tc>
          <w:tcPr>
            <w:tcW w:w="2410" w:type="dxa"/>
            <w:vMerge/>
            <w:tcBorders>
              <w:top w:val="single" w:color="auto" w:sz="4" w:space="0"/>
              <w:left w:val="single" w:color="auto" w:sz="4" w:space="0"/>
              <w:bottom w:val="single" w:color="auto" w:sz="4" w:space="0"/>
              <w:right w:val="single" w:color="auto" w:sz="4" w:space="0"/>
            </w:tcBorders>
            <w:vAlign w:val="center"/>
            <w:hideMark/>
          </w:tcPr>
          <w:p w:rsidRPr="00242C63" w:rsidR="00DA490C" w:rsidP="00D821FE" w:rsidRDefault="00DA490C" w14:paraId="3AAECE37" w14:textId="77777777">
            <w:pPr>
              <w:rPr>
                <w:szCs w:val="18"/>
              </w:rPr>
            </w:pPr>
          </w:p>
        </w:tc>
        <w:tc>
          <w:tcPr>
            <w:tcW w:w="2140" w:type="dxa"/>
            <w:tcBorders>
              <w:top w:val="single" w:color="auto" w:sz="4" w:space="0"/>
              <w:left w:val="single" w:color="auto" w:sz="4" w:space="0"/>
              <w:bottom w:val="single" w:color="auto" w:sz="4" w:space="0"/>
              <w:right w:val="single" w:color="auto" w:sz="4" w:space="0"/>
            </w:tcBorders>
            <w:hideMark/>
          </w:tcPr>
          <w:p w:rsidRPr="00242C63" w:rsidR="00DA490C" w:rsidP="00D821FE" w:rsidRDefault="00DA490C" w14:paraId="5F29F190" w14:textId="77777777">
            <w:pPr>
              <w:rPr>
                <w:szCs w:val="18"/>
              </w:rPr>
            </w:pPr>
            <w:proofErr w:type="spellStart"/>
            <w:r w:rsidRPr="00242C63">
              <w:rPr>
                <w:szCs w:val="18"/>
              </w:rPr>
              <w:t>Diervoeder</w:t>
            </w:r>
            <w:proofErr w:type="spellEnd"/>
            <w:r w:rsidRPr="00242C63">
              <w:rPr>
                <w:szCs w:val="18"/>
              </w:rPr>
              <w:t xml:space="preserve"> </w:t>
            </w:r>
          </w:p>
        </w:tc>
        <w:tc>
          <w:tcPr>
            <w:tcW w:w="1545" w:type="dxa"/>
            <w:vMerge/>
            <w:tcBorders>
              <w:top w:val="single" w:color="auto" w:sz="4" w:space="0"/>
              <w:left w:val="single" w:color="auto" w:sz="4" w:space="0"/>
              <w:bottom w:val="single" w:color="auto" w:sz="4" w:space="0"/>
              <w:right w:val="single" w:color="auto" w:sz="4" w:space="0"/>
            </w:tcBorders>
            <w:vAlign w:val="center"/>
            <w:hideMark/>
          </w:tcPr>
          <w:p w:rsidRPr="00242C63" w:rsidR="00DA490C" w:rsidP="00D821FE" w:rsidRDefault="00DA490C" w14:paraId="67251C7E" w14:textId="77777777">
            <w:pPr>
              <w:rPr>
                <w:szCs w:val="18"/>
              </w:rPr>
            </w:pPr>
          </w:p>
        </w:tc>
        <w:tc>
          <w:tcPr>
            <w:tcW w:w="1985" w:type="dxa"/>
            <w:vMerge/>
            <w:tcBorders>
              <w:top w:val="single" w:color="auto" w:sz="4" w:space="0"/>
              <w:left w:val="single" w:color="auto" w:sz="4" w:space="0"/>
              <w:bottom w:val="single" w:color="auto" w:sz="4" w:space="0"/>
              <w:right w:val="single" w:color="auto" w:sz="4" w:space="0"/>
            </w:tcBorders>
            <w:vAlign w:val="center"/>
            <w:hideMark/>
          </w:tcPr>
          <w:p w:rsidRPr="00242C63" w:rsidR="00DA490C" w:rsidP="00D821FE" w:rsidRDefault="00DA490C" w14:paraId="15C2FF4B" w14:textId="77777777">
            <w:pPr>
              <w:rPr>
                <w:szCs w:val="18"/>
              </w:rPr>
            </w:pPr>
          </w:p>
        </w:tc>
      </w:tr>
      <w:tr w:rsidRPr="00242C63" w:rsidR="00DA490C" w:rsidTr="00D821FE" w14:paraId="0985B7AB" w14:textId="77777777">
        <w:tc>
          <w:tcPr>
            <w:tcW w:w="2410" w:type="dxa"/>
            <w:vMerge/>
            <w:tcBorders>
              <w:top w:val="single" w:color="auto" w:sz="4" w:space="0"/>
              <w:left w:val="single" w:color="auto" w:sz="4" w:space="0"/>
              <w:bottom w:val="single" w:color="auto" w:sz="4" w:space="0"/>
              <w:right w:val="single" w:color="auto" w:sz="4" w:space="0"/>
            </w:tcBorders>
            <w:vAlign w:val="center"/>
            <w:hideMark/>
          </w:tcPr>
          <w:p w:rsidRPr="00242C63" w:rsidR="00DA490C" w:rsidP="00D821FE" w:rsidRDefault="00DA490C" w14:paraId="4EE90598" w14:textId="77777777">
            <w:pPr>
              <w:rPr>
                <w:szCs w:val="18"/>
              </w:rPr>
            </w:pPr>
          </w:p>
        </w:tc>
        <w:tc>
          <w:tcPr>
            <w:tcW w:w="2140" w:type="dxa"/>
            <w:tcBorders>
              <w:top w:val="single" w:color="auto" w:sz="4" w:space="0"/>
              <w:left w:val="single" w:color="auto" w:sz="4" w:space="0"/>
              <w:bottom w:val="single" w:color="auto" w:sz="4" w:space="0"/>
              <w:right w:val="single" w:color="auto" w:sz="4" w:space="0"/>
            </w:tcBorders>
            <w:hideMark/>
          </w:tcPr>
          <w:p w:rsidRPr="00242C63" w:rsidR="00DA490C" w:rsidP="00D821FE" w:rsidRDefault="00DA490C" w14:paraId="5C8869D0" w14:textId="77777777">
            <w:pPr>
              <w:rPr>
                <w:szCs w:val="18"/>
              </w:rPr>
            </w:pPr>
            <w:r w:rsidRPr="00242C63">
              <w:rPr>
                <w:szCs w:val="18"/>
              </w:rPr>
              <w:t>Vis</w:t>
            </w:r>
          </w:p>
        </w:tc>
        <w:tc>
          <w:tcPr>
            <w:tcW w:w="1545" w:type="dxa"/>
            <w:vMerge/>
            <w:tcBorders>
              <w:top w:val="single" w:color="auto" w:sz="4" w:space="0"/>
              <w:left w:val="single" w:color="auto" w:sz="4" w:space="0"/>
              <w:bottom w:val="single" w:color="auto" w:sz="4" w:space="0"/>
              <w:right w:val="single" w:color="auto" w:sz="4" w:space="0"/>
            </w:tcBorders>
            <w:vAlign w:val="center"/>
            <w:hideMark/>
          </w:tcPr>
          <w:p w:rsidRPr="00242C63" w:rsidR="00DA490C" w:rsidP="00D821FE" w:rsidRDefault="00DA490C" w14:paraId="78504958" w14:textId="77777777">
            <w:pPr>
              <w:rPr>
                <w:szCs w:val="18"/>
              </w:rPr>
            </w:pPr>
          </w:p>
        </w:tc>
        <w:tc>
          <w:tcPr>
            <w:tcW w:w="1985" w:type="dxa"/>
            <w:vMerge/>
            <w:tcBorders>
              <w:top w:val="single" w:color="auto" w:sz="4" w:space="0"/>
              <w:left w:val="single" w:color="auto" w:sz="4" w:space="0"/>
              <w:bottom w:val="single" w:color="auto" w:sz="4" w:space="0"/>
              <w:right w:val="single" w:color="auto" w:sz="4" w:space="0"/>
            </w:tcBorders>
            <w:vAlign w:val="center"/>
            <w:hideMark/>
          </w:tcPr>
          <w:p w:rsidRPr="00242C63" w:rsidR="00DA490C" w:rsidP="00D821FE" w:rsidRDefault="00DA490C" w14:paraId="3B1AADAE" w14:textId="77777777">
            <w:pPr>
              <w:rPr>
                <w:szCs w:val="18"/>
              </w:rPr>
            </w:pPr>
          </w:p>
        </w:tc>
      </w:tr>
      <w:tr w:rsidRPr="00242C63" w:rsidR="00DA490C" w:rsidTr="00D821FE" w14:paraId="08C9AD02" w14:textId="77777777">
        <w:tc>
          <w:tcPr>
            <w:tcW w:w="2410" w:type="dxa"/>
            <w:vMerge/>
            <w:tcBorders>
              <w:top w:val="single" w:color="auto" w:sz="4" w:space="0"/>
              <w:left w:val="single" w:color="auto" w:sz="4" w:space="0"/>
              <w:bottom w:val="single" w:color="auto" w:sz="4" w:space="0"/>
              <w:right w:val="single" w:color="auto" w:sz="4" w:space="0"/>
            </w:tcBorders>
            <w:vAlign w:val="center"/>
            <w:hideMark/>
          </w:tcPr>
          <w:p w:rsidRPr="00242C63" w:rsidR="00DA490C" w:rsidP="00D821FE" w:rsidRDefault="00DA490C" w14:paraId="69E3CB39" w14:textId="77777777">
            <w:pPr>
              <w:rPr>
                <w:szCs w:val="18"/>
              </w:rPr>
            </w:pPr>
          </w:p>
        </w:tc>
        <w:tc>
          <w:tcPr>
            <w:tcW w:w="2140" w:type="dxa"/>
            <w:tcBorders>
              <w:top w:val="single" w:color="auto" w:sz="4" w:space="0"/>
              <w:left w:val="single" w:color="auto" w:sz="4" w:space="0"/>
              <w:bottom w:val="single" w:color="auto" w:sz="4" w:space="0"/>
              <w:right w:val="single" w:color="auto" w:sz="4" w:space="0"/>
            </w:tcBorders>
            <w:hideMark/>
          </w:tcPr>
          <w:p w:rsidRPr="00242C63" w:rsidR="00DA490C" w:rsidP="00D821FE" w:rsidRDefault="00DA490C" w14:paraId="62F83B12" w14:textId="77777777">
            <w:pPr>
              <w:rPr>
                <w:szCs w:val="18"/>
              </w:rPr>
            </w:pPr>
            <w:r w:rsidRPr="00242C63">
              <w:rPr>
                <w:szCs w:val="18"/>
              </w:rPr>
              <w:t xml:space="preserve">Vervoer van </w:t>
            </w:r>
            <w:proofErr w:type="spellStart"/>
            <w:r w:rsidRPr="00242C63">
              <w:rPr>
                <w:szCs w:val="18"/>
              </w:rPr>
              <w:t>dieren</w:t>
            </w:r>
            <w:proofErr w:type="spellEnd"/>
          </w:p>
        </w:tc>
        <w:tc>
          <w:tcPr>
            <w:tcW w:w="1545" w:type="dxa"/>
            <w:vMerge/>
            <w:tcBorders>
              <w:top w:val="single" w:color="auto" w:sz="4" w:space="0"/>
              <w:left w:val="single" w:color="auto" w:sz="4" w:space="0"/>
              <w:bottom w:val="single" w:color="auto" w:sz="4" w:space="0"/>
              <w:right w:val="single" w:color="auto" w:sz="4" w:space="0"/>
            </w:tcBorders>
            <w:vAlign w:val="center"/>
            <w:hideMark/>
          </w:tcPr>
          <w:p w:rsidRPr="00242C63" w:rsidR="00DA490C" w:rsidP="00D821FE" w:rsidRDefault="00DA490C" w14:paraId="67FF1AEC" w14:textId="77777777">
            <w:pPr>
              <w:rPr>
                <w:szCs w:val="18"/>
              </w:rPr>
            </w:pPr>
          </w:p>
        </w:tc>
        <w:tc>
          <w:tcPr>
            <w:tcW w:w="1985" w:type="dxa"/>
            <w:vMerge/>
            <w:tcBorders>
              <w:top w:val="single" w:color="auto" w:sz="4" w:space="0"/>
              <w:left w:val="single" w:color="auto" w:sz="4" w:space="0"/>
              <w:bottom w:val="single" w:color="auto" w:sz="4" w:space="0"/>
              <w:right w:val="single" w:color="auto" w:sz="4" w:space="0"/>
            </w:tcBorders>
            <w:vAlign w:val="center"/>
            <w:hideMark/>
          </w:tcPr>
          <w:p w:rsidRPr="00242C63" w:rsidR="00DA490C" w:rsidP="00D821FE" w:rsidRDefault="00DA490C" w14:paraId="40B8B377" w14:textId="77777777">
            <w:pPr>
              <w:rPr>
                <w:szCs w:val="18"/>
              </w:rPr>
            </w:pPr>
          </w:p>
        </w:tc>
      </w:tr>
      <w:tr w:rsidRPr="00242C63" w:rsidR="00DA490C" w:rsidTr="00D821FE" w14:paraId="3BB51C24" w14:textId="77777777">
        <w:tc>
          <w:tcPr>
            <w:tcW w:w="2410" w:type="dxa"/>
            <w:vMerge/>
            <w:tcBorders>
              <w:top w:val="single" w:color="auto" w:sz="4" w:space="0"/>
              <w:left w:val="single" w:color="auto" w:sz="4" w:space="0"/>
              <w:bottom w:val="single" w:color="auto" w:sz="4" w:space="0"/>
              <w:right w:val="single" w:color="auto" w:sz="4" w:space="0"/>
            </w:tcBorders>
            <w:vAlign w:val="center"/>
            <w:hideMark/>
          </w:tcPr>
          <w:p w:rsidRPr="00242C63" w:rsidR="00DA490C" w:rsidP="00D821FE" w:rsidRDefault="00DA490C" w14:paraId="3BFED1DC" w14:textId="77777777">
            <w:pPr>
              <w:rPr>
                <w:szCs w:val="18"/>
              </w:rPr>
            </w:pPr>
          </w:p>
        </w:tc>
        <w:tc>
          <w:tcPr>
            <w:tcW w:w="2140" w:type="dxa"/>
            <w:tcBorders>
              <w:top w:val="single" w:color="auto" w:sz="4" w:space="0"/>
              <w:left w:val="single" w:color="auto" w:sz="4" w:space="0"/>
              <w:bottom w:val="single" w:color="auto" w:sz="4" w:space="0"/>
              <w:right w:val="single" w:color="auto" w:sz="4" w:space="0"/>
            </w:tcBorders>
            <w:hideMark/>
          </w:tcPr>
          <w:p w:rsidRPr="00242C63" w:rsidR="00DA490C" w:rsidP="00D821FE" w:rsidRDefault="00DA490C" w14:paraId="39C5BE3D" w14:textId="77777777">
            <w:pPr>
              <w:rPr>
                <w:szCs w:val="18"/>
              </w:rPr>
            </w:pPr>
            <w:proofErr w:type="spellStart"/>
            <w:r w:rsidRPr="00242C63">
              <w:rPr>
                <w:szCs w:val="18"/>
              </w:rPr>
              <w:t>Levende</w:t>
            </w:r>
            <w:proofErr w:type="spellEnd"/>
            <w:r w:rsidRPr="00242C63">
              <w:rPr>
                <w:szCs w:val="18"/>
              </w:rPr>
              <w:t xml:space="preserve"> </w:t>
            </w:r>
            <w:proofErr w:type="spellStart"/>
            <w:r w:rsidRPr="00242C63">
              <w:rPr>
                <w:szCs w:val="18"/>
              </w:rPr>
              <w:t>dieren</w:t>
            </w:r>
            <w:proofErr w:type="spellEnd"/>
            <w:r w:rsidRPr="00242C63">
              <w:rPr>
                <w:szCs w:val="18"/>
              </w:rPr>
              <w:t xml:space="preserve"> </w:t>
            </w:r>
            <w:proofErr w:type="spellStart"/>
            <w:r w:rsidRPr="00242C63">
              <w:rPr>
                <w:szCs w:val="18"/>
              </w:rPr>
              <w:t>en</w:t>
            </w:r>
            <w:proofErr w:type="spellEnd"/>
            <w:r w:rsidRPr="00242C63">
              <w:rPr>
                <w:szCs w:val="18"/>
              </w:rPr>
              <w:t xml:space="preserve"> </w:t>
            </w:r>
            <w:proofErr w:type="spellStart"/>
            <w:r w:rsidRPr="00242C63">
              <w:rPr>
                <w:szCs w:val="18"/>
              </w:rPr>
              <w:t>diergezondheid</w:t>
            </w:r>
            <w:proofErr w:type="spellEnd"/>
          </w:p>
        </w:tc>
        <w:tc>
          <w:tcPr>
            <w:tcW w:w="1545" w:type="dxa"/>
            <w:vMerge/>
            <w:tcBorders>
              <w:top w:val="single" w:color="auto" w:sz="4" w:space="0"/>
              <w:left w:val="single" w:color="auto" w:sz="4" w:space="0"/>
              <w:bottom w:val="single" w:color="auto" w:sz="4" w:space="0"/>
              <w:right w:val="single" w:color="auto" w:sz="4" w:space="0"/>
            </w:tcBorders>
            <w:vAlign w:val="center"/>
            <w:hideMark/>
          </w:tcPr>
          <w:p w:rsidRPr="00242C63" w:rsidR="00DA490C" w:rsidP="00D821FE" w:rsidRDefault="00DA490C" w14:paraId="721FF16A" w14:textId="77777777">
            <w:pPr>
              <w:rPr>
                <w:szCs w:val="18"/>
              </w:rPr>
            </w:pPr>
          </w:p>
        </w:tc>
        <w:tc>
          <w:tcPr>
            <w:tcW w:w="1985" w:type="dxa"/>
            <w:vMerge/>
            <w:tcBorders>
              <w:top w:val="single" w:color="auto" w:sz="4" w:space="0"/>
              <w:left w:val="single" w:color="auto" w:sz="4" w:space="0"/>
              <w:bottom w:val="single" w:color="auto" w:sz="4" w:space="0"/>
              <w:right w:val="single" w:color="auto" w:sz="4" w:space="0"/>
            </w:tcBorders>
            <w:vAlign w:val="center"/>
            <w:hideMark/>
          </w:tcPr>
          <w:p w:rsidRPr="00242C63" w:rsidR="00DA490C" w:rsidP="00D821FE" w:rsidRDefault="00DA490C" w14:paraId="4E7D65BE" w14:textId="77777777">
            <w:pPr>
              <w:rPr>
                <w:szCs w:val="18"/>
              </w:rPr>
            </w:pPr>
          </w:p>
        </w:tc>
      </w:tr>
      <w:tr w:rsidRPr="00242C63" w:rsidR="00DA490C" w:rsidTr="00D821FE" w14:paraId="71698249" w14:textId="77777777">
        <w:tc>
          <w:tcPr>
            <w:tcW w:w="2410" w:type="dxa"/>
            <w:vMerge/>
            <w:tcBorders>
              <w:top w:val="single" w:color="auto" w:sz="4" w:space="0"/>
              <w:left w:val="single" w:color="auto" w:sz="4" w:space="0"/>
              <w:bottom w:val="single" w:color="auto" w:sz="4" w:space="0"/>
              <w:right w:val="single" w:color="auto" w:sz="4" w:space="0"/>
            </w:tcBorders>
            <w:vAlign w:val="center"/>
            <w:hideMark/>
          </w:tcPr>
          <w:p w:rsidRPr="00242C63" w:rsidR="00DA490C" w:rsidP="00D821FE" w:rsidRDefault="00DA490C" w14:paraId="2E055D0F" w14:textId="77777777">
            <w:pPr>
              <w:rPr>
                <w:szCs w:val="18"/>
              </w:rPr>
            </w:pPr>
          </w:p>
        </w:tc>
        <w:tc>
          <w:tcPr>
            <w:tcW w:w="2140" w:type="dxa"/>
            <w:tcBorders>
              <w:top w:val="single" w:color="auto" w:sz="4" w:space="0"/>
              <w:left w:val="single" w:color="auto" w:sz="4" w:space="0"/>
              <w:bottom w:val="single" w:color="auto" w:sz="4" w:space="0"/>
              <w:right w:val="single" w:color="auto" w:sz="4" w:space="0"/>
            </w:tcBorders>
            <w:hideMark/>
          </w:tcPr>
          <w:p w:rsidRPr="00242C63" w:rsidR="00DA490C" w:rsidP="00D821FE" w:rsidRDefault="00DA490C" w14:paraId="1ECFC2F8" w14:textId="77777777">
            <w:pPr>
              <w:rPr>
                <w:szCs w:val="18"/>
              </w:rPr>
            </w:pPr>
            <w:proofErr w:type="spellStart"/>
            <w:r w:rsidRPr="00242C63">
              <w:rPr>
                <w:szCs w:val="18"/>
              </w:rPr>
              <w:t>Dierenwelzijn</w:t>
            </w:r>
            <w:proofErr w:type="spellEnd"/>
          </w:p>
        </w:tc>
        <w:tc>
          <w:tcPr>
            <w:tcW w:w="1545" w:type="dxa"/>
            <w:vMerge/>
            <w:tcBorders>
              <w:top w:val="single" w:color="auto" w:sz="4" w:space="0"/>
              <w:left w:val="single" w:color="auto" w:sz="4" w:space="0"/>
              <w:bottom w:val="single" w:color="auto" w:sz="4" w:space="0"/>
              <w:right w:val="single" w:color="auto" w:sz="4" w:space="0"/>
            </w:tcBorders>
            <w:vAlign w:val="center"/>
            <w:hideMark/>
          </w:tcPr>
          <w:p w:rsidRPr="00242C63" w:rsidR="00DA490C" w:rsidP="00D821FE" w:rsidRDefault="00DA490C" w14:paraId="2377789D" w14:textId="77777777">
            <w:pPr>
              <w:rPr>
                <w:szCs w:val="18"/>
              </w:rPr>
            </w:pPr>
          </w:p>
        </w:tc>
        <w:tc>
          <w:tcPr>
            <w:tcW w:w="1985" w:type="dxa"/>
            <w:vMerge/>
            <w:tcBorders>
              <w:top w:val="single" w:color="auto" w:sz="4" w:space="0"/>
              <w:left w:val="single" w:color="auto" w:sz="4" w:space="0"/>
              <w:bottom w:val="single" w:color="auto" w:sz="4" w:space="0"/>
              <w:right w:val="single" w:color="auto" w:sz="4" w:space="0"/>
            </w:tcBorders>
            <w:vAlign w:val="center"/>
            <w:hideMark/>
          </w:tcPr>
          <w:p w:rsidRPr="00242C63" w:rsidR="00DA490C" w:rsidP="00D821FE" w:rsidRDefault="00DA490C" w14:paraId="395AF4AE" w14:textId="77777777">
            <w:pPr>
              <w:rPr>
                <w:szCs w:val="18"/>
              </w:rPr>
            </w:pPr>
          </w:p>
        </w:tc>
      </w:tr>
      <w:tr w:rsidRPr="00242C63" w:rsidR="00DA490C" w:rsidTr="00D821FE" w14:paraId="0156E770" w14:textId="77777777">
        <w:tc>
          <w:tcPr>
            <w:tcW w:w="2410" w:type="dxa"/>
            <w:vMerge/>
            <w:tcBorders>
              <w:top w:val="single" w:color="auto" w:sz="4" w:space="0"/>
              <w:left w:val="single" w:color="auto" w:sz="4" w:space="0"/>
              <w:bottom w:val="single" w:color="auto" w:sz="4" w:space="0"/>
              <w:right w:val="single" w:color="auto" w:sz="4" w:space="0"/>
            </w:tcBorders>
            <w:vAlign w:val="center"/>
            <w:hideMark/>
          </w:tcPr>
          <w:p w:rsidRPr="00242C63" w:rsidR="00DA490C" w:rsidP="00D821FE" w:rsidRDefault="00DA490C" w14:paraId="77B82ADE" w14:textId="77777777">
            <w:pPr>
              <w:rPr>
                <w:szCs w:val="18"/>
              </w:rPr>
            </w:pPr>
          </w:p>
        </w:tc>
        <w:tc>
          <w:tcPr>
            <w:tcW w:w="2140" w:type="dxa"/>
            <w:tcBorders>
              <w:top w:val="single" w:color="auto" w:sz="4" w:space="0"/>
              <w:left w:val="single" w:color="auto" w:sz="4" w:space="0"/>
              <w:bottom w:val="single" w:color="auto" w:sz="4" w:space="0"/>
              <w:right w:val="single" w:color="auto" w:sz="4" w:space="0"/>
            </w:tcBorders>
            <w:hideMark/>
          </w:tcPr>
          <w:p w:rsidRPr="00242C63" w:rsidR="00DA490C" w:rsidP="00D821FE" w:rsidRDefault="00DA490C" w14:paraId="6F518CB1" w14:textId="77777777">
            <w:pPr>
              <w:rPr>
                <w:szCs w:val="18"/>
              </w:rPr>
            </w:pPr>
            <w:proofErr w:type="spellStart"/>
            <w:r w:rsidRPr="00242C63">
              <w:rPr>
                <w:szCs w:val="18"/>
              </w:rPr>
              <w:t>Dierlijke</w:t>
            </w:r>
            <w:proofErr w:type="spellEnd"/>
            <w:r w:rsidRPr="00242C63">
              <w:rPr>
                <w:szCs w:val="18"/>
              </w:rPr>
              <w:t xml:space="preserve"> </w:t>
            </w:r>
            <w:proofErr w:type="spellStart"/>
            <w:r w:rsidRPr="00242C63">
              <w:rPr>
                <w:szCs w:val="18"/>
              </w:rPr>
              <w:t>bijproducten</w:t>
            </w:r>
            <w:proofErr w:type="spellEnd"/>
          </w:p>
        </w:tc>
        <w:tc>
          <w:tcPr>
            <w:tcW w:w="1545" w:type="dxa"/>
            <w:vMerge/>
            <w:tcBorders>
              <w:top w:val="single" w:color="auto" w:sz="4" w:space="0"/>
              <w:left w:val="single" w:color="auto" w:sz="4" w:space="0"/>
              <w:bottom w:val="single" w:color="auto" w:sz="4" w:space="0"/>
              <w:right w:val="single" w:color="auto" w:sz="4" w:space="0"/>
            </w:tcBorders>
            <w:vAlign w:val="center"/>
            <w:hideMark/>
          </w:tcPr>
          <w:p w:rsidRPr="00242C63" w:rsidR="00DA490C" w:rsidP="00D821FE" w:rsidRDefault="00DA490C" w14:paraId="268F60DB" w14:textId="77777777">
            <w:pPr>
              <w:rPr>
                <w:szCs w:val="18"/>
              </w:rPr>
            </w:pPr>
          </w:p>
        </w:tc>
        <w:tc>
          <w:tcPr>
            <w:tcW w:w="1985" w:type="dxa"/>
            <w:vMerge/>
            <w:tcBorders>
              <w:top w:val="single" w:color="auto" w:sz="4" w:space="0"/>
              <w:left w:val="single" w:color="auto" w:sz="4" w:space="0"/>
              <w:bottom w:val="single" w:color="auto" w:sz="4" w:space="0"/>
              <w:right w:val="single" w:color="auto" w:sz="4" w:space="0"/>
            </w:tcBorders>
            <w:vAlign w:val="center"/>
            <w:hideMark/>
          </w:tcPr>
          <w:p w:rsidRPr="00242C63" w:rsidR="00DA490C" w:rsidP="00D821FE" w:rsidRDefault="00DA490C" w14:paraId="65838374" w14:textId="77777777">
            <w:pPr>
              <w:rPr>
                <w:szCs w:val="18"/>
              </w:rPr>
            </w:pPr>
          </w:p>
        </w:tc>
      </w:tr>
      <w:tr w:rsidRPr="00242C63" w:rsidR="00DA490C" w:rsidTr="00D821FE" w14:paraId="0AB0A800" w14:textId="77777777">
        <w:tc>
          <w:tcPr>
            <w:tcW w:w="2410" w:type="dxa"/>
            <w:vMerge/>
            <w:tcBorders>
              <w:top w:val="single" w:color="auto" w:sz="4" w:space="0"/>
              <w:left w:val="single" w:color="auto" w:sz="4" w:space="0"/>
              <w:bottom w:val="single" w:color="auto" w:sz="4" w:space="0"/>
              <w:right w:val="single" w:color="auto" w:sz="4" w:space="0"/>
            </w:tcBorders>
            <w:vAlign w:val="center"/>
            <w:hideMark/>
          </w:tcPr>
          <w:p w:rsidRPr="00242C63" w:rsidR="00DA490C" w:rsidP="00D821FE" w:rsidRDefault="00DA490C" w14:paraId="7DF9758C" w14:textId="77777777">
            <w:pPr>
              <w:rPr>
                <w:szCs w:val="18"/>
              </w:rPr>
            </w:pPr>
          </w:p>
        </w:tc>
        <w:tc>
          <w:tcPr>
            <w:tcW w:w="2140" w:type="dxa"/>
            <w:tcBorders>
              <w:top w:val="single" w:color="auto" w:sz="4" w:space="0"/>
              <w:left w:val="single" w:color="auto" w:sz="4" w:space="0"/>
              <w:bottom w:val="single" w:color="auto" w:sz="4" w:space="0"/>
              <w:right w:val="single" w:color="auto" w:sz="4" w:space="0"/>
            </w:tcBorders>
            <w:hideMark/>
          </w:tcPr>
          <w:p w:rsidRPr="00242C63" w:rsidR="00DA490C" w:rsidP="00D821FE" w:rsidRDefault="00DA490C" w14:paraId="661F6F19" w14:textId="77777777">
            <w:pPr>
              <w:rPr>
                <w:szCs w:val="18"/>
              </w:rPr>
            </w:pPr>
            <w:proofErr w:type="spellStart"/>
            <w:r w:rsidRPr="00242C63">
              <w:rPr>
                <w:szCs w:val="18"/>
              </w:rPr>
              <w:t>Vleesketen</w:t>
            </w:r>
            <w:proofErr w:type="spellEnd"/>
            <w:r w:rsidRPr="00242C63">
              <w:rPr>
                <w:szCs w:val="18"/>
              </w:rPr>
              <w:t xml:space="preserve"> </w:t>
            </w:r>
            <w:proofErr w:type="spellStart"/>
            <w:r w:rsidRPr="00242C63">
              <w:rPr>
                <w:szCs w:val="18"/>
              </w:rPr>
              <w:t>en</w:t>
            </w:r>
            <w:proofErr w:type="spellEnd"/>
            <w:r w:rsidRPr="00242C63">
              <w:rPr>
                <w:szCs w:val="18"/>
              </w:rPr>
              <w:t xml:space="preserve"> </w:t>
            </w:r>
            <w:proofErr w:type="spellStart"/>
            <w:r w:rsidRPr="00242C63">
              <w:rPr>
                <w:szCs w:val="18"/>
              </w:rPr>
              <w:t>voedselveiligheid</w:t>
            </w:r>
            <w:proofErr w:type="spellEnd"/>
          </w:p>
        </w:tc>
        <w:tc>
          <w:tcPr>
            <w:tcW w:w="1545" w:type="dxa"/>
            <w:vMerge/>
            <w:tcBorders>
              <w:top w:val="single" w:color="auto" w:sz="4" w:space="0"/>
              <w:left w:val="single" w:color="auto" w:sz="4" w:space="0"/>
              <w:bottom w:val="single" w:color="auto" w:sz="4" w:space="0"/>
              <w:right w:val="single" w:color="auto" w:sz="4" w:space="0"/>
            </w:tcBorders>
            <w:vAlign w:val="center"/>
            <w:hideMark/>
          </w:tcPr>
          <w:p w:rsidRPr="00242C63" w:rsidR="00DA490C" w:rsidP="00D821FE" w:rsidRDefault="00DA490C" w14:paraId="5EF60565" w14:textId="77777777">
            <w:pPr>
              <w:rPr>
                <w:szCs w:val="18"/>
              </w:rPr>
            </w:pPr>
          </w:p>
        </w:tc>
        <w:tc>
          <w:tcPr>
            <w:tcW w:w="1985" w:type="dxa"/>
            <w:vMerge/>
            <w:tcBorders>
              <w:top w:val="single" w:color="auto" w:sz="4" w:space="0"/>
              <w:left w:val="single" w:color="auto" w:sz="4" w:space="0"/>
              <w:bottom w:val="single" w:color="auto" w:sz="4" w:space="0"/>
              <w:right w:val="single" w:color="auto" w:sz="4" w:space="0"/>
            </w:tcBorders>
            <w:vAlign w:val="center"/>
            <w:hideMark/>
          </w:tcPr>
          <w:p w:rsidRPr="00242C63" w:rsidR="00DA490C" w:rsidP="00D821FE" w:rsidRDefault="00DA490C" w14:paraId="1F39E270" w14:textId="77777777">
            <w:pPr>
              <w:rPr>
                <w:szCs w:val="18"/>
              </w:rPr>
            </w:pPr>
          </w:p>
        </w:tc>
      </w:tr>
      <w:tr w:rsidRPr="00242C63" w:rsidR="00DA490C" w:rsidTr="00D821FE" w14:paraId="7AC1C55C" w14:textId="77777777">
        <w:tc>
          <w:tcPr>
            <w:tcW w:w="2410" w:type="dxa"/>
            <w:tcBorders>
              <w:top w:val="single" w:color="auto" w:sz="4" w:space="0"/>
              <w:left w:val="single" w:color="auto" w:sz="4" w:space="0"/>
              <w:bottom w:val="single" w:color="auto" w:sz="4" w:space="0"/>
              <w:right w:val="single" w:color="auto" w:sz="4" w:space="0"/>
            </w:tcBorders>
            <w:hideMark/>
          </w:tcPr>
          <w:p w:rsidRPr="00242C63" w:rsidR="00DA490C" w:rsidP="00D821FE" w:rsidRDefault="00DA490C" w14:paraId="3629BC27" w14:textId="77777777">
            <w:pPr>
              <w:rPr>
                <w:szCs w:val="18"/>
              </w:rPr>
            </w:pPr>
            <w:proofErr w:type="spellStart"/>
            <w:r w:rsidRPr="00242C63">
              <w:rPr>
                <w:b/>
                <w:bCs/>
                <w:szCs w:val="18"/>
              </w:rPr>
              <w:t>Plantgezondheidswet</w:t>
            </w:r>
            <w:proofErr w:type="spellEnd"/>
          </w:p>
        </w:tc>
        <w:tc>
          <w:tcPr>
            <w:tcW w:w="2140" w:type="dxa"/>
            <w:tcBorders>
              <w:top w:val="single" w:color="auto" w:sz="4" w:space="0"/>
              <w:left w:val="single" w:color="auto" w:sz="4" w:space="0"/>
              <w:bottom w:val="single" w:color="auto" w:sz="4" w:space="0"/>
              <w:right w:val="single" w:color="auto" w:sz="4" w:space="0"/>
            </w:tcBorders>
            <w:hideMark/>
          </w:tcPr>
          <w:p w:rsidRPr="00242C63" w:rsidR="00DA490C" w:rsidP="00D821FE" w:rsidRDefault="00DA490C" w14:paraId="7A23E7D3" w14:textId="77777777">
            <w:pPr>
              <w:rPr>
                <w:szCs w:val="18"/>
              </w:rPr>
            </w:pPr>
            <w:proofErr w:type="spellStart"/>
            <w:r w:rsidRPr="00242C63">
              <w:rPr>
                <w:szCs w:val="18"/>
              </w:rPr>
              <w:t>Fytosanitair</w:t>
            </w:r>
            <w:proofErr w:type="spellEnd"/>
          </w:p>
        </w:tc>
        <w:tc>
          <w:tcPr>
            <w:tcW w:w="1545" w:type="dxa"/>
            <w:tcBorders>
              <w:top w:val="single" w:color="auto" w:sz="4" w:space="0"/>
              <w:left w:val="single" w:color="auto" w:sz="4" w:space="0"/>
              <w:bottom w:val="single" w:color="auto" w:sz="4" w:space="0"/>
              <w:right w:val="single" w:color="auto" w:sz="4" w:space="0"/>
            </w:tcBorders>
            <w:hideMark/>
          </w:tcPr>
          <w:p w:rsidRPr="00242C63" w:rsidR="00DA490C" w:rsidP="00D821FE" w:rsidRDefault="00DA490C" w14:paraId="4E818AAE" w14:textId="77777777">
            <w:pPr>
              <w:rPr>
                <w:szCs w:val="18"/>
              </w:rPr>
            </w:pPr>
            <w:r w:rsidRPr="00242C63">
              <w:rPr>
                <w:szCs w:val="18"/>
              </w:rPr>
              <w:t>32</w:t>
            </w:r>
          </w:p>
        </w:tc>
        <w:tc>
          <w:tcPr>
            <w:tcW w:w="1985" w:type="dxa"/>
            <w:tcBorders>
              <w:top w:val="single" w:color="auto" w:sz="4" w:space="0"/>
              <w:left w:val="single" w:color="auto" w:sz="4" w:space="0"/>
              <w:bottom w:val="single" w:color="auto" w:sz="4" w:space="0"/>
              <w:right w:val="single" w:color="auto" w:sz="4" w:space="0"/>
            </w:tcBorders>
            <w:hideMark/>
          </w:tcPr>
          <w:p w:rsidRPr="00242C63" w:rsidR="00DA490C" w:rsidP="00D821FE" w:rsidRDefault="00DA490C" w14:paraId="5AB206F5" w14:textId="77777777">
            <w:pPr>
              <w:rPr>
                <w:szCs w:val="18"/>
              </w:rPr>
            </w:pPr>
            <w:r w:rsidRPr="00242C63">
              <w:rPr>
                <w:szCs w:val="18"/>
              </w:rPr>
              <w:t>79</w:t>
            </w:r>
          </w:p>
        </w:tc>
      </w:tr>
      <w:tr w:rsidRPr="00242C63" w:rsidR="00DA490C" w:rsidTr="00D821FE" w14:paraId="6603B9ED" w14:textId="77777777">
        <w:tc>
          <w:tcPr>
            <w:tcW w:w="2410" w:type="dxa"/>
            <w:tcBorders>
              <w:top w:val="single" w:color="auto" w:sz="4" w:space="0"/>
              <w:left w:val="single" w:color="auto" w:sz="4" w:space="0"/>
              <w:bottom w:val="single" w:color="auto" w:sz="4" w:space="0"/>
              <w:right w:val="single" w:color="auto" w:sz="4" w:space="0"/>
            </w:tcBorders>
            <w:hideMark/>
          </w:tcPr>
          <w:p w:rsidRPr="00242C63" w:rsidR="00DA490C" w:rsidP="00D821FE" w:rsidRDefault="00DA490C" w14:paraId="76BD4AE3" w14:textId="77777777">
            <w:pPr>
              <w:rPr>
                <w:b/>
                <w:bCs/>
                <w:szCs w:val="18"/>
              </w:rPr>
            </w:pPr>
            <w:proofErr w:type="spellStart"/>
            <w:r w:rsidRPr="00242C63">
              <w:rPr>
                <w:b/>
                <w:bCs/>
                <w:szCs w:val="18"/>
              </w:rPr>
              <w:lastRenderedPageBreak/>
              <w:t>Natuurbeschermingswet</w:t>
            </w:r>
            <w:proofErr w:type="spellEnd"/>
          </w:p>
        </w:tc>
        <w:tc>
          <w:tcPr>
            <w:tcW w:w="2140" w:type="dxa"/>
            <w:tcBorders>
              <w:top w:val="single" w:color="auto" w:sz="4" w:space="0"/>
              <w:left w:val="single" w:color="auto" w:sz="4" w:space="0"/>
              <w:bottom w:val="single" w:color="auto" w:sz="4" w:space="0"/>
              <w:right w:val="single" w:color="auto" w:sz="4" w:space="0"/>
            </w:tcBorders>
            <w:hideMark/>
          </w:tcPr>
          <w:p w:rsidRPr="00242C63" w:rsidR="00DA490C" w:rsidP="00D821FE" w:rsidRDefault="00DA490C" w14:paraId="56EED907" w14:textId="77777777">
            <w:pPr>
              <w:rPr>
                <w:szCs w:val="18"/>
              </w:rPr>
            </w:pPr>
            <w:r w:rsidRPr="00242C63">
              <w:rPr>
                <w:szCs w:val="18"/>
              </w:rPr>
              <w:t xml:space="preserve">Mest </w:t>
            </w:r>
            <w:proofErr w:type="spellStart"/>
            <w:r w:rsidRPr="00242C63">
              <w:rPr>
                <w:szCs w:val="18"/>
              </w:rPr>
              <w:t>en</w:t>
            </w:r>
            <w:proofErr w:type="spellEnd"/>
            <w:r w:rsidRPr="00242C63">
              <w:rPr>
                <w:szCs w:val="18"/>
              </w:rPr>
              <w:t xml:space="preserve"> </w:t>
            </w:r>
            <w:proofErr w:type="spellStart"/>
            <w:r w:rsidRPr="00242C63">
              <w:rPr>
                <w:szCs w:val="18"/>
              </w:rPr>
              <w:t>natuur</w:t>
            </w:r>
            <w:proofErr w:type="spellEnd"/>
          </w:p>
        </w:tc>
        <w:tc>
          <w:tcPr>
            <w:tcW w:w="1545" w:type="dxa"/>
            <w:tcBorders>
              <w:top w:val="single" w:color="auto" w:sz="4" w:space="0"/>
              <w:left w:val="single" w:color="auto" w:sz="4" w:space="0"/>
              <w:bottom w:val="single" w:color="auto" w:sz="4" w:space="0"/>
              <w:right w:val="single" w:color="auto" w:sz="4" w:space="0"/>
            </w:tcBorders>
            <w:hideMark/>
          </w:tcPr>
          <w:p w:rsidRPr="00242C63" w:rsidR="00DA490C" w:rsidP="00D821FE" w:rsidRDefault="00DA490C" w14:paraId="2408D768" w14:textId="77777777">
            <w:pPr>
              <w:rPr>
                <w:szCs w:val="18"/>
              </w:rPr>
            </w:pPr>
            <w:r w:rsidRPr="00242C63">
              <w:rPr>
                <w:szCs w:val="18"/>
              </w:rPr>
              <w:t>2</w:t>
            </w:r>
          </w:p>
        </w:tc>
        <w:tc>
          <w:tcPr>
            <w:tcW w:w="1985" w:type="dxa"/>
            <w:tcBorders>
              <w:top w:val="single" w:color="auto" w:sz="4" w:space="0"/>
              <w:left w:val="single" w:color="auto" w:sz="4" w:space="0"/>
              <w:bottom w:val="single" w:color="auto" w:sz="4" w:space="0"/>
              <w:right w:val="single" w:color="auto" w:sz="4" w:space="0"/>
            </w:tcBorders>
            <w:hideMark/>
          </w:tcPr>
          <w:p w:rsidRPr="00242C63" w:rsidR="00DA490C" w:rsidP="00D821FE" w:rsidRDefault="00DA490C" w14:paraId="023C7FE9" w14:textId="77777777">
            <w:pPr>
              <w:rPr>
                <w:szCs w:val="18"/>
              </w:rPr>
            </w:pPr>
            <w:r w:rsidRPr="00242C63">
              <w:rPr>
                <w:szCs w:val="18"/>
              </w:rPr>
              <w:t>157</w:t>
            </w:r>
          </w:p>
        </w:tc>
      </w:tr>
      <w:tr w:rsidRPr="00242C63" w:rsidR="00DA490C" w:rsidTr="00D821FE" w14:paraId="00E599F0" w14:textId="77777777">
        <w:tc>
          <w:tcPr>
            <w:tcW w:w="2410" w:type="dxa"/>
            <w:vMerge w:val="restart"/>
            <w:tcBorders>
              <w:top w:val="single" w:color="auto" w:sz="4" w:space="0"/>
              <w:left w:val="single" w:color="auto" w:sz="4" w:space="0"/>
              <w:bottom w:val="single" w:color="auto" w:sz="4" w:space="0"/>
              <w:right w:val="single" w:color="auto" w:sz="4" w:space="0"/>
            </w:tcBorders>
            <w:hideMark/>
          </w:tcPr>
          <w:p w:rsidRPr="00242C63" w:rsidR="00DA490C" w:rsidP="00D821FE" w:rsidRDefault="00DA490C" w14:paraId="3800A05A" w14:textId="77777777">
            <w:pPr>
              <w:rPr>
                <w:b/>
                <w:bCs/>
                <w:szCs w:val="18"/>
              </w:rPr>
            </w:pPr>
            <w:proofErr w:type="spellStart"/>
            <w:r w:rsidRPr="00242C63">
              <w:rPr>
                <w:b/>
                <w:bCs/>
                <w:szCs w:val="18"/>
              </w:rPr>
              <w:t>Warenwet</w:t>
            </w:r>
            <w:proofErr w:type="spellEnd"/>
          </w:p>
        </w:tc>
        <w:tc>
          <w:tcPr>
            <w:tcW w:w="2140" w:type="dxa"/>
            <w:tcBorders>
              <w:top w:val="single" w:color="auto" w:sz="4" w:space="0"/>
              <w:left w:val="single" w:color="auto" w:sz="4" w:space="0"/>
              <w:bottom w:val="single" w:color="auto" w:sz="4" w:space="0"/>
              <w:right w:val="single" w:color="auto" w:sz="4" w:space="0"/>
            </w:tcBorders>
            <w:hideMark/>
          </w:tcPr>
          <w:p w:rsidRPr="00242C63" w:rsidR="00DA490C" w:rsidP="00D821FE" w:rsidRDefault="00DA490C" w14:paraId="0B1472B7" w14:textId="77777777">
            <w:pPr>
              <w:rPr>
                <w:szCs w:val="18"/>
              </w:rPr>
            </w:pPr>
            <w:proofErr w:type="spellStart"/>
            <w:r w:rsidRPr="00242C63">
              <w:rPr>
                <w:szCs w:val="18"/>
              </w:rPr>
              <w:t>Horeca</w:t>
            </w:r>
            <w:proofErr w:type="spellEnd"/>
            <w:r w:rsidRPr="00242C63">
              <w:rPr>
                <w:szCs w:val="18"/>
              </w:rPr>
              <w:t xml:space="preserve"> </w:t>
            </w:r>
            <w:proofErr w:type="spellStart"/>
            <w:r w:rsidRPr="00242C63">
              <w:rPr>
                <w:szCs w:val="18"/>
              </w:rPr>
              <w:t>en</w:t>
            </w:r>
            <w:proofErr w:type="spellEnd"/>
            <w:r w:rsidRPr="00242C63">
              <w:rPr>
                <w:szCs w:val="18"/>
              </w:rPr>
              <w:t xml:space="preserve"> </w:t>
            </w:r>
            <w:proofErr w:type="spellStart"/>
            <w:r w:rsidRPr="00242C63">
              <w:rPr>
                <w:szCs w:val="18"/>
              </w:rPr>
              <w:t>ambachtelijke</w:t>
            </w:r>
            <w:proofErr w:type="spellEnd"/>
            <w:r w:rsidRPr="00242C63">
              <w:rPr>
                <w:szCs w:val="18"/>
              </w:rPr>
              <w:t xml:space="preserve"> </w:t>
            </w:r>
            <w:proofErr w:type="spellStart"/>
            <w:r w:rsidRPr="00242C63">
              <w:rPr>
                <w:szCs w:val="18"/>
              </w:rPr>
              <w:t>productie</w:t>
            </w:r>
            <w:proofErr w:type="spellEnd"/>
          </w:p>
        </w:tc>
        <w:tc>
          <w:tcPr>
            <w:tcW w:w="1545" w:type="dxa"/>
            <w:tcBorders>
              <w:top w:val="single" w:color="auto" w:sz="4" w:space="0"/>
              <w:left w:val="single" w:color="auto" w:sz="4" w:space="0"/>
              <w:bottom w:val="single" w:color="auto" w:sz="4" w:space="0"/>
              <w:right w:val="single" w:color="auto" w:sz="4" w:space="0"/>
            </w:tcBorders>
            <w:hideMark/>
          </w:tcPr>
          <w:p w:rsidRPr="00242C63" w:rsidR="00DA490C" w:rsidP="00D821FE" w:rsidRDefault="00DA490C" w14:paraId="2A819E0A" w14:textId="77777777">
            <w:pPr>
              <w:rPr>
                <w:szCs w:val="18"/>
              </w:rPr>
            </w:pPr>
            <w:r w:rsidRPr="00242C63">
              <w:rPr>
                <w:szCs w:val="18"/>
              </w:rPr>
              <w:t>2755</w:t>
            </w:r>
          </w:p>
        </w:tc>
        <w:tc>
          <w:tcPr>
            <w:tcW w:w="1985" w:type="dxa"/>
            <w:tcBorders>
              <w:top w:val="single" w:color="auto" w:sz="4" w:space="0"/>
              <w:left w:val="single" w:color="auto" w:sz="4" w:space="0"/>
              <w:bottom w:val="single" w:color="auto" w:sz="4" w:space="0"/>
              <w:right w:val="single" w:color="auto" w:sz="4" w:space="0"/>
            </w:tcBorders>
            <w:hideMark/>
          </w:tcPr>
          <w:p w:rsidRPr="00242C63" w:rsidR="00DA490C" w:rsidP="00D821FE" w:rsidRDefault="00DA490C" w14:paraId="4998AB04" w14:textId="77777777">
            <w:pPr>
              <w:rPr>
                <w:szCs w:val="18"/>
              </w:rPr>
            </w:pPr>
            <w:r w:rsidRPr="00242C63">
              <w:rPr>
                <w:szCs w:val="18"/>
              </w:rPr>
              <w:t>6915</w:t>
            </w:r>
          </w:p>
        </w:tc>
      </w:tr>
      <w:tr w:rsidRPr="00242C63" w:rsidR="00DA490C" w:rsidTr="00D821FE" w14:paraId="37D226D1" w14:textId="77777777">
        <w:tc>
          <w:tcPr>
            <w:tcW w:w="2410" w:type="dxa"/>
            <w:vMerge/>
            <w:tcBorders>
              <w:top w:val="single" w:color="auto" w:sz="4" w:space="0"/>
              <w:left w:val="single" w:color="auto" w:sz="4" w:space="0"/>
              <w:bottom w:val="single" w:color="auto" w:sz="4" w:space="0"/>
              <w:right w:val="single" w:color="auto" w:sz="4" w:space="0"/>
            </w:tcBorders>
            <w:vAlign w:val="center"/>
            <w:hideMark/>
          </w:tcPr>
          <w:p w:rsidRPr="00242C63" w:rsidR="00DA490C" w:rsidP="00D821FE" w:rsidRDefault="00DA490C" w14:paraId="034F4BBB" w14:textId="77777777">
            <w:pPr>
              <w:rPr>
                <w:b/>
                <w:bCs/>
                <w:szCs w:val="18"/>
              </w:rPr>
            </w:pPr>
          </w:p>
        </w:tc>
        <w:tc>
          <w:tcPr>
            <w:tcW w:w="2140" w:type="dxa"/>
            <w:tcBorders>
              <w:top w:val="single" w:color="auto" w:sz="4" w:space="0"/>
              <w:left w:val="single" w:color="auto" w:sz="4" w:space="0"/>
              <w:bottom w:val="single" w:color="auto" w:sz="4" w:space="0"/>
              <w:right w:val="single" w:color="auto" w:sz="4" w:space="0"/>
            </w:tcBorders>
            <w:hideMark/>
          </w:tcPr>
          <w:p w:rsidRPr="00242C63" w:rsidR="00DA490C" w:rsidP="00D821FE" w:rsidRDefault="00DA490C" w14:paraId="1418F99D" w14:textId="77777777">
            <w:pPr>
              <w:rPr>
                <w:szCs w:val="18"/>
              </w:rPr>
            </w:pPr>
            <w:proofErr w:type="spellStart"/>
            <w:r w:rsidRPr="00242C63">
              <w:rPr>
                <w:szCs w:val="18"/>
              </w:rPr>
              <w:t>Industriële</w:t>
            </w:r>
            <w:proofErr w:type="spellEnd"/>
            <w:r w:rsidRPr="00242C63">
              <w:rPr>
                <w:szCs w:val="18"/>
              </w:rPr>
              <w:t xml:space="preserve"> </w:t>
            </w:r>
            <w:proofErr w:type="spellStart"/>
            <w:r w:rsidRPr="00242C63">
              <w:rPr>
                <w:szCs w:val="18"/>
              </w:rPr>
              <w:t>productie</w:t>
            </w:r>
            <w:proofErr w:type="spellEnd"/>
          </w:p>
        </w:tc>
        <w:tc>
          <w:tcPr>
            <w:tcW w:w="1545" w:type="dxa"/>
            <w:tcBorders>
              <w:top w:val="single" w:color="auto" w:sz="4" w:space="0"/>
              <w:left w:val="single" w:color="auto" w:sz="4" w:space="0"/>
              <w:bottom w:val="single" w:color="auto" w:sz="4" w:space="0"/>
              <w:right w:val="single" w:color="auto" w:sz="4" w:space="0"/>
            </w:tcBorders>
            <w:hideMark/>
          </w:tcPr>
          <w:p w:rsidRPr="00242C63" w:rsidR="00DA490C" w:rsidP="00D821FE" w:rsidRDefault="00DA490C" w14:paraId="1D2CAF40" w14:textId="77777777">
            <w:pPr>
              <w:rPr>
                <w:szCs w:val="18"/>
              </w:rPr>
            </w:pPr>
            <w:r w:rsidRPr="00242C63">
              <w:rPr>
                <w:szCs w:val="18"/>
              </w:rPr>
              <w:t>507</w:t>
            </w:r>
          </w:p>
        </w:tc>
        <w:tc>
          <w:tcPr>
            <w:tcW w:w="1985" w:type="dxa"/>
            <w:tcBorders>
              <w:top w:val="single" w:color="auto" w:sz="4" w:space="0"/>
              <w:left w:val="single" w:color="auto" w:sz="4" w:space="0"/>
              <w:bottom w:val="single" w:color="auto" w:sz="4" w:space="0"/>
              <w:right w:val="single" w:color="auto" w:sz="4" w:space="0"/>
            </w:tcBorders>
            <w:hideMark/>
          </w:tcPr>
          <w:p w:rsidRPr="00242C63" w:rsidR="00DA490C" w:rsidP="00D821FE" w:rsidRDefault="00DA490C" w14:paraId="564BDFB6" w14:textId="77777777">
            <w:pPr>
              <w:rPr>
                <w:szCs w:val="18"/>
              </w:rPr>
            </w:pPr>
            <w:r w:rsidRPr="00242C63">
              <w:rPr>
                <w:szCs w:val="18"/>
              </w:rPr>
              <w:t>1011</w:t>
            </w:r>
          </w:p>
        </w:tc>
      </w:tr>
      <w:tr w:rsidRPr="00242C63" w:rsidR="00DA490C" w:rsidTr="00D821FE" w14:paraId="67FB1F2F" w14:textId="77777777">
        <w:tc>
          <w:tcPr>
            <w:tcW w:w="2410" w:type="dxa"/>
            <w:vMerge/>
            <w:tcBorders>
              <w:top w:val="single" w:color="auto" w:sz="4" w:space="0"/>
              <w:left w:val="single" w:color="auto" w:sz="4" w:space="0"/>
              <w:bottom w:val="single" w:color="auto" w:sz="4" w:space="0"/>
              <w:right w:val="single" w:color="auto" w:sz="4" w:space="0"/>
            </w:tcBorders>
            <w:vAlign w:val="center"/>
            <w:hideMark/>
          </w:tcPr>
          <w:p w:rsidRPr="00242C63" w:rsidR="00DA490C" w:rsidP="00D821FE" w:rsidRDefault="00DA490C" w14:paraId="1427EC0E" w14:textId="77777777">
            <w:pPr>
              <w:rPr>
                <w:b/>
                <w:bCs/>
                <w:szCs w:val="18"/>
              </w:rPr>
            </w:pPr>
          </w:p>
        </w:tc>
        <w:tc>
          <w:tcPr>
            <w:tcW w:w="2140" w:type="dxa"/>
            <w:tcBorders>
              <w:top w:val="single" w:color="auto" w:sz="4" w:space="0"/>
              <w:left w:val="single" w:color="auto" w:sz="4" w:space="0"/>
              <w:bottom w:val="single" w:color="auto" w:sz="4" w:space="0"/>
              <w:right w:val="single" w:color="auto" w:sz="4" w:space="0"/>
            </w:tcBorders>
            <w:hideMark/>
          </w:tcPr>
          <w:p w:rsidRPr="00242C63" w:rsidR="00DA490C" w:rsidP="00D821FE" w:rsidRDefault="00DA490C" w14:paraId="5A979D8A" w14:textId="77777777">
            <w:pPr>
              <w:rPr>
                <w:szCs w:val="18"/>
              </w:rPr>
            </w:pPr>
            <w:proofErr w:type="spellStart"/>
            <w:r w:rsidRPr="00242C63">
              <w:rPr>
                <w:szCs w:val="18"/>
              </w:rPr>
              <w:t>Vleesketen</w:t>
            </w:r>
            <w:proofErr w:type="spellEnd"/>
            <w:r w:rsidRPr="00242C63">
              <w:rPr>
                <w:szCs w:val="18"/>
              </w:rPr>
              <w:t xml:space="preserve"> </w:t>
            </w:r>
            <w:proofErr w:type="spellStart"/>
            <w:r w:rsidRPr="00242C63">
              <w:rPr>
                <w:szCs w:val="18"/>
              </w:rPr>
              <w:t>en</w:t>
            </w:r>
            <w:proofErr w:type="spellEnd"/>
            <w:r w:rsidRPr="00242C63">
              <w:rPr>
                <w:szCs w:val="18"/>
              </w:rPr>
              <w:t xml:space="preserve"> </w:t>
            </w:r>
            <w:proofErr w:type="spellStart"/>
            <w:r w:rsidRPr="00242C63">
              <w:rPr>
                <w:szCs w:val="18"/>
              </w:rPr>
              <w:t>voedselveiligheid</w:t>
            </w:r>
            <w:proofErr w:type="spellEnd"/>
          </w:p>
        </w:tc>
        <w:tc>
          <w:tcPr>
            <w:tcW w:w="1545" w:type="dxa"/>
            <w:tcBorders>
              <w:top w:val="single" w:color="auto" w:sz="4" w:space="0"/>
              <w:left w:val="single" w:color="auto" w:sz="4" w:space="0"/>
              <w:bottom w:val="single" w:color="auto" w:sz="4" w:space="0"/>
              <w:right w:val="single" w:color="auto" w:sz="4" w:space="0"/>
            </w:tcBorders>
            <w:hideMark/>
          </w:tcPr>
          <w:p w:rsidRPr="00242C63" w:rsidR="00DA490C" w:rsidP="00D821FE" w:rsidRDefault="00DA490C" w14:paraId="0583A9C7" w14:textId="77777777">
            <w:pPr>
              <w:rPr>
                <w:szCs w:val="18"/>
              </w:rPr>
            </w:pPr>
            <w:r w:rsidRPr="00242C63">
              <w:rPr>
                <w:szCs w:val="18"/>
              </w:rPr>
              <w:t>21</w:t>
            </w:r>
          </w:p>
        </w:tc>
        <w:tc>
          <w:tcPr>
            <w:tcW w:w="1985" w:type="dxa"/>
            <w:tcBorders>
              <w:top w:val="single" w:color="auto" w:sz="4" w:space="0"/>
              <w:left w:val="single" w:color="auto" w:sz="4" w:space="0"/>
              <w:bottom w:val="single" w:color="auto" w:sz="4" w:space="0"/>
              <w:right w:val="single" w:color="auto" w:sz="4" w:space="0"/>
            </w:tcBorders>
            <w:hideMark/>
          </w:tcPr>
          <w:p w:rsidRPr="00242C63" w:rsidR="00DA490C" w:rsidP="00D821FE" w:rsidRDefault="00DA490C" w14:paraId="2714E753" w14:textId="77777777">
            <w:pPr>
              <w:rPr>
                <w:szCs w:val="18"/>
              </w:rPr>
            </w:pPr>
            <w:r w:rsidRPr="00242C63">
              <w:rPr>
                <w:szCs w:val="18"/>
              </w:rPr>
              <w:t>163</w:t>
            </w:r>
            <w:r w:rsidRPr="00242C63">
              <w:rPr>
                <w:szCs w:val="18"/>
                <w:vertAlign w:val="superscript"/>
              </w:rPr>
              <w:t>*</w:t>
            </w:r>
          </w:p>
        </w:tc>
      </w:tr>
      <w:tr w:rsidRPr="00242C63" w:rsidR="00DA490C" w:rsidTr="00D821FE" w14:paraId="523C7E61" w14:textId="77777777">
        <w:tc>
          <w:tcPr>
            <w:tcW w:w="2410" w:type="dxa"/>
            <w:vMerge/>
            <w:tcBorders>
              <w:top w:val="single" w:color="auto" w:sz="4" w:space="0"/>
              <w:left w:val="single" w:color="auto" w:sz="4" w:space="0"/>
              <w:bottom w:val="single" w:color="auto" w:sz="4" w:space="0"/>
              <w:right w:val="single" w:color="auto" w:sz="4" w:space="0"/>
            </w:tcBorders>
            <w:vAlign w:val="center"/>
            <w:hideMark/>
          </w:tcPr>
          <w:p w:rsidRPr="00242C63" w:rsidR="00DA490C" w:rsidP="00D821FE" w:rsidRDefault="00DA490C" w14:paraId="27E84B95" w14:textId="77777777">
            <w:pPr>
              <w:rPr>
                <w:b/>
                <w:bCs/>
                <w:szCs w:val="18"/>
              </w:rPr>
            </w:pPr>
          </w:p>
        </w:tc>
        <w:tc>
          <w:tcPr>
            <w:tcW w:w="2140" w:type="dxa"/>
            <w:tcBorders>
              <w:top w:val="single" w:color="auto" w:sz="4" w:space="0"/>
              <w:left w:val="single" w:color="auto" w:sz="4" w:space="0"/>
              <w:bottom w:val="single" w:color="auto" w:sz="4" w:space="0"/>
              <w:right w:val="single" w:color="auto" w:sz="4" w:space="0"/>
            </w:tcBorders>
            <w:hideMark/>
          </w:tcPr>
          <w:p w:rsidRPr="00242C63" w:rsidR="00DA490C" w:rsidP="00D821FE" w:rsidRDefault="00DA490C" w14:paraId="15A85020" w14:textId="77777777">
            <w:pPr>
              <w:rPr>
                <w:szCs w:val="18"/>
              </w:rPr>
            </w:pPr>
            <w:proofErr w:type="spellStart"/>
            <w:r w:rsidRPr="00242C63">
              <w:rPr>
                <w:szCs w:val="18"/>
              </w:rPr>
              <w:t>Bijzondere</w:t>
            </w:r>
            <w:proofErr w:type="spellEnd"/>
            <w:r w:rsidRPr="00242C63">
              <w:rPr>
                <w:szCs w:val="18"/>
              </w:rPr>
              <w:t xml:space="preserve"> </w:t>
            </w:r>
            <w:proofErr w:type="spellStart"/>
            <w:r w:rsidRPr="00242C63">
              <w:rPr>
                <w:szCs w:val="18"/>
              </w:rPr>
              <w:t>eet</w:t>
            </w:r>
            <w:proofErr w:type="spellEnd"/>
            <w:r w:rsidRPr="00242C63">
              <w:rPr>
                <w:szCs w:val="18"/>
              </w:rPr>
              <w:t xml:space="preserve">- </w:t>
            </w:r>
            <w:proofErr w:type="spellStart"/>
            <w:r w:rsidRPr="00242C63">
              <w:rPr>
                <w:szCs w:val="18"/>
              </w:rPr>
              <w:t>en</w:t>
            </w:r>
            <w:proofErr w:type="spellEnd"/>
            <w:r w:rsidRPr="00242C63">
              <w:rPr>
                <w:szCs w:val="18"/>
              </w:rPr>
              <w:t xml:space="preserve"> </w:t>
            </w:r>
            <w:proofErr w:type="spellStart"/>
            <w:r w:rsidRPr="00242C63">
              <w:rPr>
                <w:szCs w:val="18"/>
              </w:rPr>
              <w:t>drinkwaren</w:t>
            </w:r>
            <w:proofErr w:type="spellEnd"/>
          </w:p>
        </w:tc>
        <w:tc>
          <w:tcPr>
            <w:tcW w:w="1545" w:type="dxa"/>
            <w:tcBorders>
              <w:top w:val="single" w:color="auto" w:sz="4" w:space="0"/>
              <w:left w:val="single" w:color="auto" w:sz="4" w:space="0"/>
              <w:bottom w:val="single" w:color="auto" w:sz="4" w:space="0"/>
              <w:right w:val="single" w:color="auto" w:sz="4" w:space="0"/>
            </w:tcBorders>
            <w:hideMark/>
          </w:tcPr>
          <w:p w:rsidRPr="00242C63" w:rsidR="00DA490C" w:rsidP="00D821FE" w:rsidRDefault="00DA490C" w14:paraId="7516898E" w14:textId="77777777">
            <w:pPr>
              <w:rPr>
                <w:szCs w:val="18"/>
              </w:rPr>
            </w:pPr>
            <w:r w:rsidRPr="00242C63">
              <w:rPr>
                <w:szCs w:val="18"/>
              </w:rPr>
              <w:t>91</w:t>
            </w:r>
          </w:p>
        </w:tc>
        <w:tc>
          <w:tcPr>
            <w:tcW w:w="1985" w:type="dxa"/>
            <w:tcBorders>
              <w:top w:val="single" w:color="auto" w:sz="4" w:space="0"/>
              <w:left w:val="single" w:color="auto" w:sz="4" w:space="0"/>
              <w:bottom w:val="single" w:color="auto" w:sz="4" w:space="0"/>
              <w:right w:val="single" w:color="auto" w:sz="4" w:space="0"/>
            </w:tcBorders>
            <w:hideMark/>
          </w:tcPr>
          <w:p w:rsidRPr="00242C63" w:rsidR="00DA490C" w:rsidP="00D821FE" w:rsidRDefault="00DA490C" w14:paraId="7CA7F3AF" w14:textId="77777777">
            <w:pPr>
              <w:rPr>
                <w:szCs w:val="18"/>
              </w:rPr>
            </w:pPr>
            <w:r w:rsidRPr="00242C63">
              <w:rPr>
                <w:szCs w:val="18"/>
              </w:rPr>
              <w:t>265**</w:t>
            </w:r>
          </w:p>
        </w:tc>
      </w:tr>
      <w:tr w:rsidRPr="00242C63" w:rsidR="00DA490C" w:rsidTr="00D821FE" w14:paraId="52989F61" w14:textId="77777777">
        <w:tc>
          <w:tcPr>
            <w:tcW w:w="2410" w:type="dxa"/>
            <w:vMerge/>
            <w:tcBorders>
              <w:top w:val="single" w:color="auto" w:sz="4" w:space="0"/>
              <w:left w:val="single" w:color="auto" w:sz="4" w:space="0"/>
              <w:bottom w:val="single" w:color="auto" w:sz="4" w:space="0"/>
              <w:right w:val="single" w:color="auto" w:sz="4" w:space="0"/>
            </w:tcBorders>
            <w:vAlign w:val="center"/>
            <w:hideMark/>
          </w:tcPr>
          <w:p w:rsidRPr="00242C63" w:rsidR="00DA490C" w:rsidP="00D821FE" w:rsidRDefault="00DA490C" w14:paraId="75C9282D" w14:textId="77777777">
            <w:pPr>
              <w:rPr>
                <w:b/>
                <w:bCs/>
                <w:szCs w:val="18"/>
              </w:rPr>
            </w:pPr>
          </w:p>
        </w:tc>
        <w:tc>
          <w:tcPr>
            <w:tcW w:w="2140" w:type="dxa"/>
            <w:tcBorders>
              <w:top w:val="single" w:color="auto" w:sz="4" w:space="0"/>
              <w:left w:val="single" w:color="auto" w:sz="4" w:space="0"/>
              <w:bottom w:val="single" w:color="auto" w:sz="4" w:space="0"/>
              <w:right w:val="single" w:color="auto" w:sz="4" w:space="0"/>
            </w:tcBorders>
            <w:hideMark/>
          </w:tcPr>
          <w:p w:rsidRPr="00242C63" w:rsidR="00DA490C" w:rsidP="00D821FE" w:rsidRDefault="00DA490C" w14:paraId="4117377D" w14:textId="77777777">
            <w:pPr>
              <w:rPr>
                <w:szCs w:val="18"/>
              </w:rPr>
            </w:pPr>
            <w:proofErr w:type="spellStart"/>
            <w:r w:rsidRPr="00242C63">
              <w:rPr>
                <w:szCs w:val="18"/>
              </w:rPr>
              <w:t>Productveiligheid</w:t>
            </w:r>
            <w:proofErr w:type="spellEnd"/>
          </w:p>
        </w:tc>
        <w:tc>
          <w:tcPr>
            <w:tcW w:w="1545" w:type="dxa"/>
            <w:tcBorders>
              <w:top w:val="single" w:color="auto" w:sz="4" w:space="0"/>
              <w:left w:val="single" w:color="auto" w:sz="4" w:space="0"/>
              <w:bottom w:val="single" w:color="auto" w:sz="4" w:space="0"/>
              <w:right w:val="single" w:color="auto" w:sz="4" w:space="0"/>
            </w:tcBorders>
            <w:hideMark/>
          </w:tcPr>
          <w:p w:rsidRPr="00242C63" w:rsidR="00DA490C" w:rsidP="00D821FE" w:rsidRDefault="00DA490C" w14:paraId="32B89B0A" w14:textId="77777777">
            <w:pPr>
              <w:rPr>
                <w:szCs w:val="18"/>
              </w:rPr>
            </w:pPr>
            <w:r w:rsidRPr="00242C63">
              <w:rPr>
                <w:szCs w:val="18"/>
              </w:rPr>
              <w:t>172</w:t>
            </w:r>
          </w:p>
        </w:tc>
        <w:tc>
          <w:tcPr>
            <w:tcW w:w="1985" w:type="dxa"/>
            <w:tcBorders>
              <w:top w:val="single" w:color="auto" w:sz="4" w:space="0"/>
              <w:left w:val="single" w:color="auto" w:sz="4" w:space="0"/>
              <w:bottom w:val="single" w:color="auto" w:sz="4" w:space="0"/>
              <w:right w:val="single" w:color="auto" w:sz="4" w:space="0"/>
            </w:tcBorders>
            <w:hideMark/>
          </w:tcPr>
          <w:p w:rsidRPr="00242C63" w:rsidR="00DA490C" w:rsidP="00D821FE" w:rsidRDefault="00DA490C" w14:paraId="6F20A64C" w14:textId="77777777">
            <w:pPr>
              <w:rPr>
                <w:szCs w:val="18"/>
              </w:rPr>
            </w:pPr>
            <w:r w:rsidRPr="00242C63">
              <w:rPr>
                <w:szCs w:val="18"/>
              </w:rPr>
              <w:t>628</w:t>
            </w:r>
          </w:p>
        </w:tc>
      </w:tr>
      <w:tr w:rsidRPr="00242C63" w:rsidR="00DA490C" w:rsidTr="00D821FE" w14:paraId="1709DEF4" w14:textId="77777777">
        <w:tc>
          <w:tcPr>
            <w:tcW w:w="2410" w:type="dxa"/>
            <w:tcBorders>
              <w:top w:val="single" w:color="auto" w:sz="4" w:space="0"/>
              <w:left w:val="single" w:color="auto" w:sz="4" w:space="0"/>
              <w:bottom w:val="single" w:color="auto" w:sz="4" w:space="0"/>
              <w:right w:val="single" w:color="auto" w:sz="4" w:space="0"/>
            </w:tcBorders>
            <w:hideMark/>
          </w:tcPr>
          <w:p w:rsidRPr="00242C63" w:rsidR="00DA490C" w:rsidP="00D821FE" w:rsidRDefault="00DA490C" w14:paraId="44272A20" w14:textId="77777777">
            <w:pPr>
              <w:rPr>
                <w:b/>
                <w:bCs/>
                <w:szCs w:val="18"/>
              </w:rPr>
            </w:pPr>
            <w:proofErr w:type="spellStart"/>
            <w:r w:rsidRPr="00242C63">
              <w:rPr>
                <w:b/>
                <w:bCs/>
                <w:szCs w:val="18"/>
              </w:rPr>
              <w:t>Alcoholwet</w:t>
            </w:r>
            <w:proofErr w:type="spellEnd"/>
            <w:r w:rsidRPr="00242C63">
              <w:rPr>
                <w:b/>
                <w:bCs/>
                <w:szCs w:val="18"/>
              </w:rPr>
              <w:t xml:space="preserve"> </w:t>
            </w:r>
          </w:p>
        </w:tc>
        <w:tc>
          <w:tcPr>
            <w:tcW w:w="2140" w:type="dxa"/>
            <w:tcBorders>
              <w:top w:val="single" w:color="auto" w:sz="4" w:space="0"/>
              <w:left w:val="single" w:color="auto" w:sz="4" w:space="0"/>
              <w:bottom w:val="single" w:color="auto" w:sz="4" w:space="0"/>
              <w:right w:val="single" w:color="auto" w:sz="4" w:space="0"/>
            </w:tcBorders>
            <w:hideMark/>
          </w:tcPr>
          <w:p w:rsidRPr="00242C63" w:rsidR="00DA490C" w:rsidP="00D821FE" w:rsidRDefault="00DA490C" w14:paraId="2D87D7F5" w14:textId="77777777">
            <w:pPr>
              <w:rPr>
                <w:szCs w:val="18"/>
              </w:rPr>
            </w:pPr>
            <w:r w:rsidRPr="00242C63">
              <w:rPr>
                <w:szCs w:val="18"/>
              </w:rPr>
              <w:t xml:space="preserve">Tabak </w:t>
            </w:r>
            <w:proofErr w:type="spellStart"/>
            <w:r w:rsidRPr="00242C63">
              <w:rPr>
                <w:szCs w:val="18"/>
              </w:rPr>
              <w:t>en</w:t>
            </w:r>
            <w:proofErr w:type="spellEnd"/>
            <w:r w:rsidRPr="00242C63">
              <w:rPr>
                <w:szCs w:val="18"/>
              </w:rPr>
              <w:t xml:space="preserve"> alcohol </w:t>
            </w:r>
          </w:p>
        </w:tc>
        <w:tc>
          <w:tcPr>
            <w:tcW w:w="1545" w:type="dxa"/>
            <w:tcBorders>
              <w:top w:val="single" w:color="auto" w:sz="4" w:space="0"/>
              <w:left w:val="single" w:color="auto" w:sz="4" w:space="0"/>
              <w:bottom w:val="single" w:color="auto" w:sz="4" w:space="0"/>
              <w:right w:val="single" w:color="auto" w:sz="4" w:space="0"/>
            </w:tcBorders>
            <w:hideMark/>
          </w:tcPr>
          <w:p w:rsidRPr="00242C63" w:rsidR="00DA490C" w:rsidP="00D821FE" w:rsidRDefault="00DA490C" w14:paraId="4F748CAC" w14:textId="77777777">
            <w:pPr>
              <w:rPr>
                <w:szCs w:val="18"/>
              </w:rPr>
            </w:pPr>
            <w:r w:rsidRPr="00242C63">
              <w:rPr>
                <w:szCs w:val="18"/>
              </w:rPr>
              <w:t>116</w:t>
            </w:r>
          </w:p>
        </w:tc>
        <w:tc>
          <w:tcPr>
            <w:tcW w:w="1985" w:type="dxa"/>
            <w:tcBorders>
              <w:top w:val="single" w:color="auto" w:sz="4" w:space="0"/>
              <w:left w:val="single" w:color="auto" w:sz="4" w:space="0"/>
              <w:bottom w:val="single" w:color="auto" w:sz="4" w:space="0"/>
              <w:right w:val="single" w:color="auto" w:sz="4" w:space="0"/>
            </w:tcBorders>
          </w:tcPr>
          <w:p w:rsidRPr="00242C63" w:rsidR="00DA490C" w:rsidP="00D821FE" w:rsidRDefault="00DA490C" w14:paraId="454584F1" w14:textId="77777777">
            <w:pPr>
              <w:rPr>
                <w:szCs w:val="18"/>
              </w:rPr>
            </w:pPr>
          </w:p>
        </w:tc>
      </w:tr>
      <w:tr w:rsidRPr="00242C63" w:rsidR="00DA490C" w:rsidTr="00D821FE" w14:paraId="58575801" w14:textId="77777777">
        <w:tc>
          <w:tcPr>
            <w:tcW w:w="2410" w:type="dxa"/>
            <w:tcBorders>
              <w:top w:val="single" w:color="auto" w:sz="4" w:space="0"/>
              <w:left w:val="single" w:color="auto" w:sz="4" w:space="0"/>
              <w:bottom w:val="single" w:color="auto" w:sz="4" w:space="0"/>
              <w:right w:val="single" w:color="auto" w:sz="4" w:space="0"/>
            </w:tcBorders>
            <w:hideMark/>
          </w:tcPr>
          <w:p w:rsidRPr="00242C63" w:rsidR="00DA490C" w:rsidP="00D821FE" w:rsidRDefault="00DA490C" w14:paraId="70BB0277" w14:textId="77777777">
            <w:pPr>
              <w:rPr>
                <w:b/>
                <w:bCs/>
                <w:szCs w:val="18"/>
              </w:rPr>
            </w:pPr>
            <w:proofErr w:type="spellStart"/>
            <w:r w:rsidRPr="00242C63">
              <w:rPr>
                <w:b/>
                <w:bCs/>
                <w:szCs w:val="18"/>
              </w:rPr>
              <w:t>Tabaks</w:t>
            </w:r>
            <w:proofErr w:type="spellEnd"/>
            <w:r w:rsidRPr="00242C63">
              <w:rPr>
                <w:b/>
                <w:bCs/>
                <w:szCs w:val="18"/>
              </w:rPr>
              <w:t xml:space="preserve">- </w:t>
            </w:r>
            <w:proofErr w:type="spellStart"/>
            <w:r w:rsidRPr="00242C63">
              <w:rPr>
                <w:b/>
                <w:bCs/>
                <w:szCs w:val="18"/>
              </w:rPr>
              <w:t>en</w:t>
            </w:r>
            <w:proofErr w:type="spellEnd"/>
            <w:r w:rsidRPr="00242C63">
              <w:rPr>
                <w:b/>
                <w:bCs/>
                <w:szCs w:val="18"/>
              </w:rPr>
              <w:t xml:space="preserve"> </w:t>
            </w:r>
            <w:proofErr w:type="spellStart"/>
            <w:r w:rsidRPr="00242C63">
              <w:rPr>
                <w:b/>
                <w:bCs/>
                <w:szCs w:val="18"/>
              </w:rPr>
              <w:t>rookwarenwet</w:t>
            </w:r>
            <w:proofErr w:type="spellEnd"/>
          </w:p>
        </w:tc>
        <w:tc>
          <w:tcPr>
            <w:tcW w:w="2140" w:type="dxa"/>
            <w:tcBorders>
              <w:top w:val="single" w:color="auto" w:sz="4" w:space="0"/>
              <w:left w:val="single" w:color="auto" w:sz="4" w:space="0"/>
              <w:bottom w:val="single" w:color="auto" w:sz="4" w:space="0"/>
              <w:right w:val="single" w:color="auto" w:sz="4" w:space="0"/>
            </w:tcBorders>
            <w:hideMark/>
          </w:tcPr>
          <w:p w:rsidRPr="00242C63" w:rsidR="00DA490C" w:rsidP="00D821FE" w:rsidRDefault="00DA490C" w14:paraId="515A888A" w14:textId="77777777">
            <w:pPr>
              <w:rPr>
                <w:szCs w:val="18"/>
              </w:rPr>
            </w:pPr>
            <w:r w:rsidRPr="00242C63">
              <w:rPr>
                <w:szCs w:val="18"/>
              </w:rPr>
              <w:t xml:space="preserve">Tabak </w:t>
            </w:r>
            <w:proofErr w:type="spellStart"/>
            <w:r w:rsidRPr="00242C63">
              <w:rPr>
                <w:szCs w:val="18"/>
              </w:rPr>
              <w:t>en</w:t>
            </w:r>
            <w:proofErr w:type="spellEnd"/>
            <w:r w:rsidRPr="00242C63">
              <w:rPr>
                <w:szCs w:val="18"/>
              </w:rPr>
              <w:t xml:space="preserve"> alcohol </w:t>
            </w:r>
          </w:p>
        </w:tc>
        <w:tc>
          <w:tcPr>
            <w:tcW w:w="1545" w:type="dxa"/>
            <w:tcBorders>
              <w:top w:val="single" w:color="auto" w:sz="4" w:space="0"/>
              <w:left w:val="single" w:color="auto" w:sz="4" w:space="0"/>
              <w:bottom w:val="single" w:color="auto" w:sz="4" w:space="0"/>
              <w:right w:val="single" w:color="auto" w:sz="4" w:space="0"/>
            </w:tcBorders>
            <w:hideMark/>
          </w:tcPr>
          <w:p w:rsidRPr="00242C63" w:rsidR="00DA490C" w:rsidP="00D821FE" w:rsidRDefault="00DA490C" w14:paraId="1934F2F9" w14:textId="77777777">
            <w:pPr>
              <w:rPr>
                <w:szCs w:val="18"/>
              </w:rPr>
            </w:pPr>
            <w:r w:rsidRPr="00242C63">
              <w:rPr>
                <w:szCs w:val="18"/>
              </w:rPr>
              <w:t>1330</w:t>
            </w:r>
          </w:p>
        </w:tc>
        <w:tc>
          <w:tcPr>
            <w:tcW w:w="1985" w:type="dxa"/>
            <w:tcBorders>
              <w:top w:val="single" w:color="auto" w:sz="4" w:space="0"/>
              <w:left w:val="single" w:color="auto" w:sz="4" w:space="0"/>
              <w:bottom w:val="single" w:color="auto" w:sz="4" w:space="0"/>
              <w:right w:val="single" w:color="auto" w:sz="4" w:space="0"/>
            </w:tcBorders>
            <w:hideMark/>
          </w:tcPr>
          <w:p w:rsidRPr="00242C63" w:rsidR="00DA490C" w:rsidP="00D821FE" w:rsidRDefault="00DA490C" w14:paraId="1F59EFF5" w14:textId="77777777">
            <w:pPr>
              <w:rPr>
                <w:szCs w:val="18"/>
              </w:rPr>
            </w:pPr>
            <w:r w:rsidRPr="00242C63">
              <w:rPr>
                <w:szCs w:val="18"/>
              </w:rPr>
              <w:t>393</w:t>
            </w:r>
            <w:r w:rsidRPr="00242C63">
              <w:rPr>
                <w:szCs w:val="18"/>
                <w:vertAlign w:val="superscript"/>
              </w:rPr>
              <w:t>***</w:t>
            </w:r>
          </w:p>
        </w:tc>
      </w:tr>
      <w:tr w:rsidRPr="00242C63" w:rsidR="00DA490C" w:rsidTr="00D821FE" w14:paraId="5948B8C1" w14:textId="77777777">
        <w:tc>
          <w:tcPr>
            <w:tcW w:w="2410" w:type="dxa"/>
            <w:tcBorders>
              <w:top w:val="single" w:color="auto" w:sz="4" w:space="0"/>
              <w:left w:val="single" w:color="auto" w:sz="4" w:space="0"/>
              <w:bottom w:val="single" w:color="auto" w:sz="4" w:space="0"/>
              <w:right w:val="single" w:color="auto" w:sz="4" w:space="0"/>
            </w:tcBorders>
            <w:hideMark/>
          </w:tcPr>
          <w:p w:rsidRPr="00242C63" w:rsidR="00DA490C" w:rsidP="00D821FE" w:rsidRDefault="00DA490C" w14:paraId="29D7FB93" w14:textId="77777777">
            <w:pPr>
              <w:rPr>
                <w:b/>
                <w:bCs/>
                <w:szCs w:val="18"/>
              </w:rPr>
            </w:pPr>
            <w:proofErr w:type="spellStart"/>
            <w:r w:rsidRPr="00242C63">
              <w:rPr>
                <w:b/>
                <w:bCs/>
                <w:szCs w:val="18"/>
              </w:rPr>
              <w:t>Geneesmiddelenwet</w:t>
            </w:r>
            <w:proofErr w:type="spellEnd"/>
          </w:p>
        </w:tc>
        <w:tc>
          <w:tcPr>
            <w:tcW w:w="2140" w:type="dxa"/>
            <w:tcBorders>
              <w:top w:val="single" w:color="auto" w:sz="4" w:space="0"/>
              <w:left w:val="single" w:color="auto" w:sz="4" w:space="0"/>
              <w:bottom w:val="single" w:color="auto" w:sz="4" w:space="0"/>
              <w:right w:val="single" w:color="auto" w:sz="4" w:space="0"/>
            </w:tcBorders>
            <w:hideMark/>
          </w:tcPr>
          <w:p w:rsidRPr="00242C63" w:rsidR="00DA490C" w:rsidP="00D821FE" w:rsidRDefault="00DA490C" w14:paraId="5DDB0EBE" w14:textId="77777777">
            <w:pPr>
              <w:rPr>
                <w:szCs w:val="18"/>
              </w:rPr>
            </w:pPr>
            <w:proofErr w:type="spellStart"/>
            <w:r w:rsidRPr="00242C63">
              <w:rPr>
                <w:szCs w:val="18"/>
              </w:rPr>
              <w:t>Bijzondere</w:t>
            </w:r>
            <w:proofErr w:type="spellEnd"/>
            <w:r w:rsidRPr="00242C63">
              <w:rPr>
                <w:szCs w:val="18"/>
              </w:rPr>
              <w:t xml:space="preserve"> </w:t>
            </w:r>
            <w:proofErr w:type="spellStart"/>
            <w:r w:rsidRPr="00242C63">
              <w:rPr>
                <w:szCs w:val="18"/>
              </w:rPr>
              <w:t>eet</w:t>
            </w:r>
            <w:proofErr w:type="spellEnd"/>
            <w:r w:rsidRPr="00242C63">
              <w:rPr>
                <w:szCs w:val="18"/>
              </w:rPr>
              <w:t xml:space="preserve">- </w:t>
            </w:r>
            <w:proofErr w:type="spellStart"/>
            <w:r w:rsidRPr="00242C63">
              <w:rPr>
                <w:szCs w:val="18"/>
              </w:rPr>
              <w:t>en</w:t>
            </w:r>
            <w:proofErr w:type="spellEnd"/>
            <w:r w:rsidRPr="00242C63">
              <w:rPr>
                <w:szCs w:val="18"/>
              </w:rPr>
              <w:t xml:space="preserve"> </w:t>
            </w:r>
            <w:proofErr w:type="spellStart"/>
            <w:r w:rsidRPr="00242C63">
              <w:rPr>
                <w:szCs w:val="18"/>
              </w:rPr>
              <w:t>drinkwaren</w:t>
            </w:r>
            <w:proofErr w:type="spellEnd"/>
          </w:p>
        </w:tc>
        <w:tc>
          <w:tcPr>
            <w:tcW w:w="1545" w:type="dxa"/>
            <w:tcBorders>
              <w:top w:val="single" w:color="auto" w:sz="4" w:space="0"/>
              <w:left w:val="single" w:color="auto" w:sz="4" w:space="0"/>
              <w:bottom w:val="single" w:color="auto" w:sz="4" w:space="0"/>
              <w:right w:val="single" w:color="auto" w:sz="4" w:space="0"/>
            </w:tcBorders>
            <w:hideMark/>
          </w:tcPr>
          <w:p w:rsidRPr="00242C63" w:rsidR="00DA490C" w:rsidP="00D821FE" w:rsidRDefault="00DA490C" w14:paraId="37D16EC8" w14:textId="77777777">
            <w:pPr>
              <w:rPr>
                <w:szCs w:val="18"/>
              </w:rPr>
            </w:pPr>
            <w:r w:rsidRPr="00242C63">
              <w:rPr>
                <w:szCs w:val="18"/>
              </w:rPr>
              <w:t>12</w:t>
            </w:r>
          </w:p>
        </w:tc>
        <w:tc>
          <w:tcPr>
            <w:tcW w:w="1985" w:type="dxa"/>
            <w:tcBorders>
              <w:top w:val="single" w:color="auto" w:sz="4" w:space="0"/>
              <w:left w:val="single" w:color="auto" w:sz="4" w:space="0"/>
              <w:bottom w:val="single" w:color="auto" w:sz="4" w:space="0"/>
              <w:right w:val="single" w:color="auto" w:sz="4" w:space="0"/>
            </w:tcBorders>
          </w:tcPr>
          <w:p w:rsidRPr="00242C63" w:rsidR="00DA490C" w:rsidP="00D821FE" w:rsidRDefault="00DA490C" w14:paraId="7893CDBD" w14:textId="77777777">
            <w:pPr>
              <w:rPr>
                <w:szCs w:val="18"/>
              </w:rPr>
            </w:pPr>
          </w:p>
        </w:tc>
      </w:tr>
    </w:tbl>
    <w:p w:rsidRPr="00242C63" w:rsidR="00DA490C" w:rsidP="00DA490C" w:rsidRDefault="00DA490C" w14:paraId="55E4AFEF" w14:textId="77777777">
      <w:pPr>
        <w:rPr>
          <w:szCs w:val="18"/>
        </w:rPr>
      </w:pPr>
    </w:p>
    <w:p w:rsidRPr="00242C63" w:rsidR="00DA490C" w:rsidP="00DA490C" w:rsidRDefault="00DA490C" w14:paraId="413E4C46" w14:textId="77777777">
      <w:pPr>
        <w:rPr>
          <w:szCs w:val="18"/>
          <w:vertAlign w:val="superscript"/>
        </w:rPr>
      </w:pPr>
      <w:r w:rsidRPr="00242C63">
        <w:rPr>
          <w:szCs w:val="18"/>
          <w:vertAlign w:val="superscript"/>
        </w:rPr>
        <w:t>*) Het totaal aan officiële waarschuwingen voor vleesketen en voedselveiligheid staan vermeld bij Warenwet.</w:t>
      </w:r>
    </w:p>
    <w:p w:rsidRPr="00242C63" w:rsidR="00DA490C" w:rsidP="00DA490C" w:rsidRDefault="00DA490C" w14:paraId="0E00FB37" w14:textId="77777777">
      <w:pPr>
        <w:rPr>
          <w:szCs w:val="18"/>
          <w:vertAlign w:val="superscript"/>
        </w:rPr>
      </w:pPr>
      <w:r w:rsidRPr="00242C63">
        <w:rPr>
          <w:szCs w:val="18"/>
          <w:vertAlign w:val="superscript"/>
        </w:rPr>
        <w:t>**) Het totaal aan officiële waarschuwingen voor Bijzondere eet- en drinkwaren staan vermeld bij Warenwet.</w:t>
      </w:r>
    </w:p>
    <w:p w:rsidRPr="00242C63" w:rsidR="00DA490C" w:rsidP="00DA490C" w:rsidRDefault="00DA490C" w14:paraId="56B22207" w14:textId="77777777">
      <w:pPr>
        <w:rPr>
          <w:szCs w:val="18"/>
          <w:vertAlign w:val="superscript"/>
        </w:rPr>
      </w:pPr>
      <w:r w:rsidRPr="00242C63">
        <w:rPr>
          <w:szCs w:val="18"/>
          <w:vertAlign w:val="superscript"/>
        </w:rPr>
        <w:t>***) Het totaal aan officiële waarschuwingen voor Tabak en Alcohol staan vermeld bij Tabaks- en rookwarenwet.</w:t>
      </w:r>
    </w:p>
    <w:p w:rsidR="00DA490C" w:rsidP="00DA490C" w:rsidRDefault="00DA490C" w14:paraId="0AD05777" w14:textId="77777777">
      <w:pPr>
        <w:rPr>
          <w:szCs w:val="18"/>
        </w:rPr>
      </w:pPr>
    </w:p>
    <w:p w:rsidR="00DA490C" w:rsidP="00DA490C" w:rsidRDefault="00DA490C" w14:paraId="75B81970" w14:textId="77777777">
      <w:pPr>
        <w:rPr>
          <w:szCs w:val="18"/>
        </w:rPr>
      </w:pPr>
      <w:r w:rsidRPr="00A1354A">
        <w:rPr>
          <w:szCs w:val="18"/>
        </w:rPr>
        <w:t>Op dit moment wordt binnen de NVWA gewerkt aan het jaarbeeld 2024, waarin publiekelijk verslag wordt gedaan van de belangrijkste resultaten en gebeurtenissen in het afgelopen jaar. Dit verslag wordt jaarlijks in mei gepubliceerd. De NVWA maakt daarnaast een deel van de inspectieresultaten openbaar, die te vinden zijn op de website van de NVWA (</w:t>
      </w:r>
      <w:hyperlink w:history="1" r:id="rId6">
        <w:r w:rsidRPr="00A1354A">
          <w:rPr>
            <w:rStyle w:val="Hyperlink"/>
            <w:szCs w:val="18"/>
          </w:rPr>
          <w:t>https://www.openbare-inspectieresultaten.nvwa.nl/</w:t>
        </w:r>
      </w:hyperlink>
      <w:r w:rsidRPr="00A1354A">
        <w:rPr>
          <w:szCs w:val="18"/>
        </w:rPr>
        <w:t>).</w:t>
      </w:r>
    </w:p>
    <w:p w:rsidR="00DA490C" w:rsidP="00DA490C" w:rsidRDefault="00DA490C" w14:paraId="32B4DA25" w14:textId="77777777">
      <w:pPr>
        <w:rPr>
          <w:szCs w:val="18"/>
        </w:rPr>
      </w:pPr>
    </w:p>
    <w:p w:rsidRPr="004F378B" w:rsidR="00DA490C" w:rsidP="00DA490C" w:rsidRDefault="00DA490C" w14:paraId="5F218C0A" w14:textId="77777777">
      <w:pPr>
        <w:rPr>
          <w:szCs w:val="18"/>
        </w:rPr>
      </w:pPr>
      <w:bookmarkStart w:name="_Hlk189995368" w:id="0"/>
      <w:r w:rsidRPr="004F378B">
        <w:rPr>
          <w:szCs w:val="18"/>
        </w:rPr>
        <w:t>2</w:t>
      </w:r>
    </w:p>
    <w:p w:rsidRPr="004F378B" w:rsidR="00DA490C" w:rsidP="00DA490C" w:rsidRDefault="00DA490C" w14:paraId="25064A3B" w14:textId="77777777">
      <w:pPr>
        <w:rPr>
          <w:szCs w:val="18"/>
        </w:rPr>
      </w:pPr>
      <w:r w:rsidRPr="004F378B">
        <w:rPr>
          <w:szCs w:val="18"/>
        </w:rPr>
        <w:t xml:space="preserve">Hoe verhoudt het aantal waarschuwingen zich tot de hoeveelheid boetes voor de horeca, supermarkten en </w:t>
      </w:r>
      <w:proofErr w:type="spellStart"/>
      <w:r w:rsidRPr="004F378B">
        <w:rPr>
          <w:szCs w:val="18"/>
        </w:rPr>
        <w:t>retailbedrijven</w:t>
      </w:r>
      <w:proofErr w:type="spellEnd"/>
      <w:r w:rsidRPr="004F378B">
        <w:rPr>
          <w:szCs w:val="18"/>
        </w:rPr>
        <w:t>, distributiecentra, groente- en fruitveilingen en verwerkende bedrijven, eierenverpakkers en ei-verwerkende bedrijven, visafslagen en visverwerkende bedrijven, pluimvee vleesverwerkende bedrijven en overige voedselverwerkende bedrijven?</w:t>
      </w:r>
      <w:r w:rsidRPr="004F378B">
        <w:rPr>
          <w:szCs w:val="18"/>
        </w:rPr>
        <w:br/>
      </w:r>
    </w:p>
    <w:p w:rsidRPr="004F378B" w:rsidR="00DA490C" w:rsidP="00DA490C" w:rsidRDefault="00DA490C" w14:paraId="7D5A70CD" w14:textId="77777777">
      <w:pPr>
        <w:rPr>
          <w:szCs w:val="18"/>
        </w:rPr>
      </w:pPr>
      <w:r w:rsidRPr="004F378B">
        <w:rPr>
          <w:szCs w:val="18"/>
        </w:rPr>
        <w:t>Antwoord</w:t>
      </w:r>
    </w:p>
    <w:bookmarkEnd w:id="0"/>
    <w:p w:rsidRPr="006A4E3A" w:rsidR="00DA490C" w:rsidP="00DA490C" w:rsidRDefault="00DA490C" w14:paraId="11A67198" w14:textId="77777777">
      <w:pPr>
        <w:rPr>
          <w:szCs w:val="18"/>
        </w:rPr>
      </w:pPr>
      <w:r w:rsidRPr="006A4E3A">
        <w:rPr>
          <w:szCs w:val="18"/>
        </w:rPr>
        <w:t>De NVWA heeft verschillende instrumenten om de naleving te verhogen. Over de</w:t>
      </w:r>
    </w:p>
    <w:p w:rsidR="00DA490C" w:rsidP="00DA490C" w:rsidRDefault="00DA490C" w14:paraId="39609748" w14:textId="77777777">
      <w:pPr>
        <w:rPr>
          <w:szCs w:val="18"/>
        </w:rPr>
      </w:pPr>
      <w:r w:rsidRPr="006A4E3A">
        <w:rPr>
          <w:szCs w:val="18"/>
        </w:rPr>
        <w:t xml:space="preserve">onderlinge verhouding </w:t>
      </w:r>
      <w:r>
        <w:rPr>
          <w:szCs w:val="18"/>
        </w:rPr>
        <w:t xml:space="preserve">tussen waarschuwingen en boetes </w:t>
      </w:r>
      <w:r w:rsidRPr="006A4E3A">
        <w:rPr>
          <w:szCs w:val="18"/>
        </w:rPr>
        <w:t xml:space="preserve">zijn geen </w:t>
      </w:r>
      <w:proofErr w:type="spellStart"/>
      <w:r w:rsidRPr="006A4E3A">
        <w:rPr>
          <w:szCs w:val="18"/>
        </w:rPr>
        <w:t>betrouwebare</w:t>
      </w:r>
      <w:proofErr w:type="spellEnd"/>
      <w:r w:rsidRPr="006A4E3A">
        <w:rPr>
          <w:szCs w:val="18"/>
        </w:rPr>
        <w:t xml:space="preserve"> generieke conclusies te trekken. De NVWA kan bijvoorbeeld </w:t>
      </w:r>
      <w:r w:rsidRPr="006A4E3A">
        <w:rPr>
          <w:szCs w:val="18"/>
        </w:rPr>
        <w:lastRenderedPageBreak/>
        <w:t>nalevingshulp geven, of aanwijzingen geven voor de bedrijfsvoering ter plaatse</w:t>
      </w:r>
      <w:r>
        <w:rPr>
          <w:szCs w:val="18"/>
        </w:rPr>
        <w:t>. Ze</w:t>
      </w:r>
      <w:r w:rsidRPr="006A4E3A">
        <w:rPr>
          <w:szCs w:val="18"/>
        </w:rPr>
        <w:t xml:space="preserve"> kan een officiële waarschuwing geven, een maatregel opleggen of een boete geven. Daarnaast kan de NVWA een bestuurlijke strafbeschikking opleggen of een proces verbaal aanzeggen. Dit alles is afhankelijk van de soort en de ernst van de overtreding. De NVWA maakt in het interventiebeleid vooraf kenbaar hoe ze met haar instrumentarium omgaat. De inspecteur beoordeelt de concrete omstandigheden van het geval. Hoe ernstiger de overtreding en de (mogelijke) gevolgen daarvan zijn, hoe ingrijpender de interventies worden. De NVWA kan één interventie opleggen of meerdere interventies tegelijkertijd, zoals een maatregel én een boete. Bedrijven die meerdere keren een overtreding begaan, kan de NVWA onder verscherpt toezicht stellen. In het jaar 2023 zijn </w:t>
      </w:r>
      <w:r>
        <w:rPr>
          <w:szCs w:val="18"/>
        </w:rPr>
        <w:t>10.378 rapporten van bevindingen, 480 processen-verbaal</w:t>
      </w:r>
      <w:r w:rsidRPr="006A4E3A">
        <w:rPr>
          <w:szCs w:val="18"/>
        </w:rPr>
        <w:t xml:space="preserve"> </w:t>
      </w:r>
      <w:r>
        <w:rPr>
          <w:szCs w:val="18"/>
        </w:rPr>
        <w:t xml:space="preserve">en 21.118 schriftelijke waarschuwingen vastgelegd (bron: Jaarbeeld NVWA 2023 </w:t>
      </w:r>
      <w:hyperlink w:history="1" w:anchor="anker-6-maatregelen-en-handhavingsverzoeken" r:id="rId7">
        <w:r w:rsidRPr="00D6102B">
          <w:rPr>
            <w:rStyle w:val="Hyperlink"/>
            <w:szCs w:val="18"/>
          </w:rPr>
          <w:t>https://www.nvwa.nl/over-de-nvwa/publicaties/jaarbeeld-2023/nvwa-brede-themas#anker-6-maatregelen-en-handhavingsverzoeken</w:t>
        </w:r>
      </w:hyperlink>
      <w:r>
        <w:rPr>
          <w:szCs w:val="18"/>
        </w:rPr>
        <w:t>).</w:t>
      </w:r>
    </w:p>
    <w:p w:rsidRPr="00CE6DC1" w:rsidR="00DA490C" w:rsidP="00DA490C" w:rsidRDefault="00DA490C" w14:paraId="49986E70" w14:textId="77777777">
      <w:pPr>
        <w:rPr>
          <w:i/>
          <w:iCs/>
          <w:szCs w:val="18"/>
        </w:rPr>
      </w:pPr>
    </w:p>
    <w:p w:rsidR="00DA490C" w:rsidP="00DA490C" w:rsidRDefault="00DA490C" w14:paraId="77D18AE3" w14:textId="77777777">
      <w:pPr>
        <w:spacing w:line="240" w:lineRule="auto"/>
        <w:rPr>
          <w:szCs w:val="18"/>
        </w:rPr>
      </w:pPr>
      <w:r>
        <w:rPr>
          <w:szCs w:val="18"/>
        </w:rPr>
        <w:br w:type="page"/>
      </w:r>
    </w:p>
    <w:p w:rsidRPr="004F378B" w:rsidR="00DA490C" w:rsidP="00DA490C" w:rsidRDefault="00DA490C" w14:paraId="3CCA1C41" w14:textId="77777777">
      <w:pPr>
        <w:rPr>
          <w:szCs w:val="18"/>
        </w:rPr>
      </w:pPr>
      <w:r w:rsidRPr="004F378B">
        <w:rPr>
          <w:szCs w:val="18"/>
        </w:rPr>
        <w:lastRenderedPageBreak/>
        <w:t>3</w:t>
      </w:r>
    </w:p>
    <w:p w:rsidRPr="004F378B" w:rsidR="00DA490C" w:rsidP="00DA490C" w:rsidRDefault="00DA490C" w14:paraId="30AAB1C5" w14:textId="77777777">
      <w:pPr>
        <w:rPr>
          <w:szCs w:val="18"/>
        </w:rPr>
      </w:pPr>
      <w:r w:rsidRPr="004F378B">
        <w:rPr>
          <w:szCs w:val="18"/>
        </w:rPr>
        <w:t>Hoeveel bestuursrechtelijke maatregelen heeft de NVWA in 2024 uitgedeeld aan pluimveeslachterijen en roodvleesslachterijen? Graag opgesplitst in waarschuwingen en boetes</w:t>
      </w:r>
      <w:r w:rsidRPr="004F378B">
        <w:rPr>
          <w:color w:val="92D050"/>
          <w:szCs w:val="18"/>
        </w:rPr>
        <w:t xml:space="preserve"> </w:t>
      </w:r>
    </w:p>
    <w:p w:rsidRPr="004F378B" w:rsidR="00DA490C" w:rsidP="00DA490C" w:rsidRDefault="00DA490C" w14:paraId="1F72A956" w14:textId="77777777">
      <w:pPr>
        <w:rPr>
          <w:szCs w:val="18"/>
        </w:rPr>
      </w:pPr>
    </w:p>
    <w:p w:rsidRPr="004F378B" w:rsidR="00DA490C" w:rsidP="00DA490C" w:rsidRDefault="00DA490C" w14:paraId="0CD708C2" w14:textId="77777777">
      <w:pPr>
        <w:rPr>
          <w:szCs w:val="18"/>
        </w:rPr>
      </w:pPr>
      <w:r w:rsidRPr="004F378B">
        <w:rPr>
          <w:szCs w:val="18"/>
        </w:rPr>
        <w:t>Antwoord</w:t>
      </w:r>
    </w:p>
    <w:p w:rsidRPr="004F378B" w:rsidR="00DA490C" w:rsidP="00DA490C" w:rsidRDefault="00DA490C" w14:paraId="3077BD04" w14:textId="77777777">
      <w:pPr>
        <w:rPr>
          <w:szCs w:val="18"/>
        </w:rPr>
      </w:pPr>
      <w:r w:rsidRPr="004F378B">
        <w:rPr>
          <w:szCs w:val="18"/>
        </w:rPr>
        <w:t>In onderstaande tabel het aantal bestuursrechtelijke maatregelen in 2024</w:t>
      </w:r>
    </w:p>
    <w:tbl>
      <w:tblPr>
        <w:tblStyle w:val="Tabelraster"/>
        <w:tblW w:w="0" w:type="auto"/>
        <w:tblInd w:w="108" w:type="dxa"/>
        <w:tblLook w:val="04A0" w:firstRow="1" w:lastRow="0" w:firstColumn="1" w:lastColumn="0" w:noHBand="0" w:noVBand="1"/>
      </w:tblPr>
      <w:tblGrid>
        <w:gridCol w:w="2678"/>
        <w:gridCol w:w="1917"/>
        <w:gridCol w:w="2268"/>
      </w:tblGrid>
      <w:tr w:rsidRPr="004F378B" w:rsidR="00DA490C" w:rsidTr="00D821FE" w14:paraId="25D557D0" w14:textId="77777777">
        <w:tc>
          <w:tcPr>
            <w:tcW w:w="2678" w:type="dxa"/>
          </w:tcPr>
          <w:p w:rsidRPr="00DA490C" w:rsidR="00DA490C" w:rsidP="00D821FE" w:rsidRDefault="00DA490C" w14:paraId="7C9B0151" w14:textId="77777777">
            <w:pPr>
              <w:rPr>
                <w:szCs w:val="18"/>
                <w:lang w:val="nl-NL"/>
              </w:rPr>
            </w:pPr>
          </w:p>
        </w:tc>
        <w:tc>
          <w:tcPr>
            <w:tcW w:w="1858" w:type="dxa"/>
          </w:tcPr>
          <w:p w:rsidRPr="004F378B" w:rsidR="00DA490C" w:rsidP="00D821FE" w:rsidRDefault="00DA490C" w14:paraId="618E6979" w14:textId="77777777">
            <w:pPr>
              <w:rPr>
                <w:szCs w:val="18"/>
              </w:rPr>
            </w:pPr>
            <w:proofErr w:type="spellStart"/>
            <w:r w:rsidRPr="004F378B">
              <w:rPr>
                <w:szCs w:val="18"/>
              </w:rPr>
              <w:t>Waarschuwing</w:t>
            </w:r>
            <w:r>
              <w:rPr>
                <w:szCs w:val="18"/>
              </w:rPr>
              <w:t>en</w:t>
            </w:r>
            <w:proofErr w:type="spellEnd"/>
          </w:p>
        </w:tc>
        <w:tc>
          <w:tcPr>
            <w:tcW w:w="2268" w:type="dxa"/>
          </w:tcPr>
          <w:p w:rsidRPr="004F378B" w:rsidR="00DA490C" w:rsidP="00D821FE" w:rsidRDefault="00DA490C" w14:paraId="2F713A46" w14:textId="77777777">
            <w:pPr>
              <w:rPr>
                <w:szCs w:val="18"/>
              </w:rPr>
            </w:pPr>
            <w:proofErr w:type="spellStart"/>
            <w:r w:rsidRPr="004F378B">
              <w:rPr>
                <w:szCs w:val="18"/>
              </w:rPr>
              <w:t>Boete</w:t>
            </w:r>
            <w:r>
              <w:rPr>
                <w:szCs w:val="18"/>
              </w:rPr>
              <w:t>s</w:t>
            </w:r>
            <w:proofErr w:type="spellEnd"/>
          </w:p>
        </w:tc>
      </w:tr>
      <w:tr w:rsidRPr="004F378B" w:rsidR="00DA490C" w:rsidTr="00D821FE" w14:paraId="1BA5FE0E" w14:textId="77777777">
        <w:tc>
          <w:tcPr>
            <w:tcW w:w="2678" w:type="dxa"/>
          </w:tcPr>
          <w:p w:rsidRPr="004F378B" w:rsidR="00DA490C" w:rsidP="00D821FE" w:rsidRDefault="00DA490C" w14:paraId="04968BE0" w14:textId="77777777">
            <w:pPr>
              <w:rPr>
                <w:szCs w:val="18"/>
              </w:rPr>
            </w:pPr>
            <w:proofErr w:type="spellStart"/>
            <w:r w:rsidRPr="004F378B">
              <w:rPr>
                <w:szCs w:val="18"/>
              </w:rPr>
              <w:t>pluimveeslachterijen</w:t>
            </w:r>
            <w:proofErr w:type="spellEnd"/>
          </w:p>
        </w:tc>
        <w:tc>
          <w:tcPr>
            <w:tcW w:w="1858" w:type="dxa"/>
          </w:tcPr>
          <w:p w:rsidRPr="004F378B" w:rsidR="00DA490C" w:rsidP="00D821FE" w:rsidRDefault="00DA490C" w14:paraId="1E80C487" w14:textId="77777777">
            <w:pPr>
              <w:rPr>
                <w:szCs w:val="18"/>
              </w:rPr>
            </w:pPr>
            <w:r w:rsidRPr="004F378B">
              <w:rPr>
                <w:szCs w:val="18"/>
              </w:rPr>
              <w:t>333</w:t>
            </w:r>
          </w:p>
        </w:tc>
        <w:tc>
          <w:tcPr>
            <w:tcW w:w="2268" w:type="dxa"/>
          </w:tcPr>
          <w:p w:rsidRPr="006142E1" w:rsidR="00DA490C" w:rsidP="00D821FE" w:rsidRDefault="00DA490C" w14:paraId="4D0032B4" w14:textId="77777777">
            <w:pPr>
              <w:rPr>
                <w:szCs w:val="18"/>
              </w:rPr>
            </w:pPr>
            <w:r w:rsidRPr="006142E1">
              <w:rPr>
                <w:szCs w:val="18"/>
              </w:rPr>
              <w:t>223</w:t>
            </w:r>
          </w:p>
        </w:tc>
      </w:tr>
      <w:tr w:rsidRPr="004F378B" w:rsidR="00DA490C" w:rsidTr="00D821FE" w14:paraId="118409EE" w14:textId="77777777">
        <w:tc>
          <w:tcPr>
            <w:tcW w:w="2678" w:type="dxa"/>
          </w:tcPr>
          <w:p w:rsidRPr="004F378B" w:rsidR="00DA490C" w:rsidP="00D821FE" w:rsidRDefault="00DA490C" w14:paraId="4A1030AF" w14:textId="77777777">
            <w:pPr>
              <w:rPr>
                <w:szCs w:val="18"/>
              </w:rPr>
            </w:pPr>
            <w:proofErr w:type="spellStart"/>
            <w:r w:rsidRPr="004F378B">
              <w:rPr>
                <w:szCs w:val="18"/>
              </w:rPr>
              <w:t>Roosvleesslachterijen</w:t>
            </w:r>
            <w:proofErr w:type="spellEnd"/>
          </w:p>
        </w:tc>
        <w:tc>
          <w:tcPr>
            <w:tcW w:w="1858" w:type="dxa"/>
          </w:tcPr>
          <w:p w:rsidRPr="004F378B" w:rsidR="00DA490C" w:rsidP="00D821FE" w:rsidRDefault="00DA490C" w14:paraId="6A287BFE" w14:textId="77777777">
            <w:pPr>
              <w:rPr>
                <w:szCs w:val="18"/>
              </w:rPr>
            </w:pPr>
            <w:r w:rsidRPr="004F378B">
              <w:rPr>
                <w:szCs w:val="18"/>
              </w:rPr>
              <w:t>278</w:t>
            </w:r>
          </w:p>
        </w:tc>
        <w:tc>
          <w:tcPr>
            <w:tcW w:w="2268" w:type="dxa"/>
          </w:tcPr>
          <w:p w:rsidRPr="006142E1" w:rsidR="00DA490C" w:rsidP="00D821FE" w:rsidRDefault="00DA490C" w14:paraId="2E29B7FC" w14:textId="77777777">
            <w:pPr>
              <w:rPr>
                <w:szCs w:val="18"/>
              </w:rPr>
            </w:pPr>
            <w:r w:rsidRPr="006142E1">
              <w:rPr>
                <w:szCs w:val="18"/>
              </w:rPr>
              <w:t>164</w:t>
            </w:r>
          </w:p>
        </w:tc>
      </w:tr>
    </w:tbl>
    <w:p w:rsidRPr="004F378B" w:rsidR="00DA490C" w:rsidP="00DA490C" w:rsidRDefault="00DA490C" w14:paraId="117D989A" w14:textId="77777777">
      <w:pPr>
        <w:rPr>
          <w:szCs w:val="18"/>
        </w:rPr>
      </w:pPr>
    </w:p>
    <w:p w:rsidRPr="004F378B" w:rsidR="00DA490C" w:rsidP="00DA490C" w:rsidRDefault="00DA490C" w14:paraId="1A53F4B5" w14:textId="77777777">
      <w:pPr>
        <w:rPr>
          <w:szCs w:val="18"/>
        </w:rPr>
      </w:pPr>
      <w:r w:rsidRPr="004F378B">
        <w:rPr>
          <w:szCs w:val="18"/>
        </w:rPr>
        <w:t>4</w:t>
      </w:r>
    </w:p>
    <w:p w:rsidRPr="004F378B" w:rsidR="00DA490C" w:rsidP="00DA490C" w:rsidRDefault="00DA490C" w14:paraId="21DF9667" w14:textId="77777777">
      <w:pPr>
        <w:rPr>
          <w:szCs w:val="18"/>
        </w:rPr>
      </w:pPr>
      <w:r w:rsidRPr="004F378B">
        <w:rPr>
          <w:szCs w:val="18"/>
        </w:rPr>
        <w:t>Hoe verhoudt het aantal waarschuwingen zich tot de hoeveelheid boetes voor de pluimveeslachterijen en roodvleesslachterijen?</w:t>
      </w:r>
    </w:p>
    <w:p w:rsidRPr="004F378B" w:rsidR="00DA490C" w:rsidP="00DA490C" w:rsidRDefault="00DA490C" w14:paraId="1999AE4F" w14:textId="77777777">
      <w:pPr>
        <w:rPr>
          <w:szCs w:val="18"/>
        </w:rPr>
      </w:pPr>
    </w:p>
    <w:p w:rsidRPr="00A53267" w:rsidR="00DA490C" w:rsidP="00DA490C" w:rsidRDefault="00DA490C" w14:paraId="37C0CBB7" w14:textId="77777777">
      <w:pPr>
        <w:rPr>
          <w:szCs w:val="18"/>
        </w:rPr>
      </w:pPr>
      <w:r w:rsidRPr="00A53267">
        <w:rPr>
          <w:szCs w:val="18"/>
        </w:rPr>
        <w:t>Antwoord</w:t>
      </w:r>
    </w:p>
    <w:p w:rsidRPr="004F378B" w:rsidR="00DA490C" w:rsidP="00DA490C" w:rsidRDefault="00DA490C" w14:paraId="7A53FC1A" w14:textId="77777777">
      <w:pPr>
        <w:rPr>
          <w:szCs w:val="18"/>
        </w:rPr>
      </w:pPr>
      <w:r w:rsidRPr="00A53267">
        <w:rPr>
          <w:szCs w:val="18"/>
        </w:rPr>
        <w:t xml:space="preserve">Zie </w:t>
      </w:r>
      <w:r>
        <w:rPr>
          <w:szCs w:val="18"/>
        </w:rPr>
        <w:t xml:space="preserve">het </w:t>
      </w:r>
      <w:r w:rsidRPr="00A53267">
        <w:rPr>
          <w:szCs w:val="18"/>
        </w:rPr>
        <w:t xml:space="preserve">antwoord op vraag </w:t>
      </w:r>
      <w:r>
        <w:rPr>
          <w:szCs w:val="18"/>
        </w:rPr>
        <w:t>2</w:t>
      </w:r>
      <w:r w:rsidRPr="00A53267">
        <w:rPr>
          <w:szCs w:val="18"/>
        </w:rPr>
        <w:t>.</w:t>
      </w:r>
    </w:p>
    <w:p w:rsidRPr="004F378B" w:rsidR="00DA490C" w:rsidP="00DA490C" w:rsidRDefault="00DA490C" w14:paraId="02FB5C5F" w14:textId="77777777">
      <w:pPr>
        <w:rPr>
          <w:szCs w:val="18"/>
        </w:rPr>
      </w:pPr>
    </w:p>
    <w:p w:rsidRPr="004F378B" w:rsidR="00DA490C" w:rsidP="00DA490C" w:rsidRDefault="00DA490C" w14:paraId="001363C9" w14:textId="77777777">
      <w:pPr>
        <w:rPr>
          <w:szCs w:val="18"/>
        </w:rPr>
      </w:pPr>
      <w:r w:rsidRPr="004F378B">
        <w:rPr>
          <w:szCs w:val="18"/>
        </w:rPr>
        <w:t>5</w:t>
      </w:r>
    </w:p>
    <w:p w:rsidRPr="004F378B" w:rsidR="00DA490C" w:rsidP="00DA490C" w:rsidRDefault="00DA490C" w14:paraId="02E7BD23" w14:textId="77777777">
      <w:pPr>
        <w:rPr>
          <w:szCs w:val="18"/>
        </w:rPr>
      </w:pPr>
      <w:r w:rsidRPr="004F378B">
        <w:rPr>
          <w:szCs w:val="18"/>
        </w:rPr>
        <w:t xml:space="preserve">Is de manier van optreden nog rechtmatig en doelmatig in het licht van de doelstellingen die de NVWA heeft? </w:t>
      </w:r>
    </w:p>
    <w:p w:rsidRPr="004F378B" w:rsidR="00DA490C" w:rsidP="00DA490C" w:rsidRDefault="00DA490C" w14:paraId="0F4FAB26" w14:textId="77777777">
      <w:pPr>
        <w:rPr>
          <w:szCs w:val="18"/>
        </w:rPr>
      </w:pPr>
    </w:p>
    <w:p w:rsidRPr="004F378B" w:rsidR="00DA490C" w:rsidP="00DA490C" w:rsidRDefault="00DA490C" w14:paraId="7E658597" w14:textId="77777777">
      <w:pPr>
        <w:rPr>
          <w:szCs w:val="18"/>
        </w:rPr>
      </w:pPr>
      <w:r w:rsidRPr="004F378B">
        <w:rPr>
          <w:szCs w:val="18"/>
        </w:rPr>
        <w:t>Antwoord</w:t>
      </w:r>
    </w:p>
    <w:p w:rsidRPr="004F378B" w:rsidR="00DA490C" w:rsidP="00DA490C" w:rsidRDefault="00DA490C" w14:paraId="17C2F492" w14:textId="77777777">
      <w:pPr>
        <w:rPr>
          <w:szCs w:val="18"/>
        </w:rPr>
      </w:pPr>
      <w:r w:rsidRPr="00B37AA4">
        <w:rPr>
          <w:szCs w:val="18"/>
        </w:rPr>
        <w:t xml:space="preserve">Ja. De NVWA treedt op binnen de kaders van de wet en van rechtsbeginselen zoals evenredigheid en rechtsgelijkheid. De doelmatigheid van het optreden wordt mede bepaald door de uitgangspunten zoals de NVWA die in haar interventiebeleid heeft geformuleerd. </w:t>
      </w:r>
      <w:r w:rsidRPr="004F378B">
        <w:rPr>
          <w:szCs w:val="18"/>
        </w:rPr>
        <w:t>De NVWA houdt toezicht en treedt handhavend op conform het Algemeen Interventiebeleid van de NVWA (gepubliceerd in de Staatscourant op 12 januari 2024, nummer 188). In artikel 2.1 staan de uitgangspunten van dit beleid opgesomd.</w:t>
      </w:r>
    </w:p>
    <w:p w:rsidRPr="004F378B" w:rsidR="00DA490C" w:rsidP="00DA490C" w:rsidRDefault="00DA490C" w14:paraId="2D2D46E7" w14:textId="77777777">
      <w:pPr>
        <w:rPr>
          <w:szCs w:val="18"/>
        </w:rPr>
      </w:pPr>
    </w:p>
    <w:p w:rsidRPr="004F378B" w:rsidR="00DA490C" w:rsidP="00DA490C" w:rsidRDefault="00DA490C" w14:paraId="3D05D8CB" w14:textId="77777777">
      <w:pPr>
        <w:rPr>
          <w:i/>
          <w:iCs/>
          <w:szCs w:val="18"/>
        </w:rPr>
      </w:pPr>
      <w:r w:rsidRPr="004F378B">
        <w:rPr>
          <w:i/>
          <w:iCs/>
          <w:szCs w:val="18"/>
        </w:rPr>
        <w:t xml:space="preserve">a. de NVWA stelt in haar handelen de maatschappelijke effecten op de publieke belangen voedselveiligheid, diergezondheid, dierenwelzijn, natuur en milieu, plantgezondheid, productveiligheid en tabaks- en alcoholontmoediging centraal; </w:t>
      </w:r>
    </w:p>
    <w:p w:rsidRPr="004F378B" w:rsidR="00DA490C" w:rsidP="00DA490C" w:rsidRDefault="00DA490C" w14:paraId="245ACB86" w14:textId="77777777">
      <w:pPr>
        <w:rPr>
          <w:i/>
          <w:iCs/>
          <w:szCs w:val="18"/>
        </w:rPr>
      </w:pPr>
      <w:r w:rsidRPr="004F378B">
        <w:rPr>
          <w:i/>
          <w:iCs/>
          <w:szCs w:val="18"/>
        </w:rPr>
        <w:lastRenderedPageBreak/>
        <w:t xml:space="preserve">b. de NVWA streeft ernaar om de belangrijkste maatschappelijke risico’s voor de onder a. genoemde publieke belangen, bestaande en opkomende, structureel te verminderen of, als dat niet kan, een optimale beheersing van die risico’s te realiseren; </w:t>
      </w:r>
    </w:p>
    <w:p w:rsidRPr="004F378B" w:rsidR="00DA490C" w:rsidP="00DA490C" w:rsidRDefault="00DA490C" w14:paraId="4A3E9D1C" w14:textId="77777777">
      <w:pPr>
        <w:rPr>
          <w:i/>
          <w:iCs/>
          <w:szCs w:val="18"/>
        </w:rPr>
      </w:pPr>
      <w:r w:rsidRPr="004F378B">
        <w:rPr>
          <w:i/>
          <w:iCs/>
          <w:szCs w:val="18"/>
        </w:rPr>
        <w:t xml:space="preserve">c. burgers, bedrijven en instellingen zijn zelf verantwoordelijk voor het naleven van wet- en regelgeving. De NVWA stimuleert goed gedrag waar het kan en treedt zichtbaar disciplinerend op waar het moet; </w:t>
      </w:r>
    </w:p>
    <w:p w:rsidRPr="004F378B" w:rsidR="00DA490C" w:rsidP="00DA490C" w:rsidRDefault="00DA490C" w14:paraId="5F1E154F" w14:textId="77777777">
      <w:pPr>
        <w:rPr>
          <w:i/>
          <w:iCs/>
          <w:szCs w:val="18"/>
        </w:rPr>
      </w:pPr>
      <w:r w:rsidRPr="004F378B">
        <w:rPr>
          <w:i/>
          <w:iCs/>
          <w:szCs w:val="18"/>
        </w:rPr>
        <w:t xml:space="preserve">d. de NVWA houdt toezicht en intervenieert daar waar dat het hardste nodig is. Dit vindt risicogericht en slagvaardig plaats, waarbij mensen en middelen efficiënt en effectief worden ingezet; </w:t>
      </w:r>
    </w:p>
    <w:p w:rsidRPr="004F378B" w:rsidR="00DA490C" w:rsidP="00DA490C" w:rsidRDefault="00DA490C" w14:paraId="2024653F" w14:textId="77777777">
      <w:pPr>
        <w:rPr>
          <w:i/>
          <w:iCs/>
        </w:rPr>
      </w:pPr>
      <w:r w:rsidRPr="004F378B">
        <w:rPr>
          <w:i/>
          <w:iCs/>
          <w:szCs w:val="18"/>
        </w:rPr>
        <w:t>e. bij het kiezen van een mix van toezicht en interventie staat het effect ervan centraal en zijn de instrumenten volgend</w:t>
      </w:r>
      <w:r w:rsidRPr="004F378B">
        <w:rPr>
          <w:i/>
          <w:iCs/>
        </w:rPr>
        <w:t xml:space="preserve">. </w:t>
      </w:r>
    </w:p>
    <w:p w:rsidRPr="004F378B" w:rsidR="00DA490C" w:rsidP="00DA490C" w:rsidRDefault="00DA490C" w14:paraId="2F4CEACB" w14:textId="77777777">
      <w:pPr>
        <w:rPr>
          <w:i/>
          <w:iCs/>
        </w:rPr>
      </w:pPr>
    </w:p>
    <w:p w:rsidR="00DA490C" w:rsidP="00DA490C" w:rsidRDefault="00DA490C" w14:paraId="34D83D79" w14:textId="77777777">
      <w:pPr>
        <w:rPr>
          <w:szCs w:val="18"/>
        </w:rPr>
      </w:pPr>
      <w:r w:rsidRPr="004F378B">
        <w:rPr>
          <w:szCs w:val="18"/>
        </w:rPr>
        <w:t>Daarnaast handelt de NVWA conform de Algemene wet bestuursrecht (</w:t>
      </w:r>
      <w:proofErr w:type="spellStart"/>
      <w:r w:rsidRPr="004F378B">
        <w:rPr>
          <w:szCs w:val="18"/>
        </w:rPr>
        <w:t>Awb</w:t>
      </w:r>
      <w:proofErr w:type="spellEnd"/>
      <w:r w:rsidRPr="004F378B">
        <w:rPr>
          <w:szCs w:val="18"/>
        </w:rPr>
        <w:t xml:space="preserve">)waarin waarborgen voor </w:t>
      </w:r>
      <w:proofErr w:type="spellStart"/>
      <w:r w:rsidRPr="004F378B">
        <w:rPr>
          <w:szCs w:val="18"/>
        </w:rPr>
        <w:t>ondertoezichtgestelden</w:t>
      </w:r>
      <w:proofErr w:type="spellEnd"/>
      <w:r w:rsidRPr="004F378B">
        <w:rPr>
          <w:szCs w:val="18"/>
        </w:rPr>
        <w:t xml:space="preserve"> zijn opgenomen, zoals de proportionaliteit en evenredigheid van het optreden van de NVWA. Ook de “menselijke maat” is een begrip dat de NVWA toepast. Uitgangspunt is het effect op de naleving die met handhaving wordt gerealiseerd. Daarbij is goed contact met de </w:t>
      </w:r>
      <w:proofErr w:type="spellStart"/>
      <w:r w:rsidRPr="004F378B">
        <w:rPr>
          <w:szCs w:val="18"/>
        </w:rPr>
        <w:t>ondertoezichtgestelden</w:t>
      </w:r>
      <w:proofErr w:type="spellEnd"/>
      <w:r w:rsidRPr="004F378B">
        <w:rPr>
          <w:szCs w:val="18"/>
        </w:rPr>
        <w:t xml:space="preserve"> natuurlijk belangrijk. In de regel is dat contact er ook. De inspecteur speelt hierbij een belangrijke rol. De inspecteur is een professional die met zijn kennis een goed inzicht heeft in de bedrijven die hij bezoekt. Met zijn kennis kan hij een goed oordeel geven van de feitelijke situatie en op basis daarvan zo nodig optreden. Om het toezicht uniform te laten plaatsvinden zijn er op veel domeinen standaard werkwijzen vastgesteld waarnaar de inspecteurs handelen. Als de inspecteur een overtreding aantreft maakt hij hiervan een Rapport van Bevindingen (RvB) op. Uiteindelijk wordt dit rapport bij de juridische dienst van de NVWA beoordeeld, waarna afhankelijk van de overtreding een boete, waarschuwing of maatregel (Last onder dwangsom of last onder bestuursdwang) wordt opgelegd (zie de </w:t>
      </w:r>
      <w:proofErr w:type="spellStart"/>
      <w:r w:rsidRPr="004F378B">
        <w:rPr>
          <w:szCs w:val="18"/>
        </w:rPr>
        <w:t>Awb</w:t>
      </w:r>
      <w:proofErr w:type="spellEnd"/>
      <w:r w:rsidRPr="004F378B">
        <w:rPr>
          <w:szCs w:val="18"/>
        </w:rPr>
        <w:t xml:space="preserve">). In dit proces heeft de </w:t>
      </w:r>
      <w:proofErr w:type="spellStart"/>
      <w:r w:rsidRPr="004F378B">
        <w:rPr>
          <w:szCs w:val="18"/>
        </w:rPr>
        <w:t>ondertoezichtgestelden</w:t>
      </w:r>
      <w:proofErr w:type="spellEnd"/>
      <w:r w:rsidRPr="004F378B">
        <w:rPr>
          <w:szCs w:val="18"/>
        </w:rPr>
        <w:t xml:space="preserve"> altijd de mogelijkheid om zijn kant van het verhaal</w:t>
      </w:r>
      <w:r>
        <w:rPr>
          <w:szCs w:val="18"/>
        </w:rPr>
        <w:t xml:space="preserve"> te delen en bijzondere omstandigheden</w:t>
      </w:r>
      <w:r w:rsidRPr="004F378B">
        <w:rPr>
          <w:szCs w:val="18"/>
        </w:rPr>
        <w:t xml:space="preserve"> </w:t>
      </w:r>
      <w:r>
        <w:rPr>
          <w:szCs w:val="18"/>
        </w:rPr>
        <w:t>aan te voeren</w:t>
      </w:r>
      <w:r w:rsidRPr="004F378B">
        <w:rPr>
          <w:szCs w:val="18"/>
        </w:rPr>
        <w:t>.</w:t>
      </w:r>
      <w:r>
        <w:rPr>
          <w:szCs w:val="18"/>
        </w:rPr>
        <w:t xml:space="preserve"> Verzachtende omstandigheden worden </w:t>
      </w:r>
      <w:r w:rsidRPr="004F378B">
        <w:rPr>
          <w:szCs w:val="18"/>
        </w:rPr>
        <w:t xml:space="preserve">meegenomen in de beoordeling. </w:t>
      </w:r>
      <w:r>
        <w:rPr>
          <w:szCs w:val="18"/>
        </w:rPr>
        <w:t>Voorbeelden hiervan zijn o</w:t>
      </w:r>
      <w:r w:rsidRPr="004F378B">
        <w:rPr>
          <w:szCs w:val="18"/>
        </w:rPr>
        <w:t>nvoldoende financieel draagvlak of persoonlijke omstandigheden, in de breedste zin van het woord.</w:t>
      </w:r>
    </w:p>
    <w:p w:rsidRPr="004F378B" w:rsidR="00DA490C" w:rsidP="00DA490C" w:rsidRDefault="00DA490C" w14:paraId="66BB089F" w14:textId="77777777">
      <w:pPr>
        <w:rPr>
          <w:szCs w:val="18"/>
        </w:rPr>
      </w:pPr>
    </w:p>
    <w:p w:rsidRPr="004F378B" w:rsidR="00DA490C" w:rsidP="00DA490C" w:rsidRDefault="00DA490C" w14:paraId="3046A869" w14:textId="77777777">
      <w:pPr>
        <w:rPr>
          <w:szCs w:val="18"/>
        </w:rPr>
      </w:pPr>
      <w:r>
        <w:rPr>
          <w:szCs w:val="18"/>
        </w:rPr>
        <w:t xml:space="preserve">Ik beschouw de wijze waarop de NVWA haar door de wetgever opgedragen taken uitvoert, in combinatie met de in wet- en regelgeving opgenomen boetehoogten en de in het </w:t>
      </w:r>
      <w:proofErr w:type="spellStart"/>
      <w:r>
        <w:rPr>
          <w:szCs w:val="18"/>
        </w:rPr>
        <w:t>toezichtsproces</w:t>
      </w:r>
      <w:proofErr w:type="spellEnd"/>
      <w:r>
        <w:rPr>
          <w:szCs w:val="18"/>
        </w:rPr>
        <w:t xml:space="preserve"> </w:t>
      </w:r>
      <w:r w:rsidRPr="004F378B">
        <w:rPr>
          <w:szCs w:val="18"/>
        </w:rPr>
        <w:t xml:space="preserve">ingebouwde waarborgen </w:t>
      </w:r>
      <w:r>
        <w:rPr>
          <w:szCs w:val="18"/>
        </w:rPr>
        <w:t>en bijbehorende mogelijkheden voor rechtsbescherming als rechtmatig en doelmatig</w:t>
      </w:r>
      <w:r w:rsidRPr="004F378B">
        <w:rPr>
          <w:szCs w:val="18"/>
        </w:rPr>
        <w:t>.</w:t>
      </w:r>
    </w:p>
    <w:p w:rsidRPr="004F378B" w:rsidR="00DA490C" w:rsidP="00DA490C" w:rsidRDefault="00DA490C" w14:paraId="21B78629" w14:textId="77777777">
      <w:pPr>
        <w:rPr>
          <w:color w:val="FF0000"/>
          <w:szCs w:val="18"/>
        </w:rPr>
      </w:pPr>
    </w:p>
    <w:p w:rsidRPr="004F378B" w:rsidR="00DA490C" w:rsidP="00DA490C" w:rsidRDefault="00DA490C" w14:paraId="18A28759" w14:textId="77777777">
      <w:pPr>
        <w:rPr>
          <w:szCs w:val="18"/>
        </w:rPr>
      </w:pPr>
      <w:r w:rsidRPr="004F378B">
        <w:rPr>
          <w:szCs w:val="18"/>
        </w:rPr>
        <w:t>6</w:t>
      </w:r>
    </w:p>
    <w:p w:rsidRPr="004F378B" w:rsidR="00DA490C" w:rsidP="00DA490C" w:rsidRDefault="00DA490C" w14:paraId="2E2F1A81" w14:textId="77777777">
      <w:pPr>
        <w:rPr>
          <w:szCs w:val="18"/>
        </w:rPr>
      </w:pPr>
      <w:r w:rsidRPr="004F378B">
        <w:rPr>
          <w:szCs w:val="18"/>
        </w:rPr>
        <w:t xml:space="preserve">Zijn de boetes die voor kleine overtredingen worden opgelegd proportioneel voor individuele ondernemers, vooral met het oog op kleinere bedrijven zoals boeren en restaurants? </w:t>
      </w:r>
    </w:p>
    <w:p w:rsidRPr="004F378B" w:rsidR="00DA490C" w:rsidP="00DA490C" w:rsidRDefault="00DA490C" w14:paraId="6018910A" w14:textId="77777777">
      <w:pPr>
        <w:rPr>
          <w:szCs w:val="18"/>
        </w:rPr>
      </w:pPr>
    </w:p>
    <w:p w:rsidRPr="004F378B" w:rsidR="00DA490C" w:rsidP="00DA490C" w:rsidRDefault="00DA490C" w14:paraId="29812618" w14:textId="77777777">
      <w:pPr>
        <w:rPr>
          <w:szCs w:val="18"/>
        </w:rPr>
      </w:pPr>
      <w:r w:rsidRPr="004F378B">
        <w:rPr>
          <w:szCs w:val="18"/>
        </w:rPr>
        <w:t>Antwoord</w:t>
      </w:r>
    </w:p>
    <w:p w:rsidR="00DA490C" w:rsidP="00DA490C" w:rsidRDefault="00DA490C" w14:paraId="5A9F2B0D" w14:textId="77777777">
      <w:pPr>
        <w:rPr>
          <w:szCs w:val="18"/>
        </w:rPr>
      </w:pPr>
      <w:bookmarkStart w:name="_Hlk189908377" w:id="1"/>
      <w:r w:rsidRPr="004F378B">
        <w:rPr>
          <w:szCs w:val="18"/>
        </w:rPr>
        <w:t xml:space="preserve">De boetes die door de NVWA worden opgelegd zijn wettelijk vastgesteld. Bij het vaststellen is door de regelgever de proportionaliteit meegewogen. In sommige domeinen is voorzien in een halvering van de boete in geval risico’s door de overtreding gering zijn en verdubbeling als de risico’s ernstig zijn. De NVWA houdt hiermee rekening bij het opleggen van boetes. Daarnaast bevat de Algemene wet bestuursrecht de mogelijkheid om boetes te matigen als de specifieke omstandigheden </w:t>
      </w:r>
      <w:r w:rsidRPr="00B37AA4">
        <w:rPr>
          <w:szCs w:val="18"/>
        </w:rPr>
        <w:t xml:space="preserve">van het geval, waaronder individuele omstandigheden van de ondernemer, hiertoe aanleiding geven. Ook deze bepalingen past de NVWA toe bij opleggen van boetes. </w:t>
      </w:r>
      <w:bookmarkEnd w:id="1"/>
      <w:r w:rsidRPr="00B37AA4">
        <w:rPr>
          <w:szCs w:val="18"/>
        </w:rPr>
        <w:t xml:space="preserve">Voor gevallen waarin de vaste wettelijke boete ontoereikend is bestaat het instrument van de </w:t>
      </w:r>
      <w:proofErr w:type="spellStart"/>
      <w:r w:rsidRPr="00B37AA4">
        <w:rPr>
          <w:szCs w:val="18"/>
        </w:rPr>
        <w:t>omzetgerelateerde</w:t>
      </w:r>
      <w:proofErr w:type="spellEnd"/>
      <w:r w:rsidRPr="00B37AA4">
        <w:rPr>
          <w:szCs w:val="18"/>
        </w:rPr>
        <w:t xml:space="preserve"> boete. Ik zal de </w:t>
      </w:r>
      <w:proofErr w:type="spellStart"/>
      <w:r w:rsidRPr="00B37AA4">
        <w:rPr>
          <w:szCs w:val="18"/>
        </w:rPr>
        <w:t>omzetgerelateerde</w:t>
      </w:r>
      <w:proofErr w:type="spellEnd"/>
      <w:r w:rsidRPr="00B37AA4">
        <w:rPr>
          <w:szCs w:val="18"/>
        </w:rPr>
        <w:t xml:space="preserve"> boete beter en breder toepasbaar maken, zodat de NVWA juist hogere boetes kan opleggen aan grote bedrijven.</w:t>
      </w:r>
    </w:p>
    <w:p w:rsidRPr="004F378B" w:rsidR="00DA490C" w:rsidP="00DA490C" w:rsidRDefault="00DA490C" w14:paraId="274384BD" w14:textId="77777777">
      <w:pPr>
        <w:rPr>
          <w:szCs w:val="18"/>
        </w:rPr>
      </w:pPr>
    </w:p>
    <w:p w:rsidRPr="004F378B" w:rsidR="00DA490C" w:rsidP="00DA490C" w:rsidRDefault="00DA490C" w14:paraId="64481987" w14:textId="77777777">
      <w:pPr>
        <w:rPr>
          <w:szCs w:val="18"/>
        </w:rPr>
      </w:pPr>
      <w:r w:rsidRPr="004F378B">
        <w:rPr>
          <w:szCs w:val="18"/>
        </w:rPr>
        <w:t>7</w:t>
      </w:r>
    </w:p>
    <w:p w:rsidRPr="004F378B" w:rsidR="00DA490C" w:rsidP="00DA490C" w:rsidRDefault="00DA490C" w14:paraId="3D084C33" w14:textId="77777777">
      <w:pPr>
        <w:rPr>
          <w:szCs w:val="18"/>
        </w:rPr>
      </w:pPr>
      <w:r w:rsidRPr="004F378B">
        <w:rPr>
          <w:szCs w:val="18"/>
        </w:rPr>
        <w:t xml:space="preserve">Hoeveel mensen werken er bij de NVWA? Kunt u deze gegevens uitsplitsten in functiecategorieën; aantal dierenartsen, beleidsmedewerkers, juristen, controleurs, en anderen? </w:t>
      </w:r>
    </w:p>
    <w:p w:rsidRPr="004F378B" w:rsidR="00DA490C" w:rsidP="00DA490C" w:rsidRDefault="00DA490C" w14:paraId="0260198C" w14:textId="77777777">
      <w:pPr>
        <w:rPr>
          <w:szCs w:val="18"/>
        </w:rPr>
      </w:pPr>
    </w:p>
    <w:p w:rsidR="00DA490C" w:rsidP="00DA490C" w:rsidRDefault="00DA490C" w14:paraId="3BC0BB3E" w14:textId="77777777">
      <w:pPr>
        <w:spacing w:line="240" w:lineRule="auto"/>
        <w:rPr>
          <w:szCs w:val="18"/>
        </w:rPr>
      </w:pPr>
      <w:r>
        <w:rPr>
          <w:szCs w:val="18"/>
        </w:rPr>
        <w:br w:type="page"/>
      </w:r>
    </w:p>
    <w:p w:rsidRPr="004F378B" w:rsidR="00DA490C" w:rsidP="00DA490C" w:rsidRDefault="00DA490C" w14:paraId="6BDC19E2" w14:textId="77777777">
      <w:pPr>
        <w:rPr>
          <w:szCs w:val="18"/>
        </w:rPr>
      </w:pPr>
      <w:r w:rsidRPr="004F378B">
        <w:rPr>
          <w:szCs w:val="18"/>
        </w:rPr>
        <w:lastRenderedPageBreak/>
        <w:t>Antwoord</w:t>
      </w:r>
    </w:p>
    <w:p w:rsidR="00DA490C" w:rsidP="00DA490C" w:rsidRDefault="00DA490C" w14:paraId="75D9D435" w14:textId="77777777">
      <w:pPr>
        <w:rPr>
          <w:szCs w:val="18"/>
        </w:rPr>
      </w:pPr>
      <w:r>
        <w:rPr>
          <w:szCs w:val="18"/>
        </w:rPr>
        <w:t>Op</w:t>
      </w:r>
      <w:r w:rsidRPr="004F378B">
        <w:rPr>
          <w:szCs w:val="18"/>
        </w:rPr>
        <w:t xml:space="preserve"> </w:t>
      </w:r>
      <w:r>
        <w:rPr>
          <w:szCs w:val="18"/>
        </w:rPr>
        <w:t>31-12-2024</w:t>
      </w:r>
      <w:r w:rsidRPr="004F378B">
        <w:rPr>
          <w:szCs w:val="18"/>
        </w:rPr>
        <w:t xml:space="preserve"> werken er 3412 ambtelijke medewerkers bij de NVWA (exclusief </w:t>
      </w:r>
      <w:proofErr w:type="spellStart"/>
      <w:r w:rsidRPr="004F378B">
        <w:rPr>
          <w:szCs w:val="18"/>
        </w:rPr>
        <w:t>practitioners</w:t>
      </w:r>
      <w:proofErr w:type="spellEnd"/>
      <w:r w:rsidRPr="004F378B">
        <w:rPr>
          <w:szCs w:val="18"/>
        </w:rPr>
        <w:t xml:space="preserve">, inhuur en uitzendkrachten). De uitsplitsing naar de verschillende functiecategorieën die hier worden genoemd, zijn niet te geven. We werken voor de functiecategorieën met het functiegebouw Rijk waar </w:t>
      </w:r>
      <w:proofErr w:type="spellStart"/>
      <w:r>
        <w:rPr>
          <w:szCs w:val="18"/>
        </w:rPr>
        <w:t>grosso</w:t>
      </w:r>
      <w:proofErr w:type="spellEnd"/>
      <w:r>
        <w:rPr>
          <w:szCs w:val="18"/>
        </w:rPr>
        <w:t xml:space="preserve"> </w:t>
      </w:r>
      <w:proofErr w:type="spellStart"/>
      <w:r>
        <w:rPr>
          <w:szCs w:val="18"/>
        </w:rPr>
        <w:t>modo</w:t>
      </w:r>
      <w:proofErr w:type="spellEnd"/>
      <w:r>
        <w:rPr>
          <w:szCs w:val="18"/>
        </w:rPr>
        <w:t xml:space="preserve"> </w:t>
      </w:r>
      <w:r w:rsidRPr="004F378B">
        <w:rPr>
          <w:szCs w:val="18"/>
        </w:rPr>
        <w:t>een indeling is te maken op toezicht en uitvoering (inspecteurs, dierenartsen), beleid en advisering (</w:t>
      </w:r>
      <w:proofErr w:type="spellStart"/>
      <w:r w:rsidRPr="004F378B">
        <w:rPr>
          <w:szCs w:val="18"/>
        </w:rPr>
        <w:t>oa</w:t>
      </w:r>
      <w:proofErr w:type="spellEnd"/>
      <w:r w:rsidRPr="004F378B">
        <w:rPr>
          <w:szCs w:val="18"/>
        </w:rPr>
        <w:t>, juristen), kennis en onderzoek (</w:t>
      </w:r>
      <w:proofErr w:type="spellStart"/>
      <w:r w:rsidRPr="004F378B">
        <w:rPr>
          <w:szCs w:val="18"/>
        </w:rPr>
        <w:t>oa</w:t>
      </w:r>
      <w:proofErr w:type="spellEnd"/>
      <w:r w:rsidRPr="004F378B">
        <w:rPr>
          <w:szCs w:val="18"/>
        </w:rPr>
        <w:t xml:space="preserve">. Lab), bedrijfsvoering en management. Binnen de groep Toezicht en uitvoering zitten dierenartsen en controleurs en die zijn niet als zodanig te filteren. </w:t>
      </w:r>
    </w:p>
    <w:p w:rsidRPr="004F378B" w:rsidR="00DA490C" w:rsidP="00DA490C" w:rsidRDefault="00DA490C" w14:paraId="40AEDEAE" w14:textId="77777777">
      <w:pPr>
        <w:rPr>
          <w:szCs w:val="18"/>
        </w:rPr>
      </w:pPr>
      <w:r w:rsidRPr="004F378B">
        <w:rPr>
          <w:szCs w:val="18"/>
        </w:rPr>
        <w:t> </w:t>
      </w:r>
    </w:p>
    <w:tbl>
      <w:tblPr>
        <w:tblW w:w="0" w:type="auto"/>
        <w:tblInd w:w="250" w:type="dxa"/>
        <w:tblCellMar>
          <w:left w:w="0" w:type="dxa"/>
          <w:right w:w="0" w:type="dxa"/>
        </w:tblCellMar>
        <w:tblLook w:val="04A0" w:firstRow="1" w:lastRow="0" w:firstColumn="1" w:lastColumn="0" w:noHBand="0" w:noVBand="1"/>
      </w:tblPr>
      <w:tblGrid>
        <w:gridCol w:w="2882"/>
        <w:gridCol w:w="3383"/>
      </w:tblGrid>
      <w:tr w:rsidRPr="004F378B" w:rsidR="00DA490C" w:rsidTr="00D821FE" w14:paraId="18719B23" w14:textId="77777777">
        <w:tc>
          <w:tcPr>
            <w:tcW w:w="288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4F378B" w:rsidR="00DA490C" w:rsidP="00D821FE" w:rsidRDefault="00DA490C" w14:paraId="0FA18292" w14:textId="77777777">
            <w:pPr>
              <w:rPr>
                <w:szCs w:val="18"/>
              </w:rPr>
            </w:pPr>
            <w:r w:rsidRPr="004F378B">
              <w:rPr>
                <w:szCs w:val="18"/>
              </w:rPr>
              <w:t>functiecategorie</w:t>
            </w:r>
          </w:p>
        </w:tc>
        <w:tc>
          <w:tcPr>
            <w:tcW w:w="3383"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4F378B" w:rsidR="00DA490C" w:rsidP="00D821FE" w:rsidRDefault="00DA490C" w14:paraId="421AC7D9" w14:textId="77777777">
            <w:pPr>
              <w:rPr>
                <w:szCs w:val="18"/>
              </w:rPr>
            </w:pPr>
            <w:r w:rsidRPr="004F378B">
              <w:rPr>
                <w:szCs w:val="18"/>
              </w:rPr>
              <w:t xml:space="preserve">Aantal medewerkers </w:t>
            </w:r>
            <w:r>
              <w:rPr>
                <w:szCs w:val="18"/>
              </w:rPr>
              <w:t>31-12-2024</w:t>
            </w:r>
          </w:p>
        </w:tc>
      </w:tr>
      <w:tr w:rsidRPr="004F378B" w:rsidR="00DA490C" w:rsidTr="00D821FE" w14:paraId="05E324A0" w14:textId="77777777">
        <w:tc>
          <w:tcPr>
            <w:tcW w:w="288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F378B" w:rsidR="00DA490C" w:rsidP="00D821FE" w:rsidRDefault="00DA490C" w14:paraId="5959563F" w14:textId="77777777">
            <w:pPr>
              <w:rPr>
                <w:szCs w:val="18"/>
              </w:rPr>
            </w:pPr>
            <w:r w:rsidRPr="004F378B">
              <w:rPr>
                <w:szCs w:val="18"/>
              </w:rPr>
              <w:t>Toezicht en uitvoering</w:t>
            </w:r>
          </w:p>
        </w:tc>
        <w:tc>
          <w:tcPr>
            <w:tcW w:w="3383" w:type="dxa"/>
            <w:tcBorders>
              <w:top w:val="nil"/>
              <w:left w:val="nil"/>
              <w:bottom w:val="single" w:color="auto" w:sz="8" w:space="0"/>
              <w:right w:val="single" w:color="auto" w:sz="8" w:space="0"/>
            </w:tcBorders>
            <w:tcMar>
              <w:top w:w="0" w:type="dxa"/>
              <w:left w:w="108" w:type="dxa"/>
              <w:bottom w:w="0" w:type="dxa"/>
              <w:right w:w="108" w:type="dxa"/>
            </w:tcMar>
            <w:hideMark/>
          </w:tcPr>
          <w:p w:rsidRPr="004F378B" w:rsidR="00DA490C" w:rsidP="00D821FE" w:rsidRDefault="00DA490C" w14:paraId="534E8222" w14:textId="77777777">
            <w:pPr>
              <w:rPr>
                <w:szCs w:val="18"/>
              </w:rPr>
            </w:pPr>
            <w:r w:rsidRPr="004F378B">
              <w:rPr>
                <w:szCs w:val="18"/>
              </w:rPr>
              <w:t>2136</w:t>
            </w:r>
          </w:p>
        </w:tc>
      </w:tr>
      <w:tr w:rsidRPr="004F378B" w:rsidR="00DA490C" w:rsidTr="00D821FE" w14:paraId="596ABC14" w14:textId="77777777">
        <w:tc>
          <w:tcPr>
            <w:tcW w:w="288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F378B" w:rsidR="00DA490C" w:rsidP="00D821FE" w:rsidRDefault="00DA490C" w14:paraId="7600D288" w14:textId="77777777">
            <w:pPr>
              <w:rPr>
                <w:szCs w:val="18"/>
              </w:rPr>
            </w:pPr>
            <w:r w:rsidRPr="004F378B">
              <w:rPr>
                <w:szCs w:val="18"/>
              </w:rPr>
              <w:t>Kennis en onderzoek</w:t>
            </w:r>
          </w:p>
        </w:tc>
        <w:tc>
          <w:tcPr>
            <w:tcW w:w="3383" w:type="dxa"/>
            <w:tcBorders>
              <w:top w:val="nil"/>
              <w:left w:val="nil"/>
              <w:bottom w:val="single" w:color="auto" w:sz="8" w:space="0"/>
              <w:right w:val="single" w:color="auto" w:sz="8" w:space="0"/>
            </w:tcBorders>
            <w:tcMar>
              <w:top w:w="0" w:type="dxa"/>
              <w:left w:w="108" w:type="dxa"/>
              <w:bottom w:w="0" w:type="dxa"/>
              <w:right w:w="108" w:type="dxa"/>
            </w:tcMar>
            <w:hideMark/>
          </w:tcPr>
          <w:p w:rsidRPr="004F378B" w:rsidR="00DA490C" w:rsidP="00D821FE" w:rsidRDefault="00DA490C" w14:paraId="1899A564" w14:textId="77777777">
            <w:pPr>
              <w:rPr>
                <w:szCs w:val="18"/>
              </w:rPr>
            </w:pPr>
            <w:r w:rsidRPr="004F378B">
              <w:rPr>
                <w:szCs w:val="18"/>
              </w:rPr>
              <w:t>132</w:t>
            </w:r>
          </w:p>
        </w:tc>
      </w:tr>
      <w:tr w:rsidRPr="004F378B" w:rsidR="00DA490C" w:rsidTr="00D821FE" w14:paraId="452F5981" w14:textId="77777777">
        <w:tc>
          <w:tcPr>
            <w:tcW w:w="288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F378B" w:rsidR="00DA490C" w:rsidP="00D821FE" w:rsidRDefault="00DA490C" w14:paraId="6EBE216E" w14:textId="77777777">
            <w:pPr>
              <w:rPr>
                <w:szCs w:val="18"/>
              </w:rPr>
            </w:pPr>
            <w:r w:rsidRPr="004F378B">
              <w:rPr>
                <w:szCs w:val="18"/>
              </w:rPr>
              <w:t>Beleid en Advisering</w:t>
            </w:r>
          </w:p>
        </w:tc>
        <w:tc>
          <w:tcPr>
            <w:tcW w:w="3383" w:type="dxa"/>
            <w:tcBorders>
              <w:top w:val="nil"/>
              <w:left w:val="nil"/>
              <w:bottom w:val="single" w:color="auto" w:sz="8" w:space="0"/>
              <w:right w:val="single" w:color="auto" w:sz="8" w:space="0"/>
            </w:tcBorders>
            <w:tcMar>
              <w:top w:w="0" w:type="dxa"/>
              <w:left w:w="108" w:type="dxa"/>
              <w:bottom w:w="0" w:type="dxa"/>
              <w:right w:w="108" w:type="dxa"/>
            </w:tcMar>
            <w:hideMark/>
          </w:tcPr>
          <w:p w:rsidRPr="004F378B" w:rsidR="00DA490C" w:rsidP="00D821FE" w:rsidRDefault="00DA490C" w14:paraId="0F1574D2" w14:textId="77777777">
            <w:pPr>
              <w:rPr>
                <w:szCs w:val="18"/>
              </w:rPr>
            </w:pPr>
            <w:r w:rsidRPr="004F378B">
              <w:rPr>
                <w:szCs w:val="18"/>
              </w:rPr>
              <w:t>403</w:t>
            </w:r>
          </w:p>
        </w:tc>
      </w:tr>
      <w:tr w:rsidRPr="004F378B" w:rsidR="00DA490C" w:rsidTr="00D821FE" w14:paraId="41B7A4CA" w14:textId="77777777">
        <w:tc>
          <w:tcPr>
            <w:tcW w:w="288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F378B" w:rsidR="00DA490C" w:rsidP="00D821FE" w:rsidRDefault="00DA490C" w14:paraId="44899310" w14:textId="77777777">
            <w:pPr>
              <w:rPr>
                <w:szCs w:val="18"/>
              </w:rPr>
            </w:pPr>
            <w:r w:rsidRPr="004F378B">
              <w:rPr>
                <w:szCs w:val="18"/>
              </w:rPr>
              <w:t>Bedrijfsvoering</w:t>
            </w:r>
          </w:p>
        </w:tc>
        <w:tc>
          <w:tcPr>
            <w:tcW w:w="3383" w:type="dxa"/>
            <w:tcBorders>
              <w:top w:val="nil"/>
              <w:left w:val="nil"/>
              <w:bottom w:val="single" w:color="auto" w:sz="8" w:space="0"/>
              <w:right w:val="single" w:color="auto" w:sz="8" w:space="0"/>
            </w:tcBorders>
            <w:tcMar>
              <w:top w:w="0" w:type="dxa"/>
              <w:left w:w="108" w:type="dxa"/>
              <w:bottom w:w="0" w:type="dxa"/>
              <w:right w:w="108" w:type="dxa"/>
            </w:tcMar>
            <w:hideMark/>
          </w:tcPr>
          <w:p w:rsidRPr="004F378B" w:rsidR="00DA490C" w:rsidP="00D821FE" w:rsidRDefault="00DA490C" w14:paraId="6CDBA78C" w14:textId="77777777">
            <w:pPr>
              <w:rPr>
                <w:szCs w:val="18"/>
              </w:rPr>
            </w:pPr>
            <w:r w:rsidRPr="004F378B">
              <w:rPr>
                <w:szCs w:val="18"/>
              </w:rPr>
              <w:t>483</w:t>
            </w:r>
          </w:p>
        </w:tc>
      </w:tr>
      <w:tr w:rsidRPr="004F378B" w:rsidR="00DA490C" w:rsidTr="00D821FE" w14:paraId="5C2B7A3F" w14:textId="77777777">
        <w:tc>
          <w:tcPr>
            <w:tcW w:w="288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F378B" w:rsidR="00DA490C" w:rsidP="00D821FE" w:rsidRDefault="00DA490C" w14:paraId="3D39A7D5" w14:textId="77777777">
            <w:pPr>
              <w:rPr>
                <w:szCs w:val="18"/>
              </w:rPr>
            </w:pPr>
            <w:r w:rsidRPr="004F378B">
              <w:rPr>
                <w:szCs w:val="18"/>
              </w:rPr>
              <w:t>Management</w:t>
            </w:r>
          </w:p>
        </w:tc>
        <w:tc>
          <w:tcPr>
            <w:tcW w:w="3383" w:type="dxa"/>
            <w:tcBorders>
              <w:top w:val="nil"/>
              <w:left w:val="nil"/>
              <w:bottom w:val="single" w:color="auto" w:sz="8" w:space="0"/>
              <w:right w:val="single" w:color="auto" w:sz="8" w:space="0"/>
            </w:tcBorders>
            <w:tcMar>
              <w:top w:w="0" w:type="dxa"/>
              <w:left w:w="108" w:type="dxa"/>
              <w:bottom w:w="0" w:type="dxa"/>
              <w:right w:w="108" w:type="dxa"/>
            </w:tcMar>
            <w:hideMark/>
          </w:tcPr>
          <w:p w:rsidRPr="004F378B" w:rsidR="00DA490C" w:rsidP="00D821FE" w:rsidRDefault="00DA490C" w14:paraId="67E87709" w14:textId="77777777">
            <w:pPr>
              <w:rPr>
                <w:szCs w:val="18"/>
              </w:rPr>
            </w:pPr>
            <w:r w:rsidRPr="004F378B">
              <w:rPr>
                <w:szCs w:val="18"/>
              </w:rPr>
              <w:t>248</w:t>
            </w:r>
          </w:p>
        </w:tc>
      </w:tr>
      <w:tr w:rsidRPr="004F378B" w:rsidR="00DA490C" w:rsidTr="00D821FE" w14:paraId="386B02FF" w14:textId="77777777">
        <w:tc>
          <w:tcPr>
            <w:tcW w:w="288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F378B" w:rsidR="00DA490C" w:rsidP="00D821FE" w:rsidRDefault="00DA490C" w14:paraId="0AFDA4E6" w14:textId="77777777">
            <w:pPr>
              <w:rPr>
                <w:szCs w:val="18"/>
              </w:rPr>
            </w:pPr>
            <w:r w:rsidRPr="004F378B">
              <w:rPr>
                <w:szCs w:val="18"/>
              </w:rPr>
              <w:t xml:space="preserve">Overig </w:t>
            </w:r>
          </w:p>
        </w:tc>
        <w:tc>
          <w:tcPr>
            <w:tcW w:w="3383" w:type="dxa"/>
            <w:tcBorders>
              <w:top w:val="nil"/>
              <w:left w:val="nil"/>
              <w:bottom w:val="single" w:color="auto" w:sz="8" w:space="0"/>
              <w:right w:val="single" w:color="auto" w:sz="8" w:space="0"/>
            </w:tcBorders>
            <w:tcMar>
              <w:top w:w="0" w:type="dxa"/>
              <w:left w:w="108" w:type="dxa"/>
              <w:bottom w:w="0" w:type="dxa"/>
              <w:right w:w="108" w:type="dxa"/>
            </w:tcMar>
            <w:hideMark/>
          </w:tcPr>
          <w:p w:rsidRPr="004F378B" w:rsidR="00DA490C" w:rsidP="00D821FE" w:rsidRDefault="00DA490C" w14:paraId="3FABAF25" w14:textId="77777777">
            <w:pPr>
              <w:rPr>
                <w:szCs w:val="18"/>
              </w:rPr>
            </w:pPr>
            <w:r w:rsidRPr="004F378B">
              <w:rPr>
                <w:szCs w:val="18"/>
              </w:rPr>
              <w:t>10</w:t>
            </w:r>
          </w:p>
        </w:tc>
      </w:tr>
      <w:tr w:rsidRPr="004F378B" w:rsidR="00DA490C" w:rsidTr="00D821FE" w14:paraId="5D352200" w14:textId="77777777">
        <w:tc>
          <w:tcPr>
            <w:tcW w:w="288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F378B" w:rsidR="00DA490C" w:rsidP="00D821FE" w:rsidRDefault="00DA490C" w14:paraId="7C5EC155" w14:textId="77777777">
            <w:pPr>
              <w:rPr>
                <w:szCs w:val="18"/>
              </w:rPr>
            </w:pPr>
            <w:r w:rsidRPr="004F378B">
              <w:rPr>
                <w:szCs w:val="18"/>
              </w:rPr>
              <w:t>totaal</w:t>
            </w:r>
          </w:p>
        </w:tc>
        <w:tc>
          <w:tcPr>
            <w:tcW w:w="3383" w:type="dxa"/>
            <w:tcBorders>
              <w:top w:val="nil"/>
              <w:left w:val="nil"/>
              <w:bottom w:val="single" w:color="auto" w:sz="8" w:space="0"/>
              <w:right w:val="single" w:color="auto" w:sz="8" w:space="0"/>
            </w:tcBorders>
            <w:tcMar>
              <w:top w:w="0" w:type="dxa"/>
              <w:left w:w="108" w:type="dxa"/>
              <w:bottom w:w="0" w:type="dxa"/>
              <w:right w:w="108" w:type="dxa"/>
            </w:tcMar>
            <w:hideMark/>
          </w:tcPr>
          <w:p w:rsidRPr="004F378B" w:rsidR="00DA490C" w:rsidP="00D821FE" w:rsidRDefault="00DA490C" w14:paraId="5A2BCBC5" w14:textId="77777777">
            <w:pPr>
              <w:rPr>
                <w:szCs w:val="18"/>
              </w:rPr>
            </w:pPr>
            <w:r w:rsidRPr="004F378B">
              <w:rPr>
                <w:szCs w:val="18"/>
              </w:rPr>
              <w:t>3412</w:t>
            </w:r>
          </w:p>
        </w:tc>
      </w:tr>
    </w:tbl>
    <w:p w:rsidR="00DA490C" w:rsidP="00DA490C" w:rsidRDefault="00DA490C" w14:paraId="5A66473F" w14:textId="77777777">
      <w:pPr>
        <w:rPr>
          <w:szCs w:val="18"/>
        </w:rPr>
      </w:pPr>
    </w:p>
    <w:p w:rsidRPr="00A1354A" w:rsidR="00DA490C" w:rsidP="00DA490C" w:rsidRDefault="00DA490C" w14:paraId="20C80F49" w14:textId="77777777">
      <w:pPr>
        <w:rPr>
          <w:szCs w:val="18"/>
        </w:rPr>
      </w:pPr>
      <w:r w:rsidRPr="00A1354A">
        <w:rPr>
          <w:szCs w:val="18"/>
        </w:rPr>
        <w:t xml:space="preserve">Per 1 januari 2025 heeft de NVWA er 306 medewerkers bij gekregen door de </w:t>
      </w:r>
      <w:proofErr w:type="spellStart"/>
      <w:r w:rsidRPr="00A1354A">
        <w:rPr>
          <w:szCs w:val="18"/>
        </w:rPr>
        <w:t>inhuizing</w:t>
      </w:r>
      <w:proofErr w:type="spellEnd"/>
      <w:r w:rsidRPr="00A1354A">
        <w:rPr>
          <w:szCs w:val="18"/>
        </w:rPr>
        <w:t xml:space="preserve"> van KDS.</w:t>
      </w:r>
    </w:p>
    <w:p w:rsidRPr="00A1354A" w:rsidR="00DA490C" w:rsidP="00DA490C" w:rsidRDefault="00DA490C" w14:paraId="35FF1D5D" w14:textId="77777777">
      <w:pPr>
        <w:rPr>
          <w:szCs w:val="18"/>
        </w:rPr>
      </w:pPr>
    </w:p>
    <w:p w:rsidRPr="00A1354A" w:rsidR="00DA490C" w:rsidP="00DA490C" w:rsidRDefault="00DA490C" w14:paraId="17165B52" w14:textId="77777777">
      <w:pPr>
        <w:rPr>
          <w:szCs w:val="18"/>
        </w:rPr>
      </w:pPr>
      <w:r w:rsidRPr="00A1354A">
        <w:rPr>
          <w:szCs w:val="18"/>
        </w:rPr>
        <w:t>8</w:t>
      </w:r>
    </w:p>
    <w:p w:rsidRPr="00A1354A" w:rsidR="00DA490C" w:rsidP="00DA490C" w:rsidRDefault="00DA490C" w14:paraId="4FBA06CB" w14:textId="77777777">
      <w:pPr>
        <w:rPr>
          <w:szCs w:val="18"/>
        </w:rPr>
      </w:pPr>
      <w:r w:rsidRPr="00A1354A">
        <w:rPr>
          <w:szCs w:val="18"/>
        </w:rPr>
        <w:t xml:space="preserve">Hoeveel nieuwe werknemers zijn er jaarlijks aangenomen in de afgelopen vijf jaar? Is de organisatie daarmee nu op orde? </w:t>
      </w:r>
    </w:p>
    <w:p w:rsidRPr="00A1354A" w:rsidR="00DA490C" w:rsidP="00DA490C" w:rsidRDefault="00DA490C" w14:paraId="2EA387D1" w14:textId="77777777">
      <w:pPr>
        <w:ind w:left="360"/>
        <w:rPr>
          <w:szCs w:val="18"/>
        </w:rPr>
      </w:pPr>
    </w:p>
    <w:p w:rsidRPr="00A1354A" w:rsidR="00DA490C" w:rsidP="00DA490C" w:rsidRDefault="00DA490C" w14:paraId="529E303F" w14:textId="77777777">
      <w:pPr>
        <w:rPr>
          <w:szCs w:val="18"/>
        </w:rPr>
      </w:pPr>
      <w:r w:rsidRPr="00A1354A">
        <w:rPr>
          <w:szCs w:val="18"/>
        </w:rPr>
        <w:t>Antwoord</w:t>
      </w:r>
    </w:p>
    <w:p w:rsidRPr="00A1354A" w:rsidR="00DA490C" w:rsidP="00DA490C" w:rsidRDefault="00DA490C" w14:paraId="19ADBA21" w14:textId="77777777">
      <w:pPr>
        <w:rPr>
          <w:szCs w:val="18"/>
        </w:rPr>
      </w:pPr>
      <w:r w:rsidRPr="00A1354A">
        <w:rPr>
          <w:szCs w:val="18"/>
        </w:rPr>
        <w:t>Aantal nieuwe medewerkers</w:t>
      </w:r>
    </w:p>
    <w:tbl>
      <w:tblPr>
        <w:tblStyle w:val="Tabelraster"/>
        <w:tblW w:w="0" w:type="auto"/>
        <w:tblInd w:w="250" w:type="dxa"/>
        <w:tblLook w:val="04A0" w:firstRow="1" w:lastRow="0" w:firstColumn="1" w:lastColumn="0" w:noHBand="0" w:noVBand="1"/>
      </w:tblPr>
      <w:tblGrid>
        <w:gridCol w:w="2126"/>
        <w:gridCol w:w="725"/>
        <w:gridCol w:w="895"/>
        <w:gridCol w:w="815"/>
        <w:gridCol w:w="744"/>
        <w:gridCol w:w="992"/>
      </w:tblGrid>
      <w:tr w:rsidRPr="00A1354A" w:rsidR="00DA490C" w:rsidTr="00D821FE" w14:paraId="60583D05" w14:textId="77777777">
        <w:trPr>
          <w:trHeight w:val="313"/>
        </w:trPr>
        <w:tc>
          <w:tcPr>
            <w:tcW w:w="2126" w:type="dxa"/>
          </w:tcPr>
          <w:p w:rsidRPr="00A1354A" w:rsidR="00DA490C" w:rsidP="00D821FE" w:rsidRDefault="00DA490C" w14:paraId="38CA4447" w14:textId="77777777">
            <w:pPr>
              <w:rPr>
                <w:szCs w:val="18"/>
              </w:rPr>
            </w:pPr>
            <w:r w:rsidRPr="00A1354A">
              <w:rPr>
                <w:szCs w:val="18"/>
              </w:rPr>
              <w:t>Jaar</w:t>
            </w:r>
          </w:p>
        </w:tc>
        <w:tc>
          <w:tcPr>
            <w:tcW w:w="665" w:type="dxa"/>
          </w:tcPr>
          <w:p w:rsidRPr="00A1354A" w:rsidR="00DA490C" w:rsidP="00D821FE" w:rsidRDefault="00DA490C" w14:paraId="42AA2BCA" w14:textId="77777777">
            <w:pPr>
              <w:rPr>
                <w:szCs w:val="18"/>
              </w:rPr>
            </w:pPr>
            <w:r w:rsidRPr="00A1354A">
              <w:rPr>
                <w:szCs w:val="18"/>
              </w:rPr>
              <w:t>2020</w:t>
            </w:r>
          </w:p>
        </w:tc>
        <w:tc>
          <w:tcPr>
            <w:tcW w:w="895" w:type="dxa"/>
          </w:tcPr>
          <w:p w:rsidRPr="00A1354A" w:rsidR="00DA490C" w:rsidP="00D821FE" w:rsidRDefault="00DA490C" w14:paraId="155EAF9D" w14:textId="77777777">
            <w:pPr>
              <w:rPr>
                <w:szCs w:val="18"/>
              </w:rPr>
            </w:pPr>
            <w:r w:rsidRPr="00A1354A">
              <w:rPr>
                <w:szCs w:val="18"/>
              </w:rPr>
              <w:t>2021</w:t>
            </w:r>
          </w:p>
        </w:tc>
        <w:tc>
          <w:tcPr>
            <w:tcW w:w="815" w:type="dxa"/>
          </w:tcPr>
          <w:p w:rsidRPr="00A1354A" w:rsidR="00DA490C" w:rsidP="00D821FE" w:rsidRDefault="00DA490C" w14:paraId="6C83DB98" w14:textId="77777777">
            <w:pPr>
              <w:rPr>
                <w:szCs w:val="18"/>
              </w:rPr>
            </w:pPr>
            <w:r w:rsidRPr="00A1354A">
              <w:rPr>
                <w:szCs w:val="18"/>
              </w:rPr>
              <w:t>2022</w:t>
            </w:r>
          </w:p>
        </w:tc>
        <w:tc>
          <w:tcPr>
            <w:tcW w:w="744" w:type="dxa"/>
          </w:tcPr>
          <w:p w:rsidRPr="00A1354A" w:rsidR="00DA490C" w:rsidP="00D821FE" w:rsidRDefault="00DA490C" w14:paraId="198C53F3" w14:textId="77777777">
            <w:pPr>
              <w:rPr>
                <w:szCs w:val="18"/>
              </w:rPr>
            </w:pPr>
            <w:r w:rsidRPr="00A1354A">
              <w:rPr>
                <w:szCs w:val="18"/>
              </w:rPr>
              <w:t>2023</w:t>
            </w:r>
          </w:p>
        </w:tc>
        <w:tc>
          <w:tcPr>
            <w:tcW w:w="992" w:type="dxa"/>
          </w:tcPr>
          <w:p w:rsidRPr="00A1354A" w:rsidR="00DA490C" w:rsidP="00D821FE" w:rsidRDefault="00DA490C" w14:paraId="377D6353" w14:textId="77777777">
            <w:pPr>
              <w:rPr>
                <w:szCs w:val="18"/>
              </w:rPr>
            </w:pPr>
            <w:r w:rsidRPr="00A1354A">
              <w:rPr>
                <w:szCs w:val="18"/>
              </w:rPr>
              <w:t>2024</w:t>
            </w:r>
          </w:p>
        </w:tc>
      </w:tr>
      <w:tr w:rsidRPr="00A1354A" w:rsidR="00DA490C" w:rsidTr="00D821FE" w14:paraId="7C89EB18" w14:textId="77777777">
        <w:trPr>
          <w:trHeight w:val="338"/>
        </w:trPr>
        <w:tc>
          <w:tcPr>
            <w:tcW w:w="2126" w:type="dxa"/>
          </w:tcPr>
          <w:p w:rsidRPr="00A1354A" w:rsidR="00DA490C" w:rsidP="00D821FE" w:rsidRDefault="00DA490C" w14:paraId="3429C8CD" w14:textId="77777777">
            <w:pPr>
              <w:rPr>
                <w:szCs w:val="18"/>
              </w:rPr>
            </w:pPr>
            <w:r w:rsidRPr="00A1354A">
              <w:rPr>
                <w:szCs w:val="18"/>
              </w:rPr>
              <w:t xml:space="preserve">Aantal </w:t>
            </w:r>
            <w:proofErr w:type="spellStart"/>
            <w:r w:rsidRPr="00A1354A">
              <w:rPr>
                <w:szCs w:val="18"/>
              </w:rPr>
              <w:t>medewerkers</w:t>
            </w:r>
            <w:proofErr w:type="spellEnd"/>
          </w:p>
        </w:tc>
        <w:tc>
          <w:tcPr>
            <w:tcW w:w="665" w:type="dxa"/>
          </w:tcPr>
          <w:p w:rsidRPr="00A1354A" w:rsidR="00DA490C" w:rsidP="00D821FE" w:rsidRDefault="00DA490C" w14:paraId="42092E19" w14:textId="77777777">
            <w:pPr>
              <w:rPr>
                <w:szCs w:val="18"/>
              </w:rPr>
            </w:pPr>
            <w:r w:rsidRPr="00A1354A">
              <w:rPr>
                <w:szCs w:val="18"/>
              </w:rPr>
              <w:t>355</w:t>
            </w:r>
          </w:p>
        </w:tc>
        <w:tc>
          <w:tcPr>
            <w:tcW w:w="895" w:type="dxa"/>
          </w:tcPr>
          <w:p w:rsidRPr="00A1354A" w:rsidR="00DA490C" w:rsidP="00D821FE" w:rsidRDefault="00DA490C" w14:paraId="753A55D0" w14:textId="77777777">
            <w:pPr>
              <w:rPr>
                <w:szCs w:val="18"/>
              </w:rPr>
            </w:pPr>
            <w:r w:rsidRPr="00A1354A">
              <w:rPr>
                <w:szCs w:val="18"/>
              </w:rPr>
              <w:t>230</w:t>
            </w:r>
          </w:p>
        </w:tc>
        <w:tc>
          <w:tcPr>
            <w:tcW w:w="815" w:type="dxa"/>
          </w:tcPr>
          <w:p w:rsidRPr="00A1354A" w:rsidR="00DA490C" w:rsidP="00D821FE" w:rsidRDefault="00DA490C" w14:paraId="59FAF982" w14:textId="77777777">
            <w:pPr>
              <w:rPr>
                <w:szCs w:val="18"/>
              </w:rPr>
            </w:pPr>
            <w:r w:rsidRPr="00A1354A">
              <w:rPr>
                <w:szCs w:val="18"/>
              </w:rPr>
              <w:t>518</w:t>
            </w:r>
          </w:p>
        </w:tc>
        <w:tc>
          <w:tcPr>
            <w:tcW w:w="744" w:type="dxa"/>
          </w:tcPr>
          <w:p w:rsidRPr="00A1354A" w:rsidR="00DA490C" w:rsidP="00D821FE" w:rsidRDefault="00DA490C" w14:paraId="0C42CE44" w14:textId="77777777">
            <w:pPr>
              <w:rPr>
                <w:szCs w:val="18"/>
              </w:rPr>
            </w:pPr>
            <w:r w:rsidRPr="00A1354A">
              <w:rPr>
                <w:szCs w:val="18"/>
              </w:rPr>
              <w:t>480</w:t>
            </w:r>
          </w:p>
        </w:tc>
        <w:tc>
          <w:tcPr>
            <w:tcW w:w="992" w:type="dxa"/>
          </w:tcPr>
          <w:p w:rsidRPr="00A1354A" w:rsidR="00DA490C" w:rsidP="00D821FE" w:rsidRDefault="00DA490C" w14:paraId="79EFB89A" w14:textId="77777777">
            <w:pPr>
              <w:rPr>
                <w:szCs w:val="18"/>
              </w:rPr>
            </w:pPr>
            <w:r w:rsidRPr="00A1354A">
              <w:rPr>
                <w:szCs w:val="18"/>
              </w:rPr>
              <w:t>327</w:t>
            </w:r>
          </w:p>
        </w:tc>
      </w:tr>
    </w:tbl>
    <w:p w:rsidR="00DA490C" w:rsidP="00DA490C" w:rsidRDefault="00DA490C" w14:paraId="520D015C" w14:textId="77777777">
      <w:pPr>
        <w:rPr>
          <w:szCs w:val="18"/>
        </w:rPr>
      </w:pPr>
    </w:p>
    <w:p w:rsidRPr="004F378B" w:rsidR="00DA490C" w:rsidP="00DA490C" w:rsidRDefault="00DA490C" w14:paraId="57FA1A2F" w14:textId="77777777">
      <w:pPr>
        <w:rPr>
          <w:szCs w:val="18"/>
        </w:rPr>
      </w:pPr>
      <w:r w:rsidRPr="00A1354A">
        <w:rPr>
          <w:szCs w:val="18"/>
        </w:rPr>
        <w:lastRenderedPageBreak/>
        <w:t>Structureel zijn middelen beschikbaar gesteld voor het versterken van het toezicht van de NVWA, te weten 30 miljoen euro in 2022 oplopend tot structureel 100 miljoen euro vanaf 2028. Investeringen hierin gaan allereerst naar het op orde brengen van urgente taken. Voor VWS gaat het onder andere om extra middelen voor het toezicht op het gebied van productveiligheid en industriële productie. Voor LVVN gaat het onder andere om het toezicht op bestemmingscontroles, het gebruik van biociden, uitbraken van plantenziektes en extra middelen om te kunnen voldoen aan Europese wet- en regelgeving. Ook is al geïnvesteerd in het herstellen van het fundament van de organisatie (onder meer door het aannemen van nieuwe medewerkers) en aan vernieuwing van het toezicht (zoals de toepassing van apps, drones, cameratoezicht). Deze middelen zijn nog hard nodig om het stevige fundament blijvend te borgen, zeker vanwege nieuwe risico’s en taken die op de NVWA afkomen.</w:t>
      </w:r>
    </w:p>
    <w:p w:rsidR="00DA490C" w:rsidP="00DA490C" w:rsidRDefault="00DA490C" w14:paraId="30CB6F44" w14:textId="77777777">
      <w:pPr>
        <w:rPr>
          <w:szCs w:val="18"/>
        </w:rPr>
      </w:pPr>
    </w:p>
    <w:p w:rsidRPr="004F378B" w:rsidR="00DA490C" w:rsidP="00DA490C" w:rsidRDefault="00DA490C" w14:paraId="077856A7" w14:textId="77777777">
      <w:pPr>
        <w:rPr>
          <w:szCs w:val="18"/>
        </w:rPr>
      </w:pPr>
      <w:r w:rsidRPr="004F378B">
        <w:rPr>
          <w:szCs w:val="18"/>
        </w:rPr>
        <w:t>9</w:t>
      </w:r>
    </w:p>
    <w:p w:rsidR="00DA490C" w:rsidP="00DA490C" w:rsidRDefault="00DA490C" w14:paraId="2EA0FB11" w14:textId="77777777">
      <w:pPr>
        <w:rPr>
          <w:szCs w:val="18"/>
        </w:rPr>
      </w:pPr>
      <w:r w:rsidRPr="004F378B">
        <w:rPr>
          <w:szCs w:val="18"/>
        </w:rPr>
        <w:t>Is er naast de goede methodiek van controle ook sprake van een goede werksfeer in de slachthuizen voor de NVWA-medewerkers?</w:t>
      </w:r>
      <w:r>
        <w:rPr>
          <w:szCs w:val="18"/>
        </w:rPr>
        <w:br w:type="page"/>
      </w:r>
    </w:p>
    <w:p w:rsidRPr="004F378B" w:rsidR="00DA490C" w:rsidP="00DA490C" w:rsidRDefault="00DA490C" w14:paraId="70CC9011" w14:textId="77777777">
      <w:pPr>
        <w:rPr>
          <w:szCs w:val="18"/>
        </w:rPr>
      </w:pPr>
      <w:r w:rsidRPr="004F378B">
        <w:rPr>
          <w:szCs w:val="18"/>
        </w:rPr>
        <w:lastRenderedPageBreak/>
        <w:t>Antwoord</w:t>
      </w:r>
    </w:p>
    <w:p w:rsidRPr="00BE70A5" w:rsidR="00DA490C" w:rsidP="00DA490C" w:rsidRDefault="00DA490C" w14:paraId="72BFD4A8" w14:textId="77777777">
      <w:pPr>
        <w:rPr>
          <w:szCs w:val="18"/>
        </w:rPr>
      </w:pPr>
      <w:bookmarkStart w:name="_Hlk190073010" w:id="2"/>
      <w:r w:rsidRPr="00BE70A5">
        <w:rPr>
          <w:szCs w:val="18"/>
        </w:rPr>
        <w:t>De NVWA houdt als onafhankelijke inspectiedienst toezicht op de bedrijven in de slachtsector. Daarbij is aandacht voor een professionele houding van de</w:t>
      </w:r>
      <w:r>
        <w:rPr>
          <w:szCs w:val="18"/>
        </w:rPr>
        <w:t xml:space="preserve"> </w:t>
      </w:r>
      <w:r w:rsidRPr="00BE70A5">
        <w:rPr>
          <w:szCs w:val="18"/>
        </w:rPr>
        <w:t xml:space="preserve">toezichthouders in de slachthuizen en in het bijzonder de scheiding van rollen en taken met de medewerkers van de slachthuizen. Over het algemeen is de werksfeer in de slachthuizen correct en vriendelijk en zijn de onderlinge verhoudingen tussen slachthuispersoneel en toezichthouders duidelijk. Incidenteel is sprake van onwenselijk gedrag vanuit de slachthuizen. </w:t>
      </w:r>
      <w:bookmarkEnd w:id="2"/>
      <w:r w:rsidRPr="00BE70A5">
        <w:rPr>
          <w:szCs w:val="18"/>
        </w:rPr>
        <w:t>Voor toezichthouders van de NVWA zijn duidelijke instructies opgesteld over hoe hier op een juiste wijze mee om te gaan.</w:t>
      </w:r>
    </w:p>
    <w:p w:rsidRPr="004F378B" w:rsidR="00DA490C" w:rsidP="00DA490C" w:rsidRDefault="00DA490C" w14:paraId="444E343B" w14:textId="77777777">
      <w:pPr>
        <w:rPr>
          <w:szCs w:val="18"/>
        </w:rPr>
      </w:pPr>
    </w:p>
    <w:p w:rsidRPr="004F378B" w:rsidR="00DA490C" w:rsidP="00DA490C" w:rsidRDefault="00DA490C" w14:paraId="07369760" w14:textId="77777777">
      <w:pPr>
        <w:rPr>
          <w:szCs w:val="18"/>
        </w:rPr>
      </w:pPr>
      <w:r w:rsidRPr="004F378B">
        <w:rPr>
          <w:szCs w:val="18"/>
        </w:rPr>
        <w:t>10</w:t>
      </w:r>
    </w:p>
    <w:p w:rsidRPr="004F378B" w:rsidR="00DA490C" w:rsidP="00DA490C" w:rsidRDefault="00DA490C" w14:paraId="5459EC7B" w14:textId="77777777">
      <w:pPr>
        <w:rPr>
          <w:szCs w:val="18"/>
        </w:rPr>
      </w:pPr>
      <w:r w:rsidRPr="004F378B">
        <w:rPr>
          <w:szCs w:val="18"/>
        </w:rPr>
        <w:t xml:space="preserve">Is er een goede dialoog mogelijk tussen de NVWA-medewerkers en de bedrijven die gecontroleerd worden? </w:t>
      </w:r>
    </w:p>
    <w:p w:rsidRPr="004F378B" w:rsidR="00DA490C" w:rsidP="00DA490C" w:rsidRDefault="00DA490C" w14:paraId="18D203C7" w14:textId="77777777">
      <w:pPr>
        <w:rPr>
          <w:szCs w:val="18"/>
        </w:rPr>
      </w:pPr>
    </w:p>
    <w:p w:rsidRPr="004F378B" w:rsidR="00DA490C" w:rsidP="00DA490C" w:rsidRDefault="00DA490C" w14:paraId="4BE79BA5" w14:textId="77777777">
      <w:pPr>
        <w:rPr>
          <w:szCs w:val="18"/>
        </w:rPr>
      </w:pPr>
      <w:r w:rsidRPr="004F378B">
        <w:rPr>
          <w:szCs w:val="18"/>
        </w:rPr>
        <w:t>Antwoord</w:t>
      </w:r>
    </w:p>
    <w:p w:rsidRPr="004F378B" w:rsidR="00DA490C" w:rsidP="00DA490C" w:rsidRDefault="00DA490C" w14:paraId="0F4AE52E" w14:textId="77777777">
      <w:pPr>
        <w:rPr>
          <w:szCs w:val="18"/>
        </w:rPr>
      </w:pPr>
      <w:r>
        <w:rPr>
          <w:szCs w:val="18"/>
        </w:rPr>
        <w:t xml:space="preserve">Zoals ook verwoord in antwoord op vraag 5 is goed contact tussen de inspecteur en de </w:t>
      </w:r>
      <w:proofErr w:type="spellStart"/>
      <w:r>
        <w:rPr>
          <w:szCs w:val="18"/>
        </w:rPr>
        <w:t>ondertoezichtgestelden</w:t>
      </w:r>
      <w:proofErr w:type="spellEnd"/>
      <w:r>
        <w:rPr>
          <w:szCs w:val="18"/>
        </w:rPr>
        <w:t xml:space="preserve"> natuurlijk belangrijk.</w:t>
      </w:r>
    </w:p>
    <w:p w:rsidR="00DA490C" w:rsidP="00DA490C" w:rsidRDefault="00DA490C" w14:paraId="4746E031" w14:textId="77777777">
      <w:pPr>
        <w:rPr>
          <w:szCs w:val="18"/>
        </w:rPr>
      </w:pPr>
    </w:p>
    <w:p w:rsidRPr="004F378B" w:rsidR="00DA490C" w:rsidP="00DA490C" w:rsidRDefault="00DA490C" w14:paraId="05138069" w14:textId="77777777">
      <w:pPr>
        <w:rPr>
          <w:szCs w:val="18"/>
        </w:rPr>
      </w:pPr>
      <w:r w:rsidRPr="004F378B">
        <w:rPr>
          <w:szCs w:val="18"/>
        </w:rPr>
        <w:t>11</w:t>
      </w:r>
    </w:p>
    <w:p w:rsidRPr="004F378B" w:rsidR="00DA490C" w:rsidP="00DA490C" w:rsidRDefault="00DA490C" w14:paraId="5831EFFE" w14:textId="77777777">
      <w:pPr>
        <w:rPr>
          <w:szCs w:val="18"/>
        </w:rPr>
      </w:pPr>
      <w:r w:rsidRPr="004F378B">
        <w:rPr>
          <w:szCs w:val="18"/>
        </w:rPr>
        <w:t xml:space="preserve">Hoe wenselijk is het dat de individuele controleur grote mate van volmacht heeft om naar bewind van zaken te handelen, gezien het feit dit in het rapport van </w:t>
      </w:r>
      <w:proofErr w:type="spellStart"/>
      <w:r w:rsidRPr="004F378B">
        <w:rPr>
          <w:szCs w:val="18"/>
        </w:rPr>
        <w:t>PwC</w:t>
      </w:r>
      <w:proofErr w:type="spellEnd"/>
      <w:r w:rsidRPr="004F378B">
        <w:rPr>
          <w:szCs w:val="18"/>
        </w:rPr>
        <w:t> wordt beschreven: “</w:t>
      </w:r>
      <w:r w:rsidRPr="004F378B">
        <w:rPr>
          <w:i/>
          <w:iCs/>
          <w:szCs w:val="18"/>
        </w:rPr>
        <w:t>dat NVWA in feite niets doet en het aan de individuele inspecteur overlaat. Dit is de minst wenselijke situatie maar komt in praktijk nog vaak voor</w:t>
      </w:r>
      <w:r w:rsidRPr="004F378B">
        <w:rPr>
          <w:szCs w:val="18"/>
        </w:rPr>
        <w:t>.”? En is rechtsgelijkheid op deze manier gewaarborgd?</w:t>
      </w:r>
    </w:p>
    <w:p w:rsidRPr="004F378B" w:rsidR="00DA490C" w:rsidP="00DA490C" w:rsidRDefault="00DA490C" w14:paraId="0ED0D7CA" w14:textId="77777777">
      <w:pPr>
        <w:ind w:left="360"/>
        <w:rPr>
          <w:szCs w:val="18"/>
        </w:rPr>
      </w:pPr>
    </w:p>
    <w:p w:rsidRPr="004F378B" w:rsidR="00DA490C" w:rsidP="00DA490C" w:rsidRDefault="00DA490C" w14:paraId="7CF3252A" w14:textId="77777777">
      <w:pPr>
        <w:rPr>
          <w:szCs w:val="18"/>
        </w:rPr>
      </w:pPr>
      <w:r w:rsidRPr="004F378B">
        <w:rPr>
          <w:szCs w:val="18"/>
        </w:rPr>
        <w:t>Antwoord</w:t>
      </w:r>
    </w:p>
    <w:p w:rsidRPr="004F378B" w:rsidR="00DA490C" w:rsidP="00DA490C" w:rsidRDefault="00DA490C" w14:paraId="16E5B2B9" w14:textId="77777777">
      <w:pPr>
        <w:rPr>
          <w:szCs w:val="18"/>
        </w:rPr>
      </w:pPr>
      <w:r>
        <w:rPr>
          <w:szCs w:val="18"/>
        </w:rPr>
        <w:t xml:space="preserve">In het geval de wetgever een meer algemeen, open omschreven norm hanteert (in lijn met het vierde voorbeeld in de paragraaf van de doorlichting die gaat over hoe de NVWA omgaat met open normen) is het aan de inspecteur om binnen dat wettelijk kader en aan de hand van de concrete omstandigheden van het geval te beoordelen of aan de norm wordt voldaan, en zo niet, hoe ernstig de mate van overtreding is. </w:t>
      </w:r>
      <w:r w:rsidRPr="004F378B">
        <w:rPr>
          <w:szCs w:val="18"/>
        </w:rPr>
        <w:t>Zie</w:t>
      </w:r>
      <w:r>
        <w:rPr>
          <w:szCs w:val="18"/>
        </w:rPr>
        <w:t xml:space="preserve"> hiervoor verder</w:t>
      </w:r>
      <w:r w:rsidRPr="004F378B">
        <w:rPr>
          <w:szCs w:val="18"/>
        </w:rPr>
        <w:t xml:space="preserve"> het antwoord op vraag 5.</w:t>
      </w:r>
    </w:p>
    <w:p w:rsidRPr="004F378B" w:rsidR="00DA490C" w:rsidP="00DA490C" w:rsidRDefault="00DA490C" w14:paraId="05061D6E" w14:textId="77777777">
      <w:pPr>
        <w:rPr>
          <w:szCs w:val="18"/>
        </w:rPr>
      </w:pPr>
    </w:p>
    <w:p w:rsidRPr="004F378B" w:rsidR="00DA490C" w:rsidP="00DA490C" w:rsidRDefault="00DA490C" w14:paraId="56A3BD9B" w14:textId="77777777">
      <w:pPr>
        <w:rPr>
          <w:szCs w:val="18"/>
        </w:rPr>
      </w:pPr>
      <w:r w:rsidRPr="004F378B">
        <w:rPr>
          <w:szCs w:val="18"/>
        </w:rPr>
        <w:t>12</w:t>
      </w:r>
    </w:p>
    <w:p w:rsidRPr="004F378B" w:rsidR="00DA490C" w:rsidP="00DA490C" w:rsidRDefault="00DA490C" w14:paraId="62ADC96F" w14:textId="77777777">
      <w:pPr>
        <w:rPr>
          <w:szCs w:val="18"/>
        </w:rPr>
      </w:pPr>
      <w:r w:rsidRPr="004F378B">
        <w:rPr>
          <w:szCs w:val="18"/>
        </w:rPr>
        <w:lastRenderedPageBreak/>
        <w:t>In het Hoofdlijnenakkoord is afgesproken dat er een ‘recht op vergissen’ komt. Is of komt er bij de NVWA ook ruimte voor boeren en andere ondernemers om zich te vergissen? Zo nee, waarom niet? Zo ja, hoe?</w:t>
      </w:r>
      <w:r w:rsidRPr="004F378B">
        <w:rPr>
          <w:color w:val="FF0000"/>
          <w:szCs w:val="18"/>
        </w:rPr>
        <w:t xml:space="preserve"> </w:t>
      </w:r>
    </w:p>
    <w:p w:rsidRPr="004F378B" w:rsidR="00DA490C" w:rsidP="00DA490C" w:rsidRDefault="00DA490C" w14:paraId="40159744" w14:textId="77777777">
      <w:pPr>
        <w:rPr>
          <w:szCs w:val="18"/>
        </w:rPr>
      </w:pPr>
    </w:p>
    <w:p w:rsidRPr="004F378B" w:rsidR="00DA490C" w:rsidP="00DA490C" w:rsidRDefault="00DA490C" w14:paraId="1758F3C8" w14:textId="77777777">
      <w:pPr>
        <w:rPr>
          <w:szCs w:val="18"/>
        </w:rPr>
      </w:pPr>
      <w:r w:rsidRPr="004F378B">
        <w:rPr>
          <w:szCs w:val="18"/>
        </w:rPr>
        <w:t>Antwoord</w:t>
      </w:r>
    </w:p>
    <w:p w:rsidRPr="004F378B" w:rsidR="00DA490C" w:rsidP="00DA490C" w:rsidRDefault="00DA490C" w14:paraId="4A8CFE98" w14:textId="77777777">
      <w:pPr>
        <w:rPr>
          <w:szCs w:val="18"/>
        </w:rPr>
      </w:pPr>
      <w:r w:rsidRPr="004F378B">
        <w:rPr>
          <w:szCs w:val="18"/>
        </w:rPr>
        <w:t>Zie</w:t>
      </w:r>
      <w:r>
        <w:rPr>
          <w:szCs w:val="18"/>
        </w:rPr>
        <w:t xml:space="preserve"> het</w:t>
      </w:r>
      <w:r w:rsidRPr="004F378B">
        <w:rPr>
          <w:szCs w:val="18"/>
        </w:rPr>
        <w:t xml:space="preserve"> antwoord op vraag 5.</w:t>
      </w:r>
    </w:p>
    <w:p w:rsidRPr="004F378B" w:rsidR="00DA490C" w:rsidP="00DA490C" w:rsidRDefault="00DA490C" w14:paraId="1E0FFD3D" w14:textId="77777777">
      <w:pPr>
        <w:rPr>
          <w:szCs w:val="18"/>
        </w:rPr>
      </w:pPr>
    </w:p>
    <w:p w:rsidRPr="004F378B" w:rsidR="00DA490C" w:rsidP="00DA490C" w:rsidRDefault="00DA490C" w14:paraId="6672D5D7" w14:textId="77777777">
      <w:pPr>
        <w:rPr>
          <w:szCs w:val="18"/>
        </w:rPr>
      </w:pPr>
      <w:r w:rsidRPr="004F378B">
        <w:rPr>
          <w:szCs w:val="18"/>
        </w:rPr>
        <w:t>13</w:t>
      </w:r>
    </w:p>
    <w:p w:rsidRPr="004F378B" w:rsidR="00DA490C" w:rsidP="00DA490C" w:rsidRDefault="00DA490C" w14:paraId="5E827A49" w14:textId="77777777">
      <w:pPr>
        <w:rPr>
          <w:szCs w:val="18"/>
        </w:rPr>
      </w:pPr>
      <w:r w:rsidRPr="004F378B">
        <w:rPr>
          <w:szCs w:val="18"/>
        </w:rPr>
        <w:t>Kunt u deze vragen uiterlijk een week voor het commissiedebat NVWA op 11 februari één voor één beantwoorden?</w:t>
      </w:r>
      <w:r w:rsidRPr="004F378B">
        <w:rPr>
          <w:szCs w:val="18"/>
        </w:rPr>
        <w:br/>
      </w:r>
    </w:p>
    <w:p w:rsidRPr="004F378B" w:rsidR="00DA490C" w:rsidP="00DA490C" w:rsidRDefault="00DA490C" w14:paraId="4E9A32E9" w14:textId="77777777">
      <w:pPr>
        <w:rPr>
          <w:szCs w:val="18"/>
        </w:rPr>
      </w:pPr>
      <w:r w:rsidRPr="004F378B">
        <w:rPr>
          <w:szCs w:val="18"/>
        </w:rPr>
        <w:t>Antwoord</w:t>
      </w:r>
    </w:p>
    <w:p w:rsidR="00DA490C" w:rsidP="00DA490C" w:rsidRDefault="00DA490C" w14:paraId="0CA0002C" w14:textId="77777777">
      <w:r w:rsidRPr="004F378B">
        <w:rPr>
          <w:szCs w:val="18"/>
        </w:rPr>
        <w:t>J</w:t>
      </w:r>
      <w:r>
        <w:rPr>
          <w:szCs w:val="18"/>
        </w:rPr>
        <w:t>a</w:t>
      </w:r>
      <w:r w:rsidRPr="004F378B">
        <w:rPr>
          <w:szCs w:val="18"/>
        </w:rPr>
        <w:t>.</w:t>
      </w:r>
    </w:p>
    <w:p w:rsidR="002C3023" w:rsidRDefault="002C3023" w14:paraId="71333E32" w14:textId="77777777"/>
    <w:sectPr w:rsidR="002C3023" w:rsidSect="00DA490C">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01650" w14:textId="77777777" w:rsidR="00DA490C" w:rsidRDefault="00DA490C" w:rsidP="00DA490C">
      <w:pPr>
        <w:spacing w:after="0" w:line="240" w:lineRule="auto"/>
      </w:pPr>
      <w:r>
        <w:separator/>
      </w:r>
    </w:p>
  </w:endnote>
  <w:endnote w:type="continuationSeparator" w:id="0">
    <w:p w14:paraId="6E475392" w14:textId="77777777" w:rsidR="00DA490C" w:rsidRDefault="00DA490C" w:rsidP="00DA4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9D91D" w14:textId="77777777" w:rsidR="00DA490C" w:rsidRPr="00DA490C" w:rsidRDefault="00DA490C" w:rsidP="00DA490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C6895" w14:textId="77777777" w:rsidR="00DA490C" w:rsidRPr="00DA490C" w:rsidRDefault="00DA490C" w:rsidP="00DA490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E2FE5" w14:textId="77777777" w:rsidR="00DA490C" w:rsidRPr="00DA490C" w:rsidRDefault="00DA490C" w:rsidP="00DA490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949E2" w14:textId="77777777" w:rsidR="00DA490C" w:rsidRDefault="00DA490C" w:rsidP="00DA490C">
      <w:pPr>
        <w:spacing w:after="0" w:line="240" w:lineRule="auto"/>
      </w:pPr>
      <w:r>
        <w:separator/>
      </w:r>
    </w:p>
  </w:footnote>
  <w:footnote w:type="continuationSeparator" w:id="0">
    <w:p w14:paraId="63DC6425" w14:textId="77777777" w:rsidR="00DA490C" w:rsidRDefault="00DA490C" w:rsidP="00DA49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DFC05" w14:textId="77777777" w:rsidR="00DA490C" w:rsidRPr="00DA490C" w:rsidRDefault="00DA490C" w:rsidP="00DA490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7C4B5" w14:textId="77777777" w:rsidR="00DA490C" w:rsidRPr="00DA490C" w:rsidRDefault="00DA490C" w:rsidP="00DA490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886CE" w14:textId="77777777" w:rsidR="00DA490C" w:rsidRPr="00DA490C" w:rsidRDefault="00DA490C" w:rsidP="00DA490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90C"/>
    <w:rsid w:val="002B173C"/>
    <w:rsid w:val="002C3023"/>
    <w:rsid w:val="00DA490C"/>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78EAA"/>
  <w15:chartTrackingRefBased/>
  <w15:docId w15:val="{1D4F5A13-0D89-457F-9020-AA959CF73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A49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A49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A490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A490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A490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A490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A490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A490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A490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A490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A490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A490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A490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A490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A490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A490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A490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A490C"/>
    <w:rPr>
      <w:rFonts w:eastAsiaTheme="majorEastAsia" w:cstheme="majorBidi"/>
      <w:color w:val="272727" w:themeColor="text1" w:themeTint="D8"/>
    </w:rPr>
  </w:style>
  <w:style w:type="paragraph" w:styleId="Titel">
    <w:name w:val="Title"/>
    <w:basedOn w:val="Standaard"/>
    <w:next w:val="Standaard"/>
    <w:link w:val="TitelChar"/>
    <w:uiPriority w:val="10"/>
    <w:qFormat/>
    <w:rsid w:val="00DA49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A490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A490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A490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A490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A490C"/>
    <w:rPr>
      <w:i/>
      <w:iCs/>
      <w:color w:val="404040" w:themeColor="text1" w:themeTint="BF"/>
    </w:rPr>
  </w:style>
  <w:style w:type="paragraph" w:styleId="Lijstalinea">
    <w:name w:val="List Paragraph"/>
    <w:basedOn w:val="Standaard"/>
    <w:uiPriority w:val="34"/>
    <w:qFormat/>
    <w:rsid w:val="00DA490C"/>
    <w:pPr>
      <w:ind w:left="720"/>
      <w:contextualSpacing/>
    </w:pPr>
  </w:style>
  <w:style w:type="character" w:styleId="Intensievebenadrukking">
    <w:name w:val="Intense Emphasis"/>
    <w:basedOn w:val="Standaardalinea-lettertype"/>
    <w:uiPriority w:val="21"/>
    <w:qFormat/>
    <w:rsid w:val="00DA490C"/>
    <w:rPr>
      <w:i/>
      <w:iCs/>
      <w:color w:val="0F4761" w:themeColor="accent1" w:themeShade="BF"/>
    </w:rPr>
  </w:style>
  <w:style w:type="paragraph" w:styleId="Duidelijkcitaat">
    <w:name w:val="Intense Quote"/>
    <w:basedOn w:val="Standaard"/>
    <w:next w:val="Standaard"/>
    <w:link w:val="DuidelijkcitaatChar"/>
    <w:uiPriority w:val="30"/>
    <w:qFormat/>
    <w:rsid w:val="00DA49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A490C"/>
    <w:rPr>
      <w:i/>
      <w:iCs/>
      <w:color w:val="0F4761" w:themeColor="accent1" w:themeShade="BF"/>
    </w:rPr>
  </w:style>
  <w:style w:type="character" w:styleId="Intensieveverwijzing">
    <w:name w:val="Intense Reference"/>
    <w:basedOn w:val="Standaardalinea-lettertype"/>
    <w:uiPriority w:val="32"/>
    <w:qFormat/>
    <w:rsid w:val="00DA490C"/>
    <w:rPr>
      <w:b/>
      <w:bCs/>
      <w:smallCaps/>
      <w:color w:val="0F4761" w:themeColor="accent1" w:themeShade="BF"/>
      <w:spacing w:val="5"/>
    </w:rPr>
  </w:style>
  <w:style w:type="paragraph" w:styleId="Koptekst">
    <w:name w:val="header"/>
    <w:basedOn w:val="Standaard"/>
    <w:link w:val="KoptekstChar1"/>
    <w:rsid w:val="00DA490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DA490C"/>
  </w:style>
  <w:style w:type="paragraph" w:styleId="Voettekst">
    <w:name w:val="footer"/>
    <w:basedOn w:val="Standaard"/>
    <w:link w:val="VoettekstChar1"/>
    <w:rsid w:val="00DA490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DA490C"/>
  </w:style>
  <w:style w:type="table" w:styleId="Tabelraster">
    <w:name w:val="Table Grid"/>
    <w:basedOn w:val="Standaardtabel"/>
    <w:uiPriority w:val="59"/>
    <w:rsid w:val="00DA490C"/>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Adres">
    <w:name w:val="Huisstijl-Adres"/>
    <w:basedOn w:val="Standaard"/>
    <w:link w:val="Huisstijl-AdresChar"/>
    <w:rsid w:val="00DA490C"/>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A490C"/>
    <w:rPr>
      <w:rFonts w:ascii="Verdana" w:hAnsi="Verdana"/>
      <w:noProof/>
      <w:sz w:val="13"/>
      <w:szCs w:val="24"/>
      <w:lang w:eastAsia="nl-NL"/>
    </w:rPr>
  </w:style>
  <w:style w:type="paragraph" w:customStyle="1" w:styleId="Huisstijl-Gegeven">
    <w:name w:val="Huisstijl-Gegeven"/>
    <w:basedOn w:val="Standaard"/>
    <w:link w:val="Huisstijl-GegevenCharChar"/>
    <w:rsid w:val="00DA490C"/>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A490C"/>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DA490C"/>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DA490C"/>
    <w:rPr>
      <w:color w:val="0000FF"/>
      <w:u w:val="single"/>
    </w:rPr>
  </w:style>
  <w:style w:type="paragraph" w:customStyle="1" w:styleId="Huisstijl-Retouradres">
    <w:name w:val="Huisstijl-Retouradres"/>
    <w:basedOn w:val="Standaard"/>
    <w:rsid w:val="00DA490C"/>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DA490C"/>
    <w:pPr>
      <w:spacing w:after="0"/>
    </w:pPr>
    <w:rPr>
      <w:b/>
    </w:rPr>
  </w:style>
  <w:style w:type="paragraph" w:customStyle="1" w:styleId="Huisstijl-Paginanummering">
    <w:name w:val="Huisstijl-Paginanummering"/>
    <w:basedOn w:val="Standaard"/>
    <w:rsid w:val="00DA490C"/>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DA490C"/>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DA490C"/>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DA490C"/>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DA49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nvwa.nl/over-de-nvwa/publicaties/jaarbeeld-2023/nvwa-brede-themas"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penbare-inspectieresultaten.nvwa.nl/"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2146</ap:Words>
  <ap:Characters>11803</ap:Characters>
  <ap:DocSecurity>0</ap:DocSecurity>
  <ap:Lines>98</ap:Lines>
  <ap:Paragraphs>27</ap:Paragraphs>
  <ap:ScaleCrop>false</ap:ScaleCrop>
  <ap:LinksUpToDate>false</ap:LinksUpToDate>
  <ap:CharactersWithSpaces>13922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2025-02-11T08:38:00.0000000Z</dcterms:created>
  <dcterms:modified xsi:type="dcterms:W3CDTF">2025-02-11T08:39:00.0000000Z</dcterms:modified>
  <version/>
  <category/>
</coreProperties>
</file>