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2025Z02591</w:t>
        <w:br/>
      </w:r>
      <w:proofErr w:type="spellEnd"/>
    </w:p>
    <w:p>
      <w:pPr>
        <w:pStyle w:val="Normal"/>
        <w:rPr>
          <w:b w:val="1"/>
          <w:bCs w:val="1"/>
        </w:rPr>
      </w:pPr>
      <w:r w:rsidR="250AE766">
        <w:rPr>
          <w:b w:val="0"/>
          <w:bCs w:val="0"/>
        </w:rPr>
        <w:t>(ingezonden 12 februari 2025)</w:t>
        <w:br/>
      </w:r>
    </w:p>
    <w:p>
      <w:r>
        <w:t xml:space="preserve">Vragen van de leden Thijssen (GroenLinks-PvdA) en Sneller (D66) aan de minister-president over het financieel verslag inzake het faillissement van KHN Rekenwerk. </w:t>
      </w:r>
      <w:r>
        <w:br/>
      </w:r>
    </w:p>
    <w:p>
      <w:pPr>
        <w:pStyle w:val="ListParagraph"/>
        <w:numPr>
          <w:ilvl w:val="0"/>
          <w:numId w:val="100468350"/>
        </w:numPr>
        <w:ind w:left="360"/>
      </w:pPr>
      <w:r>
        <w:t>Bent u bekend met het financieel verslag inzake het faillissement van KHN Rekenwerk van 6 januari jl.?</w:t>
      </w:r>
      <w:r>
        <w:br/>
      </w:r>
    </w:p>
    <w:p>
      <w:pPr>
        <w:pStyle w:val="ListParagraph"/>
        <w:numPr>
          <w:ilvl w:val="0"/>
          <w:numId w:val="100468350"/>
        </w:numPr>
        <w:ind w:left="360"/>
      </w:pPr>
      <w:r>
        <w:t>Wat zijn de oorzaken van de financiële problemen? Wie is verantwoordelijk voor die financiële problemen? Wanneer had het bestuur door dat er financiële problemen waren? Hoe is daar vervolgens op gehandeld?</w:t>
      </w:r>
      <w:r>
        <w:br/>
      </w:r>
    </w:p>
    <w:p>
      <w:pPr>
        <w:pStyle w:val="ListParagraph"/>
        <w:numPr>
          <w:ilvl w:val="0"/>
          <w:numId w:val="100468350"/>
        </w:numPr>
        <w:ind w:left="360"/>
      </w:pPr>
      <w:r>
        <w:t>Kunt u aangeven waarom minister Beljaarts, blijkens zijn antwoorden op eerder gestelde schriftelijke vragen, in 2023 werd gevraagd om zijn rol als bestuurder op andere wijze in te vullen? 1) Veranderden zijn verantwoordelijkheden als gevolg van deze andere invulling ook in formele zin?</w:t>
      </w:r>
      <w:r>
        <w:br/>
      </w:r>
    </w:p>
    <w:p>
      <w:pPr>
        <w:pStyle w:val="ListParagraph"/>
        <w:numPr>
          <w:ilvl w:val="0"/>
          <w:numId w:val="100468350"/>
        </w:numPr>
        <w:ind w:left="360"/>
      </w:pPr>
      <w:r>
        <w:t>Kunt u aangeven wanneer minister Beljaarts wist van de financiële problemen bij KHN Rekenwerk? Welke acties heeft hij vervolgens als bestuurder ondernomen? Waarom heeft minister Beljaarts in zijn hoedanigheid als bestuurder de jaarverslagen van 2021 en 2022 niet ondertekend?</w:t>
      </w:r>
      <w:r>
        <w:br/>
      </w:r>
    </w:p>
    <w:p>
      <w:pPr>
        <w:pStyle w:val="ListParagraph"/>
        <w:numPr>
          <w:ilvl w:val="0"/>
          <w:numId w:val="100468350"/>
        </w:numPr>
        <w:ind w:left="360"/>
      </w:pPr>
      <w:r>
        <w:t>Kunt u aangeven waarom de bestuurdersaansprakelijkheidsverzekering van minister Beljaarts 550.000 euro heeft uitgekeerd, ‘zonder dat enige vorm van aansprakelijkheid van Beljaarts is komen vast te staan’, volgens het verslag? Betekent dit volgens u ook dat er formeel en definitief geen aansprakelijkheid is vastgesteld?</w:t>
      </w:r>
      <w:r>
        <w:br/>
      </w:r>
    </w:p>
    <w:p>
      <w:pPr>
        <w:pStyle w:val="ListParagraph"/>
        <w:numPr>
          <w:ilvl w:val="0"/>
          <w:numId w:val="100468350"/>
        </w:numPr>
        <w:ind w:left="360"/>
      </w:pPr>
      <w:r>
        <w:t>Hoe beoordeelt u de opvatting van marktkenners dat het niet aannemelijk is dat een verzekeraar zo'n hoog bedrag uitkeert als er geen enkel aanknopingspunt voor aansprakelijkheid zou zijn? 2)</w:t>
      </w:r>
      <w:r>
        <w:br/>
      </w:r>
    </w:p>
    <w:p>
      <w:pPr>
        <w:pStyle w:val="ListParagraph"/>
        <w:numPr>
          <w:ilvl w:val="0"/>
          <w:numId w:val="100468350"/>
        </w:numPr>
        <w:ind w:left="360"/>
      </w:pPr>
      <w:r>
        <w:t>Deelt u de opvatting van de privéwoordvoerder van minister Beljaarts dat de minister geen enkele vorm van aansprakelijkheid trof? Zo ja, hoe kunt u daar zeker van zijn?</w:t>
      </w:r>
      <w:r>
        <w:br/>
      </w:r>
    </w:p>
    <w:p>
      <w:pPr>
        <w:pStyle w:val="ListParagraph"/>
        <w:numPr>
          <w:ilvl w:val="0"/>
          <w:numId w:val="100468350"/>
        </w:numPr>
        <w:ind w:left="360"/>
      </w:pPr>
      <w:r>
        <w:t>Wat vindt u ervan dat minister Beljaarts een privéwoordvoerder heeft aangesteld om de woordvoering rond deze kwestie te regelen? Hoe strookt het hebben van een privéwoordvoerder met uw eerder gedane uitspraak in het AD dat een bewindspersoon geen privéopvattingen heeft? 3) Waarom staan de woordvoerders van het ministerie de minister hier niet in bij? Kan een privéwoordvoerder namens een minister en dus ook namens het gehele kabinet spreken?</w:t>
      </w:r>
      <w:r>
        <w:br/>
      </w:r>
    </w:p>
    <w:p>
      <w:pPr>
        <w:pStyle w:val="ListParagraph"/>
        <w:numPr>
          <w:ilvl w:val="0"/>
          <w:numId w:val="100468350"/>
        </w:numPr>
        <w:ind w:left="360"/>
      </w:pPr>
      <w:r>
        <w:t>Van deze privéwoordvoerder is te horen dat wat betreft minister Beljaarts de kwestie hiermee is afgedaan. Is de kwestie voor u hiermee ook afgedaan?</w:t>
      </w:r>
      <w:r>
        <w:br/>
      </w:r>
    </w:p>
    <w:p>
      <w:pPr>
        <w:pStyle w:val="ListParagraph"/>
        <w:numPr>
          <w:ilvl w:val="0"/>
          <w:numId w:val="100468350"/>
        </w:numPr>
        <w:ind w:left="360"/>
      </w:pPr>
      <w:r>
        <w:t>Kunt u deze vragen één voor één beantwoorden?</w:t>
      </w:r>
      <w:r>
        <w:br/>
      </w:r>
    </w:p>
    <w:p>
      <w:r>
        <w:t xml:space="preserve"> </w:t>
      </w:r>
      <w:r>
        <w:br/>
      </w:r>
    </w:p>
    <w:p>
      <w:r>
        <w:t xml:space="preserve">1) Aanhangsel Handelingen II, vergaderjaar 2024-2025, nr. 115.</w:t>
      </w:r>
      <w:r>
        <w:br/>
      </w:r>
    </w:p>
    <w:p>
      <w:r>
        <w:t xml:space="preserve">2) FD, 6 januari 2025, 'Verzekeraar minister Beljaarts betaalt half miljoen uit failliete boedel' (fd.nl/bedrijfsleven/1541832/verzekeraar-minister-beljaarts-betaalt-half-miljoen-aan-failliete-boedel). </w:t>
      </w:r>
      <w:r>
        <w:br/>
      </w:r>
    </w:p>
    <w:p>
      <w:r>
        <w:t xml:space="preserve">3) AD, 27 september 2024, 'Schoof trekt harde lijn met laatste waarschuwing aan PVV’er: ‘No way dat iemand in kabinet zo’n uitspraak doet’' (www.ad.nl/politiek/schoof-trekt-harde-lijn-met-laatste-waarschuwing-aan-pvver-no-way-dat-iemand-in-kabinet-zon-uitspraak-doet~a7a283a1/).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290">
    <w:abstractNumId w:val="100468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