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33C96F09" w14:textId="77777777"/>
        <w:p w:rsidR="00241BB9" w:rsidRDefault="00000000" w14:paraId="51B5727A" w14:textId="77777777">
          <w:pPr>
            <w:spacing w:line="240" w:lineRule="auto"/>
          </w:pPr>
        </w:p>
      </w:sdtContent>
    </w:sdt>
    <w:p w:rsidR="00CD5856" w:rsidRDefault="00CD5856" w14:paraId="38F593BA" w14:textId="77777777">
      <w:pPr>
        <w:spacing w:line="240" w:lineRule="auto"/>
      </w:pPr>
    </w:p>
    <w:p w:rsidR="00CD5856" w:rsidRDefault="00CD5856" w14:paraId="40312581" w14:textId="77777777"/>
    <w:p w:rsidR="00CD5856" w:rsidRDefault="00CD5856" w14:paraId="3878A506" w14:textId="77777777"/>
    <w:p w:rsidR="00CD5856" w:rsidRDefault="00CD5856" w14:paraId="075FA4E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7B453370" w14:textId="77777777">
      <w:pPr>
        <w:pStyle w:val="Huisstijl-Aanhef"/>
      </w:pPr>
      <w:r>
        <w:t>Geachte voorzitter,</w:t>
      </w:r>
    </w:p>
    <w:p w:rsidRPr="006F206D" w:rsidR="006F206D" w:rsidP="006F206D" w:rsidRDefault="00000000" w14:paraId="28D33884" w14:textId="77777777">
      <w:pPr>
        <w:widowControl/>
        <w:suppressAutoHyphens w:val="0"/>
        <w:autoSpaceDN/>
        <w:spacing w:after="160" w:line="259" w:lineRule="auto"/>
        <w:textAlignment w:val="auto"/>
        <w:rPr>
          <w:rFonts w:eastAsia="Calibri" w:cs="Verdana"/>
          <w:kern w:val="0"/>
          <w:szCs w:val="18"/>
          <w:lang w:eastAsia="en-US" w:bidi="ar-SA"/>
        </w:rPr>
      </w:pPr>
      <w:r w:rsidRPr="006F206D">
        <w:rPr>
          <w:rFonts w:eastAsia="Calibri" w:cs="Verdana"/>
          <w:kern w:val="0"/>
          <w:szCs w:val="18"/>
          <w:lang w:eastAsia="en-US" w:bidi="ar-SA"/>
        </w:rPr>
        <w:t>In deze brief kom ik terug op de motie</w:t>
      </w:r>
      <w:r>
        <w:rPr>
          <w:rFonts w:eastAsia="Calibri" w:cs="Verdana"/>
          <w:kern w:val="0"/>
          <w:szCs w:val="18"/>
          <w:vertAlign w:val="superscript"/>
          <w:lang w:eastAsia="en-US" w:bidi="ar-SA"/>
        </w:rPr>
        <w:footnoteReference w:id="1"/>
      </w:r>
      <w:r w:rsidRPr="006F206D">
        <w:rPr>
          <w:rFonts w:eastAsia="Calibri" w:cs="Verdana"/>
          <w:kern w:val="0"/>
          <w:szCs w:val="18"/>
          <w:lang w:eastAsia="en-US" w:bidi="ar-SA"/>
        </w:rPr>
        <w:t xml:space="preserve"> van de leden </w:t>
      </w:r>
      <w:bookmarkStart w:name="_Hlk178149261" w:id="2"/>
      <w:r w:rsidRPr="006F206D">
        <w:rPr>
          <w:rFonts w:eastAsia="Calibri" w:cs="Verdana"/>
          <w:kern w:val="0"/>
          <w:szCs w:val="18"/>
          <w:lang w:eastAsia="en-US" w:bidi="ar-SA"/>
        </w:rPr>
        <w:t xml:space="preserve">Tielen (VVD), Jansen (NSC) en Claassen (PVV) over een onderzoek naar de wenselijkheid en mogelijkheid van een bestuurlijke boete voor het onvoldoende invullen van de zorgplicht. </w:t>
      </w:r>
    </w:p>
    <w:p w:rsidRPr="006F206D" w:rsidR="006F206D" w:rsidP="006F206D" w:rsidRDefault="00000000" w14:paraId="4A2BD7ED" w14:textId="77777777">
      <w:pPr>
        <w:widowControl/>
        <w:suppressAutoHyphens w:val="0"/>
        <w:autoSpaceDN/>
        <w:spacing w:after="160" w:line="259" w:lineRule="auto"/>
        <w:textAlignment w:val="auto"/>
        <w:rPr>
          <w:rFonts w:eastAsia="Calibri" w:cs="Times New Roman"/>
          <w:kern w:val="2"/>
          <w:szCs w:val="18"/>
          <w:lang w:eastAsia="en-US" w:bidi="ar-SA"/>
        </w:rPr>
      </w:pPr>
      <w:r w:rsidRPr="006F206D">
        <w:rPr>
          <w:rFonts w:eastAsia="Calibri" w:cs="Times New Roman"/>
          <w:kern w:val="2"/>
          <w:szCs w:val="18"/>
          <w:lang w:eastAsia="en-US" w:bidi="ar-SA"/>
        </w:rPr>
        <w:t xml:space="preserve">In de motie wordt aangegeven dat de Nederlandse Zorgautoriteit (NZa) handhavend op moet treden indien zorgverzekeraars hun zorgplicht niet nakomen. De indieners van de motie zijn van mening dat een goede werking van het zorgstelsel afhankelijk is van het nakomen van de zorgplicht en van strikte handhaving daarop, maar dat dit nu in onvoldoende mate en te voorzichtig gebeurt. </w:t>
      </w:r>
      <w:bookmarkStart w:name="_Hlk182321875" w:id="3"/>
      <w:bookmarkStart w:name="_Hlk183780052" w:id="4"/>
      <w:r w:rsidRPr="006F206D">
        <w:rPr>
          <w:rFonts w:eastAsia="Calibri" w:cs="Times New Roman"/>
          <w:kern w:val="2"/>
          <w:szCs w:val="18"/>
          <w:lang w:eastAsia="en-US" w:bidi="ar-SA"/>
        </w:rPr>
        <w:t>De regering wordt daarom verzocht om naast het huidige handhavingsinstrumentarium van de NZa</w:t>
      </w:r>
      <w:r w:rsidR="00BB597C">
        <w:rPr>
          <w:rFonts w:eastAsia="Calibri" w:cs="Times New Roman"/>
          <w:kern w:val="2"/>
          <w:szCs w:val="18"/>
          <w:lang w:eastAsia="en-US" w:bidi="ar-SA"/>
        </w:rPr>
        <w:t>,</w:t>
      </w:r>
      <w:r w:rsidRPr="006F206D">
        <w:rPr>
          <w:rFonts w:eastAsia="Calibri" w:cs="Times New Roman"/>
          <w:kern w:val="2"/>
          <w:szCs w:val="18"/>
          <w:lang w:eastAsia="en-US" w:bidi="ar-SA"/>
        </w:rPr>
        <w:t xml:space="preserve"> de wenselijkheid en mogelijkheid te onderzoeken om een bestuurlijke boete op te kunnen laten leggen bij het onvoldoende invullen van de zorgplicht.</w:t>
      </w:r>
      <w:bookmarkEnd w:id="3"/>
    </w:p>
    <w:bookmarkEnd w:id="2"/>
    <w:bookmarkEnd w:id="4"/>
    <w:p w:rsidRPr="006F206D" w:rsidR="006F206D" w:rsidP="006F206D" w:rsidRDefault="00000000" w14:paraId="0F076CE0" w14:textId="70831EEE">
      <w:pPr>
        <w:widowControl/>
        <w:suppressAutoHyphens w:val="0"/>
        <w:autoSpaceDN/>
        <w:spacing w:after="160" w:line="259" w:lineRule="auto"/>
        <w:textAlignment w:val="auto"/>
        <w:rPr>
          <w:rFonts w:eastAsia="Calibri" w:cs="Times New Roman"/>
          <w:kern w:val="2"/>
          <w:szCs w:val="18"/>
          <w:lang w:eastAsia="en-US" w:bidi="ar-SA"/>
        </w:rPr>
      </w:pPr>
      <w:r w:rsidRPr="006F206D">
        <w:rPr>
          <w:rFonts w:eastAsia="Calibri" w:cs="Times New Roman"/>
          <w:kern w:val="2"/>
          <w:szCs w:val="18"/>
          <w:lang w:eastAsia="en-US" w:bidi="ar-SA"/>
        </w:rPr>
        <w:t xml:space="preserve">In deze brief ga ik in op dit verzoek. Hierbij ga ik eerst in op het toezicht en de handhaving door de NZa met betrekking tot de naleving van de Zorgverzekeringswet (Zvw) door de zorgverzekeraars en de verschillende handhavingsinstrumenten. Daarna ga ik specifiek in op de handhavingsmogelijkheden die de NZa heeft in het kader van de zorgplicht van zorgverzekeraars. </w:t>
      </w:r>
      <w:bookmarkStart w:name="_Hlk188458320" w:id="5"/>
      <w:r w:rsidRPr="00F5008B" w:rsidR="00F5008B">
        <w:rPr>
          <w:rFonts w:eastAsia="Calibri" w:cs="Times New Roman"/>
          <w:kern w:val="2"/>
          <w:szCs w:val="18"/>
          <w:lang w:eastAsia="en-US" w:bidi="ar-SA"/>
        </w:rPr>
        <w:t>De NZa kan weliswaar reeds een bestuurlijke boete inzetten, maar dit geldt niet met betrekking tot de naleving van de zorgplicht. De NZa beschikt met betrekking tot de naleving van de zorgplicht reeds over een instrument met een financiële prikkel om zorgverzekeraars ertoe te bewegen hun wettelijke zorgplicht na te komen. Dit is de mogelijkheid van het opleggen van een last onder dwangsom.</w:t>
      </w:r>
      <w:r w:rsidR="00F5008B">
        <w:rPr>
          <w:rFonts w:eastAsia="Calibri" w:cs="Times New Roman"/>
          <w:kern w:val="2"/>
          <w:szCs w:val="18"/>
          <w:lang w:eastAsia="en-US" w:bidi="ar-SA"/>
        </w:rPr>
        <w:t xml:space="preserve"> </w:t>
      </w:r>
      <w:r w:rsidRPr="006F206D">
        <w:rPr>
          <w:rFonts w:eastAsia="Calibri" w:cs="Times New Roman"/>
          <w:kern w:val="2"/>
          <w:szCs w:val="18"/>
          <w:lang w:eastAsia="en-US" w:bidi="ar-SA"/>
        </w:rPr>
        <w:t xml:space="preserve">De conclusie is dat het huidige handhavingsinstrumentarium voor de naleving van de zorgplicht van zorgverzekeraars volstaat. </w:t>
      </w:r>
    </w:p>
    <w:bookmarkEnd w:id="5"/>
    <w:p w:rsidRPr="006F206D" w:rsidR="006F206D" w:rsidP="006F206D" w:rsidRDefault="00000000" w14:paraId="2AE895AF" w14:textId="77777777">
      <w:pPr>
        <w:widowControl/>
        <w:suppressAutoHyphens w:val="0"/>
        <w:autoSpaceDN/>
        <w:spacing w:after="160" w:line="259" w:lineRule="auto"/>
        <w:textAlignment w:val="auto"/>
        <w:rPr>
          <w:rFonts w:eastAsia="Calibri" w:cs="Times New Roman"/>
          <w:kern w:val="2"/>
          <w:szCs w:val="18"/>
          <w:lang w:eastAsia="en-US" w:bidi="ar-SA"/>
        </w:rPr>
      </w:pPr>
      <w:r w:rsidRPr="006F206D">
        <w:rPr>
          <w:rFonts w:eastAsia="Calibri" w:cs="Times New Roman"/>
          <w:i/>
          <w:iCs/>
          <w:kern w:val="2"/>
          <w:szCs w:val="18"/>
          <w:lang w:eastAsia="nl-NL" w:bidi="ar-SA"/>
        </w:rPr>
        <w:t>Toezicht en handhaving NZa</w:t>
      </w:r>
      <w:r w:rsidRPr="006F206D">
        <w:rPr>
          <w:rFonts w:eastAsia="Calibri" w:cs="Times New Roman"/>
          <w:kern w:val="2"/>
          <w:szCs w:val="18"/>
          <w:lang w:eastAsia="nl-NL" w:bidi="ar-SA"/>
        </w:rPr>
        <w:br/>
        <w:t xml:space="preserve">De Wet marktordening gezondheidzorg (Wmg) biedt de basis voor de rol van de NZa als toezichthouder. Zo houdt de NZa toezicht op de rechtmatige uitvoering </w:t>
      </w:r>
      <w:r w:rsidRPr="006F206D">
        <w:rPr>
          <w:rFonts w:eastAsia="Calibri" w:cs="Times New Roman"/>
          <w:kern w:val="2"/>
          <w:szCs w:val="18"/>
          <w:lang w:eastAsia="nl-NL" w:bidi="ar-SA"/>
        </w:rPr>
        <w:lastRenderedPageBreak/>
        <w:t>van de Zvw door de zorgverzekeraars, waaronder de zorgplicht.</w:t>
      </w:r>
      <w:r>
        <w:rPr>
          <w:rFonts w:eastAsia="Calibri" w:cs="Times New Roman"/>
          <w:kern w:val="2"/>
          <w:szCs w:val="18"/>
          <w:vertAlign w:val="superscript"/>
          <w:lang w:eastAsia="nl-NL" w:bidi="ar-SA"/>
        </w:rPr>
        <w:footnoteReference w:id="2"/>
      </w:r>
      <w:r w:rsidRPr="006F206D">
        <w:rPr>
          <w:rFonts w:eastAsia="Calibri" w:cs="Times New Roman"/>
          <w:kern w:val="2"/>
          <w:szCs w:val="18"/>
          <w:lang w:eastAsia="en-US" w:bidi="ar-SA"/>
        </w:rPr>
        <w:t xml:space="preserve"> De NZa gaat als zelfstandig bestuursorgaan over haar eigen toezicht en is daarin onafhankelijk. In de Wmg zijn de instrumenten opgenomen die de NZa vanuit haar toezichthoudende taken en bevoegdheden heeft om overtredingen aan te pakken</w:t>
      </w:r>
      <w:r w:rsidRPr="006F206D">
        <w:rPr>
          <w:rFonts w:eastAsia="Calibri" w:cs="Times New Roman"/>
          <w:kern w:val="2"/>
          <w:szCs w:val="18"/>
          <w:lang w:eastAsia="nl-NL" w:bidi="ar-SA"/>
        </w:rPr>
        <w:t>.</w:t>
      </w:r>
      <w:r w:rsidRPr="006F206D">
        <w:rPr>
          <w:rFonts w:eastAsia="Calibri" w:cs="Times New Roman"/>
          <w:kern w:val="2"/>
          <w:szCs w:val="18"/>
          <w:lang w:eastAsia="en-US" w:bidi="ar-SA"/>
        </w:rPr>
        <w:t xml:space="preserve"> De NZa is verplicht om openbaar te maken op welke wijze zij van plan is hier uitvoering aan te geven.</w:t>
      </w:r>
      <w:r>
        <w:rPr>
          <w:rFonts w:eastAsia="Calibri" w:cs="Times New Roman"/>
          <w:kern w:val="2"/>
          <w:szCs w:val="18"/>
          <w:vertAlign w:val="superscript"/>
          <w:lang w:eastAsia="en-US" w:bidi="ar-SA"/>
        </w:rPr>
        <w:footnoteReference w:id="3"/>
      </w:r>
      <w:r w:rsidRPr="006F206D">
        <w:rPr>
          <w:rFonts w:eastAsia="Calibri" w:cs="Times New Roman"/>
          <w:kern w:val="2"/>
          <w:szCs w:val="18"/>
          <w:lang w:eastAsia="en-US" w:bidi="ar-SA"/>
        </w:rPr>
        <w:t xml:space="preserve"> In dat kader heeft de NZa de B</w:t>
      </w:r>
      <w:r w:rsidRPr="006F206D">
        <w:rPr>
          <w:rFonts w:eastAsia="Calibri" w:cs="Times New Roman"/>
          <w:kern w:val="2"/>
          <w:szCs w:val="18"/>
          <w:lang w:eastAsia="nl-NL" w:bidi="ar-SA"/>
        </w:rPr>
        <w:t>eleidsregel handhaving</w:t>
      </w:r>
      <w:r>
        <w:rPr>
          <w:rFonts w:eastAsia="Calibri" w:cs="Times New Roman"/>
          <w:kern w:val="2"/>
          <w:szCs w:val="18"/>
          <w:vertAlign w:val="superscript"/>
          <w:lang w:eastAsia="nl-NL" w:bidi="ar-SA"/>
        </w:rPr>
        <w:footnoteReference w:id="4"/>
      </w:r>
      <w:r w:rsidRPr="006F206D">
        <w:rPr>
          <w:rFonts w:eastAsia="Calibri" w:cs="Times New Roman"/>
          <w:kern w:val="2"/>
          <w:szCs w:val="18"/>
          <w:lang w:eastAsia="nl-NL" w:bidi="ar-SA"/>
        </w:rPr>
        <w:t xml:space="preserve"> vastgesteld. </w:t>
      </w:r>
      <w:r w:rsidRPr="006F206D">
        <w:rPr>
          <w:rFonts w:eastAsia="Calibri" w:cs="Times New Roman"/>
          <w:kern w:val="2"/>
          <w:szCs w:val="18"/>
          <w:lang w:eastAsia="en-US" w:bidi="ar-SA"/>
        </w:rPr>
        <w:t xml:space="preserve">In deze beleidsregel is onder meer aangegeven dat onder handhaving wordt verstaan: al het handelen van de NZa dat bijdraagt aan normnaleving door zorgverzekeraars, door toepassing van activiteiten als onder meer preventie, signalering, oordeelsvorming, sturing en het opleggen van sancties. Dit omvat dus een breed palet aan verschillende instrumenten. Ook wordt in deze beleidsregel aangegeven dat de keuze van (de combinatie van) instrumenten maatwerk is en wordt bepaald door de omstandigheden van het geval. De keuze van een handhavingsinstrument wordt met name bepaald door het doel dat de NZa ermee kan bereiken en de inspanning die het vergt om dat doel te bereiken (effectiviteit en doelmatigheid). </w:t>
      </w:r>
    </w:p>
    <w:p w:rsidRPr="006F206D" w:rsidR="006F206D" w:rsidP="006F206D" w:rsidRDefault="00000000" w14:paraId="37C318EA" w14:textId="77777777">
      <w:pPr>
        <w:widowControl/>
        <w:suppressAutoHyphens w:val="0"/>
        <w:autoSpaceDN/>
        <w:spacing w:after="160" w:line="259" w:lineRule="auto"/>
        <w:textAlignment w:val="auto"/>
        <w:rPr>
          <w:rFonts w:eastAsia="Calibri" w:cs="Times New Roman"/>
          <w:kern w:val="2"/>
          <w:szCs w:val="18"/>
          <w:lang w:eastAsia="nl-NL" w:bidi="ar-SA"/>
        </w:rPr>
      </w:pPr>
      <w:r w:rsidRPr="006F206D">
        <w:rPr>
          <w:rFonts w:eastAsia="Calibri" w:cs="Times New Roman"/>
          <w:kern w:val="2"/>
          <w:szCs w:val="18"/>
          <w:lang w:eastAsia="nl-NL" w:bidi="ar-SA"/>
        </w:rPr>
        <w:t>Naast informele instrumenten, zoals normoverdragende gesprekken en waarschuwingen, heeft de NZa een aantal formele mogelijkheden. Deze instrumenten zijn opgenomen in de Wmg, te weten:</w:t>
      </w:r>
    </w:p>
    <w:p w:rsidRPr="006F206D" w:rsidR="006F206D" w:rsidP="006F206D" w:rsidRDefault="00000000" w14:paraId="529FA7A4" w14:textId="77777777">
      <w:pPr>
        <w:widowControl/>
        <w:numPr>
          <w:ilvl w:val="0"/>
          <w:numId w:val="2"/>
        </w:numPr>
        <w:suppressAutoHyphens w:val="0"/>
        <w:autoSpaceDN/>
        <w:spacing w:after="160" w:line="259" w:lineRule="auto"/>
        <w:contextualSpacing/>
        <w:textAlignment w:val="auto"/>
        <w:rPr>
          <w:rFonts w:eastAsia="Calibri" w:cs="Times New Roman"/>
          <w:kern w:val="2"/>
          <w:szCs w:val="18"/>
          <w:lang w:eastAsia="nl-NL" w:bidi="ar-SA"/>
        </w:rPr>
      </w:pPr>
      <w:r w:rsidRPr="006F206D">
        <w:rPr>
          <w:rFonts w:eastAsia="Calibri" w:cs="Times New Roman"/>
          <w:kern w:val="2"/>
          <w:szCs w:val="18"/>
          <w:lang w:eastAsia="nl-NL" w:bidi="ar-SA"/>
        </w:rPr>
        <w:t>aanwijzing tot opvolgen van een verplichting;</w:t>
      </w:r>
    </w:p>
    <w:p w:rsidRPr="006F206D" w:rsidR="006F206D" w:rsidP="006F206D" w:rsidRDefault="00000000" w14:paraId="51EF283A" w14:textId="77777777">
      <w:pPr>
        <w:widowControl/>
        <w:numPr>
          <w:ilvl w:val="0"/>
          <w:numId w:val="2"/>
        </w:numPr>
        <w:suppressAutoHyphens w:val="0"/>
        <w:autoSpaceDN/>
        <w:spacing w:after="160" w:line="259" w:lineRule="auto"/>
        <w:contextualSpacing/>
        <w:textAlignment w:val="auto"/>
        <w:rPr>
          <w:rFonts w:eastAsia="Calibri" w:cs="Times New Roman"/>
          <w:kern w:val="2"/>
          <w:szCs w:val="18"/>
          <w:lang w:eastAsia="nl-NL" w:bidi="ar-SA"/>
        </w:rPr>
      </w:pPr>
      <w:r w:rsidRPr="006F206D">
        <w:rPr>
          <w:rFonts w:eastAsia="Calibri" w:cs="Times New Roman"/>
          <w:kern w:val="2"/>
          <w:szCs w:val="18"/>
          <w:lang w:eastAsia="nl-NL" w:bidi="ar-SA"/>
        </w:rPr>
        <w:t>publicatie bij niet-naleving van de aanwijzing;</w:t>
      </w:r>
    </w:p>
    <w:p w:rsidRPr="006F206D" w:rsidR="006F206D" w:rsidP="006F206D" w:rsidRDefault="00000000" w14:paraId="5EE71741" w14:textId="77777777">
      <w:pPr>
        <w:widowControl/>
        <w:numPr>
          <w:ilvl w:val="0"/>
          <w:numId w:val="2"/>
        </w:numPr>
        <w:suppressAutoHyphens w:val="0"/>
        <w:autoSpaceDN/>
        <w:spacing w:after="160" w:line="259" w:lineRule="auto"/>
        <w:contextualSpacing/>
        <w:textAlignment w:val="auto"/>
        <w:rPr>
          <w:rFonts w:eastAsia="Calibri" w:cs="Times New Roman"/>
          <w:kern w:val="2"/>
          <w:szCs w:val="18"/>
          <w:lang w:eastAsia="nl-NL" w:bidi="ar-SA"/>
        </w:rPr>
      </w:pPr>
      <w:r w:rsidRPr="006F206D">
        <w:rPr>
          <w:rFonts w:eastAsia="Calibri" w:cs="Times New Roman"/>
          <w:kern w:val="2"/>
          <w:szCs w:val="18"/>
          <w:lang w:eastAsia="nl-NL" w:bidi="ar-SA"/>
        </w:rPr>
        <w:t>toepassen van last onder bestuursdwang;</w:t>
      </w:r>
    </w:p>
    <w:p w:rsidRPr="006F206D" w:rsidR="006F206D" w:rsidP="006F206D" w:rsidRDefault="00000000" w14:paraId="6273FED0" w14:textId="77777777">
      <w:pPr>
        <w:widowControl/>
        <w:numPr>
          <w:ilvl w:val="0"/>
          <w:numId w:val="2"/>
        </w:numPr>
        <w:suppressAutoHyphens w:val="0"/>
        <w:autoSpaceDN/>
        <w:spacing w:after="160" w:line="259" w:lineRule="auto"/>
        <w:contextualSpacing/>
        <w:textAlignment w:val="auto"/>
        <w:rPr>
          <w:rFonts w:eastAsia="Calibri" w:cs="Times New Roman"/>
          <w:kern w:val="2"/>
          <w:szCs w:val="18"/>
          <w:lang w:eastAsia="nl-NL" w:bidi="ar-SA"/>
        </w:rPr>
      </w:pPr>
      <w:r w:rsidRPr="006F206D">
        <w:rPr>
          <w:rFonts w:eastAsia="Calibri" w:cs="Times New Roman"/>
          <w:kern w:val="2"/>
          <w:szCs w:val="18"/>
          <w:lang w:eastAsia="nl-NL" w:bidi="ar-SA"/>
        </w:rPr>
        <w:t xml:space="preserve">opleggen van een last onder dwangsom en </w:t>
      </w:r>
    </w:p>
    <w:p w:rsidR="006F206D" w:rsidP="006F206D" w:rsidRDefault="00000000" w14:paraId="1703687A" w14:textId="77777777">
      <w:pPr>
        <w:widowControl/>
        <w:numPr>
          <w:ilvl w:val="0"/>
          <w:numId w:val="2"/>
        </w:numPr>
        <w:suppressAutoHyphens w:val="0"/>
        <w:autoSpaceDN/>
        <w:spacing w:after="160" w:line="259" w:lineRule="auto"/>
        <w:contextualSpacing/>
        <w:textAlignment w:val="auto"/>
        <w:rPr>
          <w:rFonts w:eastAsia="Calibri" w:cs="Times New Roman"/>
          <w:kern w:val="2"/>
          <w:szCs w:val="18"/>
          <w:lang w:eastAsia="nl-NL" w:bidi="ar-SA"/>
        </w:rPr>
      </w:pPr>
      <w:r w:rsidRPr="006F206D">
        <w:rPr>
          <w:rFonts w:eastAsia="Calibri" w:cs="Times New Roman"/>
          <w:kern w:val="2"/>
          <w:szCs w:val="18"/>
          <w:lang w:eastAsia="nl-NL" w:bidi="ar-SA"/>
        </w:rPr>
        <w:t>opleggen van een bestuurlijke boete.</w:t>
      </w:r>
    </w:p>
    <w:p w:rsidRPr="006F206D" w:rsidR="006F206D" w:rsidP="006F206D" w:rsidRDefault="006F206D" w14:paraId="78CBCDE9" w14:textId="77777777">
      <w:pPr>
        <w:widowControl/>
        <w:suppressAutoHyphens w:val="0"/>
        <w:autoSpaceDN/>
        <w:spacing w:after="160" w:line="259" w:lineRule="auto"/>
        <w:contextualSpacing/>
        <w:textAlignment w:val="auto"/>
        <w:rPr>
          <w:rFonts w:eastAsia="Calibri" w:cs="Times New Roman"/>
          <w:kern w:val="2"/>
          <w:szCs w:val="18"/>
          <w:lang w:eastAsia="nl-NL" w:bidi="ar-SA"/>
        </w:rPr>
      </w:pPr>
    </w:p>
    <w:p w:rsidRPr="006F206D" w:rsidR="006F206D" w:rsidP="006F206D" w:rsidRDefault="00000000" w14:paraId="3DA74953" w14:textId="77777777">
      <w:pPr>
        <w:widowControl/>
        <w:suppressAutoHyphens w:val="0"/>
        <w:autoSpaceDN/>
        <w:spacing w:after="160" w:line="259" w:lineRule="auto"/>
        <w:textAlignment w:val="auto"/>
        <w:rPr>
          <w:rFonts w:eastAsia="Calibri" w:cs="Times New Roman"/>
          <w:kern w:val="2"/>
          <w:szCs w:val="18"/>
          <w:lang w:eastAsia="nl-NL" w:bidi="ar-SA"/>
        </w:rPr>
      </w:pPr>
      <w:r w:rsidRPr="006F206D">
        <w:rPr>
          <w:rFonts w:eastAsia="Calibri" w:cs="Times New Roman"/>
          <w:kern w:val="2"/>
          <w:szCs w:val="18"/>
          <w:lang w:eastAsia="nl-NL" w:bidi="ar-SA"/>
        </w:rPr>
        <w:t xml:space="preserve">Niet elk instrument kan worden ingezet voor elk type overtreding: in de wetgeving is gespecificeerd wat wanneer kan. </w:t>
      </w:r>
      <w:r w:rsidRPr="00F5008B" w:rsidR="00F5008B">
        <w:rPr>
          <w:rFonts w:eastAsia="Calibri" w:cs="Times New Roman"/>
          <w:kern w:val="2"/>
          <w:szCs w:val="18"/>
          <w:lang w:eastAsia="nl-NL" w:bidi="ar-SA"/>
        </w:rPr>
        <w:t xml:space="preserve">Zo is de bestuurlijke boete onderdeel van het handhavingsinstrumentarium van de NZa, maar zoals hiervoor aangegeven kan dit instrument niet worden ingezet bij het onvoldoende invullen van de zorgplicht. </w:t>
      </w:r>
    </w:p>
    <w:p w:rsidRPr="006F206D" w:rsidR="006F206D" w:rsidP="006F206D" w:rsidRDefault="00000000" w14:paraId="55B4BB5C" w14:textId="77777777">
      <w:pPr>
        <w:widowControl/>
        <w:suppressAutoHyphens w:val="0"/>
        <w:autoSpaceDN/>
        <w:spacing w:after="160" w:line="259" w:lineRule="auto"/>
        <w:textAlignment w:val="auto"/>
        <w:rPr>
          <w:rFonts w:eastAsia="Calibri" w:cs="Times New Roman"/>
          <w:kern w:val="2"/>
          <w:szCs w:val="18"/>
          <w:lang w:eastAsia="nl-NL" w:bidi="ar-SA"/>
        </w:rPr>
      </w:pPr>
      <w:r w:rsidRPr="006F206D">
        <w:rPr>
          <w:rFonts w:eastAsia="Calibri" w:cs="Times New Roman"/>
          <w:kern w:val="2"/>
          <w:szCs w:val="18"/>
          <w:lang w:eastAsia="nl-NL" w:bidi="ar-SA"/>
        </w:rPr>
        <w:t>Voordat ik in ga op de handhavingsmogelijkheden met betrekking tot de naleving van de zorgplicht, geef ik eerst een korte uitleg over de (aard van de) verschillende handhavingsinstrumenten</w:t>
      </w:r>
      <w:r w:rsidR="00F5008B">
        <w:rPr>
          <w:rFonts w:eastAsia="Calibri" w:cs="Times New Roman"/>
          <w:kern w:val="2"/>
          <w:szCs w:val="18"/>
          <w:lang w:eastAsia="nl-NL" w:bidi="ar-SA"/>
        </w:rPr>
        <w:t xml:space="preserve"> van de NZa</w:t>
      </w:r>
      <w:r w:rsidRPr="006F206D">
        <w:rPr>
          <w:rFonts w:eastAsia="Calibri" w:cs="Times New Roman"/>
          <w:kern w:val="2"/>
          <w:szCs w:val="18"/>
          <w:lang w:eastAsia="nl-NL" w:bidi="ar-SA"/>
        </w:rPr>
        <w:t xml:space="preserve"> in algemene zin. </w:t>
      </w:r>
    </w:p>
    <w:p w:rsidRPr="006F206D" w:rsidR="006F206D" w:rsidP="006F206D" w:rsidRDefault="00000000" w14:paraId="118499D5" w14:textId="77777777">
      <w:pPr>
        <w:widowControl/>
        <w:suppressAutoHyphens w:val="0"/>
        <w:autoSpaceDN/>
        <w:spacing w:after="160" w:line="259" w:lineRule="auto"/>
        <w:textAlignment w:val="auto"/>
        <w:rPr>
          <w:rFonts w:eastAsia="Calibri" w:cs="Times New Roman"/>
          <w:kern w:val="2"/>
          <w:szCs w:val="18"/>
          <w:lang w:eastAsia="nl-NL" w:bidi="ar-SA"/>
        </w:rPr>
      </w:pPr>
      <w:r w:rsidRPr="006F206D">
        <w:rPr>
          <w:rFonts w:eastAsia="Calibri" w:cs="Times New Roman"/>
          <w:i/>
          <w:iCs/>
          <w:kern w:val="2"/>
          <w:szCs w:val="18"/>
          <w:lang w:eastAsia="nl-NL" w:bidi="ar-SA"/>
        </w:rPr>
        <w:t>Aanwijzing en bestuurlijke sancties (gericht op herstel of op bestraffing)</w:t>
      </w:r>
      <w:r w:rsidRPr="006F206D">
        <w:rPr>
          <w:rFonts w:eastAsia="Calibri" w:cs="Times New Roman"/>
          <w:kern w:val="2"/>
          <w:szCs w:val="18"/>
          <w:lang w:eastAsia="nl-NL" w:bidi="ar-SA"/>
        </w:rPr>
        <w:br/>
        <w:t>De NZa kan in bepaalde gevallen aan een zorgverzekeraar een aanwijzing geven.</w:t>
      </w:r>
      <w:r>
        <w:rPr>
          <w:rFonts w:eastAsia="Calibri" w:cs="Times New Roman"/>
          <w:kern w:val="2"/>
          <w:szCs w:val="18"/>
          <w:vertAlign w:val="superscript"/>
          <w:lang w:eastAsia="nl-NL" w:bidi="ar-SA"/>
        </w:rPr>
        <w:footnoteReference w:id="5"/>
      </w:r>
      <w:r w:rsidRPr="006F206D">
        <w:rPr>
          <w:rFonts w:eastAsia="Calibri" w:cs="Times New Roman"/>
          <w:kern w:val="2"/>
          <w:szCs w:val="18"/>
          <w:lang w:eastAsia="nl-NL" w:bidi="ar-SA"/>
        </w:rPr>
        <w:t xml:space="preserve"> De verzekeraar moet in dat geval binnen een redelijke termijn een specifieke, door de NZa opgestelde gedragslijn volgen. De aanwijzing is gericht op het beëindigen of ongedaan maken van een overtreding. </w:t>
      </w:r>
      <w:r w:rsidRPr="006F206D">
        <w:rPr>
          <w:rFonts w:eastAsia="Calibri" w:cs="Times New Roman"/>
          <w:kern w:val="2"/>
          <w:szCs w:val="18"/>
          <w:lang w:eastAsia="en-US" w:bidi="ar-SA"/>
        </w:rPr>
        <w:t>Wanneer een zorgverzekeraar niet of niet tijdig aan de aanwijzing voldoet</w:t>
      </w:r>
      <w:r w:rsidR="00BB597C">
        <w:rPr>
          <w:rFonts w:eastAsia="Calibri" w:cs="Times New Roman"/>
          <w:kern w:val="2"/>
          <w:szCs w:val="18"/>
          <w:lang w:eastAsia="en-US" w:bidi="ar-SA"/>
        </w:rPr>
        <w:t>,</w:t>
      </w:r>
      <w:r w:rsidRPr="006F206D">
        <w:rPr>
          <w:rFonts w:eastAsia="Calibri" w:cs="Times New Roman"/>
          <w:kern w:val="2"/>
          <w:szCs w:val="18"/>
          <w:lang w:eastAsia="en-US" w:bidi="ar-SA"/>
        </w:rPr>
        <w:t xml:space="preserve"> kan de NZa dit publiceren.</w:t>
      </w:r>
      <w:r>
        <w:rPr>
          <w:rFonts w:eastAsia="Calibri" w:cs="Times New Roman"/>
          <w:kern w:val="2"/>
          <w:szCs w:val="18"/>
          <w:vertAlign w:val="superscript"/>
          <w:lang w:eastAsia="en-US" w:bidi="ar-SA"/>
        </w:rPr>
        <w:footnoteReference w:id="6"/>
      </w:r>
      <w:r w:rsidRPr="006F206D">
        <w:rPr>
          <w:rFonts w:eastAsia="Calibri" w:cs="Times New Roman"/>
          <w:kern w:val="2"/>
          <w:szCs w:val="18"/>
          <w:lang w:eastAsia="en-US" w:bidi="ar-SA"/>
        </w:rPr>
        <w:t xml:space="preserve"> Bij het niet of niet tijdig opvolgen van de aanwijzing</w:t>
      </w:r>
      <w:r w:rsidR="00BB597C">
        <w:rPr>
          <w:rFonts w:eastAsia="Calibri" w:cs="Times New Roman"/>
          <w:kern w:val="2"/>
          <w:szCs w:val="18"/>
          <w:lang w:eastAsia="en-US" w:bidi="ar-SA"/>
        </w:rPr>
        <w:t>,</w:t>
      </w:r>
      <w:r w:rsidRPr="006F206D">
        <w:rPr>
          <w:rFonts w:eastAsia="Calibri" w:cs="Times New Roman"/>
          <w:kern w:val="2"/>
          <w:szCs w:val="18"/>
          <w:lang w:eastAsia="en-US" w:bidi="ar-SA"/>
        </w:rPr>
        <w:t xml:space="preserve"> kan de NZa vervolgens een bestuurlijke sanctie opleggen in de vorm van het toepassen van bestuursdwang of het opleggen van een last onder dwangsom.</w:t>
      </w:r>
      <w:r>
        <w:rPr>
          <w:rFonts w:eastAsia="Calibri" w:cs="Times New Roman"/>
          <w:kern w:val="2"/>
          <w:szCs w:val="18"/>
          <w:vertAlign w:val="superscript"/>
          <w:lang w:eastAsia="en-US" w:bidi="ar-SA"/>
        </w:rPr>
        <w:footnoteReference w:id="7"/>
      </w:r>
      <w:r w:rsidRPr="006F206D">
        <w:rPr>
          <w:rFonts w:eastAsia="Calibri" w:cs="Times New Roman"/>
          <w:kern w:val="2"/>
          <w:szCs w:val="18"/>
          <w:lang w:eastAsia="en-US" w:bidi="ar-SA"/>
        </w:rPr>
        <w:t xml:space="preserve"> </w:t>
      </w:r>
      <w:r w:rsidRPr="006F206D">
        <w:rPr>
          <w:rFonts w:eastAsia="Calibri" w:cs="Times New Roman"/>
          <w:kern w:val="2"/>
          <w:szCs w:val="18"/>
          <w:lang w:eastAsia="nl-NL" w:bidi="ar-SA"/>
        </w:rPr>
        <w:t>In andere bepaalde gevallen kan de NZa wel direct een bestuurlijke sanctie opleggen aan een zorgverzekeraar, zonder dat daar eerst een aanwijzing aan voorafgaat. Dit betreft een last onder dwangsom of het opleggen van een bestuurlijke boete.</w:t>
      </w:r>
      <w:r>
        <w:rPr>
          <w:rFonts w:eastAsia="Calibri" w:cs="Times New Roman"/>
          <w:kern w:val="2"/>
          <w:szCs w:val="18"/>
          <w:vertAlign w:val="superscript"/>
          <w:lang w:eastAsia="nl-NL" w:bidi="ar-SA"/>
        </w:rPr>
        <w:footnoteReference w:id="8"/>
      </w:r>
      <w:r w:rsidRPr="006F206D">
        <w:rPr>
          <w:rFonts w:eastAsia="Calibri" w:cs="Times New Roman"/>
          <w:kern w:val="2"/>
          <w:szCs w:val="18"/>
          <w:lang w:eastAsia="nl-NL" w:bidi="ar-SA"/>
        </w:rPr>
        <w:t xml:space="preserve"> </w:t>
      </w:r>
    </w:p>
    <w:p w:rsidRPr="006F206D" w:rsidR="006F206D" w:rsidP="006F206D" w:rsidRDefault="00000000" w14:paraId="270E38F4" w14:textId="77777777">
      <w:pPr>
        <w:widowControl/>
        <w:suppressAutoHyphens w:val="0"/>
        <w:autoSpaceDN/>
        <w:spacing w:after="160" w:line="259" w:lineRule="auto"/>
        <w:textAlignment w:val="auto"/>
        <w:rPr>
          <w:rFonts w:eastAsia="Calibri" w:cs="Times New Roman"/>
          <w:kern w:val="2"/>
          <w:szCs w:val="18"/>
          <w:highlight w:val="yellow"/>
          <w:lang w:eastAsia="nl-NL" w:bidi="ar-SA"/>
        </w:rPr>
      </w:pPr>
      <w:r w:rsidRPr="006F206D">
        <w:rPr>
          <w:rFonts w:eastAsia="Calibri" w:cs="Times New Roman"/>
          <w:kern w:val="2"/>
          <w:szCs w:val="18"/>
          <w:lang w:eastAsia="nl-NL" w:bidi="ar-SA"/>
        </w:rPr>
        <w:lastRenderedPageBreak/>
        <w:t>De last onder dwangsom, bestuursdwang en de bestuurlijke boete zijn aan te merken als bestuurlijke sancties in de zin van de Algemene wet bestuursrecht (Awb)</w:t>
      </w:r>
      <w:r w:rsidR="00BB597C">
        <w:rPr>
          <w:rFonts w:eastAsia="Calibri" w:cs="Times New Roman"/>
          <w:kern w:val="2"/>
          <w:szCs w:val="18"/>
          <w:lang w:eastAsia="nl-NL" w:bidi="ar-SA"/>
        </w:rPr>
        <w:t xml:space="preserve">, </w:t>
      </w:r>
      <w:r w:rsidRPr="006F206D">
        <w:rPr>
          <w:rFonts w:eastAsia="Calibri" w:cs="Times New Roman"/>
          <w:kern w:val="2"/>
          <w:szCs w:val="18"/>
          <w:lang w:eastAsia="nl-NL" w:bidi="ar-SA"/>
        </w:rPr>
        <w:t>zodat de bepalingen van Hoofdstuk 5 van de Awb ook van toepassing zijn.</w:t>
      </w:r>
      <w:r>
        <w:rPr>
          <w:rFonts w:eastAsia="Calibri" w:cs="Times New Roman"/>
          <w:kern w:val="2"/>
          <w:szCs w:val="18"/>
          <w:vertAlign w:val="superscript"/>
          <w:lang w:eastAsia="nl-NL" w:bidi="ar-SA"/>
        </w:rPr>
        <w:footnoteReference w:id="9"/>
      </w:r>
      <w:r w:rsidRPr="006F206D">
        <w:rPr>
          <w:rFonts w:eastAsia="Calibri" w:cs="Times New Roman"/>
          <w:kern w:val="2"/>
          <w:szCs w:val="18"/>
          <w:lang w:eastAsia="nl-NL" w:bidi="ar-SA"/>
        </w:rPr>
        <w:t xml:space="preserve"> Uit </w:t>
      </w:r>
      <w:r w:rsidRPr="006F206D">
        <w:rPr>
          <w:rFonts w:eastAsia="Calibri" w:cs="Times New Roman"/>
          <w:kern w:val="2"/>
          <w:szCs w:val="18"/>
          <w:lang w:eastAsia="en-US" w:bidi="ar-SA"/>
        </w:rPr>
        <w:t>de Awb volgt een onderscheid tussen enerzijds herstelsancties en anderzijds bestraffende sancties. Voor zover het bestraffende sancties aangaat, zoals een bestuurlijke boete, gericht op het toevoegen van leed aan de overtreder, moet rekening worden gehouden met een aantal bijzondere waarborgen. De procedure voor het opleggen van een bestuurlijke boete wordt namelijk net als een strafrechtelijke vervolging, aangemerkt als 'criminal charge’.</w:t>
      </w:r>
      <w:r>
        <w:rPr>
          <w:rFonts w:eastAsia="Calibri" w:cs="Times New Roman"/>
          <w:kern w:val="2"/>
          <w:szCs w:val="18"/>
          <w:vertAlign w:val="superscript"/>
          <w:lang w:eastAsia="en-US" w:bidi="ar-SA"/>
        </w:rPr>
        <w:footnoteReference w:id="10"/>
      </w:r>
      <w:r w:rsidRPr="006F206D">
        <w:rPr>
          <w:rFonts w:eastAsia="Calibri" w:cs="Times New Roman"/>
          <w:kern w:val="2"/>
          <w:szCs w:val="18"/>
          <w:lang w:eastAsia="en-US" w:bidi="ar-SA"/>
        </w:rPr>
        <w:t xml:space="preserve"> Dit houdt in dat waarborgen voor een verdachte bij de strafvervolging ook gelden voor de overtreder bij de procedure van het opleggen van een bestuurlijke boete. Zo kan een bestuurlijke boete, met het oog op de rechtszekerheid, slechts worden opgelegd indien de overtreding en de sanctie bij of krachtens een aan de gedraging voorafgaand wettelijk voorschrift zijn omschreven.</w:t>
      </w:r>
      <w:r>
        <w:rPr>
          <w:rFonts w:eastAsia="Calibri" w:cs="Times New Roman"/>
          <w:kern w:val="2"/>
          <w:szCs w:val="18"/>
          <w:vertAlign w:val="superscript"/>
          <w:lang w:eastAsia="en-US" w:bidi="ar-SA"/>
        </w:rPr>
        <w:footnoteReference w:id="11"/>
      </w:r>
      <w:r w:rsidRPr="006F206D">
        <w:rPr>
          <w:rFonts w:eastAsia="Calibri" w:cs="Times New Roman"/>
          <w:kern w:val="2"/>
          <w:szCs w:val="18"/>
          <w:lang w:eastAsia="en-US" w:bidi="ar-SA"/>
        </w:rPr>
        <w:t xml:space="preserve"> De herstelsancties worden niet aangemerkt als ‘criminal charge’. </w:t>
      </w:r>
      <w:r w:rsidRPr="006F206D">
        <w:rPr>
          <w:rFonts w:eastAsia="Calibri" w:cs="Times New Roman"/>
          <w:kern w:val="2"/>
          <w:szCs w:val="18"/>
          <w:lang w:eastAsia="nl-NL" w:bidi="ar-SA"/>
        </w:rPr>
        <w:t>Een herstelsanctie is gericht op het geheel dan wel gedeeltelijk ongedaan maken of beëindigen van een overtreding; tot het voorkomen van herhaling van een overtreding, of tot het wegnemen of beperken van de gevolgen van een overtreding.</w:t>
      </w:r>
      <w:r>
        <w:rPr>
          <w:rFonts w:eastAsia="Calibri" w:cs="Times New Roman"/>
          <w:kern w:val="2"/>
          <w:szCs w:val="18"/>
          <w:vertAlign w:val="superscript"/>
          <w:lang w:eastAsia="nl-NL" w:bidi="ar-SA"/>
        </w:rPr>
        <w:footnoteReference w:id="12"/>
      </w:r>
      <w:r w:rsidRPr="006F206D">
        <w:rPr>
          <w:rFonts w:eastAsia="Calibri" w:cs="Times New Roman"/>
          <w:kern w:val="2"/>
          <w:szCs w:val="18"/>
          <w:lang w:eastAsia="nl-NL" w:bidi="ar-SA"/>
        </w:rPr>
        <w:t xml:space="preserve"> Een last onder dwangsom en bestuursdwang zijn voorbeelden van herstelsancties.</w:t>
      </w:r>
      <w:r w:rsidRPr="006F206D">
        <w:rPr>
          <w:rFonts w:eastAsia="Calibri" w:cs="Times New Roman"/>
          <w:kern w:val="2"/>
          <w:szCs w:val="18"/>
          <w:highlight w:val="yellow"/>
          <w:lang w:eastAsia="nl-NL" w:bidi="ar-SA"/>
        </w:rPr>
        <w:t xml:space="preserve"> </w:t>
      </w:r>
    </w:p>
    <w:p w:rsidRPr="006F206D" w:rsidR="006F206D" w:rsidP="006F206D" w:rsidRDefault="00000000" w14:paraId="67ABA16F" w14:textId="77777777">
      <w:pPr>
        <w:widowControl/>
        <w:suppressAutoHyphens w:val="0"/>
        <w:autoSpaceDN/>
        <w:spacing w:after="160" w:line="259" w:lineRule="auto"/>
        <w:textAlignment w:val="auto"/>
        <w:rPr>
          <w:rFonts w:eastAsia="Calibri" w:cs="Times New Roman"/>
          <w:kern w:val="2"/>
          <w:szCs w:val="18"/>
          <w:lang w:eastAsia="nl-NL" w:bidi="ar-SA"/>
        </w:rPr>
      </w:pPr>
      <w:r w:rsidRPr="006F206D">
        <w:rPr>
          <w:rFonts w:eastAsia="Calibri" w:cs="Times New Roman"/>
          <w:kern w:val="2"/>
          <w:szCs w:val="18"/>
          <w:lang w:eastAsia="nl-NL" w:bidi="ar-SA"/>
        </w:rPr>
        <w:t xml:space="preserve">De onderhavige motie stelt voor om de NZa de mogelijkheid te geven om in het kader van de zorgplicht van zorgverzekeraars ook een bestraffende sanctie (een bestuurlijk boete) op te kunnen leggen. Het creëren van de mogelijkheid om een bestuurlijke boete op te kunnen leggen kan niet zonder rekening te houden met de aard en waarborgen die horen bij een dergelijke bestraffende sanctie.  </w:t>
      </w:r>
    </w:p>
    <w:p w:rsidRPr="006F206D" w:rsidR="006F206D" w:rsidP="006F206D" w:rsidRDefault="00000000" w14:paraId="3E5D1363" w14:textId="77777777">
      <w:pPr>
        <w:widowControl/>
        <w:suppressAutoHyphens w:val="0"/>
        <w:autoSpaceDN/>
        <w:spacing w:after="160" w:line="259" w:lineRule="auto"/>
        <w:textAlignment w:val="auto"/>
        <w:rPr>
          <w:rFonts w:eastAsia="Times New Roman" w:cs="Times New Roman"/>
          <w:kern w:val="0"/>
          <w:szCs w:val="18"/>
          <w:shd w:val="clear" w:color="auto" w:fill="FFFFFF"/>
          <w:lang w:eastAsia="nl-NL" w:bidi="ar-SA"/>
        </w:rPr>
      </w:pPr>
      <w:r w:rsidRPr="006F206D">
        <w:rPr>
          <w:rFonts w:eastAsia="Calibri" w:cs="Times New Roman"/>
          <w:i/>
          <w:iCs/>
          <w:kern w:val="2"/>
          <w:szCs w:val="18"/>
          <w:lang w:eastAsia="en-US" w:bidi="ar-SA"/>
        </w:rPr>
        <w:t xml:space="preserve">Handhaving naleving zorgplicht </w:t>
      </w:r>
      <w:r w:rsidRPr="006F206D">
        <w:rPr>
          <w:rFonts w:eastAsia="Times New Roman" w:cs="Times New Roman"/>
          <w:kern w:val="0"/>
          <w:szCs w:val="18"/>
          <w:shd w:val="clear" w:color="auto" w:fill="FFFFFF"/>
          <w:lang w:eastAsia="nl-NL" w:bidi="ar-SA"/>
        </w:rPr>
        <w:br/>
        <w:t xml:space="preserve">In artikel 11 van de Zvw is de zorgplicht van zorgverzekeraars opgenomen. </w:t>
      </w:r>
      <w:r w:rsidRPr="006F206D">
        <w:rPr>
          <w:rFonts w:eastAsia="Calibri" w:cs="Times New Roman"/>
          <w:kern w:val="2"/>
          <w:szCs w:val="18"/>
          <w:shd w:val="clear" w:color="auto" w:fill="FFFFFF"/>
          <w:lang w:eastAsia="en-US" w:bidi="ar-SA"/>
        </w:rPr>
        <w:t>De zorgverzekeraar moet op grond van zijn zorgplicht ervoor zorgen dat de verzekerde de zorg of diensten krijgt waaraan hij behoefte heeft, dan wel dat de verzekerde een vergoeding krijgt van de kosten voor die zorg of diensten.</w:t>
      </w:r>
      <w:r>
        <w:rPr>
          <w:rFonts w:eastAsia="Calibri" w:cs="Times New Roman"/>
          <w:kern w:val="2"/>
          <w:szCs w:val="18"/>
          <w:shd w:val="clear" w:color="auto" w:fill="FFFFFF"/>
          <w:vertAlign w:val="superscript"/>
          <w:lang w:eastAsia="en-US" w:bidi="ar-SA"/>
        </w:rPr>
        <w:footnoteReference w:id="13"/>
      </w:r>
      <w:r w:rsidRPr="006F206D">
        <w:rPr>
          <w:rFonts w:eastAsia="Calibri" w:cs="Times New Roman"/>
          <w:kern w:val="2"/>
          <w:szCs w:val="18"/>
          <w:shd w:val="clear" w:color="auto" w:fill="FFFFFF"/>
          <w:lang w:eastAsia="en-US" w:bidi="ar-SA"/>
        </w:rPr>
        <w:t xml:space="preserve"> </w:t>
      </w:r>
      <w:r w:rsidRPr="006F206D">
        <w:rPr>
          <w:rFonts w:eastAsia="Times New Roman" w:cs="Times New Roman"/>
          <w:kern w:val="0"/>
          <w:szCs w:val="18"/>
          <w:shd w:val="clear" w:color="auto" w:fill="FFFFFF"/>
          <w:lang w:eastAsia="nl-NL" w:bidi="ar-SA"/>
        </w:rPr>
        <w:t>De zorgplicht is grotendeels een open norm. Een open norm betekent dat er meerdere manieren zijn om aan de regel te kunnen voldoen. Zorgverzekeraars hebben een eigen verantwoordelijkheid om invulling te geven aan de zorgplicht. Deze ruimte is bij de invoering van de Zvw ook expliciet aan zorgverzekeraars gegeven.</w:t>
      </w:r>
    </w:p>
    <w:p w:rsidRPr="006F206D" w:rsidR="006F206D" w:rsidP="006F206D" w:rsidRDefault="00000000" w14:paraId="13BDA4AB" w14:textId="77777777">
      <w:pPr>
        <w:widowControl/>
        <w:suppressAutoHyphens w:val="0"/>
        <w:autoSpaceDN/>
        <w:spacing w:after="160" w:line="259" w:lineRule="auto"/>
        <w:textAlignment w:val="auto"/>
        <w:rPr>
          <w:rFonts w:eastAsia="Times New Roman" w:cs="Times New Roman"/>
          <w:kern w:val="0"/>
          <w:szCs w:val="18"/>
          <w:shd w:val="clear" w:color="auto" w:fill="FFFFFF"/>
          <w:lang w:eastAsia="nl-NL" w:bidi="ar-SA"/>
        </w:rPr>
      </w:pPr>
      <w:r w:rsidRPr="006F206D">
        <w:rPr>
          <w:rFonts w:eastAsia="Times New Roman" w:cs="Times New Roman"/>
          <w:kern w:val="0"/>
          <w:szCs w:val="18"/>
          <w:shd w:val="clear" w:color="auto" w:fill="FFFFFF"/>
          <w:lang w:eastAsia="nl-NL" w:bidi="ar-SA"/>
        </w:rPr>
        <w:t>De NZa beschrijft in haar Beleidsregel toezichtkader zorgplicht zorgverzekeraars Zvw</w:t>
      </w:r>
      <w:r>
        <w:rPr>
          <w:rFonts w:eastAsia="Times New Roman" w:cs="Times New Roman"/>
          <w:kern w:val="0"/>
          <w:szCs w:val="18"/>
          <w:shd w:val="clear" w:color="auto" w:fill="FFFFFF"/>
          <w:vertAlign w:val="superscript"/>
          <w:lang w:eastAsia="nl-NL" w:bidi="ar-SA"/>
        </w:rPr>
        <w:footnoteReference w:id="14"/>
      </w:r>
      <w:r w:rsidRPr="006F206D">
        <w:rPr>
          <w:rFonts w:eastAsia="Times New Roman" w:cs="Times New Roman"/>
          <w:kern w:val="0"/>
          <w:szCs w:val="18"/>
          <w:shd w:val="clear" w:color="auto" w:fill="FFFFFF"/>
          <w:lang w:eastAsia="nl-NL" w:bidi="ar-SA"/>
        </w:rPr>
        <w:t xml:space="preserve"> </w:t>
      </w:r>
      <w:r w:rsidRPr="006F206D">
        <w:rPr>
          <w:rFonts w:eastAsia="Times New Roman" w:cs="Times New Roman"/>
          <w:kern w:val="0"/>
          <w:szCs w:val="18"/>
          <w:lang w:eastAsia="nl-NL" w:bidi="ar-SA"/>
        </w:rPr>
        <w:t xml:space="preserve">op welke wijze zij toezicht houdt op de rechtmatige uitvoering van de zorgplicht door zorgverzekeraars. </w:t>
      </w:r>
      <w:r w:rsidRPr="006F206D">
        <w:rPr>
          <w:rFonts w:eastAsia="Times New Roman" w:cs="Times New Roman"/>
          <w:kern w:val="0"/>
          <w:szCs w:val="18"/>
          <w:shd w:val="clear" w:color="auto" w:fill="FFFFFF"/>
          <w:lang w:eastAsia="nl-NL" w:bidi="ar-SA"/>
        </w:rPr>
        <w:t>Ook heeft de NZa in oktober 2020 het document 'De zorgplicht: handvatten voor zorgverzekeraars</w:t>
      </w:r>
      <w:r w:rsidRPr="006F206D">
        <w:rPr>
          <w:rFonts w:eastAsia="Calibri" w:cs="Times New Roman"/>
          <w:kern w:val="2"/>
          <w:szCs w:val="18"/>
          <w:lang w:eastAsia="en-US" w:bidi="ar-SA"/>
        </w:rPr>
        <w:t xml:space="preserve">' </w:t>
      </w:r>
      <w:r w:rsidRPr="006F206D">
        <w:rPr>
          <w:rFonts w:eastAsia="Times New Roman" w:cs="Times New Roman"/>
          <w:kern w:val="0"/>
          <w:szCs w:val="18"/>
          <w:shd w:val="clear" w:color="auto" w:fill="FFFFFF"/>
          <w:lang w:eastAsia="nl-NL" w:bidi="ar-SA"/>
        </w:rPr>
        <w:t>gepubliceerd.</w:t>
      </w:r>
      <w:r>
        <w:rPr>
          <w:rFonts w:eastAsia="Times New Roman" w:cs="Times New Roman"/>
          <w:kern w:val="0"/>
          <w:szCs w:val="18"/>
          <w:shd w:val="clear" w:color="auto" w:fill="FFFFFF"/>
          <w:vertAlign w:val="superscript"/>
          <w:lang w:eastAsia="nl-NL" w:bidi="ar-SA"/>
        </w:rPr>
        <w:footnoteReference w:id="15"/>
      </w:r>
      <w:r w:rsidRPr="006F206D">
        <w:rPr>
          <w:rFonts w:eastAsia="Times New Roman" w:cs="Times New Roman"/>
          <w:kern w:val="0"/>
          <w:szCs w:val="18"/>
          <w:shd w:val="clear" w:color="auto" w:fill="FFFFFF"/>
          <w:lang w:eastAsia="nl-NL" w:bidi="ar-SA"/>
        </w:rPr>
        <w:t xml:space="preserve"> In deze handvatten heeft de NZa haar verwachtingen kenbaar gemaakt over hoe zorgverzekeraars de zorgplicht rechtmatig kunnen uitvoeren. Deze handvatten betreffen een duiding: er worden bepaalde inspanningen van de verzekeraars verwacht bij het vervullen van de zorgplicht.</w:t>
      </w:r>
      <w:r w:rsidRPr="006F206D">
        <w:rPr>
          <w:rFonts w:eastAsia="Calibri" w:cs="Times New Roman"/>
          <w:kern w:val="2"/>
          <w:szCs w:val="18"/>
          <w:lang w:eastAsia="en-US" w:bidi="ar-SA"/>
        </w:rPr>
        <w:t xml:space="preserve"> </w:t>
      </w:r>
      <w:r w:rsidRPr="006F206D">
        <w:rPr>
          <w:rFonts w:eastAsia="Times New Roman" w:cs="Times New Roman"/>
          <w:kern w:val="0"/>
          <w:szCs w:val="18"/>
          <w:shd w:val="clear" w:color="auto" w:fill="FFFFFF"/>
          <w:lang w:eastAsia="nl-NL" w:bidi="ar-SA"/>
        </w:rPr>
        <w:t xml:space="preserve">Deze duiding is een hulpmiddel waarmee de NZa duidelijk maakt wat zij specifiek van zorgverzekeraars verwacht als de toegankelijkheid en continuïteit van zorg onder druk staan. </w:t>
      </w:r>
    </w:p>
    <w:p w:rsidRPr="006F206D" w:rsidR="006F206D" w:rsidP="006F206D" w:rsidRDefault="00000000" w14:paraId="6D62F694" w14:textId="77777777">
      <w:pPr>
        <w:widowControl/>
        <w:suppressAutoHyphens w:val="0"/>
        <w:autoSpaceDN/>
        <w:spacing w:after="160" w:line="259" w:lineRule="auto"/>
        <w:textAlignment w:val="auto"/>
        <w:rPr>
          <w:rFonts w:eastAsia="Calibri" w:cs="Times New Roman"/>
          <w:kern w:val="2"/>
          <w:szCs w:val="18"/>
          <w:shd w:val="clear" w:color="auto" w:fill="FFFFFF"/>
          <w:lang w:eastAsia="en-US" w:bidi="ar-SA"/>
        </w:rPr>
      </w:pPr>
      <w:r w:rsidRPr="006F206D">
        <w:rPr>
          <w:rFonts w:eastAsia="Calibri" w:cs="Times New Roman"/>
          <w:kern w:val="2"/>
          <w:szCs w:val="22"/>
          <w:lang w:eastAsia="nl-NL" w:bidi="ar-SA"/>
        </w:rPr>
        <w:lastRenderedPageBreak/>
        <w:t>In de Wmg is bepaald dat de NZa voor de overtreding van de zorgplicht door een verzekeraar een aanwijzing kan opleggen aan die verzekeraar.</w:t>
      </w:r>
      <w:r>
        <w:rPr>
          <w:rFonts w:eastAsia="Calibri" w:cs="Times New Roman"/>
          <w:color w:val="000000"/>
          <w:kern w:val="2"/>
          <w:szCs w:val="22"/>
          <w:shd w:val="clear" w:color="auto" w:fill="FFFFFF"/>
          <w:vertAlign w:val="superscript"/>
          <w:lang w:eastAsia="en-US" w:bidi="ar-SA"/>
        </w:rPr>
        <w:footnoteReference w:id="16"/>
      </w:r>
      <w:r w:rsidRPr="006F206D">
        <w:rPr>
          <w:rFonts w:eastAsia="Calibri" w:cs="Times New Roman"/>
          <w:kern w:val="2"/>
          <w:szCs w:val="22"/>
          <w:lang w:eastAsia="nl-NL" w:bidi="ar-SA"/>
        </w:rPr>
        <w:t xml:space="preserve"> In een aanwijzing concretiseert de NZa de open norm via de door de zorgverzekeraar te treffen maatregelen voor het ongedaan maken van de overtreding.</w:t>
      </w:r>
      <w:r w:rsidRPr="006F206D">
        <w:rPr>
          <w:rFonts w:eastAsia="Calibri" w:cs="Times New Roman"/>
          <w:kern w:val="2"/>
          <w:szCs w:val="18"/>
          <w:shd w:val="clear" w:color="auto" w:fill="FFFFFF"/>
          <w:lang w:eastAsia="en-US" w:bidi="ar-SA"/>
        </w:rPr>
        <w:t xml:space="preserve"> De wetgever heeft hiervoor gekozen omdat de norm, de inhoudelijke invulling van de zorgplicht, zoals aangegeven een grotendeels open norm is en daarom niet duidelijk uit de wetgeving volgt. </w:t>
      </w:r>
    </w:p>
    <w:p w:rsidRPr="006F206D" w:rsidR="006F206D" w:rsidP="006F206D" w:rsidRDefault="00000000" w14:paraId="089A9064" w14:textId="77777777">
      <w:pPr>
        <w:widowControl/>
        <w:suppressAutoHyphens w:val="0"/>
        <w:autoSpaceDN/>
        <w:spacing w:after="160" w:line="259" w:lineRule="auto"/>
        <w:textAlignment w:val="auto"/>
        <w:rPr>
          <w:rFonts w:eastAsia="Calibri" w:cs="Times New Roman"/>
          <w:kern w:val="2"/>
          <w:szCs w:val="18"/>
          <w:lang w:eastAsia="en-US" w:bidi="ar-SA"/>
        </w:rPr>
      </w:pPr>
      <w:r w:rsidRPr="006F206D">
        <w:rPr>
          <w:rFonts w:eastAsia="Calibri" w:cs="Times New Roman"/>
          <w:kern w:val="2"/>
          <w:szCs w:val="18"/>
          <w:shd w:val="clear" w:color="auto" w:fill="FFFFFF"/>
          <w:lang w:eastAsia="en-US" w:bidi="ar-SA"/>
        </w:rPr>
        <w:t>Indien de zorgverzekeraar de aanwijzing niet of niet tijdig opvolgt kan de NZa aan die verzekeraar een last onder dwangsom opleggen.</w:t>
      </w:r>
      <w:r>
        <w:rPr>
          <w:rFonts w:eastAsia="Calibri" w:cs="Times New Roman"/>
          <w:kern w:val="2"/>
          <w:szCs w:val="18"/>
          <w:shd w:val="clear" w:color="auto" w:fill="FFFFFF"/>
          <w:vertAlign w:val="superscript"/>
          <w:lang w:eastAsia="en-US" w:bidi="ar-SA"/>
        </w:rPr>
        <w:footnoteReference w:id="17"/>
      </w:r>
      <w:r w:rsidRPr="006F206D">
        <w:rPr>
          <w:rFonts w:eastAsia="Calibri" w:cs="Times New Roman"/>
          <w:kern w:val="2"/>
          <w:szCs w:val="18"/>
          <w:shd w:val="clear" w:color="auto" w:fill="FFFFFF"/>
          <w:lang w:eastAsia="en-US" w:bidi="ar-SA"/>
        </w:rPr>
        <w:t xml:space="preserve"> </w:t>
      </w:r>
      <w:r w:rsidRPr="006F206D">
        <w:rPr>
          <w:rFonts w:eastAsia="Calibri" w:cs="Times New Roman"/>
          <w:kern w:val="2"/>
          <w:szCs w:val="18"/>
          <w:lang w:eastAsia="en-US" w:bidi="ar-SA"/>
        </w:rPr>
        <w:t>D</w:t>
      </w:r>
      <w:r w:rsidRPr="006F206D">
        <w:rPr>
          <w:rFonts w:eastAsia="Calibri" w:cs="Times New Roman"/>
          <w:kern w:val="2"/>
          <w:szCs w:val="18"/>
          <w:lang w:eastAsia="nl-NL" w:bidi="ar-SA"/>
        </w:rPr>
        <w:t xml:space="preserve">e NZa beschikt met deze mogelijkheid dus al over een formeel (wettelijk) handhavingsinstrument met een financiële prikkel om zorgverzekeraars ertoe te bewegen hun wettelijke zorgplicht na te komen. Deze financiële prikkel blijft bestaan, totdat de wettelijke zorgplicht alsnog is nagekomen. Dit geldt niet voor een bestuurlijke boete. Dit is immers een bestraffende sanctie en heeft niet de reparatie van de zorgplichtschending als oogmerk. </w:t>
      </w:r>
      <w:r w:rsidRPr="006F206D">
        <w:rPr>
          <w:rFonts w:eastAsia="Calibri" w:cs="Calibri"/>
          <w:kern w:val="0"/>
          <w:szCs w:val="18"/>
          <w:lang w:eastAsia="en-US" w:bidi="ar-SA"/>
        </w:rPr>
        <w:t>In het kader van de naleving van de wettelijke zorgplicht door zorgverzekeraars is deze herstelgerichte benadering in mijn optiek wenselijker dan een direct bestraffende aanpak. Navraag bij de NZa leert dat zij dit beeld met mij delen. Dit weegt voor mij zwaar.</w:t>
      </w:r>
    </w:p>
    <w:p w:rsidRPr="008D59C5" w:rsidR="00334C45" w:rsidP="006F206D" w:rsidRDefault="00000000" w14:paraId="2CA21349" w14:textId="7C0A4051">
      <w:pPr>
        <w:widowControl/>
        <w:suppressAutoHyphens w:val="0"/>
        <w:autoSpaceDN/>
        <w:spacing w:after="160" w:line="259" w:lineRule="auto"/>
        <w:textAlignment w:val="auto"/>
      </w:pPr>
      <w:r w:rsidRPr="006F206D">
        <w:rPr>
          <w:rFonts w:eastAsia="Calibri" w:cs="Times New Roman"/>
          <w:i/>
          <w:iCs/>
          <w:kern w:val="2"/>
          <w:szCs w:val="18"/>
          <w:lang w:eastAsia="en-US" w:bidi="ar-SA"/>
        </w:rPr>
        <w:t xml:space="preserve">Conclusie </w:t>
      </w:r>
      <w:r w:rsidRPr="006F206D">
        <w:rPr>
          <w:rFonts w:eastAsia="Calibri" w:cs="Calibri"/>
          <w:kern w:val="0"/>
          <w:szCs w:val="18"/>
          <w:lang w:eastAsia="en-US" w:bidi="ar-SA"/>
        </w:rPr>
        <w:br/>
        <w:t xml:space="preserve">In deze brief is ingegaan op de wenselijkheid en mogelijkheden om een bestuurlijke boete op te kunnen leggen bij het onvoldoende invullen van de zorgplicht. De conclusie is kort gezegd dat het opleggen van een bestuurlijke boete niet leidt tot reparatie van de zorgplichtschending en dat het huidige handhavingsinstrumentarium volstaat. </w:t>
      </w:r>
      <w:r w:rsidRPr="006F206D" w:rsidR="006F25C7">
        <w:rPr>
          <w:rFonts w:eastAsia="Calibri" w:cs="Times New Roman"/>
          <w:kern w:val="2"/>
          <w:szCs w:val="18"/>
          <w:lang w:eastAsia="en-US" w:bidi="ar-SA"/>
        </w:rPr>
        <w:t xml:space="preserve">Met deze brief acht ik deze motie als afgedaan. </w:t>
      </w:r>
      <w:r w:rsidRPr="006F206D">
        <w:rPr>
          <w:rFonts w:eastAsia="Calibri" w:cs="Calibri"/>
          <w:kern w:val="0"/>
          <w:szCs w:val="18"/>
          <w:lang w:eastAsia="en-US" w:bidi="ar-SA"/>
        </w:rPr>
        <w:t xml:space="preserve">Waar het om gaat is dat de zorgplicht wordt nageleefd ten behoeve van alle betrokkenen. Iedereen is er meer bij gebaat dat deze voorschriften </w:t>
      </w:r>
      <w:r w:rsidR="00BB597C">
        <w:rPr>
          <w:rFonts w:eastAsia="Calibri" w:cs="Calibri"/>
          <w:kern w:val="0"/>
          <w:szCs w:val="18"/>
          <w:lang w:eastAsia="en-US" w:bidi="ar-SA"/>
        </w:rPr>
        <w:t xml:space="preserve">– </w:t>
      </w:r>
      <w:r w:rsidRPr="006F206D">
        <w:rPr>
          <w:rFonts w:eastAsia="Calibri" w:cs="Calibri"/>
          <w:kern w:val="0"/>
          <w:szCs w:val="18"/>
          <w:lang w:eastAsia="en-US" w:bidi="ar-SA"/>
        </w:rPr>
        <w:t>desnoods</w:t>
      </w:r>
      <w:r w:rsidR="00BB597C">
        <w:rPr>
          <w:rFonts w:eastAsia="Calibri" w:cs="Calibri"/>
          <w:kern w:val="0"/>
          <w:szCs w:val="18"/>
          <w:lang w:eastAsia="en-US" w:bidi="ar-SA"/>
        </w:rPr>
        <w:t xml:space="preserve"> </w:t>
      </w:r>
      <w:r w:rsidRPr="006F206D">
        <w:rPr>
          <w:rFonts w:eastAsia="Calibri" w:cs="Calibri"/>
          <w:kern w:val="0"/>
          <w:szCs w:val="18"/>
          <w:lang w:eastAsia="en-US" w:bidi="ar-SA"/>
        </w:rPr>
        <w:t xml:space="preserve">kwaadschiks – worden nageleefd. Daarom heeft de NZa de bevoegdheid tot het opleggen van een dwangsom bij niet of niet tijdige naleving van een eerder opgelegde aanwijzing. </w:t>
      </w:r>
    </w:p>
    <w:p w:rsidRPr="009A31BF" w:rsidR="00CD5856" w:rsidRDefault="00000000" w14:paraId="60CAB1E2" w14:textId="77777777">
      <w:pPr>
        <w:pStyle w:val="Huisstijl-Slotzin"/>
      </w:pPr>
      <w:r>
        <w:t>Hoogachtend,</w:t>
      </w:r>
    </w:p>
    <w:p w:rsidR="00BC481F" w:rsidP="00463DBC" w:rsidRDefault="00BC481F" w14:paraId="5B170730" w14:textId="77777777">
      <w:pPr>
        <w:spacing w:line="240" w:lineRule="auto"/>
        <w:rPr>
          <w:noProof/>
        </w:rPr>
      </w:pPr>
    </w:p>
    <w:p w:rsidR="00CD6C89" w:rsidP="00C62B6C" w:rsidRDefault="00000000" w14:paraId="1D7B9F58" w14:textId="77777777">
      <w:pPr>
        <w:spacing w:line="240" w:lineRule="atLeast"/>
        <w:jc w:val="both"/>
      </w:pPr>
      <w:r>
        <w:t xml:space="preserve">de minister van Volksgezondheid, </w:t>
      </w:r>
    </w:p>
    <w:p w:rsidR="00C62B6C" w:rsidP="00C62B6C" w:rsidRDefault="00000000" w14:paraId="2A9CC3D1" w14:textId="77777777">
      <w:pPr>
        <w:spacing w:line="240" w:lineRule="atLeast"/>
        <w:jc w:val="both"/>
        <w:rPr>
          <w:szCs w:val="18"/>
        </w:rPr>
      </w:pPr>
      <w:r>
        <w:t>Welzijn en Sport</w:t>
      </w:r>
      <w:r>
        <w:rPr>
          <w:szCs w:val="18"/>
        </w:rPr>
        <w:t>,</w:t>
      </w:r>
    </w:p>
    <w:p w:rsidR="00C62B6C" w:rsidP="00C62B6C" w:rsidRDefault="00C62B6C" w14:paraId="5B110264" w14:textId="77777777">
      <w:pPr>
        <w:spacing w:line="240" w:lineRule="atLeast"/>
        <w:rPr>
          <w:szCs w:val="18"/>
        </w:rPr>
      </w:pPr>
      <w:bookmarkStart w:name="bmkHandtekening" w:id="6"/>
    </w:p>
    <w:p w:rsidR="00CD6C89" w:rsidP="00C62B6C" w:rsidRDefault="00CD6C89" w14:paraId="36958B86" w14:textId="77777777">
      <w:pPr>
        <w:spacing w:line="240" w:lineRule="atLeast"/>
        <w:rPr>
          <w:szCs w:val="18"/>
        </w:rPr>
      </w:pPr>
    </w:p>
    <w:p w:rsidRPr="007B6A41" w:rsidR="00CD6C89" w:rsidP="00C62B6C" w:rsidRDefault="00CD6C89" w14:paraId="22165B50" w14:textId="77777777">
      <w:pPr>
        <w:spacing w:line="240" w:lineRule="atLeast"/>
        <w:rPr>
          <w:szCs w:val="18"/>
        </w:rPr>
      </w:pPr>
    </w:p>
    <w:bookmarkEnd w:id="6"/>
    <w:p w:rsidRPr="007B6A41" w:rsidR="00C62B6C" w:rsidP="00C62B6C" w:rsidRDefault="00000000" w14:paraId="4EB9D86A" w14:textId="77777777">
      <w:pPr>
        <w:spacing w:line="240" w:lineRule="atLeast"/>
        <w:rPr>
          <w:szCs w:val="18"/>
        </w:rPr>
      </w:pPr>
      <w:r>
        <w:cr/>
      </w:r>
      <w:r>
        <w:cr/>
      </w:r>
    </w:p>
    <w:p w:rsidRPr="007B6A41" w:rsidR="00C62B6C" w:rsidP="00C62B6C" w:rsidRDefault="00000000" w14:paraId="4AB037DE" w14:textId="77777777">
      <w:pPr>
        <w:spacing w:line="240" w:lineRule="atLeast"/>
        <w:jc w:val="both"/>
        <w:rPr>
          <w:szCs w:val="18"/>
        </w:rPr>
      </w:pPr>
      <w:r>
        <w:t>Fleur Agema</w:t>
      </w:r>
    </w:p>
    <w:p w:rsidR="00C95CA9" w:rsidRDefault="00C95CA9" w14:paraId="655C25EC" w14:textId="77777777">
      <w:pPr>
        <w:spacing w:line="240" w:lineRule="auto"/>
        <w:rPr>
          <w:noProof/>
        </w:rPr>
      </w:pPr>
    </w:p>
    <w:p w:rsidR="00235AED" w:rsidP="00463DBC" w:rsidRDefault="00235AED" w14:paraId="1B27CC9E"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761F" w14:textId="77777777" w:rsidR="00E77EDE" w:rsidRDefault="00E77EDE">
      <w:pPr>
        <w:spacing w:line="240" w:lineRule="auto"/>
      </w:pPr>
      <w:r>
        <w:separator/>
      </w:r>
    </w:p>
  </w:endnote>
  <w:endnote w:type="continuationSeparator" w:id="0">
    <w:p w14:paraId="095B0E25" w14:textId="77777777" w:rsidR="00E77EDE" w:rsidRDefault="00E77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E92F" w14:textId="77777777" w:rsidR="00DC7639" w:rsidRDefault="00000000">
    <w:pPr>
      <w:pStyle w:val="Voettekst"/>
    </w:pPr>
    <w:r>
      <w:rPr>
        <w:noProof/>
        <w:lang w:val="en-US" w:eastAsia="en-US" w:bidi="ar-SA"/>
      </w:rPr>
      <w:pict w14:anchorId="1E5325D0">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5AB4049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31C5" w14:textId="77777777" w:rsidR="00E77EDE" w:rsidRDefault="00E77EDE">
      <w:pPr>
        <w:spacing w:line="240" w:lineRule="auto"/>
      </w:pPr>
      <w:r>
        <w:separator/>
      </w:r>
    </w:p>
  </w:footnote>
  <w:footnote w:type="continuationSeparator" w:id="0">
    <w:p w14:paraId="7C72D7A0" w14:textId="77777777" w:rsidR="00E77EDE" w:rsidRDefault="00E77EDE">
      <w:pPr>
        <w:spacing w:line="240" w:lineRule="auto"/>
      </w:pPr>
      <w:r>
        <w:continuationSeparator/>
      </w:r>
    </w:p>
  </w:footnote>
  <w:footnote w:id="1">
    <w:p w14:paraId="57989BD6"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w:t>
      </w:r>
      <w:bookmarkStart w:id="1" w:name="_Hlk181865511"/>
      <w:r w:rsidRPr="006F206D">
        <w:rPr>
          <w:rFonts w:ascii="Verdana" w:hAnsi="Verdana"/>
          <w:sz w:val="16"/>
          <w:szCs w:val="16"/>
        </w:rPr>
        <w:t>Kamerstukken II 2023/24, 36357, nr. 19.</w:t>
      </w:r>
      <w:bookmarkEnd w:id="1"/>
    </w:p>
  </w:footnote>
  <w:footnote w:id="2">
    <w:p w14:paraId="149F3EDB" w14:textId="77777777" w:rsidR="006F206D" w:rsidRPr="000B38E6" w:rsidRDefault="00000000" w:rsidP="006F206D">
      <w:pPr>
        <w:pStyle w:val="Voetnoottekst1"/>
        <w:rPr>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Zie artikel 16, sub b, Wmg.</w:t>
      </w:r>
    </w:p>
  </w:footnote>
  <w:footnote w:id="3">
    <w:p w14:paraId="3C3B106E"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Zie artikel 75 Wmg.</w:t>
      </w:r>
    </w:p>
  </w:footnote>
  <w:footnote w:id="4">
    <w:p w14:paraId="40F220A1"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Zie Staatscourant 2021, 47358.</w:t>
      </w:r>
    </w:p>
  </w:footnote>
  <w:footnote w:id="5">
    <w:p w14:paraId="23DAA412"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Zie artikel 77 Wmg.</w:t>
      </w:r>
    </w:p>
  </w:footnote>
  <w:footnote w:id="6">
    <w:p w14:paraId="15D50961"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Artikel 80 Wmg.</w:t>
      </w:r>
    </w:p>
  </w:footnote>
  <w:footnote w:id="7">
    <w:p w14:paraId="28D5829D"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Artikel 80 Wmg en artikel 5:32 Awb. </w:t>
      </w:r>
    </w:p>
  </w:footnote>
  <w:footnote w:id="8">
    <w:p w14:paraId="2200999A" w14:textId="77777777" w:rsidR="006F206D" w:rsidRPr="006F206D" w:rsidRDefault="00000000" w:rsidP="006F206D">
      <w:pPr>
        <w:pStyle w:val="Voetnoottekst1"/>
        <w:contextualSpacing/>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Artikelen 83 en 86 tot en met 88 Wmg.</w:t>
      </w:r>
    </w:p>
  </w:footnote>
  <w:footnote w:id="9">
    <w:p w14:paraId="0C117740" w14:textId="77777777" w:rsidR="006F206D" w:rsidRPr="00103DCF" w:rsidRDefault="00000000" w:rsidP="006F206D">
      <w:pPr>
        <w:pStyle w:val="Voetnoottekst1"/>
        <w:rPr>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Onder bestuurlijke sanctie wordt verstaan: een door een bestuursorgaan wegens een overtreding opgelegde verplichting of onthouden aanspraak (zie artikel 5:2, eerste lid, Awb).</w:t>
      </w:r>
    </w:p>
  </w:footnote>
  <w:footnote w:id="10">
    <w:p w14:paraId="15187E9C"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Zie artikel 6 van het Europees Verdrag tot bescherming van de rechten van de mens en de fundamentele vrijheden (EVRM)</w:t>
      </w:r>
    </w:p>
  </w:footnote>
  <w:footnote w:id="11">
    <w:p w14:paraId="67BDEE87"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Het zogenoemde lex certa-beginsel, dat onder meer besloten ligt in artikel 7 EVRM en artikel 5:4 Awb.</w:t>
      </w:r>
    </w:p>
  </w:footnote>
  <w:footnote w:id="12">
    <w:p w14:paraId="7C74924C"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Zie artikel 5:2, eerste lid, onderdeel b, Awb. </w:t>
      </w:r>
    </w:p>
  </w:footnote>
  <w:footnote w:id="13">
    <w:p w14:paraId="1F1D64F9"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Zie artikel 11 Zvw.</w:t>
      </w:r>
    </w:p>
  </w:footnote>
  <w:footnote w:id="14">
    <w:p w14:paraId="45B76592"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Zie Staatscourant 2017, 66048.</w:t>
      </w:r>
    </w:p>
  </w:footnote>
  <w:footnote w:id="15">
    <w:p w14:paraId="27C065F6" w14:textId="77777777" w:rsidR="006F206D" w:rsidRPr="006F206D" w:rsidRDefault="00000000" w:rsidP="006F206D">
      <w:pPr>
        <w:pStyle w:val="Voetnoottekst1"/>
        <w:rPr>
          <w:rFonts w:ascii="Verdana" w:hAnsi="Verdana"/>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Bijlage bij Kamerstukken II 2020/21, 29689, nr. 1088.</w:t>
      </w:r>
    </w:p>
  </w:footnote>
  <w:footnote w:id="16">
    <w:p w14:paraId="1B1452A1" w14:textId="77777777" w:rsidR="006F206D" w:rsidRPr="00126F91" w:rsidRDefault="00000000" w:rsidP="006F206D">
      <w:pPr>
        <w:pStyle w:val="Voetnoottekst1"/>
        <w:rPr>
          <w:sz w:val="16"/>
          <w:szCs w:val="16"/>
        </w:rPr>
      </w:pPr>
      <w:r w:rsidRPr="006F206D">
        <w:rPr>
          <w:rStyle w:val="Voetnootmarkering"/>
          <w:rFonts w:ascii="Verdana" w:hAnsi="Verdana"/>
          <w:sz w:val="16"/>
          <w:szCs w:val="16"/>
        </w:rPr>
        <w:footnoteRef/>
      </w:r>
      <w:r w:rsidRPr="006F206D">
        <w:rPr>
          <w:rFonts w:ascii="Verdana" w:hAnsi="Verdana"/>
          <w:sz w:val="16"/>
          <w:szCs w:val="16"/>
        </w:rPr>
        <w:t xml:space="preserve"> Zie artikel 77 Wmg.</w:t>
      </w:r>
      <w:r w:rsidRPr="00126F91">
        <w:rPr>
          <w:sz w:val="16"/>
          <w:szCs w:val="16"/>
        </w:rPr>
        <w:t xml:space="preserve"> </w:t>
      </w:r>
    </w:p>
  </w:footnote>
  <w:footnote w:id="17">
    <w:p w14:paraId="75B2B02B" w14:textId="77777777" w:rsidR="006F206D" w:rsidRPr="00244CCE" w:rsidRDefault="00000000" w:rsidP="006F206D">
      <w:pPr>
        <w:pStyle w:val="Voetnoottekst1"/>
        <w:rPr>
          <w:rFonts w:ascii="Verdana" w:hAnsi="Verdana"/>
          <w:sz w:val="16"/>
          <w:szCs w:val="16"/>
        </w:rPr>
      </w:pPr>
      <w:r w:rsidRPr="00244CCE">
        <w:rPr>
          <w:rStyle w:val="Voetnootmarkering"/>
          <w:rFonts w:ascii="Verdana" w:hAnsi="Verdana"/>
          <w:sz w:val="16"/>
          <w:szCs w:val="16"/>
        </w:rPr>
        <w:footnoteRef/>
      </w:r>
      <w:r w:rsidRPr="00244CCE">
        <w:rPr>
          <w:rFonts w:ascii="Verdana" w:hAnsi="Verdana"/>
          <w:sz w:val="16"/>
          <w:szCs w:val="16"/>
        </w:rPr>
        <w:t xml:space="preserve"> Zie artikel 80 Wmg en artikel 5:32 Awb.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3415"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1216415D" wp14:editId="7AD647E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9914ED3" wp14:editId="2689A954">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A31C998">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78D1724F" w14:textId="77777777" w:rsidR="00CD5856" w:rsidRDefault="00000000">
                <w:pPr>
                  <w:pStyle w:val="Huisstijl-AfzendgegevensW1"/>
                </w:pPr>
                <w:r>
                  <w:t>Bezoekadres</w:t>
                </w:r>
              </w:p>
              <w:p w14:paraId="161B4A92" w14:textId="77777777" w:rsidR="00CD5856" w:rsidRDefault="00000000">
                <w:pPr>
                  <w:pStyle w:val="Huisstijl-Afzendgegevens"/>
                </w:pPr>
                <w:r>
                  <w:t>Parnassusplein 5</w:t>
                </w:r>
              </w:p>
              <w:p w14:paraId="30087EE8"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0F96924" w14:textId="77777777" w:rsidR="00CD5856" w:rsidRDefault="00000000">
                <w:pPr>
                  <w:pStyle w:val="Huisstijl-Afzendgegevens"/>
                </w:pPr>
                <w:r w:rsidRPr="008D59C5">
                  <w:t>www.rijksoverheid.nl</w:t>
                </w:r>
              </w:p>
              <w:p w14:paraId="0B436246" w14:textId="77777777" w:rsidR="00CD5856" w:rsidRDefault="00000000">
                <w:pPr>
                  <w:pStyle w:val="Huisstijl-ReferentiegegevenskopW2"/>
                </w:pPr>
                <w:r w:rsidRPr="008D59C5">
                  <w:t>Kenmerk</w:t>
                </w:r>
              </w:p>
              <w:p w14:paraId="331DC2E4" w14:textId="77777777" w:rsidR="00CD5856" w:rsidRDefault="00000000">
                <w:pPr>
                  <w:pStyle w:val="Huisstijl-Referentiegegevens"/>
                </w:pPr>
                <w:bookmarkStart w:id="0" w:name="_Hlk117784077"/>
                <w:r>
                  <w:t>4035504-1077153-PZO</w:t>
                </w:r>
              </w:p>
              <w:bookmarkEnd w:id="0"/>
              <w:p w14:paraId="17CA65CB" w14:textId="77777777" w:rsidR="00215CB5" w:rsidRDefault="00000000">
                <w:pPr>
                  <w:pStyle w:val="Huisstijl-ReferentiegegevenskopW1"/>
                </w:pPr>
                <w:r w:rsidRPr="008D59C5">
                  <w:t>Bijlage(n)</w:t>
                </w:r>
                <w:r w:rsidR="00CD6C89">
                  <w:br/>
                  <w:t>-</w:t>
                </w:r>
              </w:p>
              <w:p w14:paraId="4AAFE2BB" w14:textId="77777777" w:rsidR="00CD5856" w:rsidRDefault="00000000">
                <w:pPr>
                  <w:pStyle w:val="Huisstijl-ReferentiegegevenskopW1"/>
                </w:pPr>
                <w:r>
                  <w:t>Kenmerk afzender</w:t>
                </w:r>
              </w:p>
              <w:p w14:paraId="5899EC6F" w14:textId="77777777" w:rsidR="00CD5856" w:rsidRDefault="00CD5856">
                <w:pPr>
                  <w:pStyle w:val="Huisstijl-Referentiegegevens"/>
                </w:pPr>
              </w:p>
              <w:p w14:paraId="241049A0" w14:textId="77777777" w:rsidR="00CD5856" w:rsidRDefault="00000000">
                <w:pPr>
                  <w:pStyle w:val="Huisstijl-Algemenevoorwaarden"/>
                </w:pPr>
                <w:r>
                  <w:t>Correspondentie uitsluitend richten aan het retouradres met vermelding van de datum en het kenmerk van deze brief.</w:t>
                </w:r>
              </w:p>
              <w:p w14:paraId="1FE536CD" w14:textId="77777777" w:rsidR="00CD5856" w:rsidRDefault="00CD5856"/>
            </w:txbxContent>
          </v:textbox>
          <w10:wrap anchorx="page" anchory="page"/>
        </v:shape>
      </w:pict>
    </w:r>
    <w:r>
      <w:rPr>
        <w:lang w:eastAsia="nl-NL" w:bidi="ar-SA"/>
      </w:rPr>
      <w:pict w14:anchorId="330F8A09">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797223A9" w14:textId="50546412" w:rsidR="00CD5856" w:rsidRDefault="00000000">
                <w:pPr>
                  <w:pStyle w:val="Huisstijl-Datumenbetreft"/>
                  <w:tabs>
                    <w:tab w:val="clear" w:pos="737"/>
                    <w:tab w:val="left" w:pos="-5954"/>
                    <w:tab w:val="left" w:pos="-5670"/>
                    <w:tab w:val="left" w:pos="1134"/>
                  </w:tabs>
                </w:pPr>
                <w:r>
                  <w:t>Datum</w:t>
                </w:r>
                <w:r w:rsidR="00E1490C">
                  <w:tab/>
                </w:r>
                <w:r w:rsidR="00847A2D">
                  <w:t>12 februari 2025</w:t>
                </w:r>
              </w:p>
              <w:p w14:paraId="2ACF13F7" w14:textId="77777777" w:rsidR="00CD5856" w:rsidRDefault="00000000">
                <w:pPr>
                  <w:pStyle w:val="Huisstijl-Datumenbetreft"/>
                  <w:tabs>
                    <w:tab w:val="clear" w:pos="737"/>
                    <w:tab w:val="left" w:pos="-5954"/>
                    <w:tab w:val="left" w:pos="-5670"/>
                    <w:tab w:val="left" w:pos="1134"/>
                  </w:tabs>
                </w:pPr>
                <w:r>
                  <w:t>Betreft</w:t>
                </w:r>
                <w:r w:rsidR="00E1490C">
                  <w:tab/>
                </w:r>
                <w:r w:rsidR="006F206D">
                  <w:t>Motie handhaven zorgplicht (36357-19)</w:t>
                </w:r>
              </w:p>
              <w:p w14:paraId="653DB116"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762F4F7C">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0DE21EE" w14:textId="77777777" w:rsidR="00CD5856" w:rsidRDefault="00CD5856">
                <w:pPr>
                  <w:pStyle w:val="Huisstijl-Toezendgegevens"/>
                </w:pPr>
              </w:p>
            </w:txbxContent>
          </v:textbox>
          <w10:wrap anchorx="page" anchory="page"/>
        </v:shape>
      </w:pict>
    </w:r>
    <w:r>
      <w:rPr>
        <w:lang w:eastAsia="nl-NL" w:bidi="ar-SA"/>
      </w:rPr>
      <w:pict w14:anchorId="10094E8C">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1BDCBF4"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0170622">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558B27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A16A" w14:textId="77777777" w:rsidR="00CD5856" w:rsidRDefault="00000000">
    <w:pPr>
      <w:pStyle w:val="Koptekst"/>
    </w:pPr>
    <w:r>
      <w:rPr>
        <w:lang w:eastAsia="nl-NL" w:bidi="ar-SA"/>
      </w:rPr>
      <w:pict w14:anchorId="76DE5FC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565AC9DC" w14:textId="77777777" w:rsidR="00CD5856" w:rsidRDefault="00000000">
                <w:pPr>
                  <w:pStyle w:val="Huisstijl-ReferentiegegevenskopW2"/>
                </w:pPr>
                <w:r w:rsidRPr="008D59C5">
                  <w:t>Kenmerk</w:t>
                </w:r>
              </w:p>
              <w:p w14:paraId="73FEE1C6" w14:textId="77777777" w:rsidR="00C95CA9" w:rsidRPr="00C95CA9" w:rsidRDefault="00000000" w:rsidP="00C95CA9">
                <w:pPr>
                  <w:pStyle w:val="Huisstijl-Referentiegegevens"/>
                </w:pPr>
                <w:r w:rsidRPr="00C95CA9">
                  <w:t>4035504-1077153-PZO</w:t>
                </w:r>
              </w:p>
              <w:p w14:paraId="14285581" w14:textId="77777777" w:rsidR="00CD5856" w:rsidRDefault="00CD5856">
                <w:pPr>
                  <w:pStyle w:val="Huisstijl-Referentiegegevens"/>
                </w:pPr>
              </w:p>
            </w:txbxContent>
          </v:textbox>
          <w10:wrap anchorx="page" anchory="page"/>
        </v:shape>
      </w:pict>
    </w:r>
    <w:r>
      <w:rPr>
        <w:lang w:eastAsia="nl-NL" w:bidi="ar-SA"/>
      </w:rPr>
      <w:pict w14:anchorId="4C0D0625">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3D7DB316" w14:textId="0F94FA94"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BB597C">
                  <w:fldChar w:fldCharType="begin"/>
                </w:r>
                <w:r>
                  <w:instrText xml:space="preserve"> SECTIONPAGES  \* Arabic  \* MERGEFORMAT </w:instrText>
                </w:r>
                <w:r w:rsidR="00BB597C">
                  <w:fldChar w:fldCharType="separate"/>
                </w:r>
                <w:r w:rsidR="00847A2D">
                  <w:rPr>
                    <w:noProof/>
                  </w:rPr>
                  <w:t>4</w:t>
                </w:r>
                <w:r w:rsidR="00BB597C">
                  <w:rPr>
                    <w:noProof/>
                  </w:rPr>
                  <w:fldChar w:fldCharType="end"/>
                </w:r>
              </w:p>
              <w:p w14:paraId="1A4C2E08" w14:textId="77777777" w:rsidR="00CD5856" w:rsidRDefault="00CD5856"/>
              <w:p w14:paraId="778EB6FA" w14:textId="77777777" w:rsidR="00CD5856" w:rsidRDefault="00CD5856">
                <w:pPr>
                  <w:pStyle w:val="Huisstijl-Paginanummer"/>
                </w:pPr>
              </w:p>
              <w:p w14:paraId="390E9F5D"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64D2" w14:textId="77777777" w:rsidR="00CD5856" w:rsidRDefault="00000000">
    <w:pPr>
      <w:pStyle w:val="Koptekst"/>
    </w:pPr>
    <w:r>
      <w:rPr>
        <w:lang w:eastAsia="nl-NL" w:bidi="ar-SA"/>
      </w:rPr>
      <w:pict w14:anchorId="2AB1A3C4">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5BEF15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F25C7">
                      <w:t>26 juni 2014</w:t>
                    </w:r>
                  </w:sdtContent>
                </w:sdt>
              </w:p>
              <w:p w14:paraId="293E7A98" w14:textId="77777777" w:rsidR="00CD5856" w:rsidRDefault="00000000">
                <w:pPr>
                  <w:pStyle w:val="Huisstijl-Datumenbetreft"/>
                  <w:tabs>
                    <w:tab w:val="left" w:pos="-5954"/>
                    <w:tab w:val="left" w:pos="-5670"/>
                  </w:tabs>
                </w:pPr>
                <w:r>
                  <w:t>Betreft</w:t>
                </w:r>
                <w:r>
                  <w:tab/>
                </w:r>
                <w:r w:rsidR="008D59C5">
                  <w:t>BETREFT</w:t>
                </w:r>
              </w:p>
              <w:p w14:paraId="5CF1D738"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BE46660" wp14:editId="0438585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0A248B2" wp14:editId="6CCB798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50217F8">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0C40CC50" w14:textId="77777777" w:rsidR="00CD5856" w:rsidRDefault="00000000">
                <w:pPr>
                  <w:pStyle w:val="Huisstijl-Afzendgegevens"/>
                </w:pPr>
                <w:r w:rsidRPr="008D59C5">
                  <w:t>Rijnstraat 50</w:t>
                </w:r>
              </w:p>
              <w:p w14:paraId="2CEABF81" w14:textId="77777777" w:rsidR="00CD5856" w:rsidRDefault="00000000">
                <w:pPr>
                  <w:pStyle w:val="Huisstijl-Afzendgegevens"/>
                </w:pPr>
                <w:r w:rsidRPr="008D59C5">
                  <w:t>Den Haag</w:t>
                </w:r>
              </w:p>
              <w:p w14:paraId="44C1724F" w14:textId="77777777" w:rsidR="00CD5856" w:rsidRDefault="00000000">
                <w:pPr>
                  <w:pStyle w:val="Huisstijl-Afzendgegevens"/>
                </w:pPr>
                <w:r w:rsidRPr="008D59C5">
                  <w:t>www.rijksoverheid.nl</w:t>
                </w:r>
              </w:p>
              <w:p w14:paraId="4C4B0E40" w14:textId="77777777" w:rsidR="00CD5856" w:rsidRDefault="00000000">
                <w:pPr>
                  <w:pStyle w:val="Huisstijl-AfzendgegevenskopW1"/>
                </w:pPr>
                <w:r>
                  <w:t>Contactpersoon</w:t>
                </w:r>
              </w:p>
              <w:p w14:paraId="766E8703" w14:textId="77777777" w:rsidR="00CD5856" w:rsidRDefault="00000000">
                <w:pPr>
                  <w:pStyle w:val="Huisstijl-Afzendgegevens"/>
                </w:pPr>
                <w:r w:rsidRPr="008D59C5">
                  <w:t>ing. J.A. Ramlal</w:t>
                </w:r>
              </w:p>
              <w:p w14:paraId="093E6F29" w14:textId="77777777" w:rsidR="00CD5856" w:rsidRDefault="00000000">
                <w:pPr>
                  <w:pStyle w:val="Huisstijl-Afzendgegevens"/>
                </w:pPr>
                <w:r w:rsidRPr="008D59C5">
                  <w:t>ja.ramlal@minvws.nl</w:t>
                </w:r>
              </w:p>
              <w:p w14:paraId="3B3B2F1E" w14:textId="77777777" w:rsidR="00CD5856" w:rsidRDefault="00000000">
                <w:pPr>
                  <w:pStyle w:val="Huisstijl-ReferentiegegevenskopW2"/>
                </w:pPr>
                <w:r>
                  <w:t>Ons kenmerk</w:t>
                </w:r>
              </w:p>
              <w:p w14:paraId="688B66B7" w14:textId="77777777" w:rsidR="00CD5856" w:rsidRDefault="00000000">
                <w:pPr>
                  <w:pStyle w:val="Huisstijl-Referentiegegevens"/>
                </w:pPr>
                <w:r>
                  <w:t>KENMERK</w:t>
                </w:r>
              </w:p>
              <w:p w14:paraId="46F06BFF" w14:textId="77777777" w:rsidR="00CD5856" w:rsidRDefault="00000000">
                <w:pPr>
                  <w:pStyle w:val="Huisstijl-ReferentiegegevenskopW1"/>
                </w:pPr>
                <w:r>
                  <w:t>Uw kenmerk</w:t>
                </w:r>
              </w:p>
              <w:p w14:paraId="106BF699" w14:textId="77777777" w:rsidR="00CD5856" w:rsidRDefault="00000000">
                <w:pPr>
                  <w:pStyle w:val="Huisstijl-Referentiegegevens"/>
                </w:pPr>
                <w:r>
                  <w:t>UW BRIEF</w:t>
                </w:r>
              </w:p>
            </w:txbxContent>
          </v:textbox>
          <w10:wrap anchorx="page" anchory="page"/>
        </v:shape>
      </w:pict>
    </w:r>
    <w:r>
      <w:rPr>
        <w:lang w:eastAsia="nl-NL" w:bidi="ar-SA"/>
      </w:rPr>
      <w:pict w14:anchorId="4C5E6813">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6487F146"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CCB78B8">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7BCD35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04E3003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805D9D5" w14:textId="77777777" w:rsidR="00CD5856" w:rsidRDefault="00CD5856">
                <w:pPr>
                  <w:pStyle w:val="Huisstijl-Toezendgegevens"/>
                </w:pPr>
              </w:p>
            </w:txbxContent>
          </v:textbox>
          <w10:wrap anchorx="page" anchory="page"/>
        </v:shape>
      </w:pict>
    </w:r>
    <w:r>
      <w:rPr>
        <w:lang w:eastAsia="nl-NL" w:bidi="ar-SA"/>
      </w:rPr>
      <w:pict w14:anchorId="138B0702">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5DE96F1"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80104284">
      <w:numFmt w:val="bullet"/>
      <w:lvlText w:val=""/>
      <w:lvlJc w:val="left"/>
      <w:pPr>
        <w:ind w:left="720" w:hanging="360"/>
      </w:pPr>
      <w:rPr>
        <w:rFonts w:ascii="Wingdings" w:eastAsia="DejaVu Sans" w:hAnsi="Wingdings" w:cs="Lohit Hindi" w:hint="default"/>
      </w:rPr>
    </w:lvl>
    <w:lvl w:ilvl="1" w:tplc="3D22BDB8" w:tentative="1">
      <w:start w:val="1"/>
      <w:numFmt w:val="bullet"/>
      <w:lvlText w:val="o"/>
      <w:lvlJc w:val="left"/>
      <w:pPr>
        <w:ind w:left="1440" w:hanging="360"/>
      </w:pPr>
      <w:rPr>
        <w:rFonts w:ascii="Courier New" w:hAnsi="Courier New" w:cs="Courier New" w:hint="default"/>
      </w:rPr>
    </w:lvl>
    <w:lvl w:ilvl="2" w:tplc="DDD843E2" w:tentative="1">
      <w:start w:val="1"/>
      <w:numFmt w:val="bullet"/>
      <w:lvlText w:val=""/>
      <w:lvlJc w:val="left"/>
      <w:pPr>
        <w:ind w:left="2160" w:hanging="360"/>
      </w:pPr>
      <w:rPr>
        <w:rFonts w:ascii="Wingdings" w:hAnsi="Wingdings" w:hint="default"/>
      </w:rPr>
    </w:lvl>
    <w:lvl w:ilvl="3" w:tplc="B53AE68E" w:tentative="1">
      <w:start w:val="1"/>
      <w:numFmt w:val="bullet"/>
      <w:lvlText w:val=""/>
      <w:lvlJc w:val="left"/>
      <w:pPr>
        <w:ind w:left="2880" w:hanging="360"/>
      </w:pPr>
      <w:rPr>
        <w:rFonts w:ascii="Symbol" w:hAnsi="Symbol" w:hint="default"/>
      </w:rPr>
    </w:lvl>
    <w:lvl w:ilvl="4" w:tplc="776259AA" w:tentative="1">
      <w:start w:val="1"/>
      <w:numFmt w:val="bullet"/>
      <w:lvlText w:val="o"/>
      <w:lvlJc w:val="left"/>
      <w:pPr>
        <w:ind w:left="3600" w:hanging="360"/>
      </w:pPr>
      <w:rPr>
        <w:rFonts w:ascii="Courier New" w:hAnsi="Courier New" w:cs="Courier New" w:hint="default"/>
      </w:rPr>
    </w:lvl>
    <w:lvl w:ilvl="5" w:tplc="63B44CA6" w:tentative="1">
      <w:start w:val="1"/>
      <w:numFmt w:val="bullet"/>
      <w:lvlText w:val=""/>
      <w:lvlJc w:val="left"/>
      <w:pPr>
        <w:ind w:left="4320" w:hanging="360"/>
      </w:pPr>
      <w:rPr>
        <w:rFonts w:ascii="Wingdings" w:hAnsi="Wingdings" w:hint="default"/>
      </w:rPr>
    </w:lvl>
    <w:lvl w:ilvl="6" w:tplc="02AE06D6" w:tentative="1">
      <w:start w:val="1"/>
      <w:numFmt w:val="bullet"/>
      <w:lvlText w:val=""/>
      <w:lvlJc w:val="left"/>
      <w:pPr>
        <w:ind w:left="5040" w:hanging="360"/>
      </w:pPr>
      <w:rPr>
        <w:rFonts w:ascii="Symbol" w:hAnsi="Symbol" w:hint="default"/>
      </w:rPr>
    </w:lvl>
    <w:lvl w:ilvl="7" w:tplc="A08C9C02" w:tentative="1">
      <w:start w:val="1"/>
      <w:numFmt w:val="bullet"/>
      <w:lvlText w:val="o"/>
      <w:lvlJc w:val="left"/>
      <w:pPr>
        <w:ind w:left="5760" w:hanging="360"/>
      </w:pPr>
      <w:rPr>
        <w:rFonts w:ascii="Courier New" w:hAnsi="Courier New" w:cs="Courier New" w:hint="default"/>
      </w:rPr>
    </w:lvl>
    <w:lvl w:ilvl="8" w:tplc="7FB22D52" w:tentative="1">
      <w:start w:val="1"/>
      <w:numFmt w:val="bullet"/>
      <w:lvlText w:val=""/>
      <w:lvlJc w:val="left"/>
      <w:pPr>
        <w:ind w:left="6480" w:hanging="360"/>
      </w:pPr>
      <w:rPr>
        <w:rFonts w:ascii="Wingdings" w:hAnsi="Wingdings" w:hint="default"/>
      </w:rPr>
    </w:lvl>
  </w:abstractNum>
  <w:abstractNum w:abstractNumId="1" w15:restartNumberingAfterBreak="0">
    <w:nsid w:val="7F9143CA"/>
    <w:multiLevelType w:val="hybridMultilevel"/>
    <w:tmpl w:val="C6E0F3EE"/>
    <w:lvl w:ilvl="0" w:tplc="8A72BF7A">
      <w:start w:val="1"/>
      <w:numFmt w:val="bullet"/>
      <w:lvlText w:val=""/>
      <w:lvlJc w:val="left"/>
      <w:pPr>
        <w:ind w:left="720" w:hanging="360"/>
      </w:pPr>
      <w:rPr>
        <w:rFonts w:ascii="Symbol" w:hAnsi="Symbol" w:hint="default"/>
      </w:rPr>
    </w:lvl>
    <w:lvl w:ilvl="1" w:tplc="38BE18E6" w:tentative="1">
      <w:start w:val="1"/>
      <w:numFmt w:val="bullet"/>
      <w:lvlText w:val="o"/>
      <w:lvlJc w:val="left"/>
      <w:pPr>
        <w:ind w:left="1440" w:hanging="360"/>
      </w:pPr>
      <w:rPr>
        <w:rFonts w:ascii="Courier New" w:hAnsi="Courier New" w:cs="Courier New" w:hint="default"/>
      </w:rPr>
    </w:lvl>
    <w:lvl w:ilvl="2" w:tplc="83723352" w:tentative="1">
      <w:start w:val="1"/>
      <w:numFmt w:val="bullet"/>
      <w:lvlText w:val=""/>
      <w:lvlJc w:val="left"/>
      <w:pPr>
        <w:ind w:left="2160" w:hanging="360"/>
      </w:pPr>
      <w:rPr>
        <w:rFonts w:ascii="Wingdings" w:hAnsi="Wingdings" w:hint="default"/>
      </w:rPr>
    </w:lvl>
    <w:lvl w:ilvl="3" w:tplc="4FC46EF6" w:tentative="1">
      <w:start w:val="1"/>
      <w:numFmt w:val="bullet"/>
      <w:lvlText w:val=""/>
      <w:lvlJc w:val="left"/>
      <w:pPr>
        <w:ind w:left="2880" w:hanging="360"/>
      </w:pPr>
      <w:rPr>
        <w:rFonts w:ascii="Symbol" w:hAnsi="Symbol" w:hint="default"/>
      </w:rPr>
    </w:lvl>
    <w:lvl w:ilvl="4" w:tplc="459CBDA4" w:tentative="1">
      <w:start w:val="1"/>
      <w:numFmt w:val="bullet"/>
      <w:lvlText w:val="o"/>
      <w:lvlJc w:val="left"/>
      <w:pPr>
        <w:ind w:left="3600" w:hanging="360"/>
      </w:pPr>
      <w:rPr>
        <w:rFonts w:ascii="Courier New" w:hAnsi="Courier New" w:cs="Courier New" w:hint="default"/>
      </w:rPr>
    </w:lvl>
    <w:lvl w:ilvl="5" w:tplc="D52C9598" w:tentative="1">
      <w:start w:val="1"/>
      <w:numFmt w:val="bullet"/>
      <w:lvlText w:val=""/>
      <w:lvlJc w:val="left"/>
      <w:pPr>
        <w:ind w:left="4320" w:hanging="360"/>
      </w:pPr>
      <w:rPr>
        <w:rFonts w:ascii="Wingdings" w:hAnsi="Wingdings" w:hint="default"/>
      </w:rPr>
    </w:lvl>
    <w:lvl w:ilvl="6" w:tplc="82BAB4E6" w:tentative="1">
      <w:start w:val="1"/>
      <w:numFmt w:val="bullet"/>
      <w:lvlText w:val=""/>
      <w:lvlJc w:val="left"/>
      <w:pPr>
        <w:ind w:left="5040" w:hanging="360"/>
      </w:pPr>
      <w:rPr>
        <w:rFonts w:ascii="Symbol" w:hAnsi="Symbol" w:hint="default"/>
      </w:rPr>
    </w:lvl>
    <w:lvl w:ilvl="7" w:tplc="6F28EA72" w:tentative="1">
      <w:start w:val="1"/>
      <w:numFmt w:val="bullet"/>
      <w:lvlText w:val="o"/>
      <w:lvlJc w:val="left"/>
      <w:pPr>
        <w:ind w:left="5760" w:hanging="360"/>
      </w:pPr>
      <w:rPr>
        <w:rFonts w:ascii="Courier New" w:hAnsi="Courier New" w:cs="Courier New" w:hint="default"/>
      </w:rPr>
    </w:lvl>
    <w:lvl w:ilvl="8" w:tplc="D7D47EA6" w:tentative="1">
      <w:start w:val="1"/>
      <w:numFmt w:val="bullet"/>
      <w:lvlText w:val=""/>
      <w:lvlJc w:val="left"/>
      <w:pPr>
        <w:ind w:left="6480" w:hanging="360"/>
      </w:pPr>
      <w:rPr>
        <w:rFonts w:ascii="Wingdings" w:hAnsi="Wingdings" w:hint="default"/>
      </w:rPr>
    </w:lvl>
  </w:abstractNum>
  <w:num w:numId="1" w16cid:durableId="1321498351">
    <w:abstractNumId w:val="0"/>
  </w:num>
  <w:num w:numId="2" w16cid:durableId="907809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57E"/>
    <w:rsid w:val="000B1832"/>
    <w:rsid w:val="000B38E6"/>
    <w:rsid w:val="000B45B1"/>
    <w:rsid w:val="000C29E1"/>
    <w:rsid w:val="000D0CCB"/>
    <w:rsid w:val="000D6D8A"/>
    <w:rsid w:val="000E2F12"/>
    <w:rsid w:val="000E54B6"/>
    <w:rsid w:val="00103DCF"/>
    <w:rsid w:val="00113778"/>
    <w:rsid w:val="00125BDF"/>
    <w:rsid w:val="00126F91"/>
    <w:rsid w:val="00172CD9"/>
    <w:rsid w:val="001B41E1"/>
    <w:rsid w:val="001B7303"/>
    <w:rsid w:val="00215CB5"/>
    <w:rsid w:val="00235AED"/>
    <w:rsid w:val="00241BB9"/>
    <w:rsid w:val="00244CCE"/>
    <w:rsid w:val="00263DDF"/>
    <w:rsid w:val="00297795"/>
    <w:rsid w:val="002B1D9F"/>
    <w:rsid w:val="002B504F"/>
    <w:rsid w:val="002D38F6"/>
    <w:rsid w:val="002F4886"/>
    <w:rsid w:val="00334C45"/>
    <w:rsid w:val="003451E2"/>
    <w:rsid w:val="00347F1B"/>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2738"/>
    <w:rsid w:val="00544135"/>
    <w:rsid w:val="005600D7"/>
    <w:rsid w:val="005677D6"/>
    <w:rsid w:val="00582E97"/>
    <w:rsid w:val="00587714"/>
    <w:rsid w:val="005C3CD4"/>
    <w:rsid w:val="005D327A"/>
    <w:rsid w:val="0063555A"/>
    <w:rsid w:val="00686885"/>
    <w:rsid w:val="006922AC"/>
    <w:rsid w:val="00697032"/>
    <w:rsid w:val="006B16C1"/>
    <w:rsid w:val="006F206D"/>
    <w:rsid w:val="006F25C7"/>
    <w:rsid w:val="0074764C"/>
    <w:rsid w:val="0076098D"/>
    <w:rsid w:val="00763E81"/>
    <w:rsid w:val="00776965"/>
    <w:rsid w:val="007A4F37"/>
    <w:rsid w:val="007B028B"/>
    <w:rsid w:val="007B6A41"/>
    <w:rsid w:val="007D0F21"/>
    <w:rsid w:val="007D23C6"/>
    <w:rsid w:val="007E1A73"/>
    <w:rsid w:val="007E36BA"/>
    <w:rsid w:val="007F380D"/>
    <w:rsid w:val="007F4A98"/>
    <w:rsid w:val="00847A2D"/>
    <w:rsid w:val="008543CD"/>
    <w:rsid w:val="0087691C"/>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B597C"/>
    <w:rsid w:val="00BC481F"/>
    <w:rsid w:val="00BD75C1"/>
    <w:rsid w:val="00C3438D"/>
    <w:rsid w:val="00C62B6C"/>
    <w:rsid w:val="00C81260"/>
    <w:rsid w:val="00C942A8"/>
    <w:rsid w:val="00C95CA9"/>
    <w:rsid w:val="00CA061B"/>
    <w:rsid w:val="00CD4AED"/>
    <w:rsid w:val="00CD5856"/>
    <w:rsid w:val="00CD6C89"/>
    <w:rsid w:val="00CF0F2E"/>
    <w:rsid w:val="00CF3E82"/>
    <w:rsid w:val="00D0522C"/>
    <w:rsid w:val="00D52956"/>
    <w:rsid w:val="00D54679"/>
    <w:rsid w:val="00D67BAF"/>
    <w:rsid w:val="00DA15A1"/>
    <w:rsid w:val="00DC7639"/>
    <w:rsid w:val="00E1490C"/>
    <w:rsid w:val="00E37122"/>
    <w:rsid w:val="00E77EDE"/>
    <w:rsid w:val="00E85195"/>
    <w:rsid w:val="00EA275E"/>
    <w:rsid w:val="00EE23CE"/>
    <w:rsid w:val="00EE2A9D"/>
    <w:rsid w:val="00F21A47"/>
    <w:rsid w:val="00F32EA9"/>
    <w:rsid w:val="00F5008B"/>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05505A94"/>
  <w15:docId w15:val="{99D9EEC6-B1AF-4E35-AAE6-E267B9B71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Voetnoottekst1">
    <w:name w:val="Voetnoottekst1"/>
    <w:basedOn w:val="Standaard"/>
    <w:next w:val="Voetnoottekst"/>
    <w:link w:val="VoetnoottekstChar"/>
    <w:uiPriority w:val="99"/>
    <w:semiHidden/>
    <w:unhideWhenUsed/>
    <w:rsid w:val="006F206D"/>
    <w:pPr>
      <w:widowControl/>
      <w:suppressAutoHyphens w:val="0"/>
      <w:autoSpaceDN/>
      <w:spacing w:line="240" w:lineRule="auto"/>
      <w:textAlignment w:val="auto"/>
    </w:pPr>
    <w:rPr>
      <w:rFonts w:ascii="Times New Roman" w:hAnsi="Times New Roman"/>
      <w:sz w:val="20"/>
      <w:szCs w:val="20"/>
    </w:rPr>
  </w:style>
  <w:style w:type="character" w:customStyle="1" w:styleId="VoetnoottekstChar">
    <w:name w:val="Voetnoottekst Char"/>
    <w:basedOn w:val="Standaardalinea-lettertype"/>
    <w:link w:val="Voetnoottekst1"/>
    <w:uiPriority w:val="99"/>
    <w:semiHidden/>
    <w:rsid w:val="006F206D"/>
    <w:rPr>
      <w:sz w:val="20"/>
      <w:szCs w:val="20"/>
    </w:rPr>
  </w:style>
  <w:style w:type="character" w:styleId="Voetnootmarkering">
    <w:name w:val="footnote reference"/>
    <w:uiPriority w:val="99"/>
    <w:unhideWhenUsed/>
    <w:qFormat/>
    <w:rsid w:val="006F206D"/>
    <w:rPr>
      <w:vertAlign w:val="superscript"/>
    </w:rPr>
  </w:style>
  <w:style w:type="paragraph" w:styleId="Voetnoottekst">
    <w:name w:val="footnote text"/>
    <w:basedOn w:val="Standaard"/>
    <w:link w:val="VoetnoottekstChar1"/>
    <w:uiPriority w:val="99"/>
    <w:semiHidden/>
    <w:unhideWhenUsed/>
    <w:rsid w:val="006F206D"/>
    <w:pPr>
      <w:spacing w:line="240" w:lineRule="auto"/>
    </w:pPr>
    <w:rPr>
      <w:rFonts w:cs="Mangal"/>
      <w:sz w:val="20"/>
      <w:szCs w:val="18"/>
    </w:rPr>
  </w:style>
  <w:style w:type="character" w:customStyle="1" w:styleId="VoetnoottekstChar1">
    <w:name w:val="Voetnoottekst Char1"/>
    <w:basedOn w:val="Standaardalinea-lettertype"/>
    <w:link w:val="Voetnoottekst"/>
    <w:uiPriority w:val="99"/>
    <w:semiHidden/>
    <w:rsid w:val="006F206D"/>
    <w:rPr>
      <w:rFonts w:ascii="Verdana" w:hAnsi="Verdana"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1589</ap:Words>
  <ap:Characters>8743</ap:Characters>
  <ap:DocSecurity>0</ap:DocSecurity>
  <ap:Lines>72</ap:Lines>
  <ap:Paragraphs>20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2025-02-12T13:15:00.0000000Z</lastPrinted>
  <dcterms:created xsi:type="dcterms:W3CDTF">2014-06-26T12:56:00.0000000Z</dcterms:created>
  <dcterms:modified xsi:type="dcterms:W3CDTF">2025-02-12T13:19:00.0000000Z</dcterms:modified>
  <dc:creator/>
  <dc:description>------------------------</dc:description>
  <dc:subject/>
  <dc:title/>
  <keywords/>
  <version/>
  <category/>
</coreProperties>
</file>