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E9C" w:rsidP="007B2E9C" w:rsidRDefault="2694BDF7" w14:paraId="3FC31C3A" w14:textId="77777777">
      <w:pPr>
        <w:pStyle w:val="StandaardAanhef"/>
      </w:pPr>
      <w:r>
        <w:t>Geachte voorzitter,</w:t>
      </w:r>
    </w:p>
    <w:p w:rsidRPr="00D557B8" w:rsidR="007B2E9C" w:rsidP="2694BDF7" w:rsidRDefault="007B2E9C" w14:paraId="3B1EA7C6" w14:textId="77777777">
      <w:pPr>
        <w:rPr>
          <w:color w:val="auto"/>
        </w:rPr>
      </w:pPr>
      <w:r w:rsidRPr="00D557B8">
        <w:rPr>
          <w:color w:val="auto"/>
        </w:rPr>
        <w:t>In het commissiedebat staatsdeelnemingen van 27 maart</w:t>
      </w:r>
      <w:r w:rsidR="004D4A1F">
        <w:rPr>
          <w:color w:val="auto"/>
        </w:rPr>
        <w:t xml:space="preserve"> 2024</w:t>
      </w:r>
      <w:r w:rsidRPr="00D557B8">
        <w:rPr>
          <w:color w:val="auto"/>
        </w:rPr>
        <w:t xml:space="preserve"> </w:t>
      </w:r>
      <w:r>
        <w:rPr>
          <w:color w:val="auto"/>
        </w:rPr>
        <w:t>is</w:t>
      </w:r>
      <w:r w:rsidRPr="00D557B8">
        <w:rPr>
          <w:color w:val="auto"/>
        </w:rPr>
        <w:t xml:space="preserve"> de toezegging</w:t>
      </w:r>
      <w:r>
        <w:rPr>
          <w:color w:val="auto"/>
        </w:rPr>
        <w:t xml:space="preserve"> gedaan</w:t>
      </w:r>
      <w:r w:rsidRPr="00D557B8">
        <w:rPr>
          <w:color w:val="auto"/>
        </w:rPr>
        <w:t xml:space="preserve"> om uw Kamer te informeren over het proces met betrekking tot de opvolging van de president van de Nederlandsche Bank (DNB).</w:t>
      </w:r>
      <w:r w:rsidRPr="00D557B8">
        <w:rPr>
          <w:rStyle w:val="Voetnootmarkering"/>
          <w:color w:val="auto"/>
        </w:rPr>
        <w:footnoteReference w:id="1"/>
      </w:r>
      <w:r w:rsidRPr="00D557B8">
        <w:rPr>
          <w:color w:val="auto"/>
        </w:rPr>
        <w:t xml:space="preserve"> Met deze brief geef ik hier opvolging aan. </w:t>
      </w:r>
    </w:p>
    <w:p w:rsidRPr="00D557B8" w:rsidR="007B2E9C" w:rsidP="007B2E9C" w:rsidRDefault="007B2E9C" w14:paraId="22173471" w14:textId="77777777">
      <w:pPr>
        <w:rPr>
          <w:color w:val="auto"/>
        </w:rPr>
      </w:pPr>
    </w:p>
    <w:p w:rsidRPr="00D557B8" w:rsidR="007B2E9C" w:rsidP="2694BDF7" w:rsidRDefault="007B2E9C" w14:paraId="6F43A0E6" w14:textId="77777777">
      <w:pPr>
        <w:rPr>
          <w:color w:val="auto"/>
        </w:rPr>
      </w:pPr>
      <w:r w:rsidRPr="00D557B8">
        <w:rPr>
          <w:color w:val="auto"/>
        </w:rPr>
        <w:t xml:space="preserve">De Bankwet 1998 bepaalt dat de president en de directeuren, die samen de directie van DNB vormen, voor een periode van zeven </w:t>
      </w:r>
      <w:r w:rsidR="006475FD">
        <w:rPr>
          <w:color w:val="auto"/>
        </w:rPr>
        <w:t>jaar</w:t>
      </w:r>
      <w:r w:rsidRPr="00D557B8">
        <w:rPr>
          <w:color w:val="auto"/>
        </w:rPr>
        <w:t xml:space="preserve"> bij koninklijk besluit worden benoemd.</w:t>
      </w:r>
      <w:r w:rsidRPr="00D557B8">
        <w:rPr>
          <w:rStyle w:val="Voetnootmarkering"/>
          <w:color w:val="auto"/>
        </w:rPr>
        <w:footnoteReference w:id="2"/>
      </w:r>
      <w:r w:rsidRPr="00D557B8">
        <w:rPr>
          <w:color w:val="auto"/>
        </w:rPr>
        <w:t xml:space="preserve"> Herbenoeming in dezelfde functie kan eenmaal plaatsvinden. De huidige president van DNB, de heer Knot, is per 1 juli 2011 benoemd en per 1 juli 2018 herbenoemd.</w:t>
      </w:r>
      <w:r w:rsidRPr="00D557B8">
        <w:rPr>
          <w:rStyle w:val="Voetnootmarkering"/>
          <w:color w:val="auto"/>
        </w:rPr>
        <w:footnoteReference w:id="3"/>
      </w:r>
      <w:r w:rsidRPr="00D557B8">
        <w:rPr>
          <w:color w:val="auto"/>
        </w:rPr>
        <w:t xml:space="preserve"> Met ingang van 1 juli 2025 zal zijn zittingstermijn als president van DNB van rechtswege eindigen. </w:t>
      </w:r>
    </w:p>
    <w:p w:rsidR="007B2E9C" w:rsidP="007B2E9C" w:rsidRDefault="007B2E9C" w14:paraId="10808D32" w14:textId="77777777"/>
    <w:p w:rsidR="007B2E9C" w:rsidP="007B2E9C" w:rsidRDefault="2694BDF7" w14:paraId="2EB57189" w14:textId="77777777">
      <w:r>
        <w:t>De procedure voor de benoeming van de president van DNB is vastgelegd in de Bankwet 1998 en de Wet op het financieel toezicht (Wft) en is gelijk aan de benoemingsprocedure van andere directieleden van DNB. Hieronder licht ik deze procedure toe.</w:t>
      </w:r>
    </w:p>
    <w:p w:rsidR="007B2E9C" w:rsidP="007B2E9C" w:rsidRDefault="007B2E9C" w14:paraId="01D15B5B" w14:textId="77777777"/>
    <w:p w:rsidRPr="0051355E" w:rsidR="007B2E9C" w:rsidP="007B2E9C" w:rsidRDefault="007B2E9C" w14:paraId="57AA6994" w14:textId="77777777">
      <w:r>
        <w:t>De basis voor de benoeming is de profielschets voor de directiefuncties van DNB.</w:t>
      </w:r>
      <w:r>
        <w:rPr>
          <w:rStyle w:val="Voetnootmarkering"/>
        </w:rPr>
        <w:footnoteReference w:id="4"/>
      </w:r>
      <w:r>
        <w:t xml:space="preserve"> In de bijlage treft u de profielschets, die de raad van commissarissen heeft geactualiseerd en die ik als minister van Financiën heb goedgekeurd. Op basis van deze profielschets stelt de raad van commissarissen een functieprofiel voor de concrete vacature op.</w:t>
      </w:r>
      <w:r>
        <w:rPr>
          <w:rStyle w:val="Voetnootmarkering"/>
        </w:rPr>
        <w:footnoteReference w:id="5"/>
      </w:r>
      <w:r>
        <w:t xml:space="preserve"> In dit functieprofiel wordt ingegaan op de vereiste deskundigheid en ervaring van de president </w:t>
      </w:r>
      <w:r>
        <w:rPr>
          <w:color w:val="auto"/>
        </w:rPr>
        <w:t xml:space="preserve">en de aard van de te verrichten werkzaamheden. </w:t>
      </w:r>
    </w:p>
    <w:p w:rsidR="007B2E9C" w:rsidP="007B2E9C" w:rsidRDefault="007B2E9C" w14:paraId="3FA14376" w14:textId="77777777">
      <w:pPr>
        <w:rPr>
          <w:color w:val="auto"/>
        </w:rPr>
      </w:pPr>
    </w:p>
    <w:p w:rsidR="007B2E9C" w:rsidP="007B2E9C" w:rsidRDefault="007B2E9C" w14:paraId="28A5D78A" w14:textId="77777777">
      <w:r>
        <w:rPr>
          <w:color w:val="auto"/>
        </w:rPr>
        <w:t xml:space="preserve">De </w:t>
      </w:r>
      <w:r w:rsidR="00D3711A">
        <w:rPr>
          <w:color w:val="auto"/>
        </w:rPr>
        <w:t xml:space="preserve">raad van commissarissen van DNB heeft het voortouw bij de </w:t>
      </w:r>
      <w:r>
        <w:rPr>
          <w:color w:val="auto"/>
        </w:rPr>
        <w:t>werving en selectie van kandidaten.</w:t>
      </w:r>
      <w:r>
        <w:rPr>
          <w:rStyle w:val="Voetnootmarkering"/>
          <w:color w:val="auto"/>
        </w:rPr>
        <w:footnoteReference w:id="6"/>
      </w:r>
      <w:r>
        <w:rPr>
          <w:color w:val="auto"/>
        </w:rPr>
        <w:t xml:space="preserve"> De raad betrekt hierbij in het kader van de huidige vacature een extern werving- en selectiebureau. Ook toetst de raad van </w:t>
      </w:r>
      <w:r>
        <w:rPr>
          <w:color w:val="auto"/>
        </w:rPr>
        <w:lastRenderedPageBreak/>
        <w:t>commissarissen de betrouwbaarheid en geschiktheid van de kandidaten, waarbij de raad zoveel mogelijk rekening houdt met regelgeving met betrekking tot betrouwbaarheid en geschiktheid zoals die op enig moment van toepassing is op de financiële sector.</w:t>
      </w:r>
      <w:r>
        <w:rPr>
          <w:rStyle w:val="Voetnootmarkering"/>
          <w:color w:val="auto"/>
        </w:rPr>
        <w:footnoteReference w:id="7"/>
      </w:r>
      <w:r w:rsidRPr="005A229B">
        <w:rPr>
          <w:color w:val="auto"/>
        </w:rPr>
        <w:t xml:space="preserve"> </w:t>
      </w:r>
      <w:r>
        <w:rPr>
          <w:color w:val="auto"/>
        </w:rPr>
        <w:t xml:space="preserve">Tijdens het wervingsproces brengt de raad van commissarissen op gezette momenten het ministerie op de hoogte van de voortgang van het proces. Een en ander </w:t>
      </w:r>
      <w:r>
        <w:t>resulteert in een aanbevelingslijst van doorgaans drie personen, opgemaakt door de raad van commissarissen.</w:t>
      </w:r>
      <w:r>
        <w:rPr>
          <w:rStyle w:val="Voetnootmarkering"/>
        </w:rPr>
        <w:footnoteReference w:id="8"/>
      </w:r>
    </w:p>
    <w:p w:rsidR="007B2E9C" w:rsidP="007B2E9C" w:rsidRDefault="007B2E9C" w14:paraId="7D4AA285" w14:textId="77777777"/>
    <w:p w:rsidR="007B2E9C" w:rsidP="007B2E9C" w:rsidRDefault="007B2E9C" w14:paraId="3349BCE8" w14:textId="77777777">
      <w:r>
        <w:t>De minister van Financiën beoordeelt vervolgens of de personen op de aanbevelingslijst, en in het bijzonder de persoon die de voorkeur van de raad van commissarissen geniet, voldoen aan de eisen zoals die voortvloeien uit de wet en het opgestelde functieprofiel. Op basis daarvan legt de minister van Financiën een kandidaat aan de ministerraad ter goedkeuring voor.</w:t>
      </w:r>
      <w:r>
        <w:rPr>
          <w:rStyle w:val="Voetnootmarkering"/>
        </w:rPr>
        <w:footnoteReference w:id="9"/>
      </w:r>
      <w:r>
        <w:t xml:space="preserve"> Na instemming van de ministerraad doet de minister van Financiën een voordracht aan de </w:t>
      </w:r>
      <w:r w:rsidR="00D3711A">
        <w:t>k</w:t>
      </w:r>
      <w:r>
        <w:t xml:space="preserve">oning van </w:t>
      </w:r>
      <w:r w:rsidRPr="004D4A1F">
        <w:t>het koninklijk besluit tot benoeming van de kandidaat.</w:t>
      </w:r>
      <w:r>
        <w:t xml:space="preserve"> Tot slot draagt </w:t>
      </w:r>
      <w:r w:rsidR="004D4A1F">
        <w:t>de minister</w:t>
      </w:r>
      <w:r w:rsidR="00D3711A">
        <w:t xml:space="preserve"> </w:t>
      </w:r>
      <w:r>
        <w:t>zorg voor de mededeling van dit besluit in de Staatscourant.</w:t>
      </w:r>
      <w:r>
        <w:rPr>
          <w:rStyle w:val="Voetnootmarkering"/>
        </w:rPr>
        <w:footnoteReference w:id="10"/>
      </w:r>
    </w:p>
    <w:p w:rsidR="007B2E9C" w:rsidP="007B2E9C" w:rsidRDefault="007B2E9C" w14:paraId="2EE0DC09" w14:textId="77777777"/>
    <w:p w:rsidRPr="00EE58B7" w:rsidR="007B2E9C" w:rsidP="2694BDF7" w:rsidRDefault="2694BDF7" w14:paraId="03661140" w14:textId="77777777">
      <w:pPr>
        <w:rPr>
          <w:color w:val="auto"/>
        </w:rPr>
      </w:pPr>
      <w:r w:rsidRPr="2694BDF7">
        <w:rPr>
          <w:color w:val="auto"/>
        </w:rPr>
        <w:t xml:space="preserve">Bovenstaand proces zal in de aanloop naar 1 juli 2025 plaatsvinden. Vanzelfsprekend is gedurende de selectie- en benoemingsprocedure regelmatig contact tussen mijn ministerie en de raad van commissarissen van DNB. Ik hecht, net als de raad van commissarissen, aan een tijdige en zorgvuldige procedure. De benoeming zal bekend worden gemaakt zodra de ministerraad daarmee heeft ingestemd. </w:t>
      </w:r>
    </w:p>
    <w:p w:rsidR="007B2E9C" w:rsidP="007B2E9C" w:rsidRDefault="2694BDF7" w14:paraId="7DB07EC4" w14:textId="77777777">
      <w:pPr>
        <w:pStyle w:val="StandaardSlotzin"/>
      </w:pPr>
      <w:r>
        <w:t>Hoogachtend,</w:t>
      </w:r>
    </w:p>
    <w:p w:rsidR="007B2E9C" w:rsidP="007B2E9C" w:rsidRDefault="007B2E9C" w14:paraId="76FC201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B2E9C" w:rsidTr="2694BDF7" w14:paraId="70E3D81A" w14:textId="77777777">
        <w:tc>
          <w:tcPr>
            <w:tcW w:w="3592" w:type="dxa"/>
          </w:tcPr>
          <w:p w:rsidR="007B2E9C" w:rsidP="00C9636F" w:rsidRDefault="2694BDF7" w14:paraId="4167C1A3" w14:textId="77777777">
            <w:r>
              <w:t>de minister van Financiën</w:t>
            </w:r>
            <w:r w:rsidR="007B2E9C">
              <w:br/>
            </w:r>
            <w:r w:rsidR="007B2E9C">
              <w:br/>
            </w:r>
            <w:r w:rsidR="007B2E9C">
              <w:br/>
            </w:r>
            <w:r w:rsidR="007B2E9C">
              <w:br/>
            </w:r>
            <w:r w:rsidR="007B2E9C">
              <w:br/>
            </w:r>
            <w:r w:rsidR="007B2E9C">
              <w:br/>
            </w:r>
            <w:r>
              <w:t xml:space="preserve"> E. Heinen</w:t>
            </w:r>
          </w:p>
        </w:tc>
        <w:tc>
          <w:tcPr>
            <w:tcW w:w="3892" w:type="dxa"/>
          </w:tcPr>
          <w:p w:rsidR="007B2E9C" w:rsidP="00C9636F" w:rsidRDefault="007B2E9C" w14:paraId="447C555E" w14:textId="77777777"/>
        </w:tc>
      </w:tr>
      <w:tr w:rsidR="00E951D3" w:rsidTr="2694BDF7" w14:paraId="5BC19BC0" w14:textId="77777777">
        <w:tc>
          <w:tcPr>
            <w:tcW w:w="3592" w:type="dxa"/>
          </w:tcPr>
          <w:p w:rsidR="00E951D3" w:rsidP="007B2E9C" w:rsidRDefault="00E951D3" w14:paraId="6FE65F4B" w14:textId="77777777">
            <w:pPr>
              <w:spacing w:line="240" w:lineRule="auto"/>
            </w:pPr>
          </w:p>
        </w:tc>
        <w:tc>
          <w:tcPr>
            <w:tcW w:w="3892" w:type="dxa"/>
          </w:tcPr>
          <w:p w:rsidR="00E951D3" w:rsidRDefault="00E951D3" w14:paraId="73E2B834" w14:textId="77777777"/>
        </w:tc>
      </w:tr>
      <w:tr w:rsidR="00E951D3" w:rsidTr="2694BDF7" w14:paraId="2037E117" w14:textId="77777777">
        <w:tc>
          <w:tcPr>
            <w:tcW w:w="3592" w:type="dxa"/>
          </w:tcPr>
          <w:p w:rsidR="00E951D3" w:rsidRDefault="00E951D3" w14:paraId="2D80EE24" w14:textId="77777777"/>
        </w:tc>
        <w:tc>
          <w:tcPr>
            <w:tcW w:w="3892" w:type="dxa"/>
          </w:tcPr>
          <w:p w:rsidR="00E951D3" w:rsidRDefault="00E951D3" w14:paraId="463CA94E" w14:textId="77777777"/>
        </w:tc>
      </w:tr>
    </w:tbl>
    <w:p w:rsidR="00E951D3" w:rsidRDefault="00E951D3" w14:paraId="1AC2FB56" w14:textId="77777777">
      <w:pPr>
        <w:pStyle w:val="Verdana7"/>
      </w:pPr>
    </w:p>
    <w:sectPr w:rsidR="00E951D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44A4" w14:textId="77777777" w:rsidR="007B2E9C" w:rsidRDefault="007B2E9C">
      <w:pPr>
        <w:spacing w:line="240" w:lineRule="auto"/>
      </w:pPr>
      <w:r>
        <w:separator/>
      </w:r>
    </w:p>
  </w:endnote>
  <w:endnote w:type="continuationSeparator" w:id="0">
    <w:p w14:paraId="442D7D5D" w14:textId="77777777" w:rsidR="007B2E9C" w:rsidRDefault="007B2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BBAC" w14:textId="77777777" w:rsidR="001F5BD6" w:rsidRDefault="001F5B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B117" w14:textId="77777777" w:rsidR="001F5BD6" w:rsidRDefault="001F5B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ED3D" w14:textId="77777777" w:rsidR="001F5BD6" w:rsidRDefault="001F5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1B71" w14:textId="77777777" w:rsidR="007B2E9C" w:rsidRDefault="007B2E9C">
      <w:pPr>
        <w:spacing w:line="240" w:lineRule="auto"/>
      </w:pPr>
      <w:r>
        <w:separator/>
      </w:r>
    </w:p>
  </w:footnote>
  <w:footnote w:type="continuationSeparator" w:id="0">
    <w:p w14:paraId="7E596382" w14:textId="77777777" w:rsidR="007B2E9C" w:rsidRDefault="007B2E9C">
      <w:pPr>
        <w:spacing w:line="240" w:lineRule="auto"/>
      </w:pPr>
      <w:r>
        <w:continuationSeparator/>
      </w:r>
    </w:p>
  </w:footnote>
  <w:footnote w:id="1">
    <w:p w14:paraId="39A4D23F" w14:textId="77777777" w:rsidR="007B2E9C" w:rsidRPr="00BA6A42" w:rsidRDefault="007B2E9C" w:rsidP="007B2E9C">
      <w:pPr>
        <w:pStyle w:val="Voetnoottekst"/>
        <w:rPr>
          <w:sz w:val="14"/>
          <w:szCs w:val="14"/>
        </w:rPr>
      </w:pPr>
      <w:r w:rsidRPr="00BA6A42">
        <w:rPr>
          <w:rStyle w:val="Voetnootmarkering"/>
          <w:color w:val="auto"/>
          <w:sz w:val="14"/>
          <w:szCs w:val="14"/>
        </w:rPr>
        <w:footnoteRef/>
      </w:r>
      <w:r w:rsidRPr="00BA6A42">
        <w:rPr>
          <w:color w:val="auto"/>
          <w:sz w:val="14"/>
          <w:szCs w:val="14"/>
        </w:rPr>
        <w:t xml:space="preserve"> Toezegging </w:t>
      </w:r>
      <w:r w:rsidRPr="00BA6A42">
        <w:rPr>
          <w:rFonts w:cs="Arial"/>
          <w:color w:val="auto"/>
          <w:sz w:val="14"/>
          <w:szCs w:val="14"/>
          <w:shd w:val="clear" w:color="auto" w:fill="FFFFFF"/>
        </w:rPr>
        <w:t>TZ202404-056.</w:t>
      </w:r>
    </w:p>
  </w:footnote>
  <w:footnote w:id="2">
    <w:p w14:paraId="03229435"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12, eerste en tweede lid, Bankwet 1998. </w:t>
      </w:r>
    </w:p>
  </w:footnote>
  <w:footnote w:id="3">
    <w:p w14:paraId="609C5625"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Stcrt. 2011, 12277; Stcrt. 2018, 31050.</w:t>
      </w:r>
    </w:p>
  </w:footnote>
  <w:footnote w:id="4">
    <w:p w14:paraId="68A1BFAE"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1:27a, derde lid, Wft.</w:t>
      </w:r>
    </w:p>
  </w:footnote>
  <w:footnote w:id="5">
    <w:p w14:paraId="204358D2"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12, derde lid, Bankwet 1998. </w:t>
      </w:r>
    </w:p>
  </w:footnote>
  <w:footnote w:id="6">
    <w:p w14:paraId="52B32543" w14:textId="77777777" w:rsidR="007B2E9C" w:rsidRDefault="007B2E9C" w:rsidP="007B2E9C">
      <w:pPr>
        <w:pStyle w:val="Voetnoottekst"/>
      </w:pPr>
      <w:r w:rsidRPr="00BA6A42">
        <w:rPr>
          <w:rStyle w:val="Voetnootmarkering"/>
          <w:sz w:val="14"/>
          <w:szCs w:val="14"/>
        </w:rPr>
        <w:footnoteRef/>
      </w:r>
      <w:r w:rsidRPr="00BA6A42">
        <w:rPr>
          <w:sz w:val="14"/>
          <w:szCs w:val="14"/>
        </w:rPr>
        <w:t xml:space="preserve"> Artikel 16 Reglement van Orde DNB N.V.</w:t>
      </w:r>
    </w:p>
  </w:footnote>
  <w:footnote w:id="7">
    <w:p w14:paraId="3DA9654A"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1:27a, eerste en tweede lid, Wft. Zie ook de Beleidsregel geschiktheid 2012, in het bijzonder artikel 1.2 en de bijlage.</w:t>
      </w:r>
    </w:p>
  </w:footnote>
  <w:footnote w:id="8">
    <w:p w14:paraId="269F9B94"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12, tweede lid, Bankwet 1998.</w:t>
      </w:r>
    </w:p>
  </w:footnote>
  <w:footnote w:id="9">
    <w:p w14:paraId="5420527C" w14:textId="77777777" w:rsidR="007B2E9C" w:rsidRPr="00BA6A42" w:rsidRDefault="007B2E9C" w:rsidP="007B2E9C">
      <w:pPr>
        <w:pStyle w:val="Voetnoottekst"/>
        <w:rPr>
          <w:sz w:val="14"/>
          <w:szCs w:val="14"/>
        </w:rPr>
      </w:pPr>
      <w:r w:rsidRPr="00BA6A42">
        <w:rPr>
          <w:rStyle w:val="Voetnootmarkering"/>
          <w:sz w:val="14"/>
          <w:szCs w:val="14"/>
        </w:rPr>
        <w:footnoteRef/>
      </w:r>
      <w:r w:rsidRPr="00BA6A42">
        <w:rPr>
          <w:sz w:val="14"/>
          <w:szCs w:val="14"/>
        </w:rPr>
        <w:t xml:space="preserve"> Artikel 4, tweede lid, onderdeel l, aanhef en onder 3, RvO MR.</w:t>
      </w:r>
    </w:p>
  </w:footnote>
  <w:footnote w:id="10">
    <w:p w14:paraId="77093117" w14:textId="77777777" w:rsidR="007B2E9C" w:rsidRDefault="007B2E9C" w:rsidP="007B2E9C">
      <w:pPr>
        <w:pStyle w:val="Voetnoottekst"/>
      </w:pPr>
      <w:r w:rsidRPr="00BA6A42">
        <w:rPr>
          <w:rStyle w:val="Voetnootmarkering"/>
          <w:sz w:val="14"/>
          <w:szCs w:val="14"/>
        </w:rPr>
        <w:footnoteRef/>
      </w:r>
      <w:r w:rsidRPr="00BA6A42">
        <w:rPr>
          <w:sz w:val="14"/>
          <w:szCs w:val="14"/>
        </w:rPr>
        <w:t xml:space="preserve"> Artikel 12, vijfde lid, Bankwet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C653" w14:textId="77777777" w:rsidR="001F5BD6" w:rsidRDefault="001F5B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646" w14:textId="77777777" w:rsidR="00E951D3" w:rsidRDefault="007B2E9C">
    <w:r>
      <w:rPr>
        <w:noProof/>
      </w:rPr>
      <mc:AlternateContent>
        <mc:Choice Requires="wps">
          <w:drawing>
            <wp:anchor distT="0" distB="0" distL="0" distR="0" simplePos="0" relativeHeight="251652096" behindDoc="0" locked="1" layoutInCell="1" allowOverlap="1" wp14:anchorId="790B1492" wp14:editId="39212AB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D3C9A0" w14:textId="77777777" w:rsidR="00E951D3" w:rsidRDefault="007B2E9C">
                          <w:pPr>
                            <w:pStyle w:val="StandaardReferentiegegevensKop"/>
                          </w:pPr>
                          <w:r>
                            <w:t>Ons kenmerk</w:t>
                          </w:r>
                        </w:p>
                        <w:p w14:paraId="0DEADAB1" w14:textId="77777777" w:rsidR="00165CC9" w:rsidRDefault="001F5BD6">
                          <w:pPr>
                            <w:pStyle w:val="StandaardReferentiegegevens"/>
                          </w:pPr>
                          <w:r>
                            <w:fldChar w:fldCharType="begin"/>
                          </w:r>
                          <w:r>
                            <w:instrText xml:space="preserve"> DOCPROPERTY  "Kenmerk"  \* MERGEFORMAT </w:instrText>
                          </w:r>
                          <w:r>
                            <w:fldChar w:fldCharType="separate"/>
                          </w:r>
                          <w:r>
                            <w:t>2025-0000027065</w:t>
                          </w:r>
                          <w:r>
                            <w:fldChar w:fldCharType="end"/>
                          </w:r>
                        </w:p>
                      </w:txbxContent>
                    </wps:txbx>
                    <wps:bodyPr vert="horz" wrap="square" lIns="0" tIns="0" rIns="0" bIns="0" anchor="t" anchorCtr="0"/>
                  </wps:wsp>
                </a:graphicData>
              </a:graphic>
            </wp:anchor>
          </w:drawing>
        </mc:Choice>
        <mc:Fallback>
          <w:pict>
            <v:shapetype w14:anchorId="790B149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ED3C9A0" w14:textId="77777777" w:rsidR="00E951D3" w:rsidRDefault="007B2E9C">
                    <w:pPr>
                      <w:pStyle w:val="StandaardReferentiegegevensKop"/>
                    </w:pPr>
                    <w:r>
                      <w:t>Ons kenmerk</w:t>
                    </w:r>
                  </w:p>
                  <w:p w14:paraId="0DEADAB1" w14:textId="77777777" w:rsidR="00165CC9" w:rsidRDefault="001F5BD6">
                    <w:pPr>
                      <w:pStyle w:val="StandaardReferentiegegevens"/>
                    </w:pPr>
                    <w:r>
                      <w:fldChar w:fldCharType="begin"/>
                    </w:r>
                    <w:r>
                      <w:instrText xml:space="preserve"> DOCPROPERTY  "Kenmerk"  \* MERGEFORMAT </w:instrText>
                    </w:r>
                    <w:r>
                      <w:fldChar w:fldCharType="separate"/>
                    </w:r>
                    <w:r>
                      <w:t>2025-0000027065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70718B" wp14:editId="1CC0AAC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03C54B" w14:textId="77777777" w:rsidR="00165CC9" w:rsidRDefault="001F5B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70718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03C54B" w14:textId="77777777" w:rsidR="00165CC9" w:rsidRDefault="001F5B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64607F" wp14:editId="73D6B78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2E2AD6" w14:textId="77777777" w:rsidR="00165CC9" w:rsidRDefault="001F5B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64607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2E2AD6" w14:textId="77777777" w:rsidR="00165CC9" w:rsidRDefault="001F5B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D89" w14:textId="77777777" w:rsidR="00E951D3" w:rsidRDefault="007B2E9C">
    <w:pPr>
      <w:spacing w:after="7029" w:line="14" w:lineRule="exact"/>
    </w:pPr>
    <w:r>
      <w:rPr>
        <w:noProof/>
      </w:rPr>
      <mc:AlternateContent>
        <mc:Choice Requires="wps">
          <w:drawing>
            <wp:anchor distT="0" distB="0" distL="0" distR="0" simplePos="0" relativeHeight="251655168" behindDoc="0" locked="1" layoutInCell="1" allowOverlap="1" wp14:anchorId="0F4CD779" wp14:editId="11F2ED7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33B2BEB" w14:textId="77777777" w:rsidR="00E951D3" w:rsidRDefault="007B2E9C">
                          <w:pPr>
                            <w:spacing w:line="240" w:lineRule="auto"/>
                          </w:pPr>
                          <w:r>
                            <w:rPr>
                              <w:noProof/>
                            </w:rPr>
                            <w:drawing>
                              <wp:inline distT="0" distB="0" distL="0" distR="0" wp14:anchorId="54102860" wp14:editId="0AE9C9B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4CD77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33B2BEB" w14:textId="77777777" w:rsidR="00E951D3" w:rsidRDefault="007B2E9C">
                    <w:pPr>
                      <w:spacing w:line="240" w:lineRule="auto"/>
                    </w:pPr>
                    <w:r>
                      <w:rPr>
                        <w:noProof/>
                      </w:rPr>
                      <w:drawing>
                        <wp:inline distT="0" distB="0" distL="0" distR="0" wp14:anchorId="54102860" wp14:editId="0AE9C9B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8BA92C" wp14:editId="1BE5BB6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D054530" w14:textId="77777777" w:rsidR="007B2E9C" w:rsidRDefault="007B2E9C"/>
                      </w:txbxContent>
                    </wps:txbx>
                    <wps:bodyPr vert="horz" wrap="square" lIns="0" tIns="0" rIns="0" bIns="0" anchor="t" anchorCtr="0"/>
                  </wps:wsp>
                </a:graphicData>
              </a:graphic>
            </wp:anchor>
          </w:drawing>
        </mc:Choice>
        <mc:Fallback>
          <w:pict>
            <v:shape w14:anchorId="2F8BA92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D054530" w14:textId="77777777" w:rsidR="007B2E9C" w:rsidRDefault="007B2E9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531DA8" wp14:editId="2AA59B9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574262D" w14:textId="77777777" w:rsidR="00E951D3" w:rsidRDefault="007B2E9C">
                          <w:pPr>
                            <w:pStyle w:val="StandaardReferentiegegevens"/>
                          </w:pPr>
                          <w:r>
                            <w:t>Korte Voorhout 7</w:t>
                          </w:r>
                        </w:p>
                        <w:p w14:paraId="63E9728C" w14:textId="77777777" w:rsidR="00E951D3" w:rsidRDefault="007B2E9C">
                          <w:pPr>
                            <w:pStyle w:val="StandaardReferentiegegevens"/>
                          </w:pPr>
                          <w:r>
                            <w:t>2511 CW  'S-GRAVENHAGE</w:t>
                          </w:r>
                        </w:p>
                        <w:p w14:paraId="0DDC5BC6" w14:textId="77777777" w:rsidR="00E951D3" w:rsidRDefault="007B2E9C">
                          <w:pPr>
                            <w:pStyle w:val="StandaardReferentiegegevens"/>
                          </w:pPr>
                          <w:r>
                            <w:t>POSTBUS 20201</w:t>
                          </w:r>
                        </w:p>
                        <w:p w14:paraId="59B97885" w14:textId="77777777" w:rsidR="00E951D3" w:rsidRPr="007B2E9C" w:rsidRDefault="007B2E9C">
                          <w:pPr>
                            <w:pStyle w:val="StandaardReferentiegegevens"/>
                            <w:rPr>
                              <w:lang w:val="es-ES"/>
                            </w:rPr>
                          </w:pPr>
                          <w:r w:rsidRPr="007B2E9C">
                            <w:rPr>
                              <w:lang w:val="es-ES"/>
                            </w:rPr>
                            <w:t>2500 EE  'S-GRAVENHAGE</w:t>
                          </w:r>
                        </w:p>
                        <w:p w14:paraId="3B516BFF" w14:textId="77777777" w:rsidR="00E951D3" w:rsidRPr="007B2E9C" w:rsidRDefault="007B2E9C">
                          <w:pPr>
                            <w:pStyle w:val="StandaardReferentiegegevens"/>
                            <w:rPr>
                              <w:lang w:val="es-ES"/>
                            </w:rPr>
                          </w:pPr>
                          <w:r w:rsidRPr="007B2E9C">
                            <w:rPr>
                              <w:lang w:val="es-ES"/>
                            </w:rPr>
                            <w:t>www.rijksoverheid.nl/fin</w:t>
                          </w:r>
                        </w:p>
                        <w:p w14:paraId="3DA8DBC5" w14:textId="77777777" w:rsidR="00E951D3" w:rsidRPr="007B2E9C" w:rsidRDefault="00E951D3">
                          <w:pPr>
                            <w:pStyle w:val="WitregelW2"/>
                            <w:rPr>
                              <w:lang w:val="es-ES"/>
                            </w:rPr>
                          </w:pPr>
                        </w:p>
                        <w:p w14:paraId="1203EF02" w14:textId="77777777" w:rsidR="00E951D3" w:rsidRDefault="007B2E9C">
                          <w:pPr>
                            <w:pStyle w:val="StandaardReferentiegegevensKop"/>
                          </w:pPr>
                          <w:r>
                            <w:t>Ons kenmerk</w:t>
                          </w:r>
                        </w:p>
                        <w:p w14:paraId="3BF4DC6B" w14:textId="77777777" w:rsidR="00165CC9" w:rsidRDefault="001F5BD6">
                          <w:pPr>
                            <w:pStyle w:val="StandaardReferentiegegevens"/>
                          </w:pPr>
                          <w:r>
                            <w:fldChar w:fldCharType="begin"/>
                          </w:r>
                          <w:r>
                            <w:instrText xml:space="preserve"> DOCPROPERTY  "Kenmerk"  \* MERGEFORMAT </w:instrText>
                          </w:r>
                          <w:r>
                            <w:fldChar w:fldCharType="separate"/>
                          </w:r>
                          <w:r>
                            <w:t>2025-0000027065</w:t>
                          </w:r>
                          <w:r>
                            <w:fldChar w:fldCharType="end"/>
                          </w:r>
                        </w:p>
                        <w:p w14:paraId="3BB8D3A8" w14:textId="77777777" w:rsidR="00E951D3" w:rsidRDefault="00E951D3">
                          <w:pPr>
                            <w:pStyle w:val="WitregelW1"/>
                          </w:pPr>
                        </w:p>
                        <w:p w14:paraId="3C9CA541" w14:textId="77777777" w:rsidR="00E951D3" w:rsidRDefault="007B2E9C">
                          <w:pPr>
                            <w:pStyle w:val="StandaardReferentiegegevensKop"/>
                          </w:pPr>
                          <w:r>
                            <w:t>Uw brief (kenmerk)</w:t>
                          </w:r>
                        </w:p>
                        <w:p w14:paraId="607C848E" w14:textId="77777777" w:rsidR="00165CC9" w:rsidRDefault="001F5BD6">
                          <w:pPr>
                            <w:pStyle w:val="StandaardReferentiegegevens"/>
                          </w:pPr>
                          <w:r>
                            <w:fldChar w:fldCharType="begin"/>
                          </w:r>
                          <w:r>
                            <w:instrText xml:space="preserve"> DOCPROPERTY  "UwKenmerk"  \* MERGEFORMAT </w:instrText>
                          </w:r>
                          <w:r>
                            <w:fldChar w:fldCharType="end"/>
                          </w:r>
                        </w:p>
                        <w:p w14:paraId="23F6228A" w14:textId="77777777" w:rsidR="00E951D3" w:rsidRDefault="00E951D3">
                          <w:pPr>
                            <w:pStyle w:val="WitregelW1"/>
                          </w:pPr>
                        </w:p>
                        <w:p w14:paraId="3497D1A3" w14:textId="77777777" w:rsidR="00E951D3" w:rsidRDefault="007B2E9C">
                          <w:pPr>
                            <w:pStyle w:val="StandaardReferentiegegevensKop"/>
                          </w:pPr>
                          <w:r>
                            <w:t>Bijlagen</w:t>
                          </w:r>
                        </w:p>
                        <w:p w14:paraId="3F523B53" w14:textId="77777777" w:rsidR="00E951D3" w:rsidRDefault="007B2E9C">
                          <w:pPr>
                            <w:pStyle w:val="StandaardReferentiegegevens"/>
                          </w:pPr>
                          <w:r>
                            <w:t>1. Profielschets DNB</w:t>
                          </w:r>
                        </w:p>
                      </w:txbxContent>
                    </wps:txbx>
                    <wps:bodyPr vert="horz" wrap="square" lIns="0" tIns="0" rIns="0" bIns="0" anchor="t" anchorCtr="0"/>
                  </wps:wsp>
                </a:graphicData>
              </a:graphic>
            </wp:anchor>
          </w:drawing>
        </mc:Choice>
        <mc:Fallback>
          <w:pict>
            <v:shape w14:anchorId="57531DA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574262D" w14:textId="77777777" w:rsidR="00E951D3" w:rsidRDefault="007B2E9C">
                    <w:pPr>
                      <w:pStyle w:val="StandaardReferentiegegevens"/>
                    </w:pPr>
                    <w:r>
                      <w:t>Korte Voorhout 7</w:t>
                    </w:r>
                  </w:p>
                  <w:p w14:paraId="63E9728C" w14:textId="77777777" w:rsidR="00E951D3" w:rsidRDefault="007B2E9C">
                    <w:pPr>
                      <w:pStyle w:val="StandaardReferentiegegevens"/>
                    </w:pPr>
                    <w:r>
                      <w:t>2511 CW  'S-GRAVENHAGE</w:t>
                    </w:r>
                  </w:p>
                  <w:p w14:paraId="0DDC5BC6" w14:textId="77777777" w:rsidR="00E951D3" w:rsidRDefault="007B2E9C">
                    <w:pPr>
                      <w:pStyle w:val="StandaardReferentiegegevens"/>
                    </w:pPr>
                    <w:r>
                      <w:t>POSTBUS 20201</w:t>
                    </w:r>
                  </w:p>
                  <w:p w14:paraId="59B97885" w14:textId="77777777" w:rsidR="00E951D3" w:rsidRPr="007B2E9C" w:rsidRDefault="007B2E9C">
                    <w:pPr>
                      <w:pStyle w:val="StandaardReferentiegegevens"/>
                      <w:rPr>
                        <w:lang w:val="es-ES"/>
                      </w:rPr>
                    </w:pPr>
                    <w:r w:rsidRPr="007B2E9C">
                      <w:rPr>
                        <w:lang w:val="es-ES"/>
                      </w:rPr>
                      <w:t>2500 EE  'S-GRAVENHAGE</w:t>
                    </w:r>
                  </w:p>
                  <w:p w14:paraId="3B516BFF" w14:textId="77777777" w:rsidR="00E951D3" w:rsidRPr="007B2E9C" w:rsidRDefault="007B2E9C">
                    <w:pPr>
                      <w:pStyle w:val="StandaardReferentiegegevens"/>
                      <w:rPr>
                        <w:lang w:val="es-ES"/>
                      </w:rPr>
                    </w:pPr>
                    <w:r w:rsidRPr="007B2E9C">
                      <w:rPr>
                        <w:lang w:val="es-ES"/>
                      </w:rPr>
                      <w:t>www.rijksoverheid.nl/fin</w:t>
                    </w:r>
                  </w:p>
                  <w:p w14:paraId="3DA8DBC5" w14:textId="77777777" w:rsidR="00E951D3" w:rsidRPr="007B2E9C" w:rsidRDefault="00E951D3">
                    <w:pPr>
                      <w:pStyle w:val="WitregelW2"/>
                      <w:rPr>
                        <w:lang w:val="es-ES"/>
                      </w:rPr>
                    </w:pPr>
                  </w:p>
                  <w:p w14:paraId="1203EF02" w14:textId="77777777" w:rsidR="00E951D3" w:rsidRDefault="007B2E9C">
                    <w:pPr>
                      <w:pStyle w:val="StandaardReferentiegegevensKop"/>
                    </w:pPr>
                    <w:r>
                      <w:t>Ons kenmerk</w:t>
                    </w:r>
                  </w:p>
                  <w:p w14:paraId="3BF4DC6B" w14:textId="77777777" w:rsidR="00165CC9" w:rsidRDefault="001F5BD6">
                    <w:pPr>
                      <w:pStyle w:val="StandaardReferentiegegevens"/>
                    </w:pPr>
                    <w:r>
                      <w:fldChar w:fldCharType="begin"/>
                    </w:r>
                    <w:r>
                      <w:instrText xml:space="preserve"> DOCPROPERTY  "Kenmerk"  \* MERGEFORMAT </w:instrText>
                    </w:r>
                    <w:r>
                      <w:fldChar w:fldCharType="separate"/>
                    </w:r>
                    <w:r>
                      <w:t>2025-0000027065</w:t>
                    </w:r>
                    <w:r>
                      <w:fldChar w:fldCharType="end"/>
                    </w:r>
                  </w:p>
                  <w:p w14:paraId="3BB8D3A8" w14:textId="77777777" w:rsidR="00E951D3" w:rsidRDefault="00E951D3">
                    <w:pPr>
                      <w:pStyle w:val="WitregelW1"/>
                    </w:pPr>
                  </w:p>
                  <w:p w14:paraId="3C9CA541" w14:textId="77777777" w:rsidR="00E951D3" w:rsidRDefault="007B2E9C">
                    <w:pPr>
                      <w:pStyle w:val="StandaardReferentiegegevensKop"/>
                    </w:pPr>
                    <w:r>
                      <w:t>Uw brief (kenmerk)</w:t>
                    </w:r>
                  </w:p>
                  <w:p w14:paraId="607C848E" w14:textId="77777777" w:rsidR="00165CC9" w:rsidRDefault="001F5BD6">
                    <w:pPr>
                      <w:pStyle w:val="StandaardReferentiegegevens"/>
                    </w:pPr>
                    <w:r>
                      <w:fldChar w:fldCharType="begin"/>
                    </w:r>
                    <w:r>
                      <w:instrText xml:space="preserve"> DOCPROPERTY  "UwKenmerk"  \* MERGEFORMAT </w:instrText>
                    </w:r>
                    <w:r>
                      <w:fldChar w:fldCharType="end"/>
                    </w:r>
                  </w:p>
                  <w:p w14:paraId="23F6228A" w14:textId="77777777" w:rsidR="00E951D3" w:rsidRDefault="00E951D3">
                    <w:pPr>
                      <w:pStyle w:val="WitregelW1"/>
                    </w:pPr>
                  </w:p>
                  <w:p w14:paraId="3497D1A3" w14:textId="77777777" w:rsidR="00E951D3" w:rsidRDefault="007B2E9C">
                    <w:pPr>
                      <w:pStyle w:val="StandaardReferentiegegevensKop"/>
                    </w:pPr>
                    <w:r>
                      <w:t>Bijlagen</w:t>
                    </w:r>
                  </w:p>
                  <w:p w14:paraId="3F523B53" w14:textId="77777777" w:rsidR="00E951D3" w:rsidRDefault="007B2E9C">
                    <w:pPr>
                      <w:pStyle w:val="StandaardReferentiegegevens"/>
                    </w:pPr>
                    <w:r>
                      <w:t>1. Profielschets DNB</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4D9B83" wp14:editId="7253ACE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2EDE143" w14:textId="77777777" w:rsidR="00E951D3" w:rsidRDefault="007B2E9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E4D9B8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2EDE143" w14:textId="77777777" w:rsidR="00E951D3" w:rsidRDefault="007B2E9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1D2297" wp14:editId="6BC4BA5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1140AEC" w14:textId="77777777" w:rsidR="00165CC9" w:rsidRDefault="001F5BD6">
                          <w:pPr>
                            <w:pStyle w:val="Rubricering"/>
                          </w:pPr>
                          <w:r>
                            <w:fldChar w:fldCharType="begin"/>
                          </w:r>
                          <w:r>
                            <w:instrText xml:space="preserve"> DOCPROPERTY  "Rubricering"  \* MERGEFORMAT </w:instrText>
                          </w:r>
                          <w:r>
                            <w:fldChar w:fldCharType="end"/>
                          </w:r>
                        </w:p>
                        <w:p w14:paraId="38F3C7E4" w14:textId="77777777" w:rsidR="00E951D3" w:rsidRDefault="007B2E9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F1D229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1140AEC" w14:textId="77777777" w:rsidR="00165CC9" w:rsidRDefault="001F5BD6">
                    <w:pPr>
                      <w:pStyle w:val="Rubricering"/>
                    </w:pPr>
                    <w:r>
                      <w:fldChar w:fldCharType="begin"/>
                    </w:r>
                    <w:r>
                      <w:instrText xml:space="preserve"> DOCPROPERTY  "Rubricering"  \* MERGEFORMAT </w:instrText>
                    </w:r>
                    <w:r>
                      <w:fldChar w:fldCharType="end"/>
                    </w:r>
                  </w:p>
                  <w:p w14:paraId="38F3C7E4" w14:textId="77777777" w:rsidR="00E951D3" w:rsidRDefault="007B2E9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2CAFDB" wp14:editId="4E635D4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AF4A19" w14:textId="77777777" w:rsidR="00165CC9" w:rsidRDefault="001F5B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2CAFD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FAF4A19" w14:textId="77777777" w:rsidR="00165CC9" w:rsidRDefault="001F5B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4FDEB85" wp14:editId="2C4123C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951D3" w14:paraId="15F4E35B" w14:textId="77777777">
                            <w:trPr>
                              <w:trHeight w:val="200"/>
                            </w:trPr>
                            <w:tc>
                              <w:tcPr>
                                <w:tcW w:w="1140" w:type="dxa"/>
                              </w:tcPr>
                              <w:p w14:paraId="638F697F" w14:textId="77777777" w:rsidR="00E951D3" w:rsidRDefault="00E951D3"/>
                            </w:tc>
                            <w:tc>
                              <w:tcPr>
                                <w:tcW w:w="5400" w:type="dxa"/>
                              </w:tcPr>
                              <w:p w14:paraId="0FCF1212" w14:textId="77777777" w:rsidR="00E951D3" w:rsidRDefault="00E951D3"/>
                            </w:tc>
                          </w:tr>
                          <w:tr w:rsidR="00E951D3" w14:paraId="75641968" w14:textId="77777777">
                            <w:trPr>
                              <w:trHeight w:val="240"/>
                            </w:trPr>
                            <w:tc>
                              <w:tcPr>
                                <w:tcW w:w="1140" w:type="dxa"/>
                              </w:tcPr>
                              <w:p w14:paraId="6EC2D0FA" w14:textId="77777777" w:rsidR="00E951D3" w:rsidRDefault="007B2E9C">
                                <w:r>
                                  <w:t>Datum</w:t>
                                </w:r>
                              </w:p>
                            </w:tc>
                            <w:tc>
                              <w:tcPr>
                                <w:tcW w:w="5400" w:type="dxa"/>
                              </w:tcPr>
                              <w:p w14:paraId="42D80C7E" w14:textId="765F868E" w:rsidR="00E951D3" w:rsidRDefault="001F5BD6">
                                <w:r>
                                  <w:t>13 februari 2025</w:t>
                                </w:r>
                              </w:p>
                            </w:tc>
                          </w:tr>
                          <w:tr w:rsidR="00E951D3" w14:paraId="75289E45" w14:textId="77777777">
                            <w:trPr>
                              <w:trHeight w:val="240"/>
                            </w:trPr>
                            <w:tc>
                              <w:tcPr>
                                <w:tcW w:w="1140" w:type="dxa"/>
                              </w:tcPr>
                              <w:p w14:paraId="1C2FB09B" w14:textId="77777777" w:rsidR="00E951D3" w:rsidRDefault="007B2E9C">
                                <w:r>
                                  <w:t>Betreft</w:t>
                                </w:r>
                              </w:p>
                            </w:tc>
                            <w:tc>
                              <w:tcPr>
                                <w:tcW w:w="5400" w:type="dxa"/>
                              </w:tcPr>
                              <w:p w14:paraId="6C96EDAB" w14:textId="77777777" w:rsidR="00165CC9" w:rsidRDefault="001F5BD6">
                                <w:r>
                                  <w:fldChar w:fldCharType="begin"/>
                                </w:r>
                                <w:r>
                                  <w:instrText xml:space="preserve"> DOCPROPERTY  "Onderwerp"  \* MERGEFORMAT </w:instrText>
                                </w:r>
                                <w:r>
                                  <w:fldChar w:fldCharType="separate"/>
                                </w:r>
                                <w:r>
                                  <w:t>Procedure benoeming president DNB</w:t>
                                </w:r>
                                <w:r>
                                  <w:fldChar w:fldCharType="end"/>
                                </w:r>
                              </w:p>
                            </w:tc>
                          </w:tr>
                          <w:tr w:rsidR="00E951D3" w14:paraId="4A1D4CAD" w14:textId="77777777">
                            <w:trPr>
                              <w:trHeight w:val="200"/>
                            </w:trPr>
                            <w:tc>
                              <w:tcPr>
                                <w:tcW w:w="1140" w:type="dxa"/>
                              </w:tcPr>
                              <w:p w14:paraId="324CC5A9" w14:textId="77777777" w:rsidR="00E951D3" w:rsidRDefault="00E951D3"/>
                            </w:tc>
                            <w:tc>
                              <w:tcPr>
                                <w:tcW w:w="4738" w:type="dxa"/>
                              </w:tcPr>
                              <w:p w14:paraId="4647C354" w14:textId="77777777" w:rsidR="00E951D3" w:rsidRDefault="00E951D3"/>
                            </w:tc>
                          </w:tr>
                        </w:tbl>
                        <w:p w14:paraId="6113568C" w14:textId="77777777" w:rsidR="007B2E9C" w:rsidRDefault="007B2E9C"/>
                      </w:txbxContent>
                    </wps:txbx>
                    <wps:bodyPr vert="horz" wrap="square" lIns="0" tIns="0" rIns="0" bIns="0" anchor="t" anchorCtr="0"/>
                  </wps:wsp>
                </a:graphicData>
              </a:graphic>
            </wp:anchor>
          </w:drawing>
        </mc:Choice>
        <mc:Fallback>
          <w:pict>
            <v:shape w14:anchorId="54FDEB8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951D3" w14:paraId="15F4E35B" w14:textId="77777777">
                      <w:trPr>
                        <w:trHeight w:val="200"/>
                      </w:trPr>
                      <w:tc>
                        <w:tcPr>
                          <w:tcW w:w="1140" w:type="dxa"/>
                        </w:tcPr>
                        <w:p w14:paraId="638F697F" w14:textId="77777777" w:rsidR="00E951D3" w:rsidRDefault="00E951D3"/>
                      </w:tc>
                      <w:tc>
                        <w:tcPr>
                          <w:tcW w:w="5400" w:type="dxa"/>
                        </w:tcPr>
                        <w:p w14:paraId="0FCF1212" w14:textId="77777777" w:rsidR="00E951D3" w:rsidRDefault="00E951D3"/>
                      </w:tc>
                    </w:tr>
                    <w:tr w:rsidR="00E951D3" w14:paraId="75641968" w14:textId="77777777">
                      <w:trPr>
                        <w:trHeight w:val="240"/>
                      </w:trPr>
                      <w:tc>
                        <w:tcPr>
                          <w:tcW w:w="1140" w:type="dxa"/>
                        </w:tcPr>
                        <w:p w14:paraId="6EC2D0FA" w14:textId="77777777" w:rsidR="00E951D3" w:rsidRDefault="007B2E9C">
                          <w:r>
                            <w:t>Datum</w:t>
                          </w:r>
                        </w:p>
                      </w:tc>
                      <w:tc>
                        <w:tcPr>
                          <w:tcW w:w="5400" w:type="dxa"/>
                        </w:tcPr>
                        <w:p w14:paraId="42D80C7E" w14:textId="765F868E" w:rsidR="00E951D3" w:rsidRDefault="001F5BD6">
                          <w:r>
                            <w:t>13 februari 2025</w:t>
                          </w:r>
                        </w:p>
                      </w:tc>
                    </w:tr>
                    <w:tr w:rsidR="00E951D3" w14:paraId="75289E45" w14:textId="77777777">
                      <w:trPr>
                        <w:trHeight w:val="240"/>
                      </w:trPr>
                      <w:tc>
                        <w:tcPr>
                          <w:tcW w:w="1140" w:type="dxa"/>
                        </w:tcPr>
                        <w:p w14:paraId="1C2FB09B" w14:textId="77777777" w:rsidR="00E951D3" w:rsidRDefault="007B2E9C">
                          <w:r>
                            <w:t>Betreft</w:t>
                          </w:r>
                        </w:p>
                      </w:tc>
                      <w:tc>
                        <w:tcPr>
                          <w:tcW w:w="5400" w:type="dxa"/>
                        </w:tcPr>
                        <w:p w14:paraId="6C96EDAB" w14:textId="77777777" w:rsidR="00165CC9" w:rsidRDefault="001F5BD6">
                          <w:r>
                            <w:fldChar w:fldCharType="begin"/>
                          </w:r>
                          <w:r>
                            <w:instrText xml:space="preserve"> DOCPROPERTY  "Onderwerp"  \* MERGEFORMAT </w:instrText>
                          </w:r>
                          <w:r>
                            <w:fldChar w:fldCharType="separate"/>
                          </w:r>
                          <w:r>
                            <w:t>Procedure benoeming president DNB</w:t>
                          </w:r>
                          <w:r>
                            <w:fldChar w:fldCharType="end"/>
                          </w:r>
                        </w:p>
                      </w:tc>
                    </w:tr>
                    <w:tr w:rsidR="00E951D3" w14:paraId="4A1D4CAD" w14:textId="77777777">
                      <w:trPr>
                        <w:trHeight w:val="200"/>
                      </w:trPr>
                      <w:tc>
                        <w:tcPr>
                          <w:tcW w:w="1140" w:type="dxa"/>
                        </w:tcPr>
                        <w:p w14:paraId="324CC5A9" w14:textId="77777777" w:rsidR="00E951D3" w:rsidRDefault="00E951D3"/>
                      </w:tc>
                      <w:tc>
                        <w:tcPr>
                          <w:tcW w:w="4738" w:type="dxa"/>
                        </w:tcPr>
                        <w:p w14:paraId="4647C354" w14:textId="77777777" w:rsidR="00E951D3" w:rsidRDefault="00E951D3"/>
                      </w:tc>
                    </w:tr>
                  </w:tbl>
                  <w:p w14:paraId="6113568C" w14:textId="77777777" w:rsidR="007B2E9C" w:rsidRDefault="007B2E9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6A106" wp14:editId="4B5C363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A9F6C7" w14:textId="77777777" w:rsidR="00165CC9" w:rsidRDefault="001F5B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06A10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A9F6C7" w14:textId="77777777" w:rsidR="00165CC9" w:rsidRDefault="001F5B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982642" wp14:editId="070082C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14669C" w14:textId="77777777" w:rsidR="007B2E9C" w:rsidRDefault="007B2E9C"/>
                      </w:txbxContent>
                    </wps:txbx>
                    <wps:bodyPr vert="horz" wrap="square" lIns="0" tIns="0" rIns="0" bIns="0" anchor="t" anchorCtr="0"/>
                  </wps:wsp>
                </a:graphicData>
              </a:graphic>
            </wp:anchor>
          </w:drawing>
        </mc:Choice>
        <mc:Fallback>
          <w:pict>
            <v:shape w14:anchorId="2B98264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14669C" w14:textId="77777777" w:rsidR="007B2E9C" w:rsidRDefault="007B2E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0E21E"/>
    <w:multiLevelType w:val="multilevel"/>
    <w:tmpl w:val="D0B034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728B1E"/>
    <w:multiLevelType w:val="multilevel"/>
    <w:tmpl w:val="92AE321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15D248"/>
    <w:multiLevelType w:val="multilevel"/>
    <w:tmpl w:val="AF727E8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722191"/>
    <w:multiLevelType w:val="multilevel"/>
    <w:tmpl w:val="BD6C30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A25972"/>
    <w:multiLevelType w:val="multilevel"/>
    <w:tmpl w:val="828827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E8F3604"/>
    <w:multiLevelType w:val="multilevel"/>
    <w:tmpl w:val="6F7582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3148776">
    <w:abstractNumId w:val="0"/>
  </w:num>
  <w:num w:numId="2" w16cid:durableId="236287271">
    <w:abstractNumId w:val="1"/>
  </w:num>
  <w:num w:numId="3" w16cid:durableId="1573462561">
    <w:abstractNumId w:val="4"/>
  </w:num>
  <w:num w:numId="4" w16cid:durableId="1534154172">
    <w:abstractNumId w:val="3"/>
  </w:num>
  <w:num w:numId="5" w16cid:durableId="571282226">
    <w:abstractNumId w:val="2"/>
  </w:num>
  <w:num w:numId="6" w16cid:durableId="875968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3"/>
    <w:rsid w:val="00165CC9"/>
    <w:rsid w:val="001F5BD6"/>
    <w:rsid w:val="003C6F2C"/>
    <w:rsid w:val="00413A76"/>
    <w:rsid w:val="004D4A1F"/>
    <w:rsid w:val="004E2DD1"/>
    <w:rsid w:val="006475FD"/>
    <w:rsid w:val="007448EB"/>
    <w:rsid w:val="007B2E9C"/>
    <w:rsid w:val="00957A28"/>
    <w:rsid w:val="009A0E15"/>
    <w:rsid w:val="009F7753"/>
    <w:rsid w:val="00A17FBF"/>
    <w:rsid w:val="00A309C7"/>
    <w:rsid w:val="00AB6BC4"/>
    <w:rsid w:val="00AC4BD8"/>
    <w:rsid w:val="00BA6A42"/>
    <w:rsid w:val="00D3711A"/>
    <w:rsid w:val="00E326D8"/>
    <w:rsid w:val="00E60CD2"/>
    <w:rsid w:val="00E951D3"/>
    <w:rsid w:val="2694B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23B08C3"/>
  <w15:docId w15:val="{73C62B3D-CD5F-43B0-92AF-ABB8E13A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B2E9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7B2E9C"/>
    <w:rPr>
      <w:rFonts w:ascii="Verdana" w:hAnsi="Verdana"/>
      <w:color w:val="000000"/>
      <w:sz w:val="16"/>
    </w:rPr>
  </w:style>
  <w:style w:type="character" w:styleId="Voetnootmarkering">
    <w:name w:val="footnote reference"/>
    <w:basedOn w:val="Standaardalinea-lettertype"/>
    <w:uiPriority w:val="99"/>
    <w:semiHidden/>
    <w:unhideWhenUsed/>
    <w:rsid w:val="007B2E9C"/>
    <w:rPr>
      <w:vertAlign w:val="superscript"/>
    </w:rPr>
  </w:style>
  <w:style w:type="paragraph" w:styleId="Koptekst">
    <w:name w:val="header"/>
    <w:basedOn w:val="Standaard"/>
    <w:link w:val="KoptekstChar"/>
    <w:uiPriority w:val="99"/>
    <w:unhideWhenUsed/>
    <w:rsid w:val="007B2E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2E9C"/>
    <w:rPr>
      <w:rFonts w:ascii="Verdana" w:hAnsi="Verdana"/>
      <w:color w:val="000000"/>
      <w:sz w:val="18"/>
      <w:szCs w:val="18"/>
    </w:rPr>
  </w:style>
  <w:style w:type="paragraph" w:styleId="Voettekst">
    <w:name w:val="footer"/>
    <w:basedOn w:val="Standaard"/>
    <w:link w:val="VoettekstChar"/>
    <w:uiPriority w:val="99"/>
    <w:unhideWhenUsed/>
    <w:rsid w:val="007B2E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2E9C"/>
    <w:rPr>
      <w:rFonts w:ascii="Verdana" w:hAnsi="Verdana"/>
      <w:color w:val="000000"/>
      <w:sz w:val="18"/>
      <w:szCs w:val="18"/>
    </w:rPr>
  </w:style>
  <w:style w:type="paragraph" w:styleId="Revisie">
    <w:name w:val="Revision"/>
    <w:hidden/>
    <w:uiPriority w:val="99"/>
    <w:semiHidden/>
    <w:rsid w:val="004D4A1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498</ap:Words>
  <ap:Characters>2745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Toezegging opvolging president DNB</vt:lpstr>
    </vt:vector>
  </ap:TitlesOfParts>
  <ap:LinksUpToDate>false</ap:LinksUpToDate>
  <ap:CharactersWithSpaces>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2025-02-13T13:23:00.0000000Z</dcterms:created>
  <dcterms:modified xsi:type="dcterms:W3CDTF">2025-02-13T13:23:00.0000000Z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Toezegging opvolging president DNB</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
  </property>
  <property fmtid="{D5CDD505-2E9C-101B-9397-08002B2CF9AE}" pid="14" name="Opgesteld door, Telefoonnummer">
    <vt:lpwstr>088-4427272</vt:lpwstr>
  </property>
  <property fmtid="{D5CDD505-2E9C-101B-9397-08002B2CF9AE}" pid="15" name="Kenmerk">
    <vt:lpwstr>2025-0000027065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Procedure benoeming president DNB</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2025-01-28T19:32:06Z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8ddb8d77-a660-43a6-8e70-3238241b7307</vt:lpwstr>
  </property>
  <property fmtid="{D5CDD505-2E9C-101B-9397-08002B2CF9AE}" pid="37" name="MSIP_Label_112e3eac-4767-4d29-949e-d809b1160d11_ContentBits">
    <vt:lpwstr>0</vt:lpwstr>
  </property>
</Properties>
</file>