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13B" w:rsidRDefault="006C1D04" w14:paraId="2404C1A9" w14:textId="7223417B">
      <w:bookmarkStart w:name="_GoBack" w:id="0"/>
      <w:bookmarkEnd w:id="0"/>
      <w:r>
        <w:t xml:space="preserve">Geachte </w:t>
      </w:r>
      <w:r w:rsidR="009A032F">
        <w:t>v</w:t>
      </w:r>
      <w:r>
        <w:t>oorzitter,</w:t>
      </w:r>
    </w:p>
    <w:p w:rsidR="006C1D04" w:rsidRDefault="006C1D04" w14:paraId="75E9FF19" w14:textId="77777777"/>
    <w:p w:rsidR="006C1D04" w:rsidRDefault="00C161E2" w14:paraId="7FE0062A" w14:textId="081658E2">
      <w:r>
        <w:t xml:space="preserve">De Europese Commissie (hierna: Commissie) is een publieke consultatie </w:t>
      </w:r>
      <w:r w:rsidR="00236228">
        <w:t>ge</w:t>
      </w:r>
      <w:r w:rsidR="00FA443A">
        <w:t>start</w:t>
      </w:r>
      <w:r w:rsidR="00236228">
        <w:t xml:space="preserve"> </w:t>
      </w:r>
      <w:r>
        <w:t>over de toekomst van de Europese auto-industrie. Gezien het belang van de auto-industrie voor de Nederlandse economie,</w:t>
      </w:r>
      <w:r w:rsidR="002E5FED">
        <w:t xml:space="preserve"> de</w:t>
      </w:r>
      <w:r>
        <w:t xml:space="preserve"> welvaart en het welzijn, vindt het </w:t>
      </w:r>
      <w:r w:rsidR="00DC45CD">
        <w:t>k</w:t>
      </w:r>
      <w:r>
        <w:t xml:space="preserve">abinet het belangrijk een actieve </w:t>
      </w:r>
      <w:r w:rsidR="008831EE">
        <w:t>bijdrage</w:t>
      </w:r>
      <w:r>
        <w:t xml:space="preserve"> te </w:t>
      </w:r>
      <w:r w:rsidR="008831EE">
        <w:t>leveren</w:t>
      </w:r>
      <w:r>
        <w:t xml:space="preserve"> </w:t>
      </w:r>
      <w:r w:rsidR="008831EE">
        <w:t>aan</w:t>
      </w:r>
      <w:r>
        <w:t xml:space="preserve"> deze consultatie. Daarom is er een position paper opgesteld waarin de Nederlandse inzet uiteen is gezet. In lijn met de </w:t>
      </w:r>
      <w:r w:rsidR="006C1D04">
        <w:t>afspraak gemaakt tijdens het Algemeen Overleg op 12 februari 2013 over informatievoorziening met betrekking tot Europese besluitvorming</w:t>
      </w:r>
      <w:r w:rsidR="00005C44">
        <w:rPr>
          <w:rStyle w:val="FootnoteReference"/>
        </w:rPr>
        <w:footnoteReference w:id="1"/>
      </w:r>
      <w:r w:rsidR="006C1D04">
        <w:t xml:space="preserve">, </w:t>
      </w:r>
      <w:r w:rsidR="00005C44">
        <w:t>treft u</w:t>
      </w:r>
      <w:r w:rsidR="006C1D04">
        <w:t xml:space="preserve"> bijgaand het antwoord </w:t>
      </w:r>
      <w:r w:rsidR="00FA443A">
        <w:t xml:space="preserve">aan </w:t>
      </w:r>
      <w:r w:rsidR="006C1D04">
        <w:t>van het kabinet op de consultatie van de Europese Commissie</w:t>
      </w:r>
      <w:r>
        <w:t xml:space="preserve"> </w:t>
      </w:r>
      <w:r w:rsidR="006C1D04">
        <w:t>over de toekomst van de Europese auto</w:t>
      </w:r>
      <w:r>
        <w:t>-</w:t>
      </w:r>
      <w:r w:rsidR="006C1D04">
        <w:t>industrie</w:t>
      </w:r>
      <w:r w:rsidR="005B52E2">
        <w:t>.</w:t>
      </w:r>
      <w:r w:rsidR="005B52E2">
        <w:rPr>
          <w:rStyle w:val="FootnoteReference"/>
        </w:rPr>
        <w:footnoteReference w:id="2"/>
      </w:r>
    </w:p>
    <w:p w:rsidR="006C1D04" w:rsidRDefault="006C1D04" w14:paraId="6004353F" w14:textId="77777777"/>
    <w:p w:rsidR="006C1D04" w:rsidRDefault="006C1D04" w14:paraId="4EC5610A" w14:textId="6595B9E1">
      <w:pPr>
        <w:rPr>
          <w:b/>
          <w:bCs/>
        </w:rPr>
      </w:pPr>
      <w:r>
        <w:rPr>
          <w:b/>
          <w:bCs/>
        </w:rPr>
        <w:t>Achtergrond</w:t>
      </w:r>
    </w:p>
    <w:p w:rsidR="00166CF0" w:rsidRDefault="00F03784" w14:paraId="4009DFAB" w14:textId="00F076D1">
      <w:r>
        <w:t xml:space="preserve">Op 28 januari 2025 </w:t>
      </w:r>
      <w:r w:rsidR="00C161E2">
        <w:t>bent</w:t>
      </w:r>
      <w:r w:rsidR="004F1A06">
        <w:t xml:space="preserve"> u geïnformeerd over de te verwachten wetgeving op het gebied van duurzame mobiliteit.</w:t>
      </w:r>
      <w:r w:rsidR="004F1A06">
        <w:rPr>
          <w:rStyle w:val="FootnoteReference"/>
        </w:rPr>
        <w:footnoteReference w:id="3"/>
      </w:r>
      <w:r w:rsidR="004F1A06">
        <w:t xml:space="preserve"> In deze brief </w:t>
      </w:r>
      <w:r w:rsidR="00166CF0">
        <w:t xml:space="preserve">werd </w:t>
      </w:r>
      <w:r w:rsidR="00742FEA">
        <w:t xml:space="preserve">het aangekondigde </w:t>
      </w:r>
      <w:r w:rsidR="00742FEA">
        <w:rPr>
          <w:i/>
          <w:iCs/>
        </w:rPr>
        <w:t xml:space="preserve">EU </w:t>
      </w:r>
      <w:r w:rsidR="00166CF0">
        <w:rPr>
          <w:i/>
          <w:iCs/>
        </w:rPr>
        <w:t>Industrial</w:t>
      </w:r>
      <w:r w:rsidR="00742FEA">
        <w:rPr>
          <w:i/>
          <w:iCs/>
        </w:rPr>
        <w:t xml:space="preserve"> Action Plan</w:t>
      </w:r>
      <w:r w:rsidR="00742FEA">
        <w:t xml:space="preserve"> </w:t>
      </w:r>
      <w:r w:rsidR="00166CF0">
        <w:rPr>
          <w:i/>
          <w:iCs/>
        </w:rPr>
        <w:t xml:space="preserve">for the Automotive Sector </w:t>
      </w:r>
      <w:r w:rsidR="00166CF0">
        <w:t xml:space="preserve">(hierna: het actieplan) </w:t>
      </w:r>
      <w:r w:rsidR="00742FEA">
        <w:t xml:space="preserve">van </w:t>
      </w:r>
      <w:r w:rsidR="00166CF0">
        <w:t>de Commissie genoemd en de Strategische Dialoog die met de auto-industrie gevoerd zou worden. Deze Strategische Dialoog is op 30 januari jl. van start gegaan met 22 stakeholders uit de Europese auto-industrie.</w:t>
      </w:r>
      <w:r w:rsidR="00FB702E">
        <w:rPr>
          <w:rStyle w:val="FootnoteReference"/>
        </w:rPr>
        <w:footnoteReference w:id="4"/>
      </w:r>
      <w:r w:rsidR="00166CF0">
        <w:t xml:space="preserve"> Lidstaten waren </w:t>
      </w:r>
      <w:r w:rsidR="00340E82">
        <w:t xml:space="preserve">voor deze Strategische Dialoog </w:t>
      </w:r>
      <w:r w:rsidR="00166CF0">
        <w:t xml:space="preserve">niet uitgenodigd. </w:t>
      </w:r>
      <w:r w:rsidR="00340E82">
        <w:t>De</w:t>
      </w:r>
      <w:r w:rsidR="00166CF0">
        <w:t xml:space="preserve"> Strategische Dialoog voedt </w:t>
      </w:r>
      <w:r w:rsidR="004717F4">
        <w:t xml:space="preserve">onder meer </w:t>
      </w:r>
      <w:r w:rsidR="00166CF0">
        <w:t xml:space="preserve">het actieplan, wat op 5 maart gepresenteerd wordt door </w:t>
      </w:r>
      <w:r w:rsidR="00DC45CD">
        <w:t>C</w:t>
      </w:r>
      <w:r w:rsidR="00166CF0">
        <w:t xml:space="preserve">ommissaris Tzitzikostas (Duurzaam Vervoer en Toerisme). </w:t>
      </w:r>
      <w:r w:rsidR="00733A11">
        <w:t>Dit actieplan zal vervolgens worden besproken in de Raad.</w:t>
      </w:r>
    </w:p>
    <w:p w:rsidR="00166CF0" w:rsidRDefault="00166CF0" w14:paraId="21876F67" w14:textId="77777777"/>
    <w:p w:rsidR="00166CF0" w:rsidRDefault="00166CF0" w14:paraId="75A670A2" w14:textId="076CCA25">
      <w:r>
        <w:t xml:space="preserve">Parallel </w:t>
      </w:r>
      <w:r w:rsidR="00340E82">
        <w:t xml:space="preserve">aan de Strategische Dialoog </w:t>
      </w:r>
      <w:r>
        <w:t>heeft de Commissie een publieke consultatie geopend over de toekomst van de Europese</w:t>
      </w:r>
      <w:r w:rsidR="00A248E1">
        <w:t xml:space="preserve"> auto-</w:t>
      </w:r>
      <w:r>
        <w:t xml:space="preserve">industrie, waarop het kabinet de bijgaande input heeft ingediend op 13 februari jl. De Commissie nodigt stakeholders uit om in de publieke consultatie hun mening te geven over de toekomst van de Europese auto-industrie. De uitkomsten van de publieke </w:t>
      </w:r>
      <w:r>
        <w:lastRenderedPageBreak/>
        <w:t>consultatie worden gebruikt voor de verdere ontwikkeling en afstemming van het actieplan.</w:t>
      </w:r>
    </w:p>
    <w:p w:rsidRPr="00742FEA" w:rsidR="00FA443A" w:rsidRDefault="00FA443A" w14:paraId="0D523453" w14:textId="77777777"/>
    <w:p w:rsidR="006C1D04" w:rsidRDefault="006C1D04" w14:paraId="0472E441" w14:textId="151FFAB9">
      <w:pPr>
        <w:rPr>
          <w:b/>
          <w:bCs/>
        </w:rPr>
      </w:pPr>
      <w:r>
        <w:rPr>
          <w:b/>
          <w:bCs/>
        </w:rPr>
        <w:t>Inzet Nederland</w:t>
      </w:r>
    </w:p>
    <w:p w:rsidR="007E5202" w:rsidRDefault="00166CF0" w14:paraId="336AEE1E" w14:textId="3E025237">
      <w:r>
        <w:t xml:space="preserve">Nederland verwelkomt </w:t>
      </w:r>
      <w:r w:rsidR="0028450A">
        <w:t>het</w:t>
      </w:r>
      <w:r>
        <w:t xml:space="preserve"> initiatief</w:t>
      </w:r>
      <w:r w:rsidR="0028450A">
        <w:t xml:space="preserve"> om een actieplan op te stellen</w:t>
      </w:r>
      <w:r>
        <w:t xml:space="preserve"> van harte. </w:t>
      </w:r>
      <w:r w:rsidRPr="007E5202" w:rsidR="007E5202">
        <w:t xml:space="preserve">Een sterke en concurrerende Europese auto-industrie draagt in belangrijke mate bij aan de werkgelegenheid en </w:t>
      </w:r>
      <w:r w:rsidR="002B0CDE">
        <w:t xml:space="preserve">het </w:t>
      </w:r>
      <w:r w:rsidRPr="007E5202" w:rsidR="007E5202">
        <w:t xml:space="preserve">verdienvermogen. Een sterke auto-industrie is daarnaast ook van groot belang om private investeringen en aanverwante </w:t>
      </w:r>
      <w:r w:rsidRPr="007E5202" w:rsidR="007E5202">
        <w:rPr>
          <w:i/>
          <w:iCs/>
        </w:rPr>
        <w:t>spillover</w:t>
      </w:r>
      <w:r w:rsidRPr="007E5202" w:rsidR="007E5202">
        <w:t xml:space="preserve"> effecten naar andere sectoren te behouden. </w:t>
      </w:r>
      <w:r w:rsidRPr="003F316C" w:rsidR="003F316C">
        <w:t>Het krimpen van die investeringen en mogelijkheid tot spillovers, werkgelegenheid en verdienvermogen kan op termijn een risico vormen voor de Europese positie in de automotivesector en voorop automotive-vlak en brede welvaart. Dit zou ook een mogelijk negatief effect op risicovolle strategische afhankelijkheden kunnen hebben</w:t>
      </w:r>
      <w:r w:rsidR="003F316C">
        <w:t>.</w:t>
      </w:r>
    </w:p>
    <w:p w:rsidR="007E5202" w:rsidRDefault="007E5202" w14:paraId="64E66934" w14:textId="77777777"/>
    <w:p w:rsidR="00166CF0" w:rsidRDefault="00FA443A" w14:paraId="686BA81A" w14:textId="088724D2">
      <w:r>
        <w:t>D</w:t>
      </w:r>
      <w:r w:rsidR="00166CF0">
        <w:t xml:space="preserve">e </w:t>
      </w:r>
      <w:r w:rsidR="00DC45CD">
        <w:t>m</w:t>
      </w:r>
      <w:r w:rsidR="00166CF0">
        <w:t xml:space="preserve">inister </w:t>
      </w:r>
      <w:r w:rsidR="007E5202">
        <w:t xml:space="preserve">van Infrastructuur en Waterstaat </w:t>
      </w:r>
      <w:r>
        <w:t xml:space="preserve">heeft </w:t>
      </w:r>
      <w:r w:rsidR="00166CF0">
        <w:t>in de Transportraad van 5 december jl. aangegeven uit te kijken naar de Strategische Dialoog. Hij benadrukte dat er een groot gevoel van urgentie is bij alle betrokkenen en er gekeken moet worden naar toekomstgerichte oplossingen.</w:t>
      </w:r>
      <w:r w:rsidR="00166CF0">
        <w:rPr>
          <w:rStyle w:val="FootnoteReference"/>
        </w:rPr>
        <w:footnoteReference w:id="5"/>
      </w:r>
      <w:r w:rsidR="003F316C">
        <w:t xml:space="preserve"> </w:t>
      </w:r>
      <w:r w:rsidRPr="003F316C" w:rsidR="003F316C">
        <w:t xml:space="preserve">Ook de </w:t>
      </w:r>
      <w:r w:rsidR="00DC45CD">
        <w:t>m</w:t>
      </w:r>
      <w:r w:rsidRPr="003F316C" w:rsidR="003F316C">
        <w:t>inister van Economische Zaken vroeg tijdens de Raad van Concurrentievermogen van 28 november jl. aandacht voor de automobielsector.</w:t>
      </w:r>
      <w:r w:rsidR="003F316C">
        <w:rPr>
          <w:rStyle w:val="FootnoteReference"/>
        </w:rPr>
        <w:footnoteReference w:id="6"/>
      </w:r>
    </w:p>
    <w:p w:rsidR="00B856E1" w:rsidRDefault="00B856E1" w14:paraId="3DE2811E" w14:textId="77777777"/>
    <w:p w:rsidR="00B856E1" w:rsidRDefault="00B856E1" w14:paraId="13411DD6" w14:textId="5148BDF2">
      <w:r>
        <w:t xml:space="preserve">Voor de inbreng van Nederland in de publieke consultatie is er een position paper </w:t>
      </w:r>
      <w:r w:rsidR="0028450A">
        <w:t>opgesteld</w:t>
      </w:r>
      <w:r>
        <w:t xml:space="preserve"> om de Nederlandse zienswijze naar de Commissie te verduidelijken. In lijn met de </w:t>
      </w:r>
      <w:r w:rsidRPr="0028450A" w:rsidR="0028450A">
        <w:t>A</w:t>
      </w:r>
      <w:r w:rsidRPr="0028450A">
        <w:t xml:space="preserve">ctieagenda </w:t>
      </w:r>
      <w:r w:rsidRPr="0028450A" w:rsidR="0028450A">
        <w:t>Auto</w:t>
      </w:r>
      <w:r w:rsidRPr="0028450A">
        <w:rPr>
          <w:rStyle w:val="FootnoteReference"/>
        </w:rPr>
        <w:footnoteReference w:id="7"/>
      </w:r>
      <w:r>
        <w:t xml:space="preserve"> wordt in dit position paper benadrukt dat de </w:t>
      </w:r>
      <w:bookmarkStart w:name="_Hlk189588227" w:id="1"/>
      <w:r w:rsidR="00F43965">
        <w:t xml:space="preserve">auto belangrijk is en blijft voor onze </w:t>
      </w:r>
      <w:r w:rsidR="00C161E2">
        <w:t xml:space="preserve">economie, </w:t>
      </w:r>
      <w:r w:rsidR="00F43965">
        <w:t xml:space="preserve">welvaart </w:t>
      </w:r>
      <w:r w:rsidR="00C161E2">
        <w:t>e</w:t>
      </w:r>
      <w:r w:rsidR="00F43965">
        <w:t xml:space="preserve">n </w:t>
      </w:r>
      <w:r w:rsidR="00524211">
        <w:t xml:space="preserve">het </w:t>
      </w:r>
      <w:r w:rsidR="00F43965">
        <w:t xml:space="preserve">welzijn in Nederland. </w:t>
      </w:r>
      <w:r w:rsidR="00A940C5">
        <w:t>Nederlanders</w:t>
      </w:r>
      <w:r>
        <w:t xml:space="preserve"> waarderen de vrijheid, het comfort en de flexibiliteit die een auto biedt. </w:t>
      </w:r>
      <w:r w:rsidR="007E5202">
        <w:t xml:space="preserve">Daarnaast zijn vrachtwagens en bussen essentieel voor een soepel functionerende en sterke economie. </w:t>
      </w:r>
      <w:r w:rsidR="008831EE">
        <w:t xml:space="preserve">Daarbij dragen digitalisering en automatisering van voertuigen bij aan onze verkeersveiligheid, bereikbaarheid en doorstroming. </w:t>
      </w:r>
      <w:r w:rsidR="00A940C5">
        <w:t>Nederland</w:t>
      </w:r>
      <w:r>
        <w:t xml:space="preserve"> </w:t>
      </w:r>
      <w:r w:rsidR="00A940C5">
        <w:t xml:space="preserve">heeft belang bij een competitieve </w:t>
      </w:r>
      <w:r w:rsidR="00236228">
        <w:t>auto-</w:t>
      </w:r>
      <w:r w:rsidR="00A940C5">
        <w:t xml:space="preserve">industrie in de EU en moet zich </w:t>
      </w:r>
      <w:r w:rsidR="00236228">
        <w:t>daar</w:t>
      </w:r>
      <w:r w:rsidR="00A940C5">
        <w:t xml:space="preserve"> in Europees verband actief </w:t>
      </w:r>
      <w:r w:rsidR="00236228">
        <w:t xml:space="preserve">voor </w:t>
      </w:r>
      <w:r w:rsidR="00A940C5">
        <w:t>inzetten.</w:t>
      </w:r>
      <w:r w:rsidR="00C161E2">
        <w:t xml:space="preserve"> Het position paper bestaat uit de volgende</w:t>
      </w:r>
      <w:r w:rsidR="008831EE">
        <w:t xml:space="preserve"> vijf</w:t>
      </w:r>
      <w:r w:rsidR="00C161E2">
        <w:t xml:space="preserve"> hoofdthema’s die overeenkomen met de thema’s uit de conceptnotitie van de Commissie voor de Strategische Dialoog</w:t>
      </w:r>
      <w:r w:rsidR="00C161E2">
        <w:rPr>
          <w:rStyle w:val="FootnoteReference"/>
        </w:rPr>
        <w:footnoteReference w:id="8"/>
      </w:r>
      <w:r w:rsidR="00C161E2">
        <w:t>:</w:t>
      </w:r>
    </w:p>
    <w:bookmarkEnd w:id="1"/>
    <w:p w:rsidR="00B856E1" w:rsidRDefault="00B856E1" w14:paraId="1C1FD325" w14:textId="77777777"/>
    <w:p w:rsidRPr="00C161E2" w:rsidR="00C161E2" w:rsidRDefault="008831EE" w14:paraId="083A8918" w14:textId="384093D8">
      <w:pPr>
        <w:rPr>
          <w:u w:val="single"/>
        </w:rPr>
      </w:pPr>
      <w:r>
        <w:rPr>
          <w:u w:val="single"/>
        </w:rPr>
        <w:t xml:space="preserve">1. </w:t>
      </w:r>
      <w:r w:rsidR="00C161E2">
        <w:rPr>
          <w:u w:val="single"/>
        </w:rPr>
        <w:t>Innovatie en leiderschap in toekomstige technologieën</w:t>
      </w:r>
      <w:r>
        <w:rPr>
          <w:u w:val="single"/>
        </w:rPr>
        <w:t>:</w:t>
      </w:r>
    </w:p>
    <w:p w:rsidR="00F30552" w:rsidRDefault="0028450A" w14:paraId="30BF1170" w14:textId="0FBC81D9">
      <w:r>
        <w:t>Het</w:t>
      </w:r>
      <w:r w:rsidR="00B856E1">
        <w:t xml:space="preserve"> position paper noemt dat Nederland forse belangen heeft bij een gezonde voertuigindustrie, onder meer vanwege onze vrachtwagenproducenten en eerste en tweedegraads hoog-innovatieve toeleveranciers</w:t>
      </w:r>
      <w:r w:rsidR="007E5202">
        <w:t>, zoals producenten van halfgeleiders, hoogwaardig staal en geavanceerde composietmaterialen</w:t>
      </w:r>
      <w:r w:rsidR="00B856E1">
        <w:t xml:space="preserve">. </w:t>
      </w:r>
      <w:r w:rsidRPr="002B412D" w:rsidR="00734027">
        <w:rPr>
          <w:color w:val="auto"/>
        </w:rPr>
        <w:t xml:space="preserve">Nederland </w:t>
      </w:r>
      <w:r w:rsidRPr="002B412D" w:rsidR="00614FDC">
        <w:rPr>
          <w:color w:val="auto"/>
        </w:rPr>
        <w:t xml:space="preserve">ziet </w:t>
      </w:r>
      <w:r w:rsidRPr="002B412D" w:rsidR="00734027">
        <w:rPr>
          <w:color w:val="auto"/>
        </w:rPr>
        <w:t>dat de transitie</w:t>
      </w:r>
      <w:r w:rsidRPr="002B412D" w:rsidR="00236228">
        <w:rPr>
          <w:color w:val="auto"/>
        </w:rPr>
        <w:t xml:space="preserve"> naar emissievrij wegvervoer</w:t>
      </w:r>
      <w:r w:rsidRPr="002B412D" w:rsidR="00734027">
        <w:rPr>
          <w:color w:val="auto"/>
        </w:rPr>
        <w:t xml:space="preserve"> hand-in-hand gaat met voertuigautomatisering en digitalisering. </w:t>
      </w:r>
      <w:r w:rsidR="008831EE">
        <w:t>De auto</w:t>
      </w:r>
      <w:r w:rsidR="00B173CD">
        <w:t>-</w:t>
      </w:r>
      <w:r w:rsidR="008831EE">
        <w:t xml:space="preserve">industrie heeft de afgelopen jaren </w:t>
      </w:r>
      <w:r w:rsidR="00B173CD">
        <w:t xml:space="preserve">een ingrijpende transitie doorgemaakt, mede dankzij </w:t>
      </w:r>
      <w:r w:rsidR="008831EE">
        <w:t xml:space="preserve">digitalisering en automatisering. Deze </w:t>
      </w:r>
      <w:r w:rsidR="00B173CD">
        <w:t xml:space="preserve">technologische vooruitgang heeft geleid tot concrete verbeteringen op het gebied van verkeersveiligheid, bereikbaarheid en doorstroming. Geavanceerde rijhulpsystemen – zoals automatische noodremmen, adaptive cruisecontrol en lane-keeping assist – worden ontwikkeld om de veiligheid en comfort voor de inzittenden te verhogen en om bij te dragen aan de veiligheid van andere weggebruikers. Dankzij innovaties vanuit de auto-industrie zijn we in staat om weggebruikers in real-time te informeren over kritieke verkeerssituaties, zoals waarschuwingen bij rode kruispunten, naderende hulpdiensten en aangepaste routes bij wegwerkzaamheden of in de nabijheid van scholen. Hiermee benadrukken we de innovatiekracht van digitalisering om de huidige en toekomstige uitdagingen van de auto-industrie doelgericht aan te pakken. </w:t>
      </w:r>
      <w:r w:rsidR="00734027">
        <w:t>Het stellen van de juiste randvoorwaarden</w:t>
      </w:r>
      <w:r w:rsidRPr="008831EE" w:rsidR="008831EE">
        <w:t xml:space="preserve"> </w:t>
      </w:r>
      <w:r w:rsidR="008831EE">
        <w:t>in de transitie naar emissievrij wegverkeer</w:t>
      </w:r>
      <w:r w:rsidR="005D71B3">
        <w:t>,</w:t>
      </w:r>
      <w:r w:rsidR="008831EE">
        <w:t xml:space="preserve"> en voertuigautomatisering en digitalisering</w:t>
      </w:r>
      <w:r w:rsidR="00734027">
        <w:t xml:space="preserve"> is noodzakelijk. Het position paper benoemt dat bij het verzilveren van de kansen van voertuigautomatisering en digitalisering </w:t>
      </w:r>
      <w:r w:rsidR="007E5202">
        <w:t>eventuele</w:t>
      </w:r>
      <w:r w:rsidR="00734027">
        <w:t xml:space="preserve"> risico’s voor </w:t>
      </w:r>
      <w:r w:rsidR="007E5202">
        <w:t>de</w:t>
      </w:r>
      <w:r w:rsidR="00734027">
        <w:t xml:space="preserve"> nationale veiligheid meegewogen moeten worden. </w:t>
      </w:r>
      <w:r w:rsidR="008831EE">
        <w:t>In lijn met de motie-Boswijk</w:t>
      </w:r>
      <w:r w:rsidR="008831EE">
        <w:rPr>
          <w:rStyle w:val="FootnoteReference"/>
        </w:rPr>
        <w:footnoteReference w:id="9"/>
      </w:r>
      <w:r w:rsidR="008831EE">
        <w:t xml:space="preserve"> doet </w:t>
      </w:r>
      <w:r w:rsidR="00734027">
        <w:t xml:space="preserve">Nederland onderzoek naar </w:t>
      </w:r>
      <w:r w:rsidR="008831EE">
        <w:t>de veiligheidsrisico’s van slimme auto’s.</w:t>
      </w:r>
      <w:r w:rsidR="00CA2BE6">
        <w:rPr>
          <w:rStyle w:val="FootnoteReference"/>
        </w:rPr>
        <w:footnoteReference w:id="10"/>
      </w:r>
      <w:r w:rsidR="00734027">
        <w:t xml:space="preserve"> </w:t>
      </w:r>
    </w:p>
    <w:p w:rsidR="00F30552" w:rsidRDefault="00F30552" w14:paraId="5F34A334" w14:textId="77777777"/>
    <w:p w:rsidRPr="00F30552" w:rsidR="00F30552" w:rsidRDefault="008831EE" w14:paraId="40C74BC3" w14:textId="567AFB9E">
      <w:pPr>
        <w:rPr>
          <w:u w:val="single"/>
        </w:rPr>
      </w:pPr>
      <w:r w:rsidRPr="009A6A18">
        <w:rPr>
          <w:u w:val="single"/>
        </w:rPr>
        <w:t xml:space="preserve">2. </w:t>
      </w:r>
      <w:r w:rsidR="00685355">
        <w:rPr>
          <w:u w:val="single"/>
        </w:rPr>
        <w:t>Schoon en duurzaam vervoer:</w:t>
      </w:r>
    </w:p>
    <w:p w:rsidR="00F25AD8" w:rsidRDefault="00B856E1" w14:paraId="2D99179C" w14:textId="5BB75A57">
      <w:r>
        <w:t xml:space="preserve">Nederland </w:t>
      </w:r>
      <w:r w:rsidR="0028450A">
        <w:t>ziet</w:t>
      </w:r>
      <w:r>
        <w:t xml:space="preserve"> dat er veel behoefte is aan vraagstimulerende maatregelen</w:t>
      </w:r>
      <w:r w:rsidR="00236228">
        <w:t xml:space="preserve"> voor de auto-industrie</w:t>
      </w:r>
      <w:r>
        <w:t xml:space="preserve">. Deze bevorderen de ingroei van emissievrije voertuigen, maar </w:t>
      </w:r>
      <w:r w:rsidR="00F25AD8">
        <w:t>geven vooral vertrouwen en duidelijkheid aan voertuigproducenten dat er een vraag is naar emissievrije voertuigen die z</w:t>
      </w:r>
      <w:r w:rsidR="00236228">
        <w:t>ij</w:t>
      </w:r>
      <w:r w:rsidR="00F25AD8">
        <w:t xml:space="preserve"> produceren. </w:t>
      </w:r>
      <w:r w:rsidR="00F977F9">
        <w:t xml:space="preserve">Daarmee versterken dat type maatregelen het concurrentievermogen van de auto-industrie. </w:t>
      </w:r>
      <w:r w:rsidR="00F25AD8">
        <w:t xml:space="preserve">Eerder schreef de </w:t>
      </w:r>
      <w:r w:rsidR="00DC45CD">
        <w:t>s</w:t>
      </w:r>
      <w:r w:rsidR="00F25AD8">
        <w:t xml:space="preserve">taatssecretaris </w:t>
      </w:r>
      <w:r w:rsidR="007E5202">
        <w:t xml:space="preserve">van Infrastructuur en Waterstaat </w:t>
      </w:r>
      <w:r w:rsidR="00F25AD8">
        <w:t>met collega’s uit andere lidstaten een brief aan de Commissie met de oproep om met voorstellen te komen voor Europese maatregelen om die ingroei van emissievrije voertuigen te versnellen.</w:t>
      </w:r>
      <w:r>
        <w:rPr>
          <w:rStyle w:val="FootnoteReference"/>
        </w:rPr>
        <w:footnoteReference w:id="11"/>
      </w:r>
      <w:r w:rsidR="00F25AD8">
        <w:t xml:space="preserve"> </w:t>
      </w:r>
      <w:r w:rsidR="0028450A">
        <w:t>In het</w:t>
      </w:r>
      <w:r w:rsidR="00F25AD8">
        <w:t xml:space="preserve"> position paper </w:t>
      </w:r>
      <w:r w:rsidR="00340E82">
        <w:t xml:space="preserve">geeft Nederland </w:t>
      </w:r>
      <w:r w:rsidR="00F25AD8">
        <w:t>aan dat een verdere uitrol van laadinfrastructuur nodig is</w:t>
      </w:r>
      <w:r w:rsidR="00F30552">
        <w:t xml:space="preserve">, met name voor zware bedrijfsvoertuigen, </w:t>
      </w:r>
      <w:r w:rsidR="00F25AD8">
        <w:t xml:space="preserve">en hand-in-hand </w:t>
      </w:r>
      <w:r w:rsidR="00340E82">
        <w:t>dient te</w:t>
      </w:r>
      <w:r w:rsidR="00F25AD8">
        <w:t xml:space="preserve"> gaan met Europese oplossingen voor netcongestie.</w:t>
      </w:r>
      <w:r w:rsidR="00734027">
        <w:t xml:space="preserve"> </w:t>
      </w:r>
      <w:r w:rsidR="00F977F9">
        <w:t>Bovendien benoemt het position paper het van belang van objectieve informatie over de ontwikkelingen op de markt voor wegvoertuigen. Alleen op die manier kan er inzicht komen in de ontwikkelingen op de markt, wat de potentiële consequenties zijn voor marktpartijen en hoe zich dit verhoudt tot lange-termijn ontwikkelingen. Daarbij moeten gewaarborgd worden dat mobiliteit bereikbaar en betaalbaar blijft voor burgers.</w:t>
      </w:r>
    </w:p>
    <w:p w:rsidR="005B52E2" w:rsidRDefault="005B52E2" w14:paraId="0150C77A" w14:textId="19E77EB0">
      <w:pPr>
        <w:spacing w:line="240" w:lineRule="auto"/>
        <w:rPr>
          <w:u w:val="single"/>
        </w:rPr>
      </w:pPr>
    </w:p>
    <w:p w:rsidRPr="00734027" w:rsidR="00734027" w:rsidP="00734027" w:rsidRDefault="008831EE" w14:paraId="7BF55223" w14:textId="467A27D0">
      <w:pPr>
        <w:rPr>
          <w:u w:val="single"/>
        </w:rPr>
      </w:pPr>
      <w:r>
        <w:rPr>
          <w:u w:val="single"/>
        </w:rPr>
        <w:t xml:space="preserve">3. </w:t>
      </w:r>
      <w:r w:rsidR="00F30552">
        <w:rPr>
          <w:u w:val="single"/>
        </w:rPr>
        <w:t>Concurrentievermogen en weerbaarheid</w:t>
      </w:r>
    </w:p>
    <w:p w:rsidRPr="00F30552" w:rsidR="00F30552" w:rsidRDefault="00734027" w14:paraId="4D95F9EE" w14:textId="37CAC71D">
      <w:r>
        <w:t xml:space="preserve">Het position paper </w:t>
      </w:r>
      <w:r w:rsidR="00236228">
        <w:t>onderstreept</w:t>
      </w:r>
      <w:r>
        <w:t xml:space="preserve"> dat er een noodzaak is tot maatregelen om het concurrentievermogen, de innovatie en de weerbaarheid van de Europese auto-industrie te vergroten. Een onderdeel hiervan is de batterij-waardeketen, waarover u eerder geïnformeerd bent</w:t>
      </w:r>
      <w:r>
        <w:rPr>
          <w:rStyle w:val="FootnoteReference"/>
        </w:rPr>
        <w:footnoteReference w:id="12"/>
      </w:r>
      <w:r>
        <w:t xml:space="preserve">, en voertuigautomatisering. </w:t>
      </w:r>
      <w:r w:rsidRPr="003F316C" w:rsidR="003F316C">
        <w:t>Het is van belang dat de vruchten van investeringen in innovatie en emissievrije technologieën zoveel mogelijk de EU ten goede komen en dat privaat kapitaal leidt tot gerichte investeringen om de Europese auto-industrie te versterken</w:t>
      </w:r>
      <w:r w:rsidR="003F316C">
        <w:t xml:space="preserve">. </w:t>
      </w:r>
      <w:r w:rsidR="00F977F9">
        <w:t>Het position paper benoemt dat bij bestaande wetgeving reeds sprake is van technologische neutraliteit, waarbij marktpartijen zelf mogen kiezen voor een vorm van emissievrije aandrijving van wegvoertuigen.</w:t>
      </w:r>
    </w:p>
    <w:p w:rsidR="00F30552" w:rsidRDefault="00F30552" w14:paraId="150CB6BC" w14:textId="77777777"/>
    <w:p w:rsidRPr="00F30552" w:rsidR="00F30552" w:rsidRDefault="008831EE" w14:paraId="51CF8AD1" w14:textId="6B4744FD">
      <w:pPr>
        <w:rPr>
          <w:u w:val="single"/>
        </w:rPr>
      </w:pPr>
      <w:r>
        <w:rPr>
          <w:u w:val="single"/>
        </w:rPr>
        <w:t xml:space="preserve">4. </w:t>
      </w:r>
      <w:r w:rsidR="00F30552">
        <w:rPr>
          <w:u w:val="single"/>
        </w:rPr>
        <w:t>Handelsbetrekkingen en een internationaal gelijk speelveld</w:t>
      </w:r>
    </w:p>
    <w:p w:rsidR="00F30552" w:rsidRDefault="00F30552" w14:paraId="7261D5E6" w14:textId="39ACCB90">
      <w:r w:rsidRPr="00F30552">
        <w:t xml:space="preserve">Nederland </w:t>
      </w:r>
      <w:r w:rsidR="00DC45CD">
        <w:t>steunt</w:t>
      </w:r>
      <w:r w:rsidRPr="00F30552">
        <w:t xml:space="preserve"> open handel gekoppeld </w:t>
      </w:r>
      <w:r w:rsidR="00DC45CD">
        <w:t>aan</w:t>
      </w:r>
      <w:r w:rsidRPr="00F30552">
        <w:t xml:space="preserve"> maatregelen die bijdragen aan het creëren van een mondiaal gelijk speelveld. Het bestaande Europese typegoedkeuringsstelsel voor voertuigen is een belangrijk middel om een gelijk speelveld binnen de EU te waarborgen. Daarnaast dragen technische standaardisatie en harmonisatie daaraan bij.</w:t>
      </w:r>
      <w:r>
        <w:t xml:space="preserve"> </w:t>
      </w:r>
      <w:r w:rsidRPr="00F30552">
        <w:t xml:space="preserve">Bij de ontwikkeling van nieuwe mondiale technische regelgeving kan extra aandacht worden besteed aan de mogelijke impact op de concurrentiekracht van de Europese auto-industrie. Nederland steunt geharmoniseerde normen omdat deze rechtszekerheid, zekerheid en stabiliteit bieden aan gebruikers, kosten verlagen voor </w:t>
      </w:r>
      <w:r>
        <w:t>producenten</w:t>
      </w:r>
      <w:r w:rsidRPr="00F30552">
        <w:t xml:space="preserve"> en daarmee bijdragen aan het goed functioneren van de interne markt.</w:t>
      </w:r>
    </w:p>
    <w:p w:rsidR="00FA443A" w:rsidRDefault="00FA443A" w14:paraId="3E36E48C" w14:textId="77777777"/>
    <w:p w:rsidR="00C161E2" w:rsidRDefault="008831EE" w14:paraId="1B587214" w14:textId="63F722D6">
      <w:pPr>
        <w:rPr>
          <w:u w:val="single"/>
        </w:rPr>
      </w:pPr>
      <w:r>
        <w:rPr>
          <w:u w:val="single"/>
        </w:rPr>
        <w:t xml:space="preserve">5. </w:t>
      </w:r>
      <w:r w:rsidR="00C161E2">
        <w:rPr>
          <w:u w:val="single"/>
        </w:rPr>
        <w:t>Regelgeving stroomlijnen en processen optimaliseren</w:t>
      </w:r>
    </w:p>
    <w:p w:rsidRPr="00734027" w:rsidR="00340E82" w:rsidRDefault="00F30552" w14:paraId="56B97E8B" w14:textId="453FC415">
      <w:r>
        <w:t xml:space="preserve">De auto-industrie heeft belang bij stabiele en voorspelbare regelgeving, zodat investeren in innovatie blijft lonen. Het position paper benoemt verschillende aandachtspunten voor het stroomlijnen van regelgeving en het optimaliseren van processen waaronder het invoeren van een impact assessment, indien relevant, op de bestaande infrastructuur voor nieuwe regelgeving, voldoende tijd voor de implementatie van regelgeving voor de lidstaten, het betrekken van alle relevante stakeholders en meer samenhang tussen regelgeving voor de toelating van voertuigen op de markt en de regelgeving voor de gehele levenscyclus van voertuigen. </w:t>
      </w:r>
    </w:p>
    <w:p w:rsidR="00FB702E" w:rsidRDefault="00FB702E" w14:paraId="78660A8B" w14:textId="77777777">
      <w:pPr>
        <w:rPr>
          <w:b/>
          <w:bCs/>
        </w:rPr>
      </w:pPr>
    </w:p>
    <w:p w:rsidR="006C1D04" w:rsidRDefault="006C1D04" w14:paraId="5494FC8B" w14:textId="795CCE5F">
      <w:pPr>
        <w:rPr>
          <w:b/>
          <w:bCs/>
        </w:rPr>
      </w:pPr>
      <w:r>
        <w:rPr>
          <w:b/>
          <w:bCs/>
        </w:rPr>
        <w:t>Tot slot</w:t>
      </w:r>
    </w:p>
    <w:p w:rsidRPr="006C1D04" w:rsidR="006C1D04" w:rsidRDefault="006C1D04" w14:paraId="3013AF46" w14:textId="1F692071">
      <w:r>
        <w:t>Met deze brief hoop</w:t>
      </w:r>
      <w:r w:rsidR="00DC45CD">
        <w:t>t het</w:t>
      </w:r>
      <w:r>
        <w:t xml:space="preserve"> </w:t>
      </w:r>
      <w:r w:rsidR="00DC45CD">
        <w:t xml:space="preserve">kabinet u </w:t>
      </w:r>
      <w:r>
        <w:t xml:space="preserve">duidelijkheid te hebben verschaft over de Nederlandse inzet op het gebied van de </w:t>
      </w:r>
      <w:r w:rsidR="00614FDC">
        <w:t xml:space="preserve">toekomst van de </w:t>
      </w:r>
      <w:r>
        <w:t xml:space="preserve">Europese </w:t>
      </w:r>
      <w:r w:rsidR="00614FDC">
        <w:t>auto-</w:t>
      </w:r>
      <w:r>
        <w:t>industrie.</w:t>
      </w:r>
    </w:p>
    <w:p w:rsidR="00B3413B" w:rsidRDefault="00B3413B" w14:paraId="65863088" w14:textId="3930B6E6">
      <w:pPr>
        <w:pStyle w:val="WitregelW1bodytekst"/>
      </w:pPr>
    </w:p>
    <w:p w:rsidR="008831EE" w:rsidP="008831EE" w:rsidRDefault="008831EE" w14:paraId="1FDAD607" w14:textId="77777777">
      <w:pPr>
        <w:spacing w:line="240" w:lineRule="auto"/>
      </w:pPr>
    </w:p>
    <w:p w:rsidR="00B3413B" w:rsidP="008831EE" w:rsidRDefault="00FA443A" w14:paraId="6800BDD3" w14:textId="644AACFA">
      <w:pPr>
        <w:spacing w:line="240" w:lineRule="auto"/>
      </w:pPr>
      <w:r>
        <w:t>Hoogachtend,</w:t>
      </w:r>
    </w:p>
    <w:p w:rsidR="00B3413B" w:rsidRDefault="00FA443A" w14:paraId="7F7F417B" w14:textId="77777777">
      <w:pPr>
        <w:pStyle w:val="OndertekeningArea1"/>
      </w:pPr>
      <w:r>
        <w:t>DE MINISTER VAN INFRASTRUCTUUR EN WATERSTAAT,</w:t>
      </w:r>
    </w:p>
    <w:p w:rsidR="00B3413B" w:rsidRDefault="00B3413B" w14:paraId="50001939" w14:textId="77777777"/>
    <w:p w:rsidR="00B3413B" w:rsidRDefault="00B3413B" w14:paraId="2ED47E31" w14:textId="77777777"/>
    <w:p w:rsidR="00B3413B" w:rsidRDefault="00B3413B" w14:paraId="28F9F984" w14:textId="77777777"/>
    <w:p w:rsidR="00B3413B" w:rsidRDefault="00B3413B" w14:paraId="18E5FD05" w14:textId="77777777"/>
    <w:p w:rsidR="00B3413B" w:rsidRDefault="00FA443A" w14:paraId="4A2867E8" w14:textId="77777777">
      <w:r>
        <w:t>Barry Madlener</w:t>
      </w:r>
    </w:p>
    <w:p w:rsidR="002E5FED" w:rsidRDefault="002E5FED" w14:paraId="0DD8528D" w14:textId="77777777"/>
    <w:p w:rsidR="007E5202" w:rsidRDefault="007E5202" w14:paraId="560D03DB" w14:textId="77777777"/>
    <w:p w:rsidR="007E5202" w:rsidRDefault="007E5202" w14:paraId="2BE244F3" w14:textId="77777777"/>
    <w:p w:rsidR="007E5202" w:rsidRDefault="007E5202" w14:paraId="083DF055" w14:textId="77777777"/>
    <w:p w:rsidRPr="007E5202" w:rsidR="007E5202" w:rsidP="007E5202" w:rsidRDefault="007E5202" w14:paraId="2BBE556B" w14:textId="4B39B0FD">
      <w:r w:rsidRPr="007E5202">
        <w:t>DE MINISTER VAN ECONOMISCHE ZAKEN</w:t>
      </w:r>
      <w:r>
        <w:t>,</w:t>
      </w:r>
    </w:p>
    <w:p w:rsidRPr="007E5202" w:rsidR="007E5202" w:rsidP="007E5202" w:rsidRDefault="007E5202" w14:paraId="3FDFBA0B" w14:textId="77777777"/>
    <w:p w:rsidRPr="007E5202" w:rsidR="007E5202" w:rsidP="007E5202" w:rsidRDefault="007E5202" w14:paraId="04F11F7A" w14:textId="77777777"/>
    <w:p w:rsidRPr="007E5202" w:rsidR="007E5202" w:rsidP="007E5202" w:rsidRDefault="007E5202" w14:paraId="315138E1" w14:textId="77777777"/>
    <w:p w:rsidRPr="007E5202" w:rsidR="007E5202" w:rsidP="007E5202" w:rsidRDefault="007E5202" w14:paraId="13FFD400" w14:textId="77777777"/>
    <w:p w:rsidRPr="007E5202" w:rsidR="007E5202" w:rsidP="007E5202" w:rsidRDefault="007E5202" w14:paraId="5874C9AF" w14:textId="77777777">
      <w:r w:rsidRPr="007E5202">
        <w:t>Dirk Beljaarts</w:t>
      </w:r>
    </w:p>
    <w:p w:rsidR="002E5FED" w:rsidRDefault="002E5FED" w14:paraId="3E969BD4" w14:textId="77777777"/>
    <w:p w:rsidR="002E5FED" w:rsidRDefault="002E5FED" w14:paraId="116C346B" w14:textId="77777777"/>
    <w:p w:rsidR="002E5FED" w:rsidRDefault="002E5FED" w14:paraId="153B62F7" w14:textId="77777777"/>
    <w:p w:rsidR="007E5202" w:rsidRDefault="007E5202" w14:paraId="7D6B770C" w14:textId="77777777"/>
    <w:p w:rsidR="002E5FED" w:rsidRDefault="002E5FED" w14:paraId="006D5083" w14:textId="7CB66211">
      <w:r>
        <w:t>DE STAATSSECRETARIS VAN INFRASTRUCTUUR EN WATERSTAAT – OPENBAAR VERVOER EN MILIEU,</w:t>
      </w:r>
    </w:p>
    <w:p w:rsidR="002E5FED" w:rsidRDefault="002E5FED" w14:paraId="6B55F422" w14:textId="77777777"/>
    <w:p w:rsidR="002E5FED" w:rsidRDefault="002E5FED" w14:paraId="63C394EC" w14:textId="77777777"/>
    <w:p w:rsidR="002E5FED" w:rsidRDefault="002E5FED" w14:paraId="4CABF9A5" w14:textId="77777777"/>
    <w:p w:rsidR="002E5FED" w:rsidRDefault="002E5FED" w14:paraId="7EEE7643" w14:textId="77777777"/>
    <w:p w:rsidR="002E5FED" w:rsidRDefault="002E5FED" w14:paraId="1C7D8374" w14:textId="459DB4EE">
      <w:r>
        <w:t>C.A. Jansen</w:t>
      </w:r>
    </w:p>
    <w:sectPr w:rsidR="002E5FED">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B46B7" w14:textId="77777777" w:rsidR="002C60F2" w:rsidRDefault="002C60F2">
      <w:pPr>
        <w:spacing w:line="240" w:lineRule="auto"/>
      </w:pPr>
      <w:r>
        <w:separator/>
      </w:r>
    </w:p>
  </w:endnote>
  <w:endnote w:type="continuationSeparator" w:id="0">
    <w:p w14:paraId="1AB9EC44" w14:textId="77777777" w:rsidR="002C60F2" w:rsidRDefault="002C60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64B66" w14:textId="77777777" w:rsidR="002C60F2" w:rsidRDefault="002C60F2">
      <w:pPr>
        <w:spacing w:line="240" w:lineRule="auto"/>
      </w:pPr>
      <w:r>
        <w:separator/>
      </w:r>
    </w:p>
  </w:footnote>
  <w:footnote w:type="continuationSeparator" w:id="0">
    <w:p w14:paraId="19FCFC7D" w14:textId="77777777" w:rsidR="002C60F2" w:rsidRDefault="002C60F2">
      <w:pPr>
        <w:spacing w:line="240" w:lineRule="auto"/>
      </w:pPr>
      <w:r>
        <w:continuationSeparator/>
      </w:r>
    </w:p>
  </w:footnote>
  <w:footnote w:id="1">
    <w:p w14:paraId="53BFBBDA" w14:textId="0933FE05" w:rsidR="00005C44" w:rsidRPr="003F316C" w:rsidRDefault="00005C44">
      <w:pPr>
        <w:pStyle w:val="FootnoteText"/>
        <w:rPr>
          <w:sz w:val="16"/>
          <w:szCs w:val="16"/>
        </w:rPr>
      </w:pPr>
      <w:r w:rsidRPr="003F316C">
        <w:rPr>
          <w:rStyle w:val="FootnoteReference"/>
          <w:sz w:val="16"/>
          <w:szCs w:val="16"/>
        </w:rPr>
        <w:footnoteRef/>
      </w:r>
      <w:r w:rsidRPr="003F316C">
        <w:rPr>
          <w:sz w:val="16"/>
          <w:szCs w:val="16"/>
        </w:rPr>
        <w:t xml:space="preserve"> Kamerstukken </w:t>
      </w:r>
      <w:r w:rsidR="004F1A06" w:rsidRPr="003F316C">
        <w:rPr>
          <w:sz w:val="16"/>
          <w:szCs w:val="16"/>
        </w:rPr>
        <w:t>||</w:t>
      </w:r>
      <w:r w:rsidRPr="003F316C">
        <w:rPr>
          <w:sz w:val="16"/>
          <w:szCs w:val="16"/>
        </w:rPr>
        <w:t xml:space="preserve"> 2012-13, 22 112, nr. 1581</w:t>
      </w:r>
    </w:p>
  </w:footnote>
  <w:footnote w:id="2">
    <w:p w14:paraId="16B3F97D" w14:textId="77777777" w:rsidR="005B52E2" w:rsidRPr="003F316C" w:rsidRDefault="005B52E2" w:rsidP="005B52E2">
      <w:pPr>
        <w:pStyle w:val="FootnoteText"/>
        <w:rPr>
          <w:sz w:val="16"/>
          <w:szCs w:val="16"/>
        </w:rPr>
      </w:pPr>
      <w:r w:rsidRPr="003F316C">
        <w:rPr>
          <w:rStyle w:val="FootnoteReference"/>
          <w:sz w:val="16"/>
          <w:szCs w:val="16"/>
        </w:rPr>
        <w:footnoteRef/>
      </w:r>
      <w:r w:rsidRPr="003F316C">
        <w:rPr>
          <w:sz w:val="16"/>
          <w:szCs w:val="16"/>
        </w:rPr>
        <w:t xml:space="preserve"> Website voor de publieke consultatie: </w:t>
      </w:r>
      <w:hyperlink r:id="rId1" w:history="1">
        <w:r w:rsidRPr="003F316C">
          <w:rPr>
            <w:rStyle w:val="Hyperlink"/>
            <w:sz w:val="16"/>
            <w:szCs w:val="16"/>
          </w:rPr>
          <w:t>https://ec.europa.eu/info/law/better-regulation/have-your-say/initiatives/14487-Future-of-the-European-automotive-industry_en</w:t>
        </w:r>
      </w:hyperlink>
      <w:r w:rsidRPr="003F316C">
        <w:rPr>
          <w:sz w:val="16"/>
          <w:szCs w:val="16"/>
        </w:rPr>
        <w:t>.</w:t>
      </w:r>
    </w:p>
  </w:footnote>
  <w:footnote w:id="3">
    <w:p w14:paraId="50291E97" w14:textId="0EC3C8A2" w:rsidR="004F1A06" w:rsidRPr="003F316C" w:rsidRDefault="004F1A06">
      <w:pPr>
        <w:pStyle w:val="FootnoteText"/>
        <w:rPr>
          <w:sz w:val="16"/>
          <w:szCs w:val="16"/>
        </w:rPr>
      </w:pPr>
      <w:r w:rsidRPr="003F316C">
        <w:rPr>
          <w:rStyle w:val="FootnoteReference"/>
          <w:sz w:val="16"/>
          <w:szCs w:val="16"/>
        </w:rPr>
        <w:footnoteRef/>
      </w:r>
      <w:r w:rsidRPr="003F316C">
        <w:rPr>
          <w:sz w:val="16"/>
          <w:szCs w:val="16"/>
        </w:rPr>
        <w:t xml:space="preserve"> Kamerstukken || 2024-25, 22 112, nr. 3992</w:t>
      </w:r>
    </w:p>
  </w:footnote>
  <w:footnote w:id="4">
    <w:p w14:paraId="6BD6F105" w14:textId="799530C6" w:rsidR="00FB702E" w:rsidRPr="003F316C" w:rsidRDefault="00FB702E">
      <w:pPr>
        <w:pStyle w:val="FootnoteText"/>
        <w:rPr>
          <w:sz w:val="16"/>
          <w:szCs w:val="16"/>
        </w:rPr>
      </w:pPr>
      <w:r w:rsidRPr="003F316C">
        <w:rPr>
          <w:rStyle w:val="FootnoteReference"/>
          <w:sz w:val="16"/>
          <w:szCs w:val="16"/>
        </w:rPr>
        <w:footnoteRef/>
      </w:r>
      <w:r w:rsidRPr="003F316C">
        <w:rPr>
          <w:sz w:val="16"/>
          <w:szCs w:val="16"/>
        </w:rPr>
        <w:t xml:space="preserve"> </w:t>
      </w:r>
      <w:r w:rsidR="005B52E2" w:rsidRPr="003F316C">
        <w:rPr>
          <w:sz w:val="16"/>
          <w:szCs w:val="16"/>
        </w:rPr>
        <w:t>Zie persverklaring:</w:t>
      </w:r>
      <w:r w:rsidRPr="003F316C">
        <w:rPr>
          <w:sz w:val="16"/>
          <w:szCs w:val="16"/>
        </w:rPr>
        <w:t xml:space="preserve"> </w:t>
      </w:r>
      <w:hyperlink r:id="rId2" w:history="1">
        <w:r w:rsidRPr="003F316C">
          <w:rPr>
            <w:rStyle w:val="Hyperlink"/>
            <w:sz w:val="16"/>
            <w:szCs w:val="16"/>
          </w:rPr>
          <w:t>https://ec.europa.eu/commission/presscorner/detail/en/ip_25_378</w:t>
        </w:r>
      </w:hyperlink>
      <w:r w:rsidRPr="003F316C">
        <w:rPr>
          <w:sz w:val="16"/>
          <w:szCs w:val="16"/>
        </w:rPr>
        <w:t xml:space="preserve"> </w:t>
      </w:r>
    </w:p>
  </w:footnote>
  <w:footnote w:id="5">
    <w:p w14:paraId="6DAA5085" w14:textId="74DDE222" w:rsidR="00166CF0" w:rsidRPr="003F316C" w:rsidRDefault="00166CF0">
      <w:pPr>
        <w:pStyle w:val="FootnoteText"/>
        <w:rPr>
          <w:sz w:val="16"/>
          <w:szCs w:val="16"/>
        </w:rPr>
      </w:pPr>
      <w:r w:rsidRPr="003F316C">
        <w:rPr>
          <w:rStyle w:val="FootnoteReference"/>
          <w:sz w:val="16"/>
          <w:szCs w:val="16"/>
        </w:rPr>
        <w:footnoteRef/>
      </w:r>
      <w:r w:rsidRPr="003F316C">
        <w:rPr>
          <w:sz w:val="16"/>
          <w:szCs w:val="16"/>
        </w:rPr>
        <w:t xml:space="preserve"> </w:t>
      </w:r>
      <w:r w:rsidR="00341589" w:rsidRPr="003F316C">
        <w:rPr>
          <w:sz w:val="16"/>
          <w:szCs w:val="16"/>
        </w:rPr>
        <w:t xml:space="preserve">Kamerstukken || 2024-24, 21 501-33, nr. S </w:t>
      </w:r>
    </w:p>
  </w:footnote>
  <w:footnote w:id="6">
    <w:p w14:paraId="3874EF01" w14:textId="40337DEB" w:rsidR="003F316C" w:rsidRPr="003F316C" w:rsidRDefault="003F316C">
      <w:pPr>
        <w:pStyle w:val="FootnoteText"/>
        <w:rPr>
          <w:sz w:val="16"/>
          <w:szCs w:val="16"/>
        </w:rPr>
      </w:pPr>
      <w:r w:rsidRPr="003F316C">
        <w:rPr>
          <w:rStyle w:val="FootnoteReference"/>
          <w:sz w:val="16"/>
          <w:szCs w:val="16"/>
        </w:rPr>
        <w:footnoteRef/>
      </w:r>
      <w:r w:rsidRPr="003F316C">
        <w:rPr>
          <w:sz w:val="16"/>
          <w:szCs w:val="16"/>
        </w:rPr>
        <w:t xml:space="preserve"> Kamerstukken || 2024-25, 21 501-30, nr. 622</w:t>
      </w:r>
    </w:p>
  </w:footnote>
  <w:footnote w:id="7">
    <w:p w14:paraId="73B7CF31" w14:textId="50DE8CD9" w:rsidR="00B856E1" w:rsidRPr="003F316C" w:rsidRDefault="00B856E1">
      <w:pPr>
        <w:pStyle w:val="FootnoteText"/>
        <w:rPr>
          <w:sz w:val="16"/>
          <w:szCs w:val="16"/>
        </w:rPr>
      </w:pPr>
      <w:r w:rsidRPr="003F316C">
        <w:rPr>
          <w:rStyle w:val="FootnoteReference"/>
          <w:sz w:val="16"/>
          <w:szCs w:val="16"/>
        </w:rPr>
        <w:footnoteRef/>
      </w:r>
      <w:r w:rsidRPr="003F316C">
        <w:rPr>
          <w:sz w:val="16"/>
          <w:szCs w:val="16"/>
        </w:rPr>
        <w:t xml:space="preserve"> </w:t>
      </w:r>
      <w:r w:rsidR="0028450A" w:rsidRPr="003F316C">
        <w:rPr>
          <w:sz w:val="16"/>
          <w:szCs w:val="16"/>
        </w:rPr>
        <w:t>Kamerstukken || 2024-25, 31 305, nr. 482</w:t>
      </w:r>
    </w:p>
  </w:footnote>
  <w:footnote w:id="8">
    <w:p w14:paraId="10BCF8CB" w14:textId="48FEFBA1" w:rsidR="00C161E2" w:rsidRPr="003F316C" w:rsidRDefault="00C161E2">
      <w:pPr>
        <w:pStyle w:val="FootnoteText"/>
        <w:rPr>
          <w:sz w:val="16"/>
          <w:szCs w:val="16"/>
        </w:rPr>
      </w:pPr>
      <w:r w:rsidRPr="003F316C">
        <w:rPr>
          <w:rStyle w:val="FootnoteReference"/>
          <w:sz w:val="16"/>
          <w:szCs w:val="16"/>
        </w:rPr>
        <w:footnoteRef/>
      </w:r>
      <w:r w:rsidRPr="003F316C">
        <w:rPr>
          <w:sz w:val="16"/>
          <w:szCs w:val="16"/>
        </w:rPr>
        <w:t xml:space="preserve"> </w:t>
      </w:r>
      <w:r w:rsidR="005B52E2" w:rsidRPr="003F316C">
        <w:rPr>
          <w:sz w:val="16"/>
          <w:szCs w:val="16"/>
        </w:rPr>
        <w:t>Zie conceptnotitie</w:t>
      </w:r>
      <w:r w:rsidRPr="003F316C">
        <w:rPr>
          <w:sz w:val="16"/>
          <w:szCs w:val="16"/>
        </w:rPr>
        <w:t xml:space="preserve">: </w:t>
      </w:r>
      <w:hyperlink r:id="rId3" w:history="1">
        <w:r w:rsidRPr="003F316C">
          <w:rPr>
            <w:rStyle w:val="Hyperlink"/>
            <w:sz w:val="16"/>
            <w:szCs w:val="16"/>
          </w:rPr>
          <w:t>https://ec.europa.eu/commission/presscorner/detail/en/ac_25_297</w:t>
        </w:r>
      </w:hyperlink>
      <w:r w:rsidRPr="003F316C">
        <w:rPr>
          <w:sz w:val="16"/>
          <w:szCs w:val="16"/>
        </w:rPr>
        <w:t xml:space="preserve"> </w:t>
      </w:r>
    </w:p>
  </w:footnote>
  <w:footnote w:id="9">
    <w:p w14:paraId="79787B86" w14:textId="757E1F88" w:rsidR="008831EE" w:rsidRPr="003F316C" w:rsidRDefault="008831EE">
      <w:pPr>
        <w:pStyle w:val="FootnoteText"/>
        <w:rPr>
          <w:sz w:val="16"/>
          <w:szCs w:val="16"/>
        </w:rPr>
      </w:pPr>
      <w:r w:rsidRPr="003F316C">
        <w:rPr>
          <w:rStyle w:val="FootnoteReference"/>
          <w:sz w:val="16"/>
          <w:szCs w:val="16"/>
        </w:rPr>
        <w:footnoteRef/>
      </w:r>
      <w:r w:rsidRPr="003F316C">
        <w:rPr>
          <w:sz w:val="16"/>
          <w:szCs w:val="16"/>
        </w:rPr>
        <w:t xml:space="preserve"> Kamerstukken || 2023-24, 21 501-20, nr. 2068</w:t>
      </w:r>
    </w:p>
  </w:footnote>
  <w:footnote w:id="10">
    <w:p w14:paraId="00C49F9C" w14:textId="77777777" w:rsidR="00CA2BE6" w:rsidRPr="003F316C" w:rsidRDefault="00CA2BE6" w:rsidP="00CA2BE6">
      <w:pPr>
        <w:pStyle w:val="FootnoteText"/>
        <w:rPr>
          <w:sz w:val="16"/>
          <w:szCs w:val="16"/>
        </w:rPr>
      </w:pPr>
      <w:r w:rsidRPr="003F316C">
        <w:rPr>
          <w:rStyle w:val="FootnoteReference"/>
          <w:sz w:val="16"/>
          <w:szCs w:val="16"/>
        </w:rPr>
        <w:footnoteRef/>
      </w:r>
      <w:r w:rsidRPr="003F316C">
        <w:rPr>
          <w:sz w:val="16"/>
          <w:szCs w:val="16"/>
        </w:rPr>
        <w:t xml:space="preserve"> Kamerstukken || 2024-25, 31 305, nr. 481 </w:t>
      </w:r>
    </w:p>
  </w:footnote>
  <w:footnote w:id="11">
    <w:p w14:paraId="7063E2D8" w14:textId="2047B9CA" w:rsidR="00B856E1" w:rsidRPr="003F316C" w:rsidRDefault="00B856E1">
      <w:pPr>
        <w:pStyle w:val="FootnoteText"/>
        <w:rPr>
          <w:sz w:val="16"/>
          <w:szCs w:val="16"/>
        </w:rPr>
      </w:pPr>
      <w:r w:rsidRPr="003F316C">
        <w:rPr>
          <w:rStyle w:val="FootnoteReference"/>
          <w:sz w:val="16"/>
          <w:szCs w:val="16"/>
        </w:rPr>
        <w:footnoteRef/>
      </w:r>
      <w:r w:rsidRPr="003F316C">
        <w:rPr>
          <w:sz w:val="16"/>
          <w:szCs w:val="16"/>
        </w:rPr>
        <w:t xml:space="preserve"> Kamerstukken || 2023-24, 22 112, nr. 3947</w:t>
      </w:r>
    </w:p>
  </w:footnote>
  <w:footnote w:id="12">
    <w:p w14:paraId="44099E41" w14:textId="77777777" w:rsidR="00734027" w:rsidRPr="003F316C" w:rsidRDefault="00734027" w:rsidP="00734027">
      <w:pPr>
        <w:pStyle w:val="FootnoteText"/>
        <w:rPr>
          <w:sz w:val="16"/>
          <w:szCs w:val="16"/>
        </w:rPr>
      </w:pPr>
      <w:r w:rsidRPr="003F316C">
        <w:rPr>
          <w:rStyle w:val="FootnoteReference"/>
          <w:sz w:val="16"/>
          <w:szCs w:val="16"/>
        </w:rPr>
        <w:footnoteRef/>
      </w:r>
      <w:r w:rsidRPr="003F316C">
        <w:rPr>
          <w:sz w:val="16"/>
          <w:szCs w:val="16"/>
        </w:rPr>
        <w:t xml:space="preserve"> Kamerstukken || 2024-25, 31 209, nr. 262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E2978" w14:textId="77777777" w:rsidR="00B3413B" w:rsidRDefault="00FA443A">
    <w:r>
      <w:rPr>
        <w:noProof/>
        <w:lang w:val="en-GB" w:eastAsia="en-GB"/>
      </w:rPr>
      <mc:AlternateContent>
        <mc:Choice Requires="wps">
          <w:drawing>
            <wp:anchor distT="0" distB="0" distL="0" distR="0" simplePos="0" relativeHeight="251651584" behindDoc="0" locked="1" layoutInCell="1" allowOverlap="1" wp14:anchorId="48F133AB" wp14:editId="6857F199">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D8539B8" w14:textId="77777777" w:rsidR="00B3413B" w:rsidRDefault="00FA443A">
                          <w:pPr>
                            <w:pStyle w:val="AfzendgegevensKop0"/>
                          </w:pPr>
                          <w:r>
                            <w:t>Ministerie van Infrastructuur en Waterstaat</w:t>
                          </w:r>
                        </w:p>
                        <w:p w14:paraId="0027518E" w14:textId="77777777" w:rsidR="007D53A3" w:rsidRDefault="007D53A3" w:rsidP="007D53A3"/>
                        <w:p w14:paraId="15632239" w14:textId="77777777" w:rsidR="007D53A3" w:rsidRDefault="007D53A3" w:rsidP="007D53A3">
                          <w:pPr>
                            <w:pStyle w:val="Referentiegegevenskop"/>
                          </w:pPr>
                          <w:r>
                            <w:t>Kenmerk</w:t>
                          </w:r>
                        </w:p>
                        <w:p w14:paraId="172492B7" w14:textId="77777777" w:rsidR="007D53A3" w:rsidRDefault="007D53A3" w:rsidP="007D53A3">
                          <w:pPr>
                            <w:pStyle w:val="Referentiegegevens"/>
                          </w:pPr>
                          <w:r w:rsidRPr="007D53A3">
                            <w:t>IENW/BSK-2025/32534</w:t>
                          </w:r>
                        </w:p>
                        <w:p w14:paraId="1335E371" w14:textId="77777777" w:rsidR="007D53A3" w:rsidRPr="007D53A3" w:rsidRDefault="007D53A3" w:rsidP="007D53A3"/>
                      </w:txbxContent>
                    </wps:txbx>
                    <wps:bodyPr vert="horz" wrap="square" lIns="0" tIns="0" rIns="0" bIns="0" anchor="t" anchorCtr="0"/>
                  </wps:wsp>
                </a:graphicData>
              </a:graphic>
            </wp:anchor>
          </w:drawing>
        </mc:Choice>
        <mc:Fallback>
          <w:pict>
            <v:shapetype w14:anchorId="48F133A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D8539B8" w14:textId="77777777" w:rsidR="00B3413B" w:rsidRDefault="00FA443A">
                    <w:pPr>
                      <w:pStyle w:val="AfzendgegevensKop0"/>
                    </w:pPr>
                    <w:r>
                      <w:t>Ministerie van Infrastructuur en Waterstaat</w:t>
                    </w:r>
                  </w:p>
                  <w:p w14:paraId="0027518E" w14:textId="77777777" w:rsidR="007D53A3" w:rsidRDefault="007D53A3" w:rsidP="007D53A3"/>
                  <w:p w14:paraId="15632239" w14:textId="77777777" w:rsidR="007D53A3" w:rsidRDefault="007D53A3" w:rsidP="007D53A3">
                    <w:pPr>
                      <w:pStyle w:val="Referentiegegevenskop"/>
                    </w:pPr>
                    <w:r>
                      <w:t>Kenmerk</w:t>
                    </w:r>
                  </w:p>
                  <w:p w14:paraId="172492B7" w14:textId="77777777" w:rsidR="007D53A3" w:rsidRDefault="007D53A3" w:rsidP="007D53A3">
                    <w:pPr>
                      <w:pStyle w:val="Referentiegegevens"/>
                    </w:pPr>
                    <w:r w:rsidRPr="007D53A3">
                      <w:t>IENW/BSK-2025/32534</w:t>
                    </w:r>
                  </w:p>
                  <w:p w14:paraId="1335E371" w14:textId="77777777" w:rsidR="007D53A3" w:rsidRPr="007D53A3" w:rsidRDefault="007D53A3" w:rsidP="007D53A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0DC698E" wp14:editId="72CA206F">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92E0101" w14:textId="77777777" w:rsidR="00B3413B" w:rsidRDefault="00FA443A">
                          <w:pPr>
                            <w:pStyle w:val="Referentiegegevens"/>
                          </w:pPr>
                          <w:r>
                            <w:t xml:space="preserve">Pagina </w:t>
                          </w:r>
                          <w:r>
                            <w:fldChar w:fldCharType="begin"/>
                          </w:r>
                          <w:r>
                            <w:instrText>PAGE</w:instrText>
                          </w:r>
                          <w:r>
                            <w:fldChar w:fldCharType="separate"/>
                          </w:r>
                          <w:r w:rsidR="006C1D04">
                            <w:rPr>
                              <w:noProof/>
                            </w:rPr>
                            <w:t>1</w:t>
                          </w:r>
                          <w:r>
                            <w:fldChar w:fldCharType="end"/>
                          </w:r>
                          <w:r>
                            <w:t xml:space="preserve"> van </w:t>
                          </w:r>
                          <w:r>
                            <w:fldChar w:fldCharType="begin"/>
                          </w:r>
                          <w:r>
                            <w:instrText>NUMPAGES</w:instrText>
                          </w:r>
                          <w:r>
                            <w:fldChar w:fldCharType="separate"/>
                          </w:r>
                          <w:r w:rsidR="006C1D04">
                            <w:rPr>
                              <w:noProof/>
                            </w:rPr>
                            <w:t>1</w:t>
                          </w:r>
                          <w:r>
                            <w:fldChar w:fldCharType="end"/>
                          </w:r>
                        </w:p>
                      </w:txbxContent>
                    </wps:txbx>
                    <wps:bodyPr vert="horz" wrap="square" lIns="0" tIns="0" rIns="0" bIns="0" anchor="t" anchorCtr="0"/>
                  </wps:wsp>
                </a:graphicData>
              </a:graphic>
            </wp:anchor>
          </w:drawing>
        </mc:Choice>
        <mc:Fallback>
          <w:pict>
            <v:shape w14:anchorId="10DC698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92E0101" w14:textId="77777777" w:rsidR="00B3413B" w:rsidRDefault="00FA443A">
                    <w:pPr>
                      <w:pStyle w:val="Referentiegegevens"/>
                    </w:pPr>
                    <w:r>
                      <w:t xml:space="preserve">Pagina </w:t>
                    </w:r>
                    <w:r>
                      <w:fldChar w:fldCharType="begin"/>
                    </w:r>
                    <w:r>
                      <w:instrText>PAGE</w:instrText>
                    </w:r>
                    <w:r>
                      <w:fldChar w:fldCharType="separate"/>
                    </w:r>
                    <w:r w:rsidR="006C1D04">
                      <w:rPr>
                        <w:noProof/>
                      </w:rPr>
                      <w:t>1</w:t>
                    </w:r>
                    <w:r>
                      <w:fldChar w:fldCharType="end"/>
                    </w:r>
                    <w:r>
                      <w:t xml:space="preserve"> van </w:t>
                    </w:r>
                    <w:r>
                      <w:fldChar w:fldCharType="begin"/>
                    </w:r>
                    <w:r>
                      <w:instrText>NUMPAGES</w:instrText>
                    </w:r>
                    <w:r>
                      <w:fldChar w:fldCharType="separate"/>
                    </w:r>
                    <w:r w:rsidR="006C1D0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F4B36D6" wp14:editId="13839AF8">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7812760" w14:textId="77777777" w:rsidR="00FE4D61" w:rsidRDefault="00FE4D61"/>
                      </w:txbxContent>
                    </wps:txbx>
                    <wps:bodyPr vert="horz" wrap="square" lIns="0" tIns="0" rIns="0" bIns="0" anchor="t" anchorCtr="0"/>
                  </wps:wsp>
                </a:graphicData>
              </a:graphic>
            </wp:anchor>
          </w:drawing>
        </mc:Choice>
        <mc:Fallback>
          <w:pict>
            <v:shape w14:anchorId="4F4B36D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7812760" w14:textId="77777777" w:rsidR="00FE4D61" w:rsidRDefault="00FE4D6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ADCCCCC" wp14:editId="43A98A7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33C4AC7" w14:textId="77777777" w:rsidR="00FE4D61" w:rsidRDefault="00FE4D61"/>
                      </w:txbxContent>
                    </wps:txbx>
                    <wps:bodyPr vert="horz" wrap="square" lIns="0" tIns="0" rIns="0" bIns="0" anchor="t" anchorCtr="0"/>
                  </wps:wsp>
                </a:graphicData>
              </a:graphic>
            </wp:anchor>
          </w:drawing>
        </mc:Choice>
        <mc:Fallback>
          <w:pict>
            <v:shape w14:anchorId="3ADCCCC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33C4AC7" w14:textId="77777777" w:rsidR="00FE4D61" w:rsidRDefault="00FE4D6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36A0C" w14:textId="77777777" w:rsidR="00B3413B" w:rsidRDefault="00FA443A">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A33028D" wp14:editId="71F5C1F2">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199D0EB" w14:textId="77777777" w:rsidR="00FE4D61" w:rsidRDefault="00FE4D61"/>
                      </w:txbxContent>
                    </wps:txbx>
                    <wps:bodyPr vert="horz" wrap="square" lIns="0" tIns="0" rIns="0" bIns="0" anchor="t" anchorCtr="0"/>
                  </wps:wsp>
                </a:graphicData>
              </a:graphic>
            </wp:anchor>
          </w:drawing>
        </mc:Choice>
        <mc:Fallback>
          <w:pict>
            <v:shapetype w14:anchorId="5A33028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199D0EB" w14:textId="77777777" w:rsidR="00FE4D61" w:rsidRDefault="00FE4D6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C1E623D" wp14:editId="34ABABC8">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011B306" w14:textId="1AC0DBA3" w:rsidR="00B3413B" w:rsidRDefault="00FA443A">
                          <w:pPr>
                            <w:pStyle w:val="Referentiegegevens"/>
                          </w:pPr>
                          <w:r>
                            <w:t xml:space="preserve">Pagina </w:t>
                          </w:r>
                          <w:r>
                            <w:fldChar w:fldCharType="begin"/>
                          </w:r>
                          <w:r>
                            <w:instrText>PAGE</w:instrText>
                          </w:r>
                          <w:r>
                            <w:fldChar w:fldCharType="separate"/>
                          </w:r>
                          <w:r w:rsidR="00350636">
                            <w:rPr>
                              <w:noProof/>
                            </w:rPr>
                            <w:t>1</w:t>
                          </w:r>
                          <w:r>
                            <w:fldChar w:fldCharType="end"/>
                          </w:r>
                          <w:r>
                            <w:t xml:space="preserve"> van </w:t>
                          </w:r>
                          <w:r>
                            <w:fldChar w:fldCharType="begin"/>
                          </w:r>
                          <w:r>
                            <w:instrText>NUMPAGES</w:instrText>
                          </w:r>
                          <w:r>
                            <w:fldChar w:fldCharType="separate"/>
                          </w:r>
                          <w:r w:rsidR="00350636">
                            <w:rPr>
                              <w:noProof/>
                            </w:rPr>
                            <w:t>1</w:t>
                          </w:r>
                          <w:r>
                            <w:fldChar w:fldCharType="end"/>
                          </w:r>
                        </w:p>
                      </w:txbxContent>
                    </wps:txbx>
                    <wps:bodyPr vert="horz" wrap="square" lIns="0" tIns="0" rIns="0" bIns="0" anchor="t" anchorCtr="0"/>
                  </wps:wsp>
                </a:graphicData>
              </a:graphic>
            </wp:anchor>
          </w:drawing>
        </mc:Choice>
        <mc:Fallback>
          <w:pict>
            <v:shape w14:anchorId="7C1E623D"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011B306" w14:textId="1AC0DBA3" w:rsidR="00B3413B" w:rsidRDefault="00FA443A">
                    <w:pPr>
                      <w:pStyle w:val="Referentiegegevens"/>
                    </w:pPr>
                    <w:r>
                      <w:t xml:space="preserve">Pagina </w:t>
                    </w:r>
                    <w:r>
                      <w:fldChar w:fldCharType="begin"/>
                    </w:r>
                    <w:r>
                      <w:instrText>PAGE</w:instrText>
                    </w:r>
                    <w:r>
                      <w:fldChar w:fldCharType="separate"/>
                    </w:r>
                    <w:r w:rsidR="00350636">
                      <w:rPr>
                        <w:noProof/>
                      </w:rPr>
                      <w:t>1</w:t>
                    </w:r>
                    <w:r>
                      <w:fldChar w:fldCharType="end"/>
                    </w:r>
                    <w:r>
                      <w:t xml:space="preserve"> van </w:t>
                    </w:r>
                    <w:r>
                      <w:fldChar w:fldCharType="begin"/>
                    </w:r>
                    <w:r>
                      <w:instrText>NUMPAGES</w:instrText>
                    </w:r>
                    <w:r>
                      <w:fldChar w:fldCharType="separate"/>
                    </w:r>
                    <w:r w:rsidR="0035063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8E9E79B" wp14:editId="0066F7E2">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FBF3FDF" w14:textId="77777777" w:rsidR="00B3413B" w:rsidRDefault="00FA443A">
                          <w:pPr>
                            <w:pStyle w:val="AfzendgegevensKop0"/>
                          </w:pPr>
                          <w:r>
                            <w:t>Ministerie van Infrastructuur en Waterstaat</w:t>
                          </w:r>
                        </w:p>
                        <w:p w14:paraId="07020D68" w14:textId="77777777" w:rsidR="00B3413B" w:rsidRDefault="00B3413B">
                          <w:pPr>
                            <w:pStyle w:val="WitregelW1"/>
                          </w:pPr>
                        </w:p>
                        <w:p w14:paraId="74C8F584" w14:textId="77777777" w:rsidR="00B3413B" w:rsidRDefault="00FA443A">
                          <w:pPr>
                            <w:pStyle w:val="Afzendgegevens"/>
                          </w:pPr>
                          <w:r>
                            <w:t>Rijnstraat 8</w:t>
                          </w:r>
                        </w:p>
                        <w:p w14:paraId="5C7FC5A2" w14:textId="77777777" w:rsidR="00B3413B" w:rsidRPr="006C1D04" w:rsidRDefault="00FA443A">
                          <w:pPr>
                            <w:pStyle w:val="Afzendgegevens"/>
                            <w:rPr>
                              <w:lang w:val="de-DE"/>
                            </w:rPr>
                          </w:pPr>
                          <w:r w:rsidRPr="006C1D04">
                            <w:rPr>
                              <w:lang w:val="de-DE"/>
                            </w:rPr>
                            <w:t>2515 XP  Den Haag</w:t>
                          </w:r>
                        </w:p>
                        <w:p w14:paraId="2CCDBB48" w14:textId="77777777" w:rsidR="00B3413B" w:rsidRPr="006C1D04" w:rsidRDefault="00FA443A">
                          <w:pPr>
                            <w:pStyle w:val="Afzendgegevens"/>
                            <w:rPr>
                              <w:lang w:val="de-DE"/>
                            </w:rPr>
                          </w:pPr>
                          <w:r w:rsidRPr="006C1D04">
                            <w:rPr>
                              <w:lang w:val="de-DE"/>
                            </w:rPr>
                            <w:t>Postbus 20901</w:t>
                          </w:r>
                        </w:p>
                        <w:p w14:paraId="6B96946B" w14:textId="77777777" w:rsidR="00B3413B" w:rsidRPr="006C1D04" w:rsidRDefault="00FA443A">
                          <w:pPr>
                            <w:pStyle w:val="Afzendgegevens"/>
                            <w:rPr>
                              <w:lang w:val="de-DE"/>
                            </w:rPr>
                          </w:pPr>
                          <w:r w:rsidRPr="006C1D04">
                            <w:rPr>
                              <w:lang w:val="de-DE"/>
                            </w:rPr>
                            <w:t>2500 EX Den Haag</w:t>
                          </w:r>
                        </w:p>
                        <w:p w14:paraId="0AC8AFDB" w14:textId="77777777" w:rsidR="00B3413B" w:rsidRPr="006C1D04" w:rsidRDefault="00B3413B">
                          <w:pPr>
                            <w:pStyle w:val="WitregelW1"/>
                            <w:rPr>
                              <w:lang w:val="de-DE"/>
                            </w:rPr>
                          </w:pPr>
                        </w:p>
                        <w:p w14:paraId="500F1616" w14:textId="77777777" w:rsidR="00B3413B" w:rsidRPr="006C1D04" w:rsidRDefault="00FA443A">
                          <w:pPr>
                            <w:pStyle w:val="Afzendgegevens"/>
                            <w:rPr>
                              <w:lang w:val="de-DE"/>
                            </w:rPr>
                          </w:pPr>
                          <w:r w:rsidRPr="006C1D04">
                            <w:rPr>
                              <w:lang w:val="de-DE"/>
                            </w:rPr>
                            <w:t>T   070-456 0000</w:t>
                          </w:r>
                        </w:p>
                        <w:p w14:paraId="6DCF264D" w14:textId="77777777" w:rsidR="00B3413B" w:rsidRDefault="00FA443A">
                          <w:pPr>
                            <w:pStyle w:val="Afzendgegevens"/>
                          </w:pPr>
                          <w:r>
                            <w:t>F   070-456 1111</w:t>
                          </w:r>
                        </w:p>
                        <w:p w14:paraId="3EFD4FC9" w14:textId="77777777" w:rsidR="00B3413B" w:rsidRDefault="00B3413B">
                          <w:pPr>
                            <w:pStyle w:val="WitregelW2"/>
                          </w:pPr>
                        </w:p>
                        <w:p w14:paraId="27D1A3A2" w14:textId="77777777" w:rsidR="007D53A3" w:rsidRDefault="007D53A3">
                          <w:pPr>
                            <w:pStyle w:val="Referentiegegevenskop"/>
                          </w:pPr>
                        </w:p>
                        <w:p w14:paraId="13C51FB7" w14:textId="152E74E8" w:rsidR="007D53A3" w:rsidRDefault="007D53A3" w:rsidP="007D53A3">
                          <w:pPr>
                            <w:pStyle w:val="Referentiegegevenskop"/>
                          </w:pPr>
                          <w:r>
                            <w:t>Kenmerk</w:t>
                          </w:r>
                        </w:p>
                        <w:p w14:paraId="0C5E5E04" w14:textId="7A6516D2" w:rsidR="007D53A3" w:rsidRDefault="007D53A3" w:rsidP="007D53A3">
                          <w:pPr>
                            <w:pStyle w:val="Referentiegegevens"/>
                          </w:pPr>
                          <w:r w:rsidRPr="007D53A3">
                            <w:t>IENW/BSK-2025/32534</w:t>
                          </w:r>
                        </w:p>
                        <w:p w14:paraId="3AB6D98F" w14:textId="77777777" w:rsidR="007D53A3" w:rsidRDefault="007D53A3">
                          <w:pPr>
                            <w:pStyle w:val="Referentiegegevenskop"/>
                          </w:pPr>
                        </w:p>
                        <w:p w14:paraId="16EA9695" w14:textId="4C6ADD41" w:rsidR="00B3413B" w:rsidRDefault="00FA443A">
                          <w:pPr>
                            <w:pStyle w:val="Referentiegegevenskop"/>
                          </w:pPr>
                          <w:r>
                            <w:t>Bijlage(n)</w:t>
                          </w:r>
                        </w:p>
                        <w:p w14:paraId="409F8D53" w14:textId="2A65393C" w:rsidR="00B3413B" w:rsidRDefault="00543164">
                          <w:pPr>
                            <w:pStyle w:val="Referentiegegevens"/>
                          </w:pPr>
                          <w:r>
                            <w:t>3</w:t>
                          </w:r>
                        </w:p>
                      </w:txbxContent>
                    </wps:txbx>
                    <wps:bodyPr vert="horz" wrap="square" lIns="0" tIns="0" rIns="0" bIns="0" anchor="t" anchorCtr="0"/>
                  </wps:wsp>
                </a:graphicData>
              </a:graphic>
            </wp:anchor>
          </w:drawing>
        </mc:Choice>
        <mc:Fallback>
          <w:pict>
            <v:shape w14:anchorId="38E9E79B"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FBF3FDF" w14:textId="77777777" w:rsidR="00B3413B" w:rsidRDefault="00FA443A">
                    <w:pPr>
                      <w:pStyle w:val="AfzendgegevensKop0"/>
                    </w:pPr>
                    <w:r>
                      <w:t>Ministerie van Infrastructuur en Waterstaat</w:t>
                    </w:r>
                  </w:p>
                  <w:p w14:paraId="07020D68" w14:textId="77777777" w:rsidR="00B3413B" w:rsidRDefault="00B3413B">
                    <w:pPr>
                      <w:pStyle w:val="WitregelW1"/>
                    </w:pPr>
                  </w:p>
                  <w:p w14:paraId="74C8F584" w14:textId="77777777" w:rsidR="00B3413B" w:rsidRDefault="00FA443A">
                    <w:pPr>
                      <w:pStyle w:val="Afzendgegevens"/>
                    </w:pPr>
                    <w:r>
                      <w:t>Rijnstraat 8</w:t>
                    </w:r>
                  </w:p>
                  <w:p w14:paraId="5C7FC5A2" w14:textId="77777777" w:rsidR="00B3413B" w:rsidRPr="006C1D04" w:rsidRDefault="00FA443A">
                    <w:pPr>
                      <w:pStyle w:val="Afzendgegevens"/>
                      <w:rPr>
                        <w:lang w:val="de-DE"/>
                      </w:rPr>
                    </w:pPr>
                    <w:r w:rsidRPr="006C1D04">
                      <w:rPr>
                        <w:lang w:val="de-DE"/>
                      </w:rPr>
                      <w:t>2515 XP  Den Haag</w:t>
                    </w:r>
                  </w:p>
                  <w:p w14:paraId="2CCDBB48" w14:textId="77777777" w:rsidR="00B3413B" w:rsidRPr="006C1D04" w:rsidRDefault="00FA443A">
                    <w:pPr>
                      <w:pStyle w:val="Afzendgegevens"/>
                      <w:rPr>
                        <w:lang w:val="de-DE"/>
                      </w:rPr>
                    </w:pPr>
                    <w:r w:rsidRPr="006C1D04">
                      <w:rPr>
                        <w:lang w:val="de-DE"/>
                      </w:rPr>
                      <w:t>Postbus 20901</w:t>
                    </w:r>
                  </w:p>
                  <w:p w14:paraId="6B96946B" w14:textId="77777777" w:rsidR="00B3413B" w:rsidRPr="006C1D04" w:rsidRDefault="00FA443A">
                    <w:pPr>
                      <w:pStyle w:val="Afzendgegevens"/>
                      <w:rPr>
                        <w:lang w:val="de-DE"/>
                      </w:rPr>
                    </w:pPr>
                    <w:r w:rsidRPr="006C1D04">
                      <w:rPr>
                        <w:lang w:val="de-DE"/>
                      </w:rPr>
                      <w:t>2500 EX Den Haag</w:t>
                    </w:r>
                  </w:p>
                  <w:p w14:paraId="0AC8AFDB" w14:textId="77777777" w:rsidR="00B3413B" w:rsidRPr="006C1D04" w:rsidRDefault="00B3413B">
                    <w:pPr>
                      <w:pStyle w:val="WitregelW1"/>
                      <w:rPr>
                        <w:lang w:val="de-DE"/>
                      </w:rPr>
                    </w:pPr>
                  </w:p>
                  <w:p w14:paraId="500F1616" w14:textId="77777777" w:rsidR="00B3413B" w:rsidRPr="006C1D04" w:rsidRDefault="00FA443A">
                    <w:pPr>
                      <w:pStyle w:val="Afzendgegevens"/>
                      <w:rPr>
                        <w:lang w:val="de-DE"/>
                      </w:rPr>
                    </w:pPr>
                    <w:r w:rsidRPr="006C1D04">
                      <w:rPr>
                        <w:lang w:val="de-DE"/>
                      </w:rPr>
                      <w:t>T   070-456 0000</w:t>
                    </w:r>
                  </w:p>
                  <w:p w14:paraId="6DCF264D" w14:textId="77777777" w:rsidR="00B3413B" w:rsidRDefault="00FA443A">
                    <w:pPr>
                      <w:pStyle w:val="Afzendgegevens"/>
                    </w:pPr>
                    <w:r>
                      <w:t>F   070-456 1111</w:t>
                    </w:r>
                  </w:p>
                  <w:p w14:paraId="3EFD4FC9" w14:textId="77777777" w:rsidR="00B3413B" w:rsidRDefault="00B3413B">
                    <w:pPr>
                      <w:pStyle w:val="WitregelW2"/>
                    </w:pPr>
                  </w:p>
                  <w:p w14:paraId="27D1A3A2" w14:textId="77777777" w:rsidR="007D53A3" w:rsidRDefault="007D53A3">
                    <w:pPr>
                      <w:pStyle w:val="Referentiegegevenskop"/>
                    </w:pPr>
                  </w:p>
                  <w:p w14:paraId="13C51FB7" w14:textId="152E74E8" w:rsidR="007D53A3" w:rsidRDefault="007D53A3" w:rsidP="007D53A3">
                    <w:pPr>
                      <w:pStyle w:val="Referentiegegevenskop"/>
                    </w:pPr>
                    <w:r>
                      <w:t>Kenmerk</w:t>
                    </w:r>
                  </w:p>
                  <w:p w14:paraId="0C5E5E04" w14:textId="7A6516D2" w:rsidR="007D53A3" w:rsidRDefault="007D53A3" w:rsidP="007D53A3">
                    <w:pPr>
                      <w:pStyle w:val="Referentiegegevens"/>
                    </w:pPr>
                    <w:r w:rsidRPr="007D53A3">
                      <w:t>IENW/BSK-2025/32534</w:t>
                    </w:r>
                  </w:p>
                  <w:p w14:paraId="3AB6D98F" w14:textId="77777777" w:rsidR="007D53A3" w:rsidRDefault="007D53A3">
                    <w:pPr>
                      <w:pStyle w:val="Referentiegegevenskop"/>
                    </w:pPr>
                  </w:p>
                  <w:p w14:paraId="16EA9695" w14:textId="4C6ADD41" w:rsidR="00B3413B" w:rsidRDefault="00FA443A">
                    <w:pPr>
                      <w:pStyle w:val="Referentiegegevenskop"/>
                    </w:pPr>
                    <w:r>
                      <w:t>Bijlage(n)</w:t>
                    </w:r>
                  </w:p>
                  <w:p w14:paraId="409F8D53" w14:textId="2A65393C" w:rsidR="00B3413B" w:rsidRDefault="00543164">
                    <w:pPr>
                      <w:pStyle w:val="Referentiegegevens"/>
                    </w:pPr>
                    <w: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9405306" wp14:editId="03BDD052">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CB17D4F" w14:textId="77777777" w:rsidR="00B3413B" w:rsidRDefault="00FA443A">
                          <w:pPr>
                            <w:spacing w:line="240" w:lineRule="auto"/>
                          </w:pPr>
                          <w:r>
                            <w:rPr>
                              <w:noProof/>
                              <w:lang w:val="en-GB" w:eastAsia="en-GB"/>
                            </w:rPr>
                            <w:drawing>
                              <wp:inline distT="0" distB="0" distL="0" distR="0" wp14:anchorId="0A07395D" wp14:editId="5230657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40530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CB17D4F" w14:textId="77777777" w:rsidR="00B3413B" w:rsidRDefault="00FA443A">
                    <w:pPr>
                      <w:spacing w:line="240" w:lineRule="auto"/>
                    </w:pPr>
                    <w:r>
                      <w:rPr>
                        <w:noProof/>
                        <w:lang w:val="en-GB" w:eastAsia="en-GB"/>
                      </w:rPr>
                      <w:drawing>
                        <wp:inline distT="0" distB="0" distL="0" distR="0" wp14:anchorId="0A07395D" wp14:editId="5230657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3ED920E" wp14:editId="6C08D71D">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4E86653" w14:textId="77777777" w:rsidR="00B3413B" w:rsidRDefault="00FA443A">
                          <w:pPr>
                            <w:spacing w:line="240" w:lineRule="auto"/>
                          </w:pPr>
                          <w:r>
                            <w:rPr>
                              <w:noProof/>
                              <w:lang w:val="en-GB" w:eastAsia="en-GB"/>
                            </w:rPr>
                            <w:drawing>
                              <wp:inline distT="0" distB="0" distL="0" distR="0" wp14:anchorId="25B0BD41" wp14:editId="08591D3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ED920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4E86653" w14:textId="77777777" w:rsidR="00B3413B" w:rsidRDefault="00FA443A">
                    <w:pPr>
                      <w:spacing w:line="240" w:lineRule="auto"/>
                    </w:pPr>
                    <w:r>
                      <w:rPr>
                        <w:noProof/>
                        <w:lang w:val="en-GB" w:eastAsia="en-GB"/>
                      </w:rPr>
                      <w:drawing>
                        <wp:inline distT="0" distB="0" distL="0" distR="0" wp14:anchorId="25B0BD41" wp14:editId="08591D3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A31570B" wp14:editId="41E4FCDD">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91E9E0D" w14:textId="77777777" w:rsidR="00B3413B" w:rsidRDefault="00FA443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A31570B"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91E9E0D" w14:textId="77777777" w:rsidR="00B3413B" w:rsidRDefault="00FA443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8C58926" wp14:editId="1D2B28A2">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A492FBA" w14:textId="67445D8B" w:rsidR="00FE4D61" w:rsidRDefault="007D53A3">
                          <w:r>
                            <w:t>De Voorzitter van de Tweede Kamer</w:t>
                          </w:r>
                        </w:p>
                        <w:p w14:paraId="67DEA022" w14:textId="2C255574" w:rsidR="007D53A3" w:rsidRDefault="007D53A3">
                          <w:r>
                            <w:t>der Staten-Generaal</w:t>
                          </w:r>
                        </w:p>
                        <w:p w14:paraId="4BBD5942" w14:textId="5FF20C21" w:rsidR="007D53A3" w:rsidRDefault="007D53A3">
                          <w:r>
                            <w:t>Postbus 20018</w:t>
                          </w:r>
                        </w:p>
                        <w:p w14:paraId="6D946159" w14:textId="5474AA18" w:rsidR="007D53A3" w:rsidRDefault="007D53A3">
                          <w:r>
                            <w:t>2500 EA  DEN HAAG</w:t>
                          </w:r>
                        </w:p>
                      </w:txbxContent>
                    </wps:txbx>
                    <wps:bodyPr vert="horz" wrap="square" lIns="0" tIns="0" rIns="0" bIns="0" anchor="t" anchorCtr="0"/>
                  </wps:wsp>
                </a:graphicData>
              </a:graphic>
            </wp:anchor>
          </w:drawing>
        </mc:Choice>
        <mc:Fallback>
          <w:pict>
            <v:shape w14:anchorId="08C5892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A492FBA" w14:textId="67445D8B" w:rsidR="00FE4D61" w:rsidRDefault="007D53A3">
                    <w:r>
                      <w:t>De Voorzitter van de Tweede Kamer</w:t>
                    </w:r>
                  </w:p>
                  <w:p w14:paraId="67DEA022" w14:textId="2C255574" w:rsidR="007D53A3" w:rsidRDefault="007D53A3">
                    <w:r>
                      <w:t>der Staten-Generaal</w:t>
                    </w:r>
                  </w:p>
                  <w:p w14:paraId="4BBD5942" w14:textId="5FF20C21" w:rsidR="007D53A3" w:rsidRDefault="007D53A3">
                    <w:r>
                      <w:t>Postbus 20018</w:t>
                    </w:r>
                  </w:p>
                  <w:p w14:paraId="6D946159" w14:textId="5474AA18" w:rsidR="007D53A3" w:rsidRDefault="007D53A3">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BC2A0AD" wp14:editId="149ACDD0">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3413B" w14:paraId="6704B24B" w14:textId="77777777">
                            <w:trPr>
                              <w:trHeight w:val="200"/>
                            </w:trPr>
                            <w:tc>
                              <w:tcPr>
                                <w:tcW w:w="1140" w:type="dxa"/>
                              </w:tcPr>
                              <w:p w14:paraId="625574FE" w14:textId="77777777" w:rsidR="00B3413B" w:rsidRDefault="00B3413B"/>
                            </w:tc>
                            <w:tc>
                              <w:tcPr>
                                <w:tcW w:w="5400" w:type="dxa"/>
                              </w:tcPr>
                              <w:p w14:paraId="037628B7" w14:textId="77777777" w:rsidR="00B3413B" w:rsidRDefault="00B3413B"/>
                            </w:tc>
                          </w:tr>
                          <w:tr w:rsidR="00B3413B" w14:paraId="2E8E275E" w14:textId="77777777">
                            <w:trPr>
                              <w:trHeight w:val="240"/>
                            </w:trPr>
                            <w:tc>
                              <w:tcPr>
                                <w:tcW w:w="1140" w:type="dxa"/>
                              </w:tcPr>
                              <w:p w14:paraId="3A38E1D4" w14:textId="77777777" w:rsidR="00B3413B" w:rsidRDefault="00FA443A">
                                <w:r>
                                  <w:t>Datum</w:t>
                                </w:r>
                              </w:p>
                            </w:tc>
                            <w:tc>
                              <w:tcPr>
                                <w:tcW w:w="5400" w:type="dxa"/>
                              </w:tcPr>
                              <w:p w14:paraId="333C6226" w14:textId="7B3CC7F0" w:rsidR="00B3413B" w:rsidRDefault="00C11AAB">
                                <w:r>
                                  <w:t>13 februari 2025</w:t>
                                </w:r>
                              </w:p>
                            </w:tc>
                          </w:tr>
                          <w:tr w:rsidR="00B3413B" w14:paraId="5B37147C" w14:textId="77777777">
                            <w:trPr>
                              <w:trHeight w:val="240"/>
                            </w:trPr>
                            <w:tc>
                              <w:tcPr>
                                <w:tcW w:w="1140" w:type="dxa"/>
                              </w:tcPr>
                              <w:p w14:paraId="1E8919A4" w14:textId="77777777" w:rsidR="00B3413B" w:rsidRDefault="00FA443A">
                                <w:r>
                                  <w:t>Betreft</w:t>
                                </w:r>
                              </w:p>
                            </w:tc>
                            <w:tc>
                              <w:tcPr>
                                <w:tcW w:w="5400" w:type="dxa"/>
                              </w:tcPr>
                              <w:p w14:paraId="0CA96FEA" w14:textId="403C4B6E" w:rsidR="00B3413B" w:rsidRDefault="004F1A06">
                                <w:r>
                                  <w:t xml:space="preserve">Nederlandse inzet op consultatie over de toekomst van de Europese </w:t>
                                </w:r>
                                <w:r w:rsidR="00C161E2">
                                  <w:t>auto-</w:t>
                                </w:r>
                                <w:r>
                                  <w:t>industrie</w:t>
                                </w:r>
                              </w:p>
                            </w:tc>
                          </w:tr>
                          <w:tr w:rsidR="00B3413B" w14:paraId="4FE108FC" w14:textId="77777777">
                            <w:trPr>
                              <w:trHeight w:val="200"/>
                            </w:trPr>
                            <w:tc>
                              <w:tcPr>
                                <w:tcW w:w="1140" w:type="dxa"/>
                              </w:tcPr>
                              <w:p w14:paraId="6B19C6E4" w14:textId="77777777" w:rsidR="00B3413B" w:rsidRDefault="00B3413B"/>
                            </w:tc>
                            <w:tc>
                              <w:tcPr>
                                <w:tcW w:w="5400" w:type="dxa"/>
                              </w:tcPr>
                              <w:p w14:paraId="56EFFD9B" w14:textId="77777777" w:rsidR="00B3413B" w:rsidRDefault="00B3413B"/>
                            </w:tc>
                          </w:tr>
                        </w:tbl>
                        <w:p w14:paraId="0722980C" w14:textId="77777777" w:rsidR="00FE4D61" w:rsidRDefault="00FE4D61"/>
                      </w:txbxContent>
                    </wps:txbx>
                    <wps:bodyPr vert="horz" wrap="square" lIns="0" tIns="0" rIns="0" bIns="0" anchor="t" anchorCtr="0"/>
                  </wps:wsp>
                </a:graphicData>
              </a:graphic>
            </wp:anchor>
          </w:drawing>
        </mc:Choice>
        <mc:Fallback>
          <w:pict>
            <v:shape w14:anchorId="1BC2A0AD"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B3413B" w14:paraId="6704B24B" w14:textId="77777777">
                      <w:trPr>
                        <w:trHeight w:val="200"/>
                      </w:trPr>
                      <w:tc>
                        <w:tcPr>
                          <w:tcW w:w="1140" w:type="dxa"/>
                        </w:tcPr>
                        <w:p w14:paraId="625574FE" w14:textId="77777777" w:rsidR="00B3413B" w:rsidRDefault="00B3413B"/>
                      </w:tc>
                      <w:tc>
                        <w:tcPr>
                          <w:tcW w:w="5400" w:type="dxa"/>
                        </w:tcPr>
                        <w:p w14:paraId="037628B7" w14:textId="77777777" w:rsidR="00B3413B" w:rsidRDefault="00B3413B"/>
                      </w:tc>
                    </w:tr>
                    <w:tr w:rsidR="00B3413B" w14:paraId="2E8E275E" w14:textId="77777777">
                      <w:trPr>
                        <w:trHeight w:val="240"/>
                      </w:trPr>
                      <w:tc>
                        <w:tcPr>
                          <w:tcW w:w="1140" w:type="dxa"/>
                        </w:tcPr>
                        <w:p w14:paraId="3A38E1D4" w14:textId="77777777" w:rsidR="00B3413B" w:rsidRDefault="00FA443A">
                          <w:r>
                            <w:t>Datum</w:t>
                          </w:r>
                        </w:p>
                      </w:tc>
                      <w:tc>
                        <w:tcPr>
                          <w:tcW w:w="5400" w:type="dxa"/>
                        </w:tcPr>
                        <w:p w14:paraId="333C6226" w14:textId="7B3CC7F0" w:rsidR="00B3413B" w:rsidRDefault="00C11AAB">
                          <w:r>
                            <w:t>13 februari 2025</w:t>
                          </w:r>
                        </w:p>
                      </w:tc>
                    </w:tr>
                    <w:tr w:rsidR="00B3413B" w14:paraId="5B37147C" w14:textId="77777777">
                      <w:trPr>
                        <w:trHeight w:val="240"/>
                      </w:trPr>
                      <w:tc>
                        <w:tcPr>
                          <w:tcW w:w="1140" w:type="dxa"/>
                        </w:tcPr>
                        <w:p w14:paraId="1E8919A4" w14:textId="77777777" w:rsidR="00B3413B" w:rsidRDefault="00FA443A">
                          <w:r>
                            <w:t>Betreft</w:t>
                          </w:r>
                        </w:p>
                      </w:tc>
                      <w:tc>
                        <w:tcPr>
                          <w:tcW w:w="5400" w:type="dxa"/>
                        </w:tcPr>
                        <w:p w14:paraId="0CA96FEA" w14:textId="403C4B6E" w:rsidR="00B3413B" w:rsidRDefault="004F1A06">
                          <w:r>
                            <w:t xml:space="preserve">Nederlandse inzet op consultatie over de toekomst van de Europese </w:t>
                          </w:r>
                          <w:r w:rsidR="00C161E2">
                            <w:t>auto-</w:t>
                          </w:r>
                          <w:r>
                            <w:t>industrie</w:t>
                          </w:r>
                        </w:p>
                      </w:tc>
                    </w:tr>
                    <w:tr w:rsidR="00B3413B" w14:paraId="4FE108FC" w14:textId="77777777">
                      <w:trPr>
                        <w:trHeight w:val="200"/>
                      </w:trPr>
                      <w:tc>
                        <w:tcPr>
                          <w:tcW w:w="1140" w:type="dxa"/>
                        </w:tcPr>
                        <w:p w14:paraId="6B19C6E4" w14:textId="77777777" w:rsidR="00B3413B" w:rsidRDefault="00B3413B"/>
                      </w:tc>
                      <w:tc>
                        <w:tcPr>
                          <w:tcW w:w="5400" w:type="dxa"/>
                        </w:tcPr>
                        <w:p w14:paraId="56EFFD9B" w14:textId="77777777" w:rsidR="00B3413B" w:rsidRDefault="00B3413B"/>
                      </w:tc>
                    </w:tr>
                  </w:tbl>
                  <w:p w14:paraId="0722980C" w14:textId="77777777" w:rsidR="00FE4D61" w:rsidRDefault="00FE4D6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1D66A8C" wp14:editId="69C2495C">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2C35D62" w14:textId="77777777" w:rsidR="00FE4D61" w:rsidRDefault="00FE4D61"/>
                      </w:txbxContent>
                    </wps:txbx>
                    <wps:bodyPr vert="horz" wrap="square" lIns="0" tIns="0" rIns="0" bIns="0" anchor="t" anchorCtr="0"/>
                  </wps:wsp>
                </a:graphicData>
              </a:graphic>
            </wp:anchor>
          </w:drawing>
        </mc:Choice>
        <mc:Fallback>
          <w:pict>
            <v:shape w14:anchorId="11D66A8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2C35D62" w14:textId="77777777" w:rsidR="00FE4D61" w:rsidRDefault="00FE4D6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3830D1"/>
    <w:multiLevelType w:val="multilevel"/>
    <w:tmpl w:val="11A16C1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C0D0B3"/>
    <w:multiLevelType w:val="multilevel"/>
    <w:tmpl w:val="AEAF863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9C875F23"/>
    <w:multiLevelType w:val="multilevel"/>
    <w:tmpl w:val="0C7BA81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E1630FC"/>
    <w:multiLevelType w:val="multilevel"/>
    <w:tmpl w:val="F8F3623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B79D737"/>
    <w:multiLevelType w:val="multilevel"/>
    <w:tmpl w:val="9B3FC21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9B0760D"/>
    <w:multiLevelType w:val="multilevel"/>
    <w:tmpl w:val="AC6B73D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719E45A"/>
    <w:multiLevelType w:val="multilevel"/>
    <w:tmpl w:val="5938703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72EF14C"/>
    <w:multiLevelType w:val="multilevel"/>
    <w:tmpl w:val="851ACC7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0DFFA22"/>
    <w:multiLevelType w:val="multilevel"/>
    <w:tmpl w:val="371F2DB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7ECDFE0"/>
    <w:multiLevelType w:val="multilevel"/>
    <w:tmpl w:val="00A4F13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519FD7B"/>
    <w:multiLevelType w:val="multilevel"/>
    <w:tmpl w:val="BA07770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1D8703"/>
    <w:multiLevelType w:val="multilevel"/>
    <w:tmpl w:val="D72592D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A7C719"/>
    <w:multiLevelType w:val="multilevel"/>
    <w:tmpl w:val="D2B9600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530B3F8"/>
    <w:multiLevelType w:val="multilevel"/>
    <w:tmpl w:val="2C6DD38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4E4778"/>
    <w:multiLevelType w:val="multilevel"/>
    <w:tmpl w:val="B0B7D73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23042A"/>
    <w:multiLevelType w:val="multilevel"/>
    <w:tmpl w:val="662CA67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2B2C3A"/>
    <w:multiLevelType w:val="multilevel"/>
    <w:tmpl w:val="54A06F2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4BF61379"/>
    <w:multiLevelType w:val="multilevel"/>
    <w:tmpl w:val="DBF50C7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783692"/>
    <w:multiLevelType w:val="multilevel"/>
    <w:tmpl w:val="7C0D83D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05E724"/>
    <w:multiLevelType w:val="multilevel"/>
    <w:tmpl w:val="5360676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B2BD93"/>
    <w:multiLevelType w:val="multilevel"/>
    <w:tmpl w:val="72D8B85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464952"/>
    <w:multiLevelType w:val="multilevel"/>
    <w:tmpl w:val="2377F6D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7C6095"/>
    <w:multiLevelType w:val="multilevel"/>
    <w:tmpl w:val="05610AD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5"/>
  </w:num>
  <w:num w:numId="3">
    <w:abstractNumId w:val="20"/>
  </w:num>
  <w:num w:numId="4">
    <w:abstractNumId w:val="5"/>
  </w:num>
  <w:num w:numId="5">
    <w:abstractNumId w:val="1"/>
  </w:num>
  <w:num w:numId="6">
    <w:abstractNumId w:val="11"/>
  </w:num>
  <w:num w:numId="7">
    <w:abstractNumId w:val="6"/>
  </w:num>
  <w:num w:numId="8">
    <w:abstractNumId w:val="7"/>
  </w:num>
  <w:num w:numId="9">
    <w:abstractNumId w:val="12"/>
  </w:num>
  <w:num w:numId="10">
    <w:abstractNumId w:val="14"/>
  </w:num>
  <w:num w:numId="11">
    <w:abstractNumId w:val="8"/>
  </w:num>
  <w:num w:numId="12">
    <w:abstractNumId w:val="16"/>
  </w:num>
  <w:num w:numId="13">
    <w:abstractNumId w:val="2"/>
  </w:num>
  <w:num w:numId="14">
    <w:abstractNumId w:val="21"/>
  </w:num>
  <w:num w:numId="15">
    <w:abstractNumId w:val="10"/>
  </w:num>
  <w:num w:numId="16">
    <w:abstractNumId w:val="4"/>
  </w:num>
  <w:num w:numId="17">
    <w:abstractNumId w:val="17"/>
  </w:num>
  <w:num w:numId="18">
    <w:abstractNumId w:val="22"/>
  </w:num>
  <w:num w:numId="19">
    <w:abstractNumId w:val="18"/>
  </w:num>
  <w:num w:numId="20">
    <w:abstractNumId w:val="3"/>
  </w:num>
  <w:num w:numId="21">
    <w:abstractNumId w:val="0"/>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D04"/>
    <w:rsid w:val="00005C44"/>
    <w:rsid w:val="00166CF0"/>
    <w:rsid w:val="00182419"/>
    <w:rsid w:val="00182EFD"/>
    <w:rsid w:val="001A1E03"/>
    <w:rsid w:val="001D678A"/>
    <w:rsid w:val="00236228"/>
    <w:rsid w:val="00246DAE"/>
    <w:rsid w:val="00283ADE"/>
    <w:rsid w:val="0028450A"/>
    <w:rsid w:val="002B0CDE"/>
    <w:rsid w:val="002B412D"/>
    <w:rsid w:val="002C60F2"/>
    <w:rsid w:val="002E5FED"/>
    <w:rsid w:val="00307F93"/>
    <w:rsid w:val="00335C25"/>
    <w:rsid w:val="0034073D"/>
    <w:rsid w:val="00340E82"/>
    <w:rsid w:val="00341589"/>
    <w:rsid w:val="00350636"/>
    <w:rsid w:val="003B68CB"/>
    <w:rsid w:val="003C62A3"/>
    <w:rsid w:val="003E6001"/>
    <w:rsid w:val="003F316C"/>
    <w:rsid w:val="004402E1"/>
    <w:rsid w:val="004717F4"/>
    <w:rsid w:val="004F1A06"/>
    <w:rsid w:val="005177DE"/>
    <w:rsid w:val="00521931"/>
    <w:rsid w:val="00524211"/>
    <w:rsid w:val="005326E9"/>
    <w:rsid w:val="00543164"/>
    <w:rsid w:val="00544837"/>
    <w:rsid w:val="00565FF8"/>
    <w:rsid w:val="00587C35"/>
    <w:rsid w:val="005B3244"/>
    <w:rsid w:val="005B52E2"/>
    <w:rsid w:val="005C326B"/>
    <w:rsid w:val="005D4E54"/>
    <w:rsid w:val="005D71B3"/>
    <w:rsid w:val="00612849"/>
    <w:rsid w:val="00614FDC"/>
    <w:rsid w:val="00660523"/>
    <w:rsid w:val="00685355"/>
    <w:rsid w:val="006861BC"/>
    <w:rsid w:val="0069441C"/>
    <w:rsid w:val="006A228F"/>
    <w:rsid w:val="006B7584"/>
    <w:rsid w:val="006C1D04"/>
    <w:rsid w:val="00711B6A"/>
    <w:rsid w:val="00733A11"/>
    <w:rsid w:val="00734027"/>
    <w:rsid w:val="00742FEA"/>
    <w:rsid w:val="007A32C9"/>
    <w:rsid w:val="007D53A3"/>
    <w:rsid w:val="007E5202"/>
    <w:rsid w:val="007F0C7B"/>
    <w:rsid w:val="00843117"/>
    <w:rsid w:val="00874003"/>
    <w:rsid w:val="008831EE"/>
    <w:rsid w:val="008C4DA9"/>
    <w:rsid w:val="008E0331"/>
    <w:rsid w:val="0091402E"/>
    <w:rsid w:val="009A032F"/>
    <w:rsid w:val="009A6A18"/>
    <w:rsid w:val="00A248A8"/>
    <w:rsid w:val="00A248E1"/>
    <w:rsid w:val="00A66526"/>
    <w:rsid w:val="00A74158"/>
    <w:rsid w:val="00A81719"/>
    <w:rsid w:val="00A93A66"/>
    <w:rsid w:val="00A940C5"/>
    <w:rsid w:val="00B173CD"/>
    <w:rsid w:val="00B3413B"/>
    <w:rsid w:val="00B550E2"/>
    <w:rsid w:val="00B856E1"/>
    <w:rsid w:val="00B941D0"/>
    <w:rsid w:val="00BD522F"/>
    <w:rsid w:val="00C11AAB"/>
    <w:rsid w:val="00C161E2"/>
    <w:rsid w:val="00CA2BE6"/>
    <w:rsid w:val="00CD0DA8"/>
    <w:rsid w:val="00CE35F4"/>
    <w:rsid w:val="00D03823"/>
    <w:rsid w:val="00D11D8F"/>
    <w:rsid w:val="00DC4060"/>
    <w:rsid w:val="00DC45CD"/>
    <w:rsid w:val="00DD5D53"/>
    <w:rsid w:val="00DE33CB"/>
    <w:rsid w:val="00E41109"/>
    <w:rsid w:val="00E576BC"/>
    <w:rsid w:val="00E737E7"/>
    <w:rsid w:val="00E97216"/>
    <w:rsid w:val="00EA76CC"/>
    <w:rsid w:val="00EC4A4D"/>
    <w:rsid w:val="00EE4F8B"/>
    <w:rsid w:val="00F03784"/>
    <w:rsid w:val="00F25AD8"/>
    <w:rsid w:val="00F30552"/>
    <w:rsid w:val="00F43965"/>
    <w:rsid w:val="00F977F9"/>
    <w:rsid w:val="00FA443A"/>
    <w:rsid w:val="00FB702E"/>
    <w:rsid w:val="00FC5D96"/>
    <w:rsid w:val="00FE4D61"/>
    <w:rsid w:val="00FE70A9"/>
    <w:rsid w:val="00FF13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6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C1D04"/>
    <w:pPr>
      <w:tabs>
        <w:tab w:val="center" w:pos="4536"/>
        <w:tab w:val="right" w:pos="9072"/>
      </w:tabs>
      <w:spacing w:line="240" w:lineRule="auto"/>
    </w:pPr>
  </w:style>
  <w:style w:type="character" w:customStyle="1" w:styleId="HeaderChar">
    <w:name w:val="Header Char"/>
    <w:basedOn w:val="DefaultParagraphFont"/>
    <w:link w:val="Header"/>
    <w:uiPriority w:val="99"/>
    <w:rsid w:val="006C1D04"/>
    <w:rPr>
      <w:rFonts w:ascii="Verdana" w:hAnsi="Verdana"/>
      <w:color w:val="000000"/>
      <w:sz w:val="18"/>
      <w:szCs w:val="18"/>
    </w:rPr>
  </w:style>
  <w:style w:type="paragraph" w:styleId="Footer">
    <w:name w:val="footer"/>
    <w:basedOn w:val="Normal"/>
    <w:link w:val="FooterChar"/>
    <w:uiPriority w:val="99"/>
    <w:unhideWhenUsed/>
    <w:rsid w:val="006C1D04"/>
    <w:pPr>
      <w:tabs>
        <w:tab w:val="center" w:pos="4536"/>
        <w:tab w:val="right" w:pos="9072"/>
      </w:tabs>
      <w:spacing w:line="240" w:lineRule="auto"/>
    </w:pPr>
  </w:style>
  <w:style w:type="character" w:customStyle="1" w:styleId="FooterChar">
    <w:name w:val="Footer Char"/>
    <w:basedOn w:val="DefaultParagraphFont"/>
    <w:link w:val="Footer"/>
    <w:uiPriority w:val="99"/>
    <w:rsid w:val="006C1D04"/>
    <w:rPr>
      <w:rFonts w:ascii="Verdana" w:hAnsi="Verdana"/>
      <w:color w:val="000000"/>
      <w:sz w:val="18"/>
      <w:szCs w:val="18"/>
    </w:rPr>
  </w:style>
  <w:style w:type="paragraph" w:styleId="FootnoteText">
    <w:name w:val="footnote text"/>
    <w:basedOn w:val="Normal"/>
    <w:link w:val="FootnoteTextChar"/>
    <w:uiPriority w:val="99"/>
    <w:semiHidden/>
    <w:unhideWhenUsed/>
    <w:rsid w:val="00005C44"/>
    <w:pPr>
      <w:spacing w:line="240" w:lineRule="auto"/>
    </w:pPr>
    <w:rPr>
      <w:sz w:val="20"/>
      <w:szCs w:val="20"/>
    </w:rPr>
  </w:style>
  <w:style w:type="character" w:customStyle="1" w:styleId="FootnoteTextChar">
    <w:name w:val="Footnote Text Char"/>
    <w:basedOn w:val="DefaultParagraphFont"/>
    <w:link w:val="FootnoteText"/>
    <w:uiPriority w:val="99"/>
    <w:semiHidden/>
    <w:rsid w:val="00005C44"/>
    <w:rPr>
      <w:rFonts w:ascii="Verdana" w:hAnsi="Verdana"/>
      <w:color w:val="000000"/>
    </w:rPr>
  </w:style>
  <w:style w:type="character" w:styleId="FootnoteReference">
    <w:name w:val="footnote reference"/>
    <w:basedOn w:val="DefaultParagraphFont"/>
    <w:uiPriority w:val="99"/>
    <w:semiHidden/>
    <w:unhideWhenUsed/>
    <w:rsid w:val="00005C44"/>
    <w:rPr>
      <w:vertAlign w:val="superscript"/>
    </w:rPr>
  </w:style>
  <w:style w:type="character" w:styleId="CommentReference">
    <w:name w:val="annotation reference"/>
    <w:basedOn w:val="DefaultParagraphFont"/>
    <w:uiPriority w:val="99"/>
    <w:semiHidden/>
    <w:unhideWhenUsed/>
    <w:rsid w:val="00340E82"/>
    <w:rPr>
      <w:sz w:val="16"/>
      <w:szCs w:val="16"/>
    </w:rPr>
  </w:style>
  <w:style w:type="paragraph" w:styleId="CommentText">
    <w:name w:val="annotation text"/>
    <w:basedOn w:val="Normal"/>
    <w:link w:val="CommentTextChar"/>
    <w:uiPriority w:val="99"/>
    <w:unhideWhenUsed/>
    <w:rsid w:val="00340E82"/>
    <w:pPr>
      <w:spacing w:line="240" w:lineRule="auto"/>
    </w:pPr>
    <w:rPr>
      <w:sz w:val="20"/>
      <w:szCs w:val="20"/>
    </w:rPr>
  </w:style>
  <w:style w:type="character" w:customStyle="1" w:styleId="CommentTextChar">
    <w:name w:val="Comment Text Char"/>
    <w:basedOn w:val="DefaultParagraphFont"/>
    <w:link w:val="CommentText"/>
    <w:uiPriority w:val="99"/>
    <w:rsid w:val="00340E8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40E82"/>
    <w:rPr>
      <w:b/>
      <w:bCs/>
    </w:rPr>
  </w:style>
  <w:style w:type="character" w:customStyle="1" w:styleId="CommentSubjectChar">
    <w:name w:val="Comment Subject Char"/>
    <w:basedOn w:val="CommentTextChar"/>
    <w:link w:val="CommentSubject"/>
    <w:uiPriority w:val="99"/>
    <w:semiHidden/>
    <w:rsid w:val="00340E82"/>
    <w:rPr>
      <w:rFonts w:ascii="Verdana" w:hAnsi="Verdana"/>
      <w:b/>
      <w:bCs/>
      <w:color w:val="000000"/>
    </w:rPr>
  </w:style>
  <w:style w:type="paragraph" w:styleId="Revision">
    <w:name w:val="Revision"/>
    <w:hidden/>
    <w:uiPriority w:val="99"/>
    <w:semiHidden/>
    <w:rsid w:val="007F0C7B"/>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FB702E"/>
    <w:rPr>
      <w:color w:val="605E5C"/>
      <w:shd w:val="clear" w:color="auto" w:fill="E1DFDD"/>
    </w:rPr>
  </w:style>
  <w:style w:type="paragraph" w:styleId="ListParagraph">
    <w:name w:val="List Paragraph"/>
    <w:basedOn w:val="Normal"/>
    <w:uiPriority w:val="34"/>
    <w:semiHidden/>
    <w:rsid w:val="00883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49284">
      <w:bodyDiv w:val="1"/>
      <w:marLeft w:val="0"/>
      <w:marRight w:val="0"/>
      <w:marTop w:val="0"/>
      <w:marBottom w:val="0"/>
      <w:divBdr>
        <w:top w:val="none" w:sz="0" w:space="0" w:color="auto"/>
        <w:left w:val="none" w:sz="0" w:space="0" w:color="auto"/>
        <w:bottom w:val="none" w:sz="0" w:space="0" w:color="auto"/>
        <w:right w:val="none" w:sz="0" w:space="0" w:color="auto"/>
      </w:divBdr>
    </w:div>
    <w:div w:id="1454056201">
      <w:bodyDiv w:val="1"/>
      <w:marLeft w:val="0"/>
      <w:marRight w:val="0"/>
      <w:marTop w:val="0"/>
      <w:marBottom w:val="0"/>
      <w:divBdr>
        <w:top w:val="none" w:sz="0" w:space="0" w:color="auto"/>
        <w:left w:val="none" w:sz="0" w:space="0" w:color="auto"/>
        <w:bottom w:val="none" w:sz="0" w:space="0" w:color="auto"/>
        <w:right w:val="none" w:sz="0" w:space="0" w:color="auto"/>
      </w:divBdr>
    </w:div>
    <w:div w:id="1614903925">
      <w:bodyDiv w:val="1"/>
      <w:marLeft w:val="0"/>
      <w:marRight w:val="0"/>
      <w:marTop w:val="0"/>
      <w:marBottom w:val="0"/>
      <w:divBdr>
        <w:top w:val="none" w:sz="0" w:space="0" w:color="auto"/>
        <w:left w:val="none" w:sz="0" w:space="0" w:color="auto"/>
        <w:bottom w:val="none" w:sz="0" w:space="0" w:color="auto"/>
        <w:right w:val="none" w:sz="0" w:space="0" w:color="auto"/>
      </w:divBdr>
    </w:div>
    <w:div w:id="1774131549">
      <w:bodyDiv w:val="1"/>
      <w:marLeft w:val="0"/>
      <w:marRight w:val="0"/>
      <w:marTop w:val="0"/>
      <w:marBottom w:val="0"/>
      <w:divBdr>
        <w:top w:val="none" w:sz="0" w:space="0" w:color="auto"/>
        <w:left w:val="none" w:sz="0" w:space="0" w:color="auto"/>
        <w:bottom w:val="none" w:sz="0" w:space="0" w:color="auto"/>
        <w:right w:val="none" w:sz="0" w:space="0" w:color="auto"/>
      </w:divBdr>
    </w:div>
    <w:div w:id="2018191040">
      <w:bodyDiv w:val="1"/>
      <w:marLeft w:val="0"/>
      <w:marRight w:val="0"/>
      <w:marTop w:val="0"/>
      <w:marBottom w:val="0"/>
      <w:divBdr>
        <w:top w:val="none" w:sz="0" w:space="0" w:color="auto"/>
        <w:left w:val="none" w:sz="0" w:space="0" w:color="auto"/>
        <w:bottom w:val="none" w:sz="0" w:space="0" w:color="auto"/>
        <w:right w:val="none" w:sz="0" w:space="0" w:color="auto"/>
      </w:divBdr>
    </w:div>
    <w:div w:id="2088649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ommission/presscorner/detail/en/ac_25_297" TargetMode="External"/><Relationship Id="rId2" Type="http://schemas.openxmlformats.org/officeDocument/2006/relationships/hyperlink" Target="https://ec.europa.eu/commission/presscorner/detail/en/ip_25_378" TargetMode="External"/><Relationship Id="rId1" Type="http://schemas.openxmlformats.org/officeDocument/2006/relationships/hyperlink" Target="https://ec.europa.eu/info/law/better-regulation/have-your-say/initiatives/14487-Future-of-the-European-automotive-industry_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1463</ap:Words>
  <ap:Characters>8340</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Brief aan Parlement - Kamerbrief over Nederlandse inzet op consultatie over de toekomst van de Europese automotive industrie</vt:lpstr>
    </vt:vector>
  </ap:TitlesOfParts>
  <ap:LinksUpToDate>false</ap:LinksUpToDate>
  <ap:CharactersWithSpaces>9784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2025-02-13T16:15:00.0000000Z</dcterms:created>
  <dcterms:modified xsi:type="dcterms:W3CDTF">2025-02-13T16:15:00.0000000Z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Kamerbrief over Nederlandse inzet op consultatie over de toekomst van de Europese automotive industrie</vt:lpwstr>
  </property>
  <property fmtid="{D5CDD505-2E9C-101B-9397-08002B2CF9AE}" pid="5" name="Publicatiedatum">
    <vt:lpwstr/>
  </property>
  <property fmtid="{D5CDD505-2E9C-101B-9397-08002B2CF9AE}" pid="6" name="Verantwoordelijke organisatie">
    <vt:lpwstr>Dir.Duurzame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MA A.G. Verhoeff</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