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9B4" w:rsidP="005479B4" w:rsidRDefault="00BB79D8" w14:paraId="4C90399B" w14:textId="62AE35BE">
      <w:pPr>
        <w:pStyle w:val="Agendapunt"/>
        <w:numPr>
          <w:ilvl w:val="0"/>
          <w:numId w:val="0"/>
        </w:numPr>
        <w:ind w:left="453" w:hanging="453"/>
      </w:pPr>
      <w:bookmarkStart w:name="_Hlk187742711" w:id="0"/>
      <w:bookmarkStart w:name="_GoBack" w:id="1"/>
      <w:bookmarkEnd w:id="1"/>
      <w:r>
        <w:t xml:space="preserve">Bijlage 1 </w:t>
      </w:r>
      <w:r>
        <w:tab/>
      </w:r>
      <w:r>
        <w:tab/>
      </w:r>
      <w:r>
        <w:tab/>
      </w:r>
      <w:r w:rsidR="005479B4">
        <w:t>Overzicht v</w:t>
      </w:r>
      <w:r w:rsidRPr="0049624B" w:rsidR="005479B4">
        <w:t xml:space="preserve">oorstellen voor wijzigingen van wet- en regelgeving ten aanzien van kansspelen op afstand </w:t>
      </w:r>
    </w:p>
    <w:p w:rsidRPr="006E61E6" w:rsidR="005479B4" w:rsidP="005479B4" w:rsidRDefault="005479B4" w14:paraId="53FEC028" w14:textId="77777777">
      <w:pPr>
        <w:rPr>
          <w:lang w:val="nl-NL" w:eastAsia="nl-NL"/>
        </w:rPr>
      </w:pPr>
    </w:p>
    <w:tbl>
      <w:tblPr>
        <w:tblStyle w:val="Tabelraster"/>
        <w:tblW w:w="14558" w:type="dxa"/>
        <w:tblLayout w:type="fixed"/>
        <w:tblLook w:val="04A0" w:firstRow="1" w:lastRow="0" w:firstColumn="1" w:lastColumn="0" w:noHBand="0" w:noVBand="1"/>
      </w:tblPr>
      <w:tblGrid>
        <w:gridCol w:w="534"/>
        <w:gridCol w:w="2438"/>
        <w:gridCol w:w="3402"/>
        <w:gridCol w:w="3260"/>
        <w:gridCol w:w="1701"/>
        <w:gridCol w:w="1701"/>
        <w:gridCol w:w="1522"/>
      </w:tblGrid>
      <w:tr w:rsidRPr="002908A8" w:rsidR="005479B4" w:rsidTr="00F5690B" w14:paraId="45E3D741" w14:textId="77777777">
        <w:tc>
          <w:tcPr>
            <w:tcW w:w="534" w:type="dxa"/>
          </w:tcPr>
          <w:p w:rsidRPr="005D6666" w:rsidR="005479B4" w:rsidP="00417B16" w:rsidRDefault="005479B4" w14:paraId="6F1EA375" w14:textId="77777777">
            <w:pPr>
              <w:rPr>
                <w:b/>
                <w:bCs/>
                <w:lang w:val="nl-NL"/>
              </w:rPr>
            </w:pPr>
            <w:bookmarkStart w:name="_Hlk187742721" w:id="2"/>
            <w:bookmarkEnd w:id="0"/>
          </w:p>
        </w:tc>
        <w:tc>
          <w:tcPr>
            <w:tcW w:w="2438" w:type="dxa"/>
          </w:tcPr>
          <w:p w:rsidR="005479B4" w:rsidP="00417B16" w:rsidRDefault="005479B4" w14:paraId="0571B30C" w14:textId="714DA31B">
            <w:pPr>
              <w:rPr>
                <w:b/>
                <w:bCs/>
                <w:lang w:val="nl-NL"/>
              </w:rPr>
            </w:pPr>
            <w:r>
              <w:rPr>
                <w:b/>
                <w:bCs/>
                <w:lang w:val="nl-NL"/>
              </w:rPr>
              <w:t>Maatregel</w:t>
            </w:r>
          </w:p>
        </w:tc>
        <w:tc>
          <w:tcPr>
            <w:tcW w:w="3402" w:type="dxa"/>
          </w:tcPr>
          <w:p w:rsidR="005479B4" w:rsidP="00417B16" w:rsidRDefault="005479B4" w14:paraId="75EE8A6E" w14:textId="77777777">
            <w:pPr>
              <w:rPr>
                <w:b/>
                <w:bCs/>
                <w:lang w:val="nl-NL"/>
              </w:rPr>
            </w:pPr>
            <w:r>
              <w:rPr>
                <w:b/>
                <w:bCs/>
                <w:lang w:val="nl-NL"/>
              </w:rPr>
              <w:t>Aanbeveling /v</w:t>
            </w:r>
            <w:r w:rsidRPr="005D6666">
              <w:rPr>
                <w:b/>
                <w:bCs/>
                <w:lang w:val="nl-NL"/>
              </w:rPr>
              <w:t>oorstel in evaluatie, initiatieven Kamer</w:t>
            </w:r>
            <w:r>
              <w:rPr>
                <w:b/>
                <w:bCs/>
                <w:lang w:val="nl-NL"/>
              </w:rPr>
              <w:t>, moties</w:t>
            </w:r>
          </w:p>
        </w:tc>
        <w:tc>
          <w:tcPr>
            <w:tcW w:w="3260" w:type="dxa"/>
          </w:tcPr>
          <w:p w:rsidRPr="005D6666" w:rsidR="005479B4" w:rsidP="00417B16" w:rsidRDefault="005479B4" w14:paraId="5B418B34" w14:textId="77777777">
            <w:pPr>
              <w:rPr>
                <w:b/>
                <w:bCs/>
                <w:lang w:val="nl-NL"/>
              </w:rPr>
            </w:pPr>
            <w:r w:rsidRPr="005D6666">
              <w:rPr>
                <w:b/>
                <w:bCs/>
                <w:lang w:val="nl-NL"/>
              </w:rPr>
              <w:t>Toelichting</w:t>
            </w:r>
          </w:p>
        </w:tc>
        <w:tc>
          <w:tcPr>
            <w:tcW w:w="4924" w:type="dxa"/>
            <w:gridSpan w:val="3"/>
          </w:tcPr>
          <w:p w:rsidRPr="006E61E6" w:rsidR="005479B4" w:rsidP="00417B16" w:rsidRDefault="005479B4" w14:paraId="7C8643CC" w14:textId="77777777">
            <w:pPr>
              <w:jc w:val="center"/>
              <w:rPr>
                <w:b/>
                <w:bCs/>
                <w:lang w:val="nl-NL"/>
              </w:rPr>
            </w:pPr>
            <w:r>
              <w:rPr>
                <w:b/>
                <w:bCs/>
                <w:lang w:val="nl-NL"/>
              </w:rPr>
              <w:t>Planning</w:t>
            </w:r>
          </w:p>
        </w:tc>
      </w:tr>
      <w:tr w:rsidRPr="002908A8" w:rsidR="005479B4" w:rsidTr="0034773F" w14:paraId="557971B9" w14:textId="77777777">
        <w:tc>
          <w:tcPr>
            <w:tcW w:w="534" w:type="dxa"/>
          </w:tcPr>
          <w:p w:rsidRPr="005D6666" w:rsidR="005479B4" w:rsidP="00417B16" w:rsidRDefault="005479B4" w14:paraId="50C5B30D" w14:textId="77777777">
            <w:pPr>
              <w:rPr>
                <w:b/>
                <w:bCs/>
                <w:lang w:val="nl-NL"/>
              </w:rPr>
            </w:pPr>
          </w:p>
        </w:tc>
        <w:tc>
          <w:tcPr>
            <w:tcW w:w="9100" w:type="dxa"/>
            <w:gridSpan w:val="3"/>
          </w:tcPr>
          <w:p w:rsidRPr="005D6666" w:rsidR="005479B4" w:rsidP="00417B16" w:rsidRDefault="005479B4" w14:paraId="4B72DCC7" w14:textId="77777777">
            <w:pPr>
              <w:rPr>
                <w:b/>
                <w:bCs/>
                <w:lang w:val="nl-NL"/>
              </w:rPr>
            </w:pPr>
          </w:p>
        </w:tc>
        <w:tc>
          <w:tcPr>
            <w:tcW w:w="1701" w:type="dxa"/>
          </w:tcPr>
          <w:p w:rsidRPr="005D6666" w:rsidR="005479B4" w:rsidP="00417B16" w:rsidRDefault="005479B4" w14:paraId="108C9D15" w14:textId="77777777">
            <w:pPr>
              <w:rPr>
                <w:b/>
                <w:bCs/>
                <w:lang w:val="nl-NL"/>
              </w:rPr>
            </w:pPr>
            <w:r>
              <w:rPr>
                <w:b/>
                <w:bCs/>
                <w:lang w:val="nl-NL"/>
              </w:rPr>
              <w:t>Eerste helft 2025</w:t>
            </w:r>
          </w:p>
        </w:tc>
        <w:tc>
          <w:tcPr>
            <w:tcW w:w="1701" w:type="dxa"/>
          </w:tcPr>
          <w:p w:rsidRPr="005D6666" w:rsidR="005479B4" w:rsidP="00417B16" w:rsidRDefault="005479B4" w14:paraId="7D72D97C" w14:textId="77777777">
            <w:pPr>
              <w:rPr>
                <w:b/>
                <w:bCs/>
                <w:lang w:val="nl-NL"/>
              </w:rPr>
            </w:pPr>
            <w:r>
              <w:rPr>
                <w:b/>
                <w:bCs/>
                <w:lang w:val="nl-NL"/>
              </w:rPr>
              <w:t>Tweede helft 2025</w:t>
            </w:r>
          </w:p>
        </w:tc>
        <w:tc>
          <w:tcPr>
            <w:tcW w:w="1522" w:type="dxa"/>
          </w:tcPr>
          <w:p w:rsidRPr="005D6666" w:rsidR="005479B4" w:rsidP="00417B16" w:rsidRDefault="005479B4" w14:paraId="3A0E665B" w14:textId="77777777">
            <w:pPr>
              <w:rPr>
                <w:b/>
                <w:bCs/>
                <w:lang w:val="nl-NL"/>
              </w:rPr>
            </w:pPr>
            <w:r>
              <w:rPr>
                <w:b/>
                <w:bCs/>
                <w:lang w:val="nl-NL"/>
              </w:rPr>
              <w:t>2026</w:t>
            </w:r>
          </w:p>
        </w:tc>
      </w:tr>
      <w:tr w:rsidRPr="00E83E19" w:rsidR="005479B4" w:rsidTr="0034773F" w14:paraId="3C9A36BD" w14:textId="77777777">
        <w:tc>
          <w:tcPr>
            <w:tcW w:w="534" w:type="dxa"/>
          </w:tcPr>
          <w:p w:rsidRPr="006E61E6" w:rsidR="005479B4" w:rsidP="00417B16" w:rsidRDefault="005479B4" w14:paraId="2F0C96AE" w14:textId="77777777">
            <w:pPr>
              <w:rPr>
                <w:b/>
                <w:bCs/>
                <w:lang w:val="nl-NL"/>
              </w:rPr>
            </w:pPr>
            <w:r w:rsidRPr="006E61E6">
              <w:rPr>
                <w:b/>
                <w:bCs/>
                <w:lang w:val="nl-NL"/>
              </w:rPr>
              <w:t>1</w:t>
            </w:r>
          </w:p>
        </w:tc>
        <w:tc>
          <w:tcPr>
            <w:tcW w:w="2438" w:type="dxa"/>
          </w:tcPr>
          <w:p w:rsidR="005479B4" w:rsidP="00417B16" w:rsidRDefault="005479B4" w14:paraId="10FD6E33" w14:textId="77777777">
            <w:pPr>
              <w:rPr>
                <w:b/>
                <w:bCs/>
                <w:lang w:val="nl-NL"/>
              </w:rPr>
            </w:pPr>
            <w:r w:rsidRPr="002908A8">
              <w:rPr>
                <w:b/>
                <w:bCs/>
                <w:lang w:val="nl-NL"/>
              </w:rPr>
              <w:t>Wijziging basisuitgangspunten W</w:t>
            </w:r>
            <w:r>
              <w:rPr>
                <w:b/>
                <w:bCs/>
                <w:lang w:val="nl-NL"/>
              </w:rPr>
              <w:t>et op de kansspelen (W</w:t>
            </w:r>
            <w:r w:rsidRPr="002908A8">
              <w:rPr>
                <w:b/>
                <w:bCs/>
                <w:lang w:val="nl-NL"/>
              </w:rPr>
              <w:t>ok</w:t>
            </w:r>
            <w:r>
              <w:rPr>
                <w:b/>
                <w:bCs/>
                <w:lang w:val="nl-NL"/>
              </w:rPr>
              <w:t>)</w:t>
            </w:r>
          </w:p>
          <w:p w:rsidRPr="002908A8" w:rsidR="005479B4" w:rsidP="00417B16" w:rsidRDefault="005479B4" w14:paraId="65795DF6" w14:textId="77777777">
            <w:pPr>
              <w:rPr>
                <w:b/>
                <w:bCs/>
                <w:lang w:val="nl-NL"/>
              </w:rPr>
            </w:pPr>
          </w:p>
          <w:p w:rsidRPr="002908A8" w:rsidR="005479B4" w:rsidP="00417B16" w:rsidRDefault="005479B4" w14:paraId="2BCE44F6" w14:textId="477FB42D">
            <w:pPr>
              <w:rPr>
                <w:lang w:val="nl-NL"/>
              </w:rPr>
            </w:pPr>
          </w:p>
        </w:tc>
        <w:tc>
          <w:tcPr>
            <w:tcW w:w="3402" w:type="dxa"/>
          </w:tcPr>
          <w:p w:rsidRPr="00AC2744" w:rsidR="005479B4" w:rsidP="00417B16" w:rsidRDefault="005479B4" w14:paraId="233855DB" w14:textId="47EEB703">
            <w:pPr>
              <w:rPr>
                <w:lang w:val="nl-NL"/>
              </w:rPr>
            </w:pPr>
            <w:r w:rsidRPr="00410BEF">
              <w:rPr>
                <w:lang w:val="nl-NL"/>
              </w:rPr>
              <w:t>Evaluatie</w:t>
            </w:r>
            <w:r>
              <w:rPr>
                <w:lang w:val="nl-NL"/>
              </w:rPr>
              <w:t xml:space="preserve"> Wet kansspelen op afstand (hierna: Evaluatie)</w:t>
            </w:r>
            <w:r w:rsidR="00A356CE">
              <w:rPr>
                <w:lang w:val="nl-NL"/>
              </w:rPr>
              <w:t>:</w:t>
            </w:r>
            <w:r>
              <w:rPr>
                <w:rStyle w:val="Voetnootmarkering"/>
                <w:lang w:val="nl-NL"/>
              </w:rPr>
              <w:footnoteReference w:id="1"/>
            </w:r>
          </w:p>
          <w:p w:rsidR="005479B4" w:rsidP="005479B4" w:rsidRDefault="005479B4" w14:paraId="434266C9" w14:textId="77777777">
            <w:pPr>
              <w:pStyle w:val="Lijstalinea"/>
              <w:numPr>
                <w:ilvl w:val="0"/>
                <w:numId w:val="1"/>
              </w:numPr>
              <w:rPr>
                <w:szCs w:val="18"/>
                <w:lang w:val="nl-NL"/>
              </w:rPr>
            </w:pPr>
            <w:r>
              <w:rPr>
                <w:szCs w:val="18"/>
                <w:lang w:val="nl-NL"/>
              </w:rPr>
              <w:t>Heldere visie en doelstellingen operationaliseren</w:t>
            </w:r>
          </w:p>
          <w:p w:rsidR="005479B4" w:rsidP="005479B4" w:rsidRDefault="005479B4" w14:paraId="656DF7A5" w14:textId="67E419A2">
            <w:pPr>
              <w:pStyle w:val="Lijstalinea"/>
              <w:numPr>
                <w:ilvl w:val="0"/>
                <w:numId w:val="1"/>
              </w:numPr>
              <w:rPr>
                <w:szCs w:val="18"/>
                <w:lang w:val="nl-NL"/>
              </w:rPr>
            </w:pPr>
            <w:r>
              <w:rPr>
                <w:szCs w:val="18"/>
                <w:lang w:val="nl-NL"/>
              </w:rPr>
              <w:t>V</w:t>
            </w:r>
            <w:r w:rsidRPr="00726AB9">
              <w:rPr>
                <w:szCs w:val="18"/>
                <w:lang w:val="nl-NL"/>
              </w:rPr>
              <w:t>erslavingspreventie verbreden naar voorkomen van gokgerelateerde schade</w:t>
            </w:r>
            <w:r>
              <w:rPr>
                <w:szCs w:val="18"/>
                <w:lang w:val="nl-NL"/>
              </w:rPr>
              <w:t xml:space="preserve"> en duidelijke definities aan koppelen</w:t>
            </w:r>
          </w:p>
          <w:p w:rsidRPr="00726AB9" w:rsidR="005479B4" w:rsidP="00417B16" w:rsidRDefault="005479B4" w14:paraId="46C271D9" w14:textId="77777777">
            <w:pPr>
              <w:pStyle w:val="Lijstalinea"/>
              <w:ind w:left="360"/>
              <w:rPr>
                <w:szCs w:val="18"/>
                <w:lang w:val="nl-NL"/>
              </w:rPr>
            </w:pPr>
          </w:p>
          <w:p w:rsidRPr="002908A8" w:rsidR="005479B4" w:rsidP="00417B16" w:rsidRDefault="005479B4" w14:paraId="2C9663CE" w14:textId="77777777">
            <w:pPr>
              <w:rPr>
                <w:lang w:val="nl-NL"/>
              </w:rPr>
            </w:pPr>
          </w:p>
        </w:tc>
        <w:tc>
          <w:tcPr>
            <w:tcW w:w="3260" w:type="dxa"/>
          </w:tcPr>
          <w:p w:rsidR="005479B4" w:rsidP="00417B16" w:rsidRDefault="00F5690B" w14:paraId="1D47AE45" w14:textId="359988CB">
            <w:pPr>
              <w:rPr>
                <w:lang w:val="nl-NL"/>
              </w:rPr>
            </w:pPr>
            <w:r>
              <w:rPr>
                <w:lang w:val="nl-NL"/>
              </w:rPr>
              <w:t>D</w:t>
            </w:r>
            <w:r w:rsidRPr="002908A8" w:rsidR="005479B4">
              <w:rPr>
                <w:lang w:val="nl-NL"/>
              </w:rPr>
              <w:t>e uitgangspunten van de wet en de doelstellingen worden gewijzigd. Dit moet vooral in de M</w:t>
            </w:r>
            <w:r w:rsidR="005479B4">
              <w:rPr>
                <w:lang w:val="nl-NL"/>
              </w:rPr>
              <w:t xml:space="preserve">emorie </w:t>
            </w:r>
            <w:r w:rsidRPr="002908A8" w:rsidR="005479B4">
              <w:rPr>
                <w:lang w:val="nl-NL"/>
              </w:rPr>
              <w:t>v</w:t>
            </w:r>
            <w:r w:rsidR="005479B4">
              <w:rPr>
                <w:lang w:val="nl-NL"/>
              </w:rPr>
              <w:t xml:space="preserve">an </w:t>
            </w:r>
            <w:r w:rsidRPr="002908A8" w:rsidR="005479B4">
              <w:rPr>
                <w:lang w:val="nl-NL"/>
              </w:rPr>
              <w:t>T</w:t>
            </w:r>
            <w:r w:rsidR="005479B4">
              <w:rPr>
                <w:lang w:val="nl-NL"/>
              </w:rPr>
              <w:t>oelichting (MvT)</w:t>
            </w:r>
            <w:r w:rsidRPr="002908A8" w:rsidR="005479B4">
              <w:rPr>
                <w:lang w:val="nl-NL"/>
              </w:rPr>
              <w:t xml:space="preserve"> en vervolgens in de afzonderlijke regels beslag krijgen</w:t>
            </w:r>
            <w:r>
              <w:rPr>
                <w:lang w:val="nl-NL"/>
              </w:rPr>
              <w:t>:</w:t>
            </w:r>
          </w:p>
          <w:p w:rsidR="00F5690B" w:rsidP="00F5690B" w:rsidRDefault="00F5690B" w14:paraId="61F53CCB" w14:textId="77777777">
            <w:pPr>
              <w:rPr>
                <w:lang w:val="nl-NL"/>
              </w:rPr>
            </w:pPr>
            <w:r w:rsidRPr="002908A8">
              <w:rPr>
                <w:lang w:val="nl-NL"/>
              </w:rPr>
              <w:t>- Bescherming burger staat voorop</w:t>
            </w:r>
          </w:p>
          <w:p w:rsidRPr="002908A8" w:rsidR="00F5690B" w:rsidP="00F5690B" w:rsidRDefault="00F5690B" w14:paraId="182A2CA3" w14:textId="77777777">
            <w:pPr>
              <w:rPr>
                <w:lang w:val="nl-NL"/>
              </w:rPr>
            </w:pPr>
            <w:r>
              <w:rPr>
                <w:lang w:val="nl-NL"/>
              </w:rPr>
              <w:t xml:space="preserve">- Beperking van de vrijheid van spelers om keuzes te maken en beperking van de vrijheid van aanbieders in de mater van bescherming en preventie </w:t>
            </w:r>
          </w:p>
          <w:p w:rsidR="00F5690B" w:rsidP="00F5690B" w:rsidRDefault="00F5690B" w14:paraId="24FF2A7B" w14:textId="77777777">
            <w:pPr>
              <w:rPr>
                <w:lang w:val="nl-NL"/>
              </w:rPr>
            </w:pPr>
            <w:r w:rsidRPr="002908A8">
              <w:rPr>
                <w:lang w:val="nl-NL"/>
              </w:rPr>
              <w:t xml:space="preserve">- </w:t>
            </w:r>
            <w:r>
              <w:rPr>
                <w:lang w:val="nl-NL"/>
              </w:rPr>
              <w:t>N</w:t>
            </w:r>
            <w:r w:rsidRPr="002908A8">
              <w:rPr>
                <w:lang w:val="nl-NL"/>
              </w:rPr>
              <w:t xml:space="preserve">iet meer dan passend aanbod </w:t>
            </w:r>
          </w:p>
          <w:p w:rsidRPr="002908A8" w:rsidR="00F5690B" w:rsidP="00F5690B" w:rsidRDefault="00F5690B" w14:paraId="207FA4BD" w14:textId="6C0D6C2D">
            <w:pPr>
              <w:rPr>
                <w:lang w:val="nl-NL"/>
              </w:rPr>
            </w:pPr>
            <w:r>
              <w:rPr>
                <w:lang w:val="nl-NL"/>
              </w:rPr>
              <w:t>- Verbreding gokschade voorkomen</w:t>
            </w:r>
          </w:p>
        </w:tc>
        <w:tc>
          <w:tcPr>
            <w:tcW w:w="1701" w:type="dxa"/>
          </w:tcPr>
          <w:p w:rsidRPr="002908A8" w:rsidR="005479B4" w:rsidP="00417B16" w:rsidRDefault="005479B4" w14:paraId="5BDFA466" w14:textId="77777777">
            <w:pPr>
              <w:rPr>
                <w:lang w:val="nl-NL"/>
              </w:rPr>
            </w:pPr>
            <w:r w:rsidRPr="002908A8">
              <w:rPr>
                <w:lang w:val="nl-NL"/>
              </w:rPr>
              <w:t>- Uitwerking visie op kansspelen</w:t>
            </w:r>
          </w:p>
          <w:p w:rsidRPr="002908A8" w:rsidR="005479B4" w:rsidP="00417B16" w:rsidRDefault="005479B4" w14:paraId="2DB2D0AC" w14:textId="77777777">
            <w:pPr>
              <w:rPr>
                <w:lang w:val="nl-NL"/>
              </w:rPr>
            </w:pPr>
            <w:r w:rsidRPr="002908A8">
              <w:rPr>
                <w:lang w:val="nl-NL"/>
              </w:rPr>
              <w:t>- Doorlopen beleidskompas</w:t>
            </w:r>
          </w:p>
          <w:p w:rsidRPr="002908A8" w:rsidR="005479B4" w:rsidP="00417B16" w:rsidRDefault="005479B4" w14:paraId="3FFC1460" w14:textId="77777777">
            <w:pPr>
              <w:rPr>
                <w:lang w:val="nl-NL"/>
              </w:rPr>
            </w:pPr>
          </w:p>
        </w:tc>
        <w:tc>
          <w:tcPr>
            <w:tcW w:w="1701" w:type="dxa"/>
          </w:tcPr>
          <w:p w:rsidRPr="002908A8" w:rsidR="005479B4" w:rsidP="00417B16" w:rsidRDefault="005479B4" w14:paraId="44A68210" w14:textId="244D15AA">
            <w:pPr>
              <w:rPr>
                <w:lang w:val="nl-NL"/>
              </w:rPr>
            </w:pPr>
            <w:r w:rsidRPr="002908A8">
              <w:rPr>
                <w:lang w:val="nl-NL"/>
              </w:rPr>
              <w:t xml:space="preserve">- Begin schrijven </w:t>
            </w:r>
            <w:r>
              <w:rPr>
                <w:lang w:val="nl-NL"/>
              </w:rPr>
              <w:t>MvT</w:t>
            </w:r>
          </w:p>
          <w:p w:rsidR="005479B4" w:rsidP="00417B16" w:rsidRDefault="005479B4" w14:paraId="42D87BD3" w14:textId="77777777">
            <w:pPr>
              <w:rPr>
                <w:lang w:val="nl-NL"/>
              </w:rPr>
            </w:pPr>
            <w:r w:rsidRPr="002908A8">
              <w:rPr>
                <w:lang w:val="nl-NL"/>
              </w:rPr>
              <w:t>- Analyse op welke punten in de Wok de uitgangspunten terug moeten komen</w:t>
            </w:r>
          </w:p>
          <w:p w:rsidRPr="002908A8" w:rsidR="005479B4" w:rsidP="00417B16" w:rsidRDefault="005479B4" w14:paraId="06132998" w14:textId="77777777">
            <w:pPr>
              <w:rPr>
                <w:lang w:val="nl-NL"/>
              </w:rPr>
            </w:pPr>
            <w:r>
              <w:rPr>
                <w:lang w:val="nl-NL"/>
              </w:rPr>
              <w:t>-eind 2025 begin wetteksten</w:t>
            </w:r>
          </w:p>
        </w:tc>
        <w:tc>
          <w:tcPr>
            <w:tcW w:w="1522" w:type="dxa"/>
          </w:tcPr>
          <w:p w:rsidRPr="002908A8" w:rsidR="005479B4" w:rsidP="00417B16" w:rsidRDefault="005479B4" w14:paraId="282F5AD3" w14:textId="77777777">
            <w:pPr>
              <w:rPr>
                <w:lang w:val="nl-NL"/>
              </w:rPr>
            </w:pPr>
            <w:r>
              <w:rPr>
                <w:lang w:val="nl-NL"/>
              </w:rPr>
              <w:t>MvT, wetteksten en mogelijk lagere regelgeving</w:t>
            </w:r>
          </w:p>
          <w:p w:rsidRPr="002908A8" w:rsidR="005479B4" w:rsidP="00417B16" w:rsidRDefault="005479B4" w14:paraId="3BBC29BE" w14:textId="77777777">
            <w:pPr>
              <w:rPr>
                <w:lang w:val="nl-NL"/>
              </w:rPr>
            </w:pPr>
          </w:p>
        </w:tc>
      </w:tr>
      <w:tr w:rsidRPr="00E83E19" w:rsidR="005479B4" w:rsidTr="0034773F" w14:paraId="1B7D3650" w14:textId="77777777">
        <w:tc>
          <w:tcPr>
            <w:tcW w:w="534" w:type="dxa"/>
          </w:tcPr>
          <w:p w:rsidRPr="006E61E6" w:rsidR="005479B4" w:rsidP="00417B16" w:rsidRDefault="005479B4" w14:paraId="0332CCE7" w14:textId="77777777">
            <w:pPr>
              <w:rPr>
                <w:b/>
                <w:bCs/>
                <w:lang w:val="nl-NL"/>
              </w:rPr>
            </w:pPr>
            <w:r w:rsidRPr="006E61E6">
              <w:rPr>
                <w:b/>
                <w:bCs/>
                <w:lang w:val="nl-NL"/>
              </w:rPr>
              <w:t>2</w:t>
            </w:r>
          </w:p>
        </w:tc>
        <w:tc>
          <w:tcPr>
            <w:tcW w:w="2438" w:type="dxa"/>
          </w:tcPr>
          <w:p w:rsidRPr="002908A8" w:rsidR="005479B4" w:rsidP="00417B16" w:rsidRDefault="005479B4" w14:paraId="4EEB5E08" w14:textId="77777777">
            <w:pPr>
              <w:rPr>
                <w:lang w:val="nl-NL"/>
              </w:rPr>
            </w:pPr>
            <w:r>
              <w:rPr>
                <w:b/>
                <w:bCs/>
                <w:lang w:val="nl-NL"/>
              </w:rPr>
              <w:t>Uitbreiden</w:t>
            </w:r>
            <w:r w:rsidRPr="0072611A">
              <w:rPr>
                <w:b/>
                <w:bCs/>
                <w:lang w:val="nl-NL"/>
              </w:rPr>
              <w:t xml:space="preserve"> </w:t>
            </w:r>
            <w:r w:rsidRPr="006E61E6">
              <w:rPr>
                <w:b/>
                <w:bCs/>
                <w:lang w:val="nl-NL"/>
              </w:rPr>
              <w:t>normadressaat in de Wok</w:t>
            </w:r>
          </w:p>
        </w:tc>
        <w:tc>
          <w:tcPr>
            <w:tcW w:w="3402" w:type="dxa"/>
          </w:tcPr>
          <w:p w:rsidR="005479B4" w:rsidP="00417B16" w:rsidRDefault="005479B4" w14:paraId="368347E1" w14:textId="77777777">
            <w:pPr>
              <w:rPr>
                <w:lang w:val="nl-NL"/>
              </w:rPr>
            </w:pPr>
            <w:r>
              <w:rPr>
                <w:lang w:val="nl-NL"/>
              </w:rPr>
              <w:t>Evaluatie:</w:t>
            </w:r>
          </w:p>
          <w:p w:rsidRPr="009A5430" w:rsidR="005479B4" w:rsidP="005479B4" w:rsidRDefault="005479B4" w14:paraId="65694D97" w14:textId="77777777">
            <w:pPr>
              <w:pStyle w:val="Lijstalinea"/>
              <w:numPr>
                <w:ilvl w:val="0"/>
                <w:numId w:val="1"/>
              </w:numPr>
              <w:rPr>
                <w:lang w:val="nl-NL"/>
              </w:rPr>
            </w:pPr>
            <w:r>
              <w:rPr>
                <w:lang w:val="nl-NL"/>
              </w:rPr>
              <w:t>Maak mogelijk dat ook anderen dan aanbieders aanwijzingen van de Ksa kunnen krijgen</w:t>
            </w:r>
          </w:p>
        </w:tc>
        <w:tc>
          <w:tcPr>
            <w:tcW w:w="3260" w:type="dxa"/>
          </w:tcPr>
          <w:p w:rsidRPr="002908A8" w:rsidR="005479B4" w:rsidP="00417B16" w:rsidRDefault="005479B4" w14:paraId="13D2854E" w14:textId="061603A1">
            <w:pPr>
              <w:rPr>
                <w:lang w:val="nl-NL"/>
              </w:rPr>
            </w:pPr>
            <w:r w:rsidRPr="002908A8">
              <w:rPr>
                <w:lang w:val="nl-NL"/>
              </w:rPr>
              <w:t xml:space="preserve">Voor toezicht en handhaving op illegaal aanbod en illegale reclame kan het behulpzaam zijn om de normadressaat van enkel de aanbieder </w:t>
            </w:r>
            <w:r>
              <w:rPr>
                <w:lang w:val="nl-NL"/>
              </w:rPr>
              <w:t>uit te breiden naar</w:t>
            </w:r>
            <w:r w:rsidRPr="002908A8">
              <w:rPr>
                <w:lang w:val="nl-NL"/>
              </w:rPr>
              <w:t xml:space="preserve"> ook facilita</w:t>
            </w:r>
            <w:r w:rsidR="00F5690B">
              <w:rPr>
                <w:lang w:val="nl-NL"/>
              </w:rPr>
              <w:t>toren, zoals betaaldienstverleners, service providers, internet platforms of mediapartijen</w:t>
            </w:r>
          </w:p>
        </w:tc>
        <w:tc>
          <w:tcPr>
            <w:tcW w:w="1701" w:type="dxa"/>
          </w:tcPr>
          <w:p w:rsidRPr="002908A8" w:rsidR="005479B4" w:rsidP="00417B16" w:rsidRDefault="005479B4" w14:paraId="0E50C6F3" w14:textId="77777777">
            <w:pPr>
              <w:rPr>
                <w:lang w:val="nl-NL"/>
              </w:rPr>
            </w:pPr>
            <w:r w:rsidRPr="002908A8">
              <w:rPr>
                <w:lang w:val="nl-NL"/>
              </w:rPr>
              <w:t>- Uitwerking visie op kansspelen</w:t>
            </w:r>
          </w:p>
          <w:p w:rsidRPr="002908A8" w:rsidR="005479B4" w:rsidP="00417B16" w:rsidRDefault="005479B4" w14:paraId="4BED01F0" w14:textId="77777777">
            <w:pPr>
              <w:rPr>
                <w:lang w:val="nl-NL"/>
              </w:rPr>
            </w:pPr>
            <w:r w:rsidRPr="002908A8">
              <w:rPr>
                <w:lang w:val="nl-NL"/>
              </w:rPr>
              <w:t>- Doorlopen beleidskompas</w:t>
            </w:r>
          </w:p>
          <w:p w:rsidRPr="002908A8" w:rsidR="005479B4" w:rsidP="00417B16" w:rsidRDefault="005479B4" w14:paraId="5E702DBA" w14:textId="77777777">
            <w:pPr>
              <w:rPr>
                <w:lang w:val="nl-NL"/>
              </w:rPr>
            </w:pPr>
          </w:p>
        </w:tc>
        <w:tc>
          <w:tcPr>
            <w:tcW w:w="1701" w:type="dxa"/>
          </w:tcPr>
          <w:p w:rsidRPr="002908A8" w:rsidR="005479B4" w:rsidP="00417B16" w:rsidRDefault="005479B4" w14:paraId="109714BC" w14:textId="77777777">
            <w:pPr>
              <w:rPr>
                <w:lang w:val="nl-NL"/>
              </w:rPr>
            </w:pPr>
            <w:r w:rsidRPr="002908A8">
              <w:rPr>
                <w:lang w:val="nl-NL"/>
              </w:rPr>
              <w:t>- Begin schrijven MvT</w:t>
            </w:r>
          </w:p>
          <w:p w:rsidR="005479B4" w:rsidP="00417B16" w:rsidRDefault="005479B4" w14:paraId="0F0333D0" w14:textId="77777777">
            <w:pPr>
              <w:rPr>
                <w:lang w:val="nl-NL"/>
              </w:rPr>
            </w:pPr>
            <w:r w:rsidRPr="002908A8">
              <w:rPr>
                <w:lang w:val="nl-NL"/>
              </w:rPr>
              <w:t>- Analyse op welke punten in de Wok de uitgangspunten terug moeten komen</w:t>
            </w:r>
          </w:p>
          <w:p w:rsidRPr="002908A8" w:rsidR="005479B4" w:rsidP="00417B16" w:rsidRDefault="005479B4" w14:paraId="08E758EE" w14:textId="77777777">
            <w:pPr>
              <w:rPr>
                <w:lang w:val="nl-NL"/>
              </w:rPr>
            </w:pPr>
            <w:r>
              <w:rPr>
                <w:lang w:val="nl-NL"/>
              </w:rPr>
              <w:t>- Eind 2025 begin wetteksten</w:t>
            </w:r>
          </w:p>
        </w:tc>
        <w:tc>
          <w:tcPr>
            <w:tcW w:w="1522" w:type="dxa"/>
          </w:tcPr>
          <w:p w:rsidRPr="002908A8" w:rsidR="005479B4" w:rsidP="00417B16" w:rsidRDefault="005479B4" w14:paraId="2E4B55F0" w14:textId="77777777">
            <w:pPr>
              <w:rPr>
                <w:lang w:val="nl-NL"/>
              </w:rPr>
            </w:pPr>
            <w:r>
              <w:rPr>
                <w:lang w:val="nl-NL"/>
              </w:rPr>
              <w:t>MvT, wetteksten en mogelijk lagere regelgeving</w:t>
            </w:r>
          </w:p>
          <w:p w:rsidRPr="002908A8" w:rsidR="005479B4" w:rsidP="00417B16" w:rsidRDefault="005479B4" w14:paraId="1B2CA9DD" w14:textId="77777777">
            <w:pPr>
              <w:rPr>
                <w:lang w:val="nl-NL"/>
              </w:rPr>
            </w:pPr>
          </w:p>
        </w:tc>
      </w:tr>
      <w:tr w:rsidRPr="002908A8" w:rsidR="005479B4" w:rsidTr="0034773F" w14:paraId="18FA2338" w14:textId="77777777">
        <w:tc>
          <w:tcPr>
            <w:tcW w:w="534" w:type="dxa"/>
          </w:tcPr>
          <w:p w:rsidRPr="006E61E6" w:rsidR="005479B4" w:rsidP="00417B16" w:rsidRDefault="005479B4" w14:paraId="2D99694A" w14:textId="77777777">
            <w:pPr>
              <w:rPr>
                <w:b/>
                <w:bCs/>
                <w:lang w:val="nl-NL"/>
              </w:rPr>
            </w:pPr>
            <w:r w:rsidRPr="006E61E6">
              <w:rPr>
                <w:b/>
                <w:bCs/>
                <w:lang w:val="nl-NL"/>
              </w:rPr>
              <w:t xml:space="preserve">3 </w:t>
            </w:r>
          </w:p>
        </w:tc>
        <w:tc>
          <w:tcPr>
            <w:tcW w:w="2438" w:type="dxa"/>
          </w:tcPr>
          <w:p w:rsidR="005479B4" w:rsidP="00417B16" w:rsidRDefault="005479B4" w14:paraId="716907A2" w14:textId="77777777">
            <w:pPr>
              <w:rPr>
                <w:b/>
                <w:bCs/>
                <w:lang w:val="nl-NL"/>
              </w:rPr>
            </w:pPr>
            <w:r w:rsidRPr="00E51414">
              <w:rPr>
                <w:b/>
                <w:bCs/>
                <w:lang w:val="nl-NL"/>
              </w:rPr>
              <w:t>Onderscheid in risico</w:t>
            </w:r>
            <w:r>
              <w:rPr>
                <w:b/>
                <w:bCs/>
                <w:lang w:val="nl-NL"/>
              </w:rPr>
              <w:t>’</w:t>
            </w:r>
            <w:r w:rsidRPr="00E51414">
              <w:rPr>
                <w:b/>
                <w:bCs/>
                <w:lang w:val="nl-NL"/>
              </w:rPr>
              <w:t xml:space="preserve">s </w:t>
            </w:r>
            <w:r>
              <w:rPr>
                <w:b/>
                <w:bCs/>
                <w:lang w:val="nl-NL"/>
              </w:rPr>
              <w:t xml:space="preserve">gokschade </w:t>
            </w:r>
            <w:r w:rsidRPr="00E51414">
              <w:rPr>
                <w:b/>
                <w:bCs/>
                <w:lang w:val="nl-NL"/>
              </w:rPr>
              <w:t>kansspelen in de wet verankeren</w:t>
            </w:r>
          </w:p>
          <w:p w:rsidR="005479B4" w:rsidP="00417B16" w:rsidRDefault="005479B4" w14:paraId="6556C431" w14:textId="77777777">
            <w:pPr>
              <w:rPr>
                <w:b/>
                <w:bCs/>
                <w:lang w:val="nl-NL"/>
              </w:rPr>
            </w:pPr>
          </w:p>
          <w:p w:rsidR="005479B4" w:rsidP="00417B16" w:rsidRDefault="005479B4" w14:paraId="4CB16CD5" w14:textId="77777777">
            <w:pPr>
              <w:rPr>
                <w:b/>
                <w:bCs/>
                <w:lang w:val="nl-NL"/>
              </w:rPr>
            </w:pPr>
          </w:p>
          <w:p w:rsidRPr="0072611A" w:rsidR="005479B4" w:rsidP="00417B16" w:rsidRDefault="005479B4" w14:paraId="4DA909D6" w14:textId="77777777">
            <w:pPr>
              <w:rPr>
                <w:b/>
                <w:bCs/>
                <w:lang w:val="nl-NL"/>
              </w:rPr>
            </w:pPr>
          </w:p>
        </w:tc>
        <w:tc>
          <w:tcPr>
            <w:tcW w:w="3402" w:type="dxa"/>
          </w:tcPr>
          <w:p w:rsidR="005479B4" w:rsidP="00417B16" w:rsidRDefault="00FC5172" w14:paraId="68EB2424" w14:textId="26D1623C">
            <w:pPr>
              <w:rPr>
                <w:lang w:val="nl-NL"/>
              </w:rPr>
            </w:pPr>
            <w:r>
              <w:rPr>
                <w:lang w:val="nl-NL"/>
              </w:rPr>
              <w:lastRenderedPageBreak/>
              <w:t>Aangekondigde onderwerpen i</w:t>
            </w:r>
            <w:r w:rsidR="005479B4">
              <w:rPr>
                <w:lang w:val="nl-NL"/>
              </w:rPr>
              <w:t xml:space="preserve">nitiatiefwetsvoorstel van de leden </w:t>
            </w:r>
            <w:r w:rsidR="005479B4">
              <w:rPr>
                <w:lang w:val="nl-NL"/>
              </w:rPr>
              <w:lastRenderedPageBreak/>
              <w:t>Bikker en Van Nispen (hierna: ‘initiatiefwetsvoorstel’)</w:t>
            </w:r>
            <w:r>
              <w:rPr>
                <w:rStyle w:val="Voetnootmarkering"/>
                <w:lang w:val="nl-NL"/>
              </w:rPr>
              <w:footnoteReference w:id="2"/>
            </w:r>
            <w:r w:rsidR="005479B4">
              <w:rPr>
                <w:lang w:val="nl-NL"/>
              </w:rPr>
              <w:t>:</w:t>
            </w:r>
          </w:p>
          <w:p w:rsidR="005479B4" w:rsidP="005479B4" w:rsidRDefault="005479B4" w14:paraId="1FD66B45" w14:textId="77777777">
            <w:pPr>
              <w:pStyle w:val="Lijstalinea"/>
              <w:numPr>
                <w:ilvl w:val="0"/>
                <w:numId w:val="1"/>
              </w:numPr>
              <w:rPr>
                <w:lang w:val="nl-NL"/>
              </w:rPr>
            </w:pPr>
            <w:r>
              <w:rPr>
                <w:lang w:val="nl-NL"/>
              </w:rPr>
              <w:t>Verbiedt spelelementen met een aantoonbaar hoog risico, denk aan speelduur, inzet en time-outs</w:t>
            </w:r>
          </w:p>
          <w:p w:rsidR="005479B4" w:rsidP="00417B16" w:rsidRDefault="005479B4" w14:paraId="7FDE0902" w14:textId="77777777">
            <w:pPr>
              <w:rPr>
                <w:lang w:val="nl-NL"/>
              </w:rPr>
            </w:pPr>
          </w:p>
          <w:p w:rsidR="005479B4" w:rsidP="00417B16" w:rsidRDefault="005479B4" w14:paraId="040C94DB" w14:textId="77777777">
            <w:pPr>
              <w:rPr>
                <w:lang w:val="nl-NL"/>
              </w:rPr>
            </w:pPr>
            <w:r>
              <w:rPr>
                <w:lang w:val="nl-NL"/>
              </w:rPr>
              <w:t>Motie Van Nispen</w:t>
            </w:r>
            <w:r>
              <w:rPr>
                <w:rStyle w:val="Voetnootmarkering"/>
                <w:lang w:val="nl-NL"/>
              </w:rPr>
              <w:footnoteReference w:id="3"/>
            </w:r>
            <w:r>
              <w:rPr>
                <w:lang w:val="nl-NL"/>
              </w:rPr>
              <w:t xml:space="preserve">: </w:t>
            </w:r>
          </w:p>
          <w:p w:rsidR="005479B4" w:rsidP="00417B16" w:rsidRDefault="005479B4" w14:paraId="71B7443C" w14:textId="77777777">
            <w:pPr>
              <w:rPr>
                <w:lang w:val="nl-NL"/>
              </w:rPr>
            </w:pPr>
            <w:r>
              <w:rPr>
                <w:lang w:val="nl-NL"/>
              </w:rPr>
              <w:t>O</w:t>
            </w:r>
            <w:r w:rsidRPr="002908A8">
              <w:rPr>
                <w:lang w:val="nl-NL"/>
              </w:rPr>
              <w:t xml:space="preserve">nline kansspelen met een zeer hoog risico verbieden </w:t>
            </w:r>
          </w:p>
          <w:p w:rsidR="005479B4" w:rsidP="00417B16" w:rsidRDefault="005479B4" w14:paraId="1EC1B838" w14:textId="77777777">
            <w:pPr>
              <w:rPr>
                <w:lang w:val="nl-NL"/>
              </w:rPr>
            </w:pPr>
          </w:p>
          <w:p w:rsidR="005479B4" w:rsidP="00417B16" w:rsidRDefault="005479B4" w14:paraId="08C51117" w14:textId="77777777">
            <w:pPr>
              <w:rPr>
                <w:lang w:val="nl-NL"/>
              </w:rPr>
            </w:pPr>
            <w:r>
              <w:rPr>
                <w:lang w:val="nl-NL"/>
              </w:rPr>
              <w:t>Motie Heerema</w:t>
            </w:r>
            <w:r>
              <w:rPr>
                <w:rStyle w:val="Voetnootmarkering"/>
                <w:lang w:val="nl-NL"/>
              </w:rPr>
              <w:footnoteReference w:id="4"/>
            </w:r>
            <w:r>
              <w:rPr>
                <w:lang w:val="nl-NL"/>
              </w:rPr>
              <w:t xml:space="preserve">: </w:t>
            </w:r>
          </w:p>
          <w:p w:rsidR="005479B4" w:rsidP="00417B16" w:rsidRDefault="005479B4" w14:paraId="0B2D638B" w14:textId="77777777">
            <w:pPr>
              <w:rPr>
                <w:lang w:val="nl-NL"/>
              </w:rPr>
            </w:pPr>
            <w:r>
              <w:rPr>
                <w:lang w:val="nl-NL"/>
              </w:rPr>
              <w:t>Onderscheid in risico’s kansspelen in de wet vastleggen.</w:t>
            </w:r>
          </w:p>
          <w:p w:rsidR="005479B4" w:rsidP="00417B16" w:rsidRDefault="005479B4" w14:paraId="67508A36" w14:textId="77777777">
            <w:pPr>
              <w:rPr>
                <w:lang w:val="nl-NL"/>
              </w:rPr>
            </w:pPr>
          </w:p>
          <w:p w:rsidR="005479B4" w:rsidP="00417B16" w:rsidRDefault="005479B4" w14:paraId="17D314BC" w14:textId="77777777">
            <w:pPr>
              <w:rPr>
                <w:lang w:val="nl-NL"/>
              </w:rPr>
            </w:pPr>
            <w:r>
              <w:rPr>
                <w:lang w:val="nl-NL"/>
              </w:rPr>
              <w:t>Motie Mutluer</w:t>
            </w:r>
            <w:r>
              <w:rPr>
                <w:rStyle w:val="Voetnootmarkering"/>
                <w:lang w:val="nl-NL"/>
              </w:rPr>
              <w:footnoteReference w:id="5"/>
            </w:r>
            <w:r>
              <w:rPr>
                <w:lang w:val="nl-NL"/>
              </w:rPr>
              <w:t xml:space="preserve">: </w:t>
            </w:r>
          </w:p>
          <w:p w:rsidR="005479B4" w:rsidP="00417B16" w:rsidRDefault="005479B4" w14:paraId="17CF1EFB" w14:textId="77777777">
            <w:pPr>
              <w:rPr>
                <w:lang w:val="nl-NL"/>
              </w:rPr>
            </w:pPr>
            <w:r>
              <w:rPr>
                <w:lang w:val="nl-NL"/>
              </w:rPr>
              <w:t>I</w:t>
            </w:r>
            <w:r w:rsidRPr="00850D04">
              <w:rPr>
                <w:lang w:val="nl-NL"/>
              </w:rPr>
              <w:t>n kaart brengen hoe in de Wet op de kansspelen een helder onderscheid tussen risicovolle en risicoarme kansspelen opgenomen kan worden </w:t>
            </w:r>
          </w:p>
        </w:tc>
        <w:tc>
          <w:tcPr>
            <w:tcW w:w="3260" w:type="dxa"/>
          </w:tcPr>
          <w:p w:rsidRPr="002908A8" w:rsidR="005479B4" w:rsidP="00FC5172" w:rsidRDefault="005479B4" w14:paraId="72005854" w14:textId="067A3852">
            <w:pPr>
              <w:rPr>
                <w:lang w:val="nl-NL"/>
              </w:rPr>
            </w:pPr>
            <w:r w:rsidRPr="002908A8">
              <w:rPr>
                <w:lang w:val="nl-NL"/>
              </w:rPr>
              <w:lastRenderedPageBreak/>
              <w:t xml:space="preserve">Dit betreft algemene overwegingen rond risico’s van kansspelen en onderscheid daarin. </w:t>
            </w:r>
            <w:r w:rsidR="005545FF">
              <w:rPr>
                <w:lang w:val="nl-NL"/>
              </w:rPr>
              <w:t xml:space="preserve">Hoe groter de risico’s op </w:t>
            </w:r>
            <w:r w:rsidR="005545FF">
              <w:rPr>
                <w:lang w:val="nl-NL"/>
              </w:rPr>
              <w:lastRenderedPageBreak/>
              <w:t>schade door een bepaalde soort of element in kansspelen hoe hoger de bescherming daartegen ingeregeld wordt.</w:t>
            </w:r>
          </w:p>
        </w:tc>
        <w:tc>
          <w:tcPr>
            <w:tcW w:w="1701" w:type="dxa"/>
          </w:tcPr>
          <w:p w:rsidRPr="002908A8" w:rsidR="005479B4" w:rsidP="00417B16" w:rsidRDefault="005479B4" w14:paraId="12499191" w14:textId="77777777">
            <w:pPr>
              <w:rPr>
                <w:lang w:val="nl-NL"/>
              </w:rPr>
            </w:pPr>
            <w:r>
              <w:rPr>
                <w:lang w:val="nl-NL"/>
              </w:rPr>
              <w:lastRenderedPageBreak/>
              <w:t xml:space="preserve">- </w:t>
            </w:r>
            <w:r w:rsidRPr="002908A8">
              <w:rPr>
                <w:lang w:val="nl-NL"/>
              </w:rPr>
              <w:t xml:space="preserve">Onderzoek naar risico’s in kansspelen </w:t>
            </w:r>
          </w:p>
        </w:tc>
        <w:tc>
          <w:tcPr>
            <w:tcW w:w="1701" w:type="dxa"/>
          </w:tcPr>
          <w:p w:rsidR="005479B4" w:rsidP="00417B16" w:rsidRDefault="005479B4" w14:paraId="2B6235AD" w14:textId="77777777">
            <w:pPr>
              <w:rPr>
                <w:lang w:val="nl-NL"/>
              </w:rPr>
            </w:pPr>
            <w:r>
              <w:rPr>
                <w:lang w:val="nl-NL"/>
              </w:rPr>
              <w:t xml:space="preserve">- </w:t>
            </w:r>
            <w:r w:rsidRPr="002908A8">
              <w:rPr>
                <w:lang w:val="nl-NL"/>
              </w:rPr>
              <w:t>Afronding onderzoek risico’s in kansspelen</w:t>
            </w:r>
            <w:r>
              <w:rPr>
                <w:lang w:val="nl-NL"/>
              </w:rPr>
              <w:t xml:space="preserve"> Q4</w:t>
            </w:r>
          </w:p>
          <w:p w:rsidR="00FC5172" w:rsidP="00FC5172" w:rsidRDefault="005479B4" w14:paraId="0D615BB4" w14:textId="7FF157D4">
            <w:pPr>
              <w:rPr>
                <w:lang w:val="nl-NL"/>
              </w:rPr>
            </w:pPr>
            <w:r>
              <w:rPr>
                <w:lang w:val="nl-NL"/>
              </w:rPr>
              <w:lastRenderedPageBreak/>
              <w:t>- Eind 2025</w:t>
            </w:r>
            <w:r w:rsidR="00FC5172">
              <w:rPr>
                <w:lang w:val="nl-NL"/>
              </w:rPr>
              <w:t xml:space="preserve"> b</w:t>
            </w:r>
            <w:r w:rsidRPr="002908A8" w:rsidR="00FC5172">
              <w:rPr>
                <w:lang w:val="nl-NL"/>
              </w:rPr>
              <w:t>egin schrijven MvT</w:t>
            </w:r>
          </w:p>
          <w:p w:rsidRPr="002908A8" w:rsidR="00FC5172" w:rsidP="00FC5172" w:rsidRDefault="00FC5172" w14:paraId="4EFCE750" w14:textId="136947D6">
            <w:pPr>
              <w:rPr>
                <w:lang w:val="nl-NL"/>
              </w:rPr>
            </w:pPr>
          </w:p>
          <w:p w:rsidRPr="002908A8" w:rsidR="005479B4" w:rsidP="00417B16" w:rsidRDefault="005479B4" w14:paraId="71B20B0E" w14:textId="68C354C0">
            <w:pPr>
              <w:rPr>
                <w:lang w:val="nl-NL"/>
              </w:rPr>
            </w:pPr>
          </w:p>
        </w:tc>
        <w:tc>
          <w:tcPr>
            <w:tcW w:w="1522" w:type="dxa"/>
          </w:tcPr>
          <w:p w:rsidRPr="002908A8" w:rsidR="00FC5172" w:rsidP="00FC5172" w:rsidRDefault="00FC5172" w14:paraId="104E5EA6" w14:textId="77777777">
            <w:pPr>
              <w:rPr>
                <w:lang w:val="nl-NL"/>
              </w:rPr>
            </w:pPr>
            <w:r>
              <w:rPr>
                <w:lang w:val="nl-NL"/>
              </w:rPr>
              <w:lastRenderedPageBreak/>
              <w:t xml:space="preserve">MvT, wetteksten en mogelijk </w:t>
            </w:r>
            <w:r>
              <w:rPr>
                <w:lang w:val="nl-NL"/>
              </w:rPr>
              <w:lastRenderedPageBreak/>
              <w:t>lagere regelgeving</w:t>
            </w:r>
          </w:p>
          <w:p w:rsidRPr="002908A8" w:rsidR="005479B4" w:rsidP="00417B16" w:rsidRDefault="005479B4" w14:paraId="565F16CA" w14:textId="77777777">
            <w:pPr>
              <w:rPr>
                <w:lang w:val="nl-NL"/>
              </w:rPr>
            </w:pPr>
          </w:p>
        </w:tc>
      </w:tr>
      <w:tr w:rsidRPr="002908A8" w:rsidR="00693839" w:rsidTr="0034773F" w14:paraId="280926FC" w14:textId="77777777">
        <w:tc>
          <w:tcPr>
            <w:tcW w:w="534" w:type="dxa"/>
          </w:tcPr>
          <w:p w:rsidRPr="006E61E6" w:rsidR="00693839" w:rsidP="00417B16" w:rsidRDefault="00693839" w14:paraId="11A4D10F" w14:textId="02294FBE">
            <w:pPr>
              <w:rPr>
                <w:b/>
                <w:bCs/>
                <w:lang w:val="nl-NL"/>
              </w:rPr>
            </w:pPr>
            <w:r>
              <w:rPr>
                <w:b/>
                <w:bCs/>
                <w:lang w:val="nl-NL"/>
              </w:rPr>
              <w:lastRenderedPageBreak/>
              <w:t>4</w:t>
            </w:r>
          </w:p>
        </w:tc>
        <w:tc>
          <w:tcPr>
            <w:tcW w:w="2438" w:type="dxa"/>
          </w:tcPr>
          <w:p w:rsidRPr="00E51414" w:rsidR="00693839" w:rsidP="00417B16" w:rsidRDefault="005C5F36" w14:paraId="7AF4E0D2" w14:textId="70D391A8">
            <w:pPr>
              <w:rPr>
                <w:b/>
                <w:bCs/>
                <w:lang w:val="nl-NL"/>
              </w:rPr>
            </w:pPr>
            <w:r>
              <w:rPr>
                <w:b/>
                <w:bCs/>
                <w:lang w:val="nl-NL"/>
              </w:rPr>
              <w:t>Minimumleeftijd deelname aan risicovolle kansspelen verhogen</w:t>
            </w:r>
          </w:p>
        </w:tc>
        <w:tc>
          <w:tcPr>
            <w:tcW w:w="3402" w:type="dxa"/>
          </w:tcPr>
          <w:p w:rsidR="00693839" w:rsidP="00417B16" w:rsidRDefault="00693839" w14:paraId="1F61D738" w14:textId="77777777">
            <w:pPr>
              <w:rPr>
                <w:lang w:val="nl-NL"/>
              </w:rPr>
            </w:pPr>
          </w:p>
        </w:tc>
        <w:tc>
          <w:tcPr>
            <w:tcW w:w="3260" w:type="dxa"/>
          </w:tcPr>
          <w:p w:rsidRPr="002908A8" w:rsidR="00693839" w:rsidP="00FC5172" w:rsidRDefault="005545FF" w14:paraId="078A4DCC" w14:textId="26E38219">
            <w:pPr>
              <w:rPr>
                <w:lang w:val="nl-NL"/>
              </w:rPr>
            </w:pPr>
            <w:r>
              <w:rPr>
                <w:lang w:val="nl-NL"/>
              </w:rPr>
              <w:t>Ter b</w:t>
            </w:r>
            <w:r w:rsidRPr="005545FF">
              <w:rPr>
                <w:lang w:val="nl-NL"/>
              </w:rPr>
              <w:t xml:space="preserve">escherming van jongvolwassenen. </w:t>
            </w:r>
            <w:r>
              <w:rPr>
                <w:lang w:val="nl-NL"/>
              </w:rPr>
              <w:t xml:space="preserve">Op </w:t>
            </w:r>
            <w:r w:rsidRPr="005545FF">
              <w:rPr>
                <w:lang w:val="nl-NL"/>
              </w:rPr>
              <w:t xml:space="preserve">hun leeftijd </w:t>
            </w:r>
            <w:r>
              <w:rPr>
                <w:lang w:val="nl-NL"/>
              </w:rPr>
              <w:t xml:space="preserve">kunnen zij </w:t>
            </w:r>
            <w:r w:rsidRPr="005545FF">
              <w:rPr>
                <w:lang w:val="nl-NL"/>
              </w:rPr>
              <w:t xml:space="preserve">voor het eerst in aanraking </w:t>
            </w:r>
            <w:r>
              <w:rPr>
                <w:lang w:val="nl-NL"/>
              </w:rPr>
              <w:t xml:space="preserve">komen </w:t>
            </w:r>
            <w:r w:rsidRPr="005545FF">
              <w:rPr>
                <w:lang w:val="nl-NL"/>
              </w:rPr>
              <w:t>met kansspelen</w:t>
            </w:r>
            <w:r>
              <w:rPr>
                <w:lang w:val="nl-NL"/>
              </w:rPr>
              <w:t>. O</w:t>
            </w:r>
            <w:r w:rsidRPr="005545FF">
              <w:rPr>
                <w:lang w:val="nl-NL"/>
              </w:rPr>
              <w:t xml:space="preserve">p dat moment </w:t>
            </w:r>
            <w:r>
              <w:rPr>
                <w:lang w:val="nl-NL"/>
              </w:rPr>
              <w:t>zijn</w:t>
            </w:r>
            <w:r w:rsidRPr="005545FF">
              <w:rPr>
                <w:lang w:val="nl-NL"/>
              </w:rPr>
              <w:t xml:space="preserve"> ze sterk beïnvloedbaar en daardoor zeer vatbaar voor de risico’s van kansspelen. </w:t>
            </w:r>
            <w:r w:rsidR="005C5F36">
              <w:rPr>
                <w:lang w:val="nl-NL"/>
              </w:rPr>
              <w:t xml:space="preserve">Daarom is het van belang om de toegang tot risicovolle kansspelen zoveel mogelijk te beperken. </w:t>
            </w:r>
            <w:r w:rsidR="00911881">
              <w:rPr>
                <w:lang w:val="nl-NL"/>
              </w:rPr>
              <w:t xml:space="preserve">Voor de meest risicovolle kansspelen is een verbod op deelname door </w:t>
            </w:r>
            <w:r w:rsidR="00911881">
              <w:rPr>
                <w:lang w:val="nl-NL"/>
              </w:rPr>
              <w:lastRenderedPageBreak/>
              <w:t xml:space="preserve">jongvolwassenen </w:t>
            </w:r>
            <w:r>
              <w:rPr>
                <w:lang w:val="nl-NL"/>
              </w:rPr>
              <w:t xml:space="preserve">tot 21 jaar </w:t>
            </w:r>
            <w:r w:rsidR="00911881">
              <w:rPr>
                <w:lang w:val="nl-NL"/>
              </w:rPr>
              <w:t>aan de orde</w:t>
            </w:r>
            <w:r>
              <w:rPr>
                <w:lang w:val="nl-NL"/>
              </w:rPr>
              <w:t>.</w:t>
            </w:r>
          </w:p>
        </w:tc>
        <w:tc>
          <w:tcPr>
            <w:tcW w:w="1701" w:type="dxa"/>
          </w:tcPr>
          <w:p w:rsidR="00693839" w:rsidP="005C5F36" w:rsidRDefault="005C5F36" w14:paraId="1BF41AF7" w14:textId="77777777">
            <w:pPr>
              <w:rPr>
                <w:lang w:val="nl-NL"/>
              </w:rPr>
            </w:pPr>
            <w:r w:rsidRPr="005C5F36">
              <w:rPr>
                <w:lang w:val="nl-NL"/>
              </w:rPr>
              <w:lastRenderedPageBreak/>
              <w:t>-</w:t>
            </w:r>
            <w:r>
              <w:rPr>
                <w:lang w:val="nl-NL"/>
              </w:rPr>
              <w:t xml:space="preserve"> </w:t>
            </w:r>
            <w:r w:rsidRPr="005C5F36">
              <w:rPr>
                <w:lang w:val="nl-NL"/>
              </w:rPr>
              <w:t xml:space="preserve">Doorlopen beleidskompas </w:t>
            </w:r>
          </w:p>
          <w:p w:rsidR="005C5F36" w:rsidP="005C5F36" w:rsidRDefault="005C5F36" w14:paraId="55221945" w14:textId="0102D044">
            <w:pPr>
              <w:rPr>
                <w:lang w:val="nl-NL"/>
              </w:rPr>
            </w:pPr>
            <w:r>
              <w:rPr>
                <w:lang w:val="nl-NL"/>
              </w:rPr>
              <w:t xml:space="preserve">- </w:t>
            </w:r>
            <w:r w:rsidR="007A7AF0">
              <w:rPr>
                <w:lang w:val="nl-NL"/>
              </w:rPr>
              <w:t>I</w:t>
            </w:r>
            <w:r>
              <w:rPr>
                <w:lang w:val="nl-NL"/>
              </w:rPr>
              <w:t>n het verlengde van onderzoek naar risico’s in kansspelen kijken voor welke kansspelen de minimumleeftijd omhoog zou moeten</w:t>
            </w:r>
            <w:r w:rsidR="007A7AF0">
              <w:rPr>
                <w:lang w:val="nl-NL"/>
              </w:rPr>
              <w:t>.</w:t>
            </w:r>
          </w:p>
          <w:p w:rsidRPr="005C5F36" w:rsidR="005C5F36" w:rsidP="005C5F36" w:rsidRDefault="005C5F36" w14:paraId="5FD74567" w14:textId="6B73D418">
            <w:pPr>
              <w:rPr>
                <w:lang w:val="nl-NL"/>
              </w:rPr>
            </w:pPr>
            <w:r>
              <w:rPr>
                <w:lang w:val="nl-NL"/>
              </w:rPr>
              <w:lastRenderedPageBreak/>
              <w:t xml:space="preserve">- </w:t>
            </w:r>
            <w:r w:rsidR="007A7AF0">
              <w:rPr>
                <w:lang w:val="nl-NL"/>
              </w:rPr>
              <w:t xml:space="preserve">In kaart brengen </w:t>
            </w:r>
            <w:r>
              <w:rPr>
                <w:lang w:val="nl-NL"/>
              </w:rPr>
              <w:t xml:space="preserve"> uitvoeringsconsequenties</w:t>
            </w:r>
            <w:r w:rsidR="007A7AF0">
              <w:rPr>
                <w:lang w:val="nl-NL"/>
              </w:rPr>
              <w:t>.</w:t>
            </w:r>
          </w:p>
        </w:tc>
        <w:tc>
          <w:tcPr>
            <w:tcW w:w="1701" w:type="dxa"/>
          </w:tcPr>
          <w:p w:rsidR="00693839" w:rsidP="00417B16" w:rsidRDefault="005C5F36" w14:paraId="2086DDD3" w14:textId="77777777">
            <w:pPr>
              <w:rPr>
                <w:lang w:val="nl-NL"/>
              </w:rPr>
            </w:pPr>
            <w:r>
              <w:rPr>
                <w:lang w:val="nl-NL"/>
              </w:rPr>
              <w:lastRenderedPageBreak/>
              <w:t>- UT Ksa</w:t>
            </w:r>
          </w:p>
          <w:p w:rsidR="005C5F36" w:rsidP="00417B16" w:rsidRDefault="005C5F36" w14:paraId="03FF878B" w14:textId="5F332D16">
            <w:pPr>
              <w:rPr>
                <w:lang w:val="nl-NL"/>
              </w:rPr>
            </w:pPr>
            <w:r>
              <w:rPr>
                <w:lang w:val="nl-NL"/>
              </w:rPr>
              <w:t>- vervolg beleidskompas</w:t>
            </w:r>
          </w:p>
          <w:p w:rsidR="005C5F36" w:rsidP="005C5F36" w:rsidRDefault="005C5F36" w14:paraId="5478ACCB" w14:textId="44538F76">
            <w:pPr>
              <w:rPr>
                <w:lang w:val="nl-NL"/>
              </w:rPr>
            </w:pPr>
            <w:r>
              <w:rPr>
                <w:lang w:val="nl-NL"/>
              </w:rPr>
              <w:t>- Eind 2025 b</w:t>
            </w:r>
            <w:r w:rsidRPr="002908A8">
              <w:rPr>
                <w:lang w:val="nl-NL"/>
              </w:rPr>
              <w:t>egin schrijven MvT</w:t>
            </w:r>
          </w:p>
          <w:p w:rsidR="005C5F36" w:rsidP="00417B16" w:rsidRDefault="005C5F36" w14:paraId="608E6665" w14:textId="3489C316">
            <w:pPr>
              <w:rPr>
                <w:lang w:val="nl-NL"/>
              </w:rPr>
            </w:pPr>
          </w:p>
        </w:tc>
        <w:tc>
          <w:tcPr>
            <w:tcW w:w="1522" w:type="dxa"/>
          </w:tcPr>
          <w:p w:rsidRPr="002908A8" w:rsidR="005C5F36" w:rsidP="005C5F36" w:rsidRDefault="005C5F36" w14:paraId="71D26D52" w14:textId="77777777">
            <w:pPr>
              <w:rPr>
                <w:lang w:val="nl-NL"/>
              </w:rPr>
            </w:pPr>
            <w:r>
              <w:rPr>
                <w:lang w:val="nl-NL"/>
              </w:rPr>
              <w:t>MvT, wetteksten en mogelijk lagere regelgeving</w:t>
            </w:r>
          </w:p>
          <w:p w:rsidR="00693839" w:rsidP="00FC5172" w:rsidRDefault="00693839" w14:paraId="51FB12B2" w14:textId="77777777">
            <w:pPr>
              <w:rPr>
                <w:lang w:val="nl-NL"/>
              </w:rPr>
            </w:pPr>
          </w:p>
        </w:tc>
      </w:tr>
      <w:tr w:rsidRPr="00E83E19" w:rsidR="005479B4" w:rsidTr="0034773F" w14:paraId="4D90790F" w14:textId="77777777">
        <w:tc>
          <w:tcPr>
            <w:tcW w:w="534" w:type="dxa"/>
          </w:tcPr>
          <w:p w:rsidRPr="006E61E6" w:rsidR="005479B4" w:rsidP="00417B16" w:rsidRDefault="00693839" w14:paraId="4F25DB08" w14:textId="370052F4">
            <w:pPr>
              <w:rPr>
                <w:b/>
                <w:bCs/>
                <w:lang w:val="nl-NL"/>
              </w:rPr>
            </w:pPr>
            <w:r>
              <w:rPr>
                <w:b/>
                <w:bCs/>
                <w:lang w:val="nl-NL"/>
              </w:rPr>
              <w:t>5</w:t>
            </w:r>
          </w:p>
        </w:tc>
        <w:tc>
          <w:tcPr>
            <w:tcW w:w="2438" w:type="dxa"/>
          </w:tcPr>
          <w:p w:rsidR="005479B4" w:rsidP="00417B16" w:rsidRDefault="005479B4" w14:paraId="7A50AAE1" w14:textId="77777777">
            <w:pPr>
              <w:rPr>
                <w:b/>
                <w:bCs/>
                <w:lang w:val="nl-NL"/>
              </w:rPr>
            </w:pPr>
            <w:r w:rsidRPr="00E51414">
              <w:rPr>
                <w:b/>
                <w:bCs/>
                <w:lang w:val="nl-NL"/>
              </w:rPr>
              <w:t xml:space="preserve">Zorgplicht </w:t>
            </w:r>
          </w:p>
          <w:p w:rsidR="005479B4" w:rsidP="00417B16" w:rsidRDefault="005479B4" w14:paraId="03B865F0" w14:textId="77777777">
            <w:pPr>
              <w:rPr>
                <w:b/>
                <w:bCs/>
                <w:lang w:val="nl-NL"/>
              </w:rPr>
            </w:pPr>
          </w:p>
          <w:p w:rsidRPr="0072611A" w:rsidR="005479B4" w:rsidP="00417B16" w:rsidRDefault="005479B4" w14:paraId="542B66C0" w14:textId="77777777">
            <w:pPr>
              <w:rPr>
                <w:b/>
                <w:bCs/>
                <w:lang w:val="nl-NL"/>
              </w:rPr>
            </w:pPr>
          </w:p>
        </w:tc>
        <w:tc>
          <w:tcPr>
            <w:tcW w:w="3402" w:type="dxa"/>
          </w:tcPr>
          <w:p w:rsidR="005479B4" w:rsidP="00417B16" w:rsidRDefault="005479B4" w14:paraId="2011C74B" w14:textId="77777777">
            <w:pPr>
              <w:rPr>
                <w:lang w:val="nl-NL"/>
              </w:rPr>
            </w:pPr>
            <w:r>
              <w:rPr>
                <w:lang w:val="nl-NL"/>
              </w:rPr>
              <w:t xml:space="preserve">Evaluatie: </w:t>
            </w:r>
          </w:p>
          <w:p w:rsidR="005479B4" w:rsidP="005479B4" w:rsidRDefault="005479B4" w14:paraId="47DF33EE" w14:textId="77777777">
            <w:pPr>
              <w:pStyle w:val="Lijstalinea"/>
              <w:numPr>
                <w:ilvl w:val="0"/>
                <w:numId w:val="1"/>
              </w:numPr>
              <w:rPr>
                <w:lang w:val="nl-NL"/>
              </w:rPr>
            </w:pPr>
            <w:r>
              <w:rPr>
                <w:lang w:val="nl-NL"/>
              </w:rPr>
              <w:t>Expertise onafhankelijk deskundigen benutten</w:t>
            </w:r>
          </w:p>
          <w:p w:rsidR="005479B4" w:rsidP="005479B4" w:rsidRDefault="005479B4" w14:paraId="58D80D19" w14:textId="77777777">
            <w:pPr>
              <w:pStyle w:val="Lijstalinea"/>
              <w:numPr>
                <w:ilvl w:val="0"/>
                <w:numId w:val="1"/>
              </w:numPr>
              <w:rPr>
                <w:lang w:val="nl-NL"/>
              </w:rPr>
            </w:pPr>
            <w:r>
              <w:rPr>
                <w:lang w:val="nl-NL"/>
              </w:rPr>
              <w:t xml:space="preserve">Overkoepelende functionaliteiten  voor bescherming spelers </w:t>
            </w:r>
          </w:p>
          <w:p w:rsidR="005479B4" w:rsidP="00417B16" w:rsidRDefault="005479B4" w14:paraId="737B578A" w14:textId="77777777">
            <w:pPr>
              <w:pStyle w:val="Lijstalinea"/>
              <w:ind w:left="360"/>
              <w:rPr>
                <w:lang w:val="nl-NL"/>
              </w:rPr>
            </w:pPr>
          </w:p>
          <w:p w:rsidR="005479B4" w:rsidP="00417B16" w:rsidRDefault="005479B4" w14:paraId="5DDA32B5" w14:textId="77777777">
            <w:pPr>
              <w:rPr>
                <w:lang w:val="nl-NL"/>
              </w:rPr>
            </w:pPr>
            <w:r>
              <w:rPr>
                <w:lang w:val="nl-NL"/>
              </w:rPr>
              <w:t>Initiatiefnota van de leden Boswijk (CDA) en Van Dijk (SGP) (hierna: ‘initiatiefnota’)</w:t>
            </w:r>
            <w:r>
              <w:rPr>
                <w:rStyle w:val="Voetnootmarkering"/>
                <w:lang w:val="nl-NL"/>
              </w:rPr>
              <w:footnoteReference w:id="6"/>
            </w:r>
            <w:r>
              <w:rPr>
                <w:lang w:val="nl-NL"/>
              </w:rPr>
              <w:t>:</w:t>
            </w:r>
          </w:p>
          <w:p w:rsidR="005479B4" w:rsidP="005479B4" w:rsidRDefault="005479B4" w14:paraId="16D8210C" w14:textId="77777777">
            <w:pPr>
              <w:pStyle w:val="Lijstalinea"/>
              <w:numPr>
                <w:ilvl w:val="0"/>
                <w:numId w:val="1"/>
              </w:numPr>
              <w:rPr>
                <w:lang w:val="nl-NL"/>
              </w:rPr>
            </w:pPr>
            <w:r>
              <w:rPr>
                <w:lang w:val="nl-NL"/>
              </w:rPr>
              <w:t>Scherp de zorgplicht aan</w:t>
            </w:r>
          </w:p>
          <w:p w:rsidR="005479B4" w:rsidP="00417B16" w:rsidRDefault="005479B4" w14:paraId="7C789449" w14:textId="77777777">
            <w:pPr>
              <w:rPr>
                <w:lang w:val="nl-NL"/>
              </w:rPr>
            </w:pPr>
          </w:p>
          <w:p w:rsidR="005479B4" w:rsidP="00417B16" w:rsidRDefault="005479B4" w14:paraId="38DDA6F0" w14:textId="77777777">
            <w:pPr>
              <w:rPr>
                <w:lang w:val="nl-NL"/>
              </w:rPr>
            </w:pPr>
            <w:r>
              <w:rPr>
                <w:lang w:val="nl-NL"/>
              </w:rPr>
              <w:t>Initiatiefwetsvoorstel</w:t>
            </w:r>
            <w:r w:rsidDel="0016567C">
              <w:rPr>
                <w:lang w:val="nl-NL"/>
              </w:rPr>
              <w:t xml:space="preserve"> </w:t>
            </w:r>
            <w:r>
              <w:rPr>
                <w:lang w:val="nl-NL"/>
              </w:rPr>
              <w:t>:</w:t>
            </w:r>
          </w:p>
          <w:p w:rsidRPr="00BC245C" w:rsidR="005479B4" w:rsidP="005479B4" w:rsidRDefault="005479B4" w14:paraId="2A5A06C0" w14:textId="77777777">
            <w:pPr>
              <w:pStyle w:val="Lijstalinea"/>
              <w:numPr>
                <w:ilvl w:val="0"/>
                <w:numId w:val="1"/>
              </w:numPr>
              <w:rPr>
                <w:lang w:val="nl-NL"/>
              </w:rPr>
            </w:pPr>
            <w:r>
              <w:rPr>
                <w:lang w:val="nl-NL"/>
              </w:rPr>
              <w:t>B</w:t>
            </w:r>
            <w:r w:rsidRPr="0016567C">
              <w:rPr>
                <w:lang w:val="nl-NL"/>
              </w:rPr>
              <w:t>reid de zorgplicht uit en leg vast in de wet</w:t>
            </w:r>
          </w:p>
          <w:p w:rsidR="005479B4" w:rsidP="00417B16" w:rsidRDefault="005479B4" w14:paraId="5AC1CB1D" w14:textId="77777777">
            <w:pPr>
              <w:rPr>
                <w:lang w:val="nl-NL"/>
              </w:rPr>
            </w:pPr>
          </w:p>
          <w:p w:rsidR="005479B4" w:rsidP="00417B16" w:rsidRDefault="005479B4" w14:paraId="579A0FCB" w14:textId="77777777">
            <w:pPr>
              <w:rPr>
                <w:lang w:val="nl-NL"/>
              </w:rPr>
            </w:pPr>
            <w:r>
              <w:rPr>
                <w:lang w:val="nl-NL"/>
              </w:rPr>
              <w:t>Motie van Nispen</w:t>
            </w:r>
            <w:r>
              <w:rPr>
                <w:rStyle w:val="Voetnootmarkering"/>
                <w:lang w:val="nl-NL"/>
              </w:rPr>
              <w:footnoteReference w:id="7"/>
            </w:r>
            <w:r>
              <w:rPr>
                <w:lang w:val="nl-NL"/>
              </w:rPr>
              <w:t xml:space="preserve">: </w:t>
            </w:r>
          </w:p>
          <w:p w:rsidRPr="00BC245C" w:rsidR="005479B4" w:rsidP="005479B4" w:rsidRDefault="005479B4" w14:paraId="4C5CCD0A" w14:textId="77777777">
            <w:pPr>
              <w:pStyle w:val="Lijstalinea"/>
              <w:numPr>
                <w:ilvl w:val="0"/>
                <w:numId w:val="1"/>
              </w:numPr>
              <w:rPr>
                <w:rFonts w:cs="Calibri"/>
                <w:color w:val="000000"/>
                <w:szCs w:val="18"/>
                <w:lang w:val="nl-NL"/>
              </w:rPr>
            </w:pPr>
            <w:r w:rsidRPr="00BC245C">
              <w:rPr>
                <w:rFonts w:cs="Calibri"/>
                <w:color w:val="000000"/>
                <w:szCs w:val="18"/>
                <w:lang w:val="nl-NL"/>
              </w:rPr>
              <w:t>Bezien wat nodig is om effectiever en steviger op te treden tegen gokbedrijven die tekortschieten in hun zorgplicht en verslavingspreventiebeleid </w:t>
            </w:r>
          </w:p>
          <w:p w:rsidRPr="00B22608" w:rsidR="005479B4" w:rsidP="00417B16" w:rsidRDefault="005479B4" w14:paraId="1F32E0DC" w14:textId="77777777">
            <w:pPr>
              <w:jc w:val="center"/>
              <w:rPr>
                <w:lang w:val="nl-NL"/>
              </w:rPr>
            </w:pPr>
          </w:p>
        </w:tc>
        <w:tc>
          <w:tcPr>
            <w:tcW w:w="3260" w:type="dxa"/>
          </w:tcPr>
          <w:p w:rsidRPr="00BC245C" w:rsidR="005479B4" w:rsidP="00417B16" w:rsidRDefault="005479B4" w14:paraId="7DE924CB" w14:textId="77777777">
            <w:pPr>
              <w:rPr>
                <w:lang w:val="nl-NL"/>
              </w:rPr>
            </w:pPr>
            <w:r w:rsidRPr="00BC245C">
              <w:rPr>
                <w:lang w:val="nl-NL"/>
              </w:rPr>
              <w:t>Zorgplicht anders beleggen en/of kaders voor zorgplicht op basis van onafhankelijk deskundigen advies vaststellen</w:t>
            </w:r>
            <w:r>
              <w:rPr>
                <w:lang w:val="nl-NL"/>
              </w:rPr>
              <w:t>.</w:t>
            </w:r>
          </w:p>
          <w:p w:rsidR="005479B4" w:rsidP="00417B16" w:rsidRDefault="005479B4" w14:paraId="74358DE2" w14:textId="77777777">
            <w:pPr>
              <w:rPr>
                <w:lang w:val="nl-NL"/>
              </w:rPr>
            </w:pPr>
          </w:p>
          <w:p w:rsidRPr="00BC245C" w:rsidR="005479B4" w:rsidP="00417B16" w:rsidRDefault="0034773F" w14:paraId="459106F8" w14:textId="0CADD8B6">
            <w:pPr>
              <w:rPr>
                <w:lang w:val="nl-NL"/>
              </w:rPr>
            </w:pPr>
            <w:r>
              <w:rPr>
                <w:lang w:val="nl-NL"/>
              </w:rPr>
              <w:t>Zorgplicht regels verder aanscherpen. De p</w:t>
            </w:r>
            <w:r w:rsidRPr="00BC245C" w:rsidR="005479B4">
              <w:rPr>
                <w:lang w:val="nl-NL"/>
              </w:rPr>
              <w:t>roportionaliteit t</w:t>
            </w:r>
            <w:r w:rsidR="00996150">
              <w:rPr>
                <w:lang w:val="nl-NL"/>
              </w:rPr>
              <w:t>.</w:t>
            </w:r>
            <w:r w:rsidRPr="00BC245C" w:rsidR="005479B4">
              <w:rPr>
                <w:lang w:val="nl-NL"/>
              </w:rPr>
              <w:t>o</w:t>
            </w:r>
            <w:r w:rsidR="00996150">
              <w:rPr>
                <w:lang w:val="nl-NL"/>
              </w:rPr>
              <w:t>.</w:t>
            </w:r>
            <w:r w:rsidRPr="00BC245C" w:rsidR="005479B4">
              <w:rPr>
                <w:lang w:val="nl-NL"/>
              </w:rPr>
              <w:t xml:space="preserve">v Regeling speellimieten en bewuster speelgedrag (Rsbs) en Beleidsregels verantwoord spelen 2024 Ksa moet worden vastgesteld. </w:t>
            </w:r>
          </w:p>
        </w:tc>
        <w:tc>
          <w:tcPr>
            <w:tcW w:w="1701" w:type="dxa"/>
          </w:tcPr>
          <w:p w:rsidRPr="00BC245C" w:rsidR="005479B4" w:rsidP="00417B16" w:rsidRDefault="005479B4" w14:paraId="67C53946" w14:textId="79256C52">
            <w:pPr>
              <w:rPr>
                <w:lang w:val="nl-NL"/>
              </w:rPr>
            </w:pPr>
            <w:r w:rsidRPr="002908A8">
              <w:rPr>
                <w:lang w:val="nl-NL"/>
              </w:rPr>
              <w:t xml:space="preserve">- </w:t>
            </w:r>
            <w:r w:rsidRPr="00BC245C">
              <w:rPr>
                <w:lang w:val="nl-NL"/>
              </w:rPr>
              <w:t xml:space="preserve">Onderzoeken waar mogelijke gedragsinterventies </w:t>
            </w:r>
            <w:r>
              <w:rPr>
                <w:lang w:val="nl-NL"/>
              </w:rPr>
              <w:t xml:space="preserve">in </w:t>
            </w:r>
            <w:r w:rsidRPr="00BC245C">
              <w:rPr>
                <w:lang w:val="nl-NL"/>
              </w:rPr>
              <w:t xml:space="preserve">naar voren komen, zoals interventies via ZonMw, kwalitatief onderzoek naar problematisch gokken, </w:t>
            </w:r>
            <w:r>
              <w:rPr>
                <w:lang w:val="nl-NL"/>
              </w:rPr>
              <w:t>K</w:t>
            </w:r>
            <w:r w:rsidRPr="00BC245C">
              <w:rPr>
                <w:lang w:val="nl-NL"/>
              </w:rPr>
              <w:t>sa onderzoeken en monitoring</w:t>
            </w:r>
          </w:p>
        </w:tc>
        <w:tc>
          <w:tcPr>
            <w:tcW w:w="1701" w:type="dxa"/>
          </w:tcPr>
          <w:p w:rsidRPr="002908A8" w:rsidR="005479B4" w:rsidP="00417B16" w:rsidRDefault="005479B4" w14:paraId="143322D3" w14:textId="77777777">
            <w:pPr>
              <w:rPr>
                <w:lang w:val="nl-NL"/>
              </w:rPr>
            </w:pPr>
            <w:r>
              <w:rPr>
                <w:lang w:val="nl-NL"/>
              </w:rPr>
              <w:t xml:space="preserve">- </w:t>
            </w:r>
            <w:r w:rsidRPr="002908A8">
              <w:rPr>
                <w:lang w:val="nl-NL"/>
              </w:rPr>
              <w:t xml:space="preserve">Afronding </w:t>
            </w:r>
            <w:r>
              <w:rPr>
                <w:lang w:val="nl-NL"/>
              </w:rPr>
              <w:t xml:space="preserve">deel </w:t>
            </w:r>
            <w:r w:rsidRPr="002908A8">
              <w:rPr>
                <w:lang w:val="nl-NL"/>
              </w:rPr>
              <w:t>onderzoeken</w:t>
            </w:r>
          </w:p>
          <w:p w:rsidRPr="002908A8" w:rsidR="005479B4" w:rsidP="00417B16" w:rsidRDefault="005479B4" w14:paraId="08CBBDD1" w14:textId="77777777">
            <w:pPr>
              <w:rPr>
                <w:lang w:val="nl-NL"/>
              </w:rPr>
            </w:pPr>
            <w:r>
              <w:rPr>
                <w:lang w:val="nl-NL"/>
              </w:rPr>
              <w:t xml:space="preserve">- </w:t>
            </w:r>
            <w:r w:rsidRPr="002908A8">
              <w:rPr>
                <w:lang w:val="nl-NL"/>
              </w:rPr>
              <w:t xml:space="preserve">Beleidskompas doorlopen </w:t>
            </w:r>
          </w:p>
          <w:p w:rsidRPr="002908A8" w:rsidR="005479B4" w:rsidP="00417B16" w:rsidRDefault="005479B4" w14:paraId="0B3DA125" w14:textId="77777777">
            <w:pPr>
              <w:rPr>
                <w:lang w:val="nl-NL"/>
              </w:rPr>
            </w:pPr>
            <w:r w:rsidRPr="002908A8">
              <w:rPr>
                <w:lang w:val="nl-NL"/>
              </w:rPr>
              <w:t>- Begin met MvT</w:t>
            </w:r>
          </w:p>
          <w:p w:rsidRPr="002908A8" w:rsidR="005479B4" w:rsidP="00417B16" w:rsidRDefault="005479B4" w14:paraId="565BADFB" w14:textId="2BB98385">
            <w:pPr>
              <w:rPr>
                <w:lang w:val="nl-NL"/>
              </w:rPr>
            </w:pPr>
            <w:r w:rsidRPr="002908A8">
              <w:rPr>
                <w:lang w:val="nl-NL"/>
              </w:rPr>
              <w:t>- U</w:t>
            </w:r>
            <w:r>
              <w:rPr>
                <w:lang w:val="nl-NL"/>
              </w:rPr>
              <w:t>itvoerings-toets (UT)</w:t>
            </w:r>
            <w:r w:rsidRPr="002908A8">
              <w:rPr>
                <w:lang w:val="nl-NL"/>
              </w:rPr>
              <w:t>/advies Ksa</w:t>
            </w:r>
          </w:p>
          <w:p w:rsidR="005479B4" w:rsidP="00417B16" w:rsidRDefault="005479B4" w14:paraId="162E501A" w14:textId="209B792C">
            <w:pPr>
              <w:rPr>
                <w:lang w:val="nl-NL"/>
              </w:rPr>
            </w:pPr>
            <w:r w:rsidRPr="002908A8">
              <w:rPr>
                <w:lang w:val="nl-NL"/>
              </w:rPr>
              <w:t xml:space="preserve">- </w:t>
            </w:r>
            <w:r w:rsidR="00FC5172">
              <w:rPr>
                <w:lang w:val="nl-NL"/>
              </w:rPr>
              <w:t>Onafhankelijk a</w:t>
            </w:r>
            <w:r w:rsidRPr="002908A8">
              <w:rPr>
                <w:lang w:val="nl-NL"/>
              </w:rPr>
              <w:t xml:space="preserve">dvies </w:t>
            </w:r>
            <w:r w:rsidR="00FC5172">
              <w:rPr>
                <w:lang w:val="nl-NL"/>
              </w:rPr>
              <w:t>(verslavings)d</w:t>
            </w:r>
            <w:r w:rsidRPr="002908A8">
              <w:rPr>
                <w:lang w:val="nl-NL"/>
              </w:rPr>
              <w:t>eskundigen</w:t>
            </w:r>
          </w:p>
          <w:p w:rsidRPr="002908A8" w:rsidR="005479B4" w:rsidP="00417B16" w:rsidRDefault="005479B4" w14:paraId="3206397A" w14:textId="6CD6F280">
            <w:pPr>
              <w:rPr>
                <w:lang w:val="nl-NL"/>
              </w:rPr>
            </w:pPr>
            <w:r>
              <w:rPr>
                <w:lang w:val="nl-NL"/>
              </w:rPr>
              <w:t>- Eind 2025 wetteksten</w:t>
            </w:r>
            <w:r w:rsidR="00056627">
              <w:rPr>
                <w:lang w:val="nl-NL"/>
              </w:rPr>
              <w:t xml:space="preserve"> en lagere regelgeving</w:t>
            </w:r>
          </w:p>
        </w:tc>
        <w:tc>
          <w:tcPr>
            <w:tcW w:w="1522" w:type="dxa"/>
          </w:tcPr>
          <w:p w:rsidR="005479B4" w:rsidP="00417B16" w:rsidRDefault="005479B4" w14:paraId="33D7CBEC" w14:textId="77777777">
            <w:pPr>
              <w:rPr>
                <w:lang w:val="nl-NL"/>
              </w:rPr>
            </w:pPr>
            <w:r>
              <w:rPr>
                <w:lang w:val="nl-NL"/>
              </w:rPr>
              <w:t>MvT, wetteksten en mogelijk lagere regelgeving</w:t>
            </w:r>
          </w:p>
          <w:p w:rsidRPr="002908A8" w:rsidR="005479B4" w:rsidP="00417B16" w:rsidRDefault="005479B4" w14:paraId="78B6E4F6" w14:textId="77777777">
            <w:pPr>
              <w:rPr>
                <w:lang w:val="nl-NL"/>
              </w:rPr>
            </w:pPr>
          </w:p>
          <w:p w:rsidRPr="002908A8" w:rsidR="005479B4" w:rsidP="00417B16" w:rsidRDefault="005479B4" w14:paraId="1B7AB578" w14:textId="77777777">
            <w:pPr>
              <w:rPr>
                <w:lang w:val="nl-NL"/>
              </w:rPr>
            </w:pPr>
          </w:p>
        </w:tc>
      </w:tr>
      <w:tr w:rsidRPr="00E83E19" w:rsidR="005C1BB5" w:rsidTr="0034773F" w14:paraId="4FE454E4" w14:textId="77777777">
        <w:tc>
          <w:tcPr>
            <w:tcW w:w="534" w:type="dxa"/>
            <w:vMerge w:val="restart"/>
          </w:tcPr>
          <w:p w:rsidRPr="006E61E6" w:rsidR="005C1BB5" w:rsidP="00417B16" w:rsidRDefault="00693839" w14:paraId="3A8124B1" w14:textId="69D57CA5">
            <w:pPr>
              <w:rPr>
                <w:b/>
                <w:bCs/>
                <w:lang w:val="nl-NL"/>
              </w:rPr>
            </w:pPr>
            <w:r>
              <w:rPr>
                <w:b/>
                <w:bCs/>
                <w:lang w:val="nl-NL"/>
              </w:rPr>
              <w:t>6</w:t>
            </w:r>
          </w:p>
        </w:tc>
        <w:tc>
          <w:tcPr>
            <w:tcW w:w="2438" w:type="dxa"/>
          </w:tcPr>
          <w:p w:rsidRPr="002908A8" w:rsidR="005C1BB5" w:rsidP="00417B16" w:rsidRDefault="005C1BB5" w14:paraId="076977E4" w14:textId="77777777">
            <w:pPr>
              <w:rPr>
                <w:b/>
                <w:bCs/>
                <w:lang w:val="nl-NL"/>
              </w:rPr>
            </w:pPr>
            <w:r>
              <w:rPr>
                <w:b/>
                <w:bCs/>
                <w:lang w:val="nl-NL"/>
              </w:rPr>
              <w:t>O</w:t>
            </w:r>
            <w:r w:rsidRPr="002908A8">
              <w:rPr>
                <w:b/>
                <w:bCs/>
                <w:lang w:val="nl-NL"/>
              </w:rPr>
              <w:t>verkoepelende speellimieten</w:t>
            </w:r>
            <w:r>
              <w:rPr>
                <w:b/>
                <w:bCs/>
                <w:lang w:val="nl-NL"/>
              </w:rPr>
              <w:t xml:space="preserve"> (project VOS)</w:t>
            </w:r>
          </w:p>
          <w:p w:rsidR="005C1BB5" w:rsidP="00417B16" w:rsidRDefault="005C1BB5" w14:paraId="74291448" w14:textId="77777777">
            <w:pPr>
              <w:rPr>
                <w:b/>
                <w:bCs/>
                <w:lang w:val="nl-NL"/>
              </w:rPr>
            </w:pPr>
          </w:p>
          <w:p w:rsidR="005C1BB5" w:rsidP="00417B16" w:rsidRDefault="005C1BB5" w14:paraId="66FBFFAC" w14:textId="77777777">
            <w:pPr>
              <w:rPr>
                <w:b/>
                <w:bCs/>
                <w:lang w:val="nl-NL"/>
              </w:rPr>
            </w:pPr>
          </w:p>
          <w:p w:rsidRPr="00E51414" w:rsidR="005C1BB5" w:rsidP="00417B16" w:rsidRDefault="005C1BB5" w14:paraId="6C8C4A84" w14:textId="77777777">
            <w:pPr>
              <w:rPr>
                <w:b/>
                <w:bCs/>
                <w:lang w:val="nl-NL"/>
              </w:rPr>
            </w:pPr>
          </w:p>
        </w:tc>
        <w:tc>
          <w:tcPr>
            <w:tcW w:w="3402" w:type="dxa"/>
          </w:tcPr>
          <w:p w:rsidR="005C1BB5" w:rsidP="00417B16" w:rsidRDefault="005C1BB5" w14:paraId="5D138C68" w14:textId="77777777">
            <w:pPr>
              <w:rPr>
                <w:lang w:val="nl-NL"/>
              </w:rPr>
            </w:pPr>
            <w:r>
              <w:rPr>
                <w:lang w:val="nl-NL"/>
              </w:rPr>
              <w:t>Evaluatie:</w:t>
            </w:r>
          </w:p>
          <w:p w:rsidR="005C1BB5" w:rsidP="00417B16" w:rsidRDefault="005C1BB5" w14:paraId="51FE65B2" w14:textId="77777777">
            <w:pPr>
              <w:rPr>
                <w:lang w:val="nl-NL"/>
              </w:rPr>
            </w:pPr>
            <w:r>
              <w:rPr>
                <w:lang w:val="nl-NL"/>
              </w:rPr>
              <w:t>- Regel overkoepelende bescherming over aanbieders heen, zoals speellimieten</w:t>
            </w:r>
          </w:p>
          <w:p w:rsidR="005C1BB5" w:rsidP="00417B16" w:rsidRDefault="005C1BB5" w14:paraId="2790376E" w14:textId="77777777">
            <w:pPr>
              <w:rPr>
                <w:lang w:val="nl-NL"/>
              </w:rPr>
            </w:pPr>
            <w:r>
              <w:rPr>
                <w:lang w:val="nl-NL"/>
              </w:rPr>
              <w:t>- Signalering van problematisch gokgedrag van spelers over aanbieders heen mist</w:t>
            </w:r>
          </w:p>
          <w:p w:rsidR="005C1BB5" w:rsidP="00417B16" w:rsidRDefault="005C1BB5" w14:paraId="62AB41AA" w14:textId="77777777">
            <w:pPr>
              <w:rPr>
                <w:lang w:val="nl-NL"/>
              </w:rPr>
            </w:pPr>
          </w:p>
          <w:p w:rsidR="005C1BB5" w:rsidP="00417B16" w:rsidRDefault="005C1BB5" w14:paraId="5F02F444" w14:textId="77777777">
            <w:pPr>
              <w:rPr>
                <w:lang w:val="nl-NL"/>
              </w:rPr>
            </w:pPr>
            <w:r>
              <w:rPr>
                <w:lang w:val="nl-NL"/>
              </w:rPr>
              <w:t>Initiatiefwetsvoorstel:</w:t>
            </w:r>
          </w:p>
          <w:p w:rsidRPr="00AC2744" w:rsidR="005C1BB5" w:rsidP="00417B16" w:rsidRDefault="005C1BB5" w14:paraId="0F61C8EC" w14:textId="77777777">
            <w:pPr>
              <w:rPr>
                <w:lang w:val="nl-NL"/>
              </w:rPr>
            </w:pPr>
            <w:r>
              <w:rPr>
                <w:lang w:val="nl-NL"/>
              </w:rPr>
              <w:t>- R</w:t>
            </w:r>
            <w:r w:rsidRPr="00AC2744">
              <w:rPr>
                <w:lang w:val="nl-NL"/>
              </w:rPr>
              <w:t>egel overkoepelende bescherming</w:t>
            </w:r>
          </w:p>
          <w:p w:rsidR="005C1BB5" w:rsidP="00417B16" w:rsidRDefault="005C1BB5" w14:paraId="3565AEA5" w14:textId="77777777">
            <w:pPr>
              <w:rPr>
                <w:lang w:val="nl-NL"/>
              </w:rPr>
            </w:pPr>
          </w:p>
          <w:p w:rsidR="005C1BB5" w:rsidP="00417B16" w:rsidRDefault="005C1BB5" w14:paraId="18E9D087" w14:textId="77777777">
            <w:pPr>
              <w:rPr>
                <w:lang w:val="nl-NL"/>
              </w:rPr>
            </w:pPr>
            <w:r>
              <w:rPr>
                <w:lang w:val="nl-NL"/>
              </w:rPr>
              <w:t>Motie Bikker</w:t>
            </w:r>
            <w:r>
              <w:rPr>
                <w:rStyle w:val="Voetnootmarkering"/>
                <w:lang w:val="nl-NL"/>
              </w:rPr>
              <w:footnoteReference w:id="8"/>
            </w:r>
            <w:r>
              <w:rPr>
                <w:lang w:val="nl-NL"/>
              </w:rPr>
              <w:t xml:space="preserve">: </w:t>
            </w:r>
          </w:p>
          <w:p w:rsidR="005C1BB5" w:rsidP="00417B16" w:rsidRDefault="005C1BB5" w14:paraId="5CF183B0" w14:textId="77777777">
            <w:pPr>
              <w:rPr>
                <w:lang w:val="nl-NL"/>
              </w:rPr>
            </w:pPr>
            <w:r>
              <w:rPr>
                <w:lang w:val="nl-NL"/>
              </w:rPr>
              <w:t>- Een overkoepelende limiet voor storten en verliezen bij onlinecasino’s zonder mogelijkheid tot verhoging</w:t>
            </w:r>
          </w:p>
        </w:tc>
        <w:tc>
          <w:tcPr>
            <w:tcW w:w="3260" w:type="dxa"/>
          </w:tcPr>
          <w:p w:rsidRPr="002908A8" w:rsidR="005C1BB5" w:rsidP="00417B16" w:rsidRDefault="005C1BB5" w14:paraId="3855DD11" w14:textId="1B095051">
            <w:pPr>
              <w:rPr>
                <w:lang w:val="nl-NL"/>
              </w:rPr>
            </w:pPr>
            <w:r w:rsidRPr="002908A8">
              <w:rPr>
                <w:lang w:val="nl-NL"/>
              </w:rPr>
              <w:t xml:space="preserve">Gaat om </w:t>
            </w:r>
            <w:r w:rsidR="0034773F">
              <w:rPr>
                <w:lang w:val="nl-NL"/>
              </w:rPr>
              <w:t xml:space="preserve">het </w:t>
            </w:r>
            <w:r w:rsidRPr="002908A8">
              <w:rPr>
                <w:lang w:val="nl-NL"/>
              </w:rPr>
              <w:t>inrichten van overkoepelende speellimieten</w:t>
            </w:r>
            <w:r>
              <w:rPr>
                <w:lang w:val="nl-NL"/>
              </w:rPr>
              <w:t>. De u</w:t>
            </w:r>
            <w:r w:rsidRPr="002908A8">
              <w:rPr>
                <w:lang w:val="nl-NL"/>
              </w:rPr>
              <w:t>itgangspunten</w:t>
            </w:r>
            <w:r>
              <w:rPr>
                <w:lang w:val="nl-NL"/>
              </w:rPr>
              <w:t xml:space="preserve"> in de</w:t>
            </w:r>
            <w:r w:rsidRPr="002908A8">
              <w:rPr>
                <w:lang w:val="nl-NL"/>
              </w:rPr>
              <w:t xml:space="preserve"> Wok moeten daarvoor gewijzigd</w:t>
            </w:r>
            <w:r>
              <w:rPr>
                <w:lang w:val="nl-NL"/>
              </w:rPr>
              <w:t xml:space="preserve"> worden. Het b</w:t>
            </w:r>
            <w:r w:rsidRPr="002908A8">
              <w:rPr>
                <w:lang w:val="nl-NL"/>
              </w:rPr>
              <w:t>eleidskompas is in de maak en</w:t>
            </w:r>
            <w:r>
              <w:rPr>
                <w:lang w:val="nl-NL"/>
              </w:rPr>
              <w:t xml:space="preserve"> de</w:t>
            </w:r>
            <w:r w:rsidRPr="002908A8">
              <w:rPr>
                <w:lang w:val="nl-NL"/>
              </w:rPr>
              <w:t xml:space="preserve"> technische verkenning is gedeeltelijk gedaan</w:t>
            </w:r>
            <w:r>
              <w:rPr>
                <w:lang w:val="nl-NL"/>
              </w:rPr>
              <w:t xml:space="preserve">. </w:t>
            </w:r>
            <w:r w:rsidR="0034773F">
              <w:rPr>
                <w:lang w:val="nl-NL"/>
              </w:rPr>
              <w:t xml:space="preserve">Er wordt gekozen voor een overkoepelende limiet met een draagkrachttoets om boven de limiet te mogen spelen. </w:t>
            </w:r>
            <w:r>
              <w:rPr>
                <w:lang w:val="nl-NL"/>
              </w:rPr>
              <w:t xml:space="preserve">De draagkrachttoets behoeft uitwerking. </w:t>
            </w:r>
          </w:p>
        </w:tc>
        <w:tc>
          <w:tcPr>
            <w:tcW w:w="1701" w:type="dxa"/>
          </w:tcPr>
          <w:p w:rsidRPr="002908A8" w:rsidR="005C1BB5" w:rsidP="00417B16" w:rsidRDefault="005C1BB5" w14:paraId="510E9EC1" w14:textId="77777777">
            <w:pPr>
              <w:rPr>
                <w:lang w:val="nl-NL"/>
              </w:rPr>
            </w:pPr>
            <w:r w:rsidRPr="002908A8">
              <w:rPr>
                <w:lang w:val="nl-NL"/>
              </w:rPr>
              <w:t>- Onderzoek draagkracht</w:t>
            </w:r>
          </w:p>
          <w:p w:rsidRPr="002908A8" w:rsidR="005C1BB5" w:rsidP="00417B16" w:rsidRDefault="005C1BB5" w14:paraId="38ED3A30" w14:textId="77777777">
            <w:pPr>
              <w:rPr>
                <w:lang w:val="nl-NL"/>
              </w:rPr>
            </w:pPr>
            <w:r w:rsidRPr="002908A8">
              <w:rPr>
                <w:lang w:val="nl-NL"/>
              </w:rPr>
              <w:t>- Doorlopen beleidskompas</w:t>
            </w:r>
          </w:p>
          <w:p w:rsidRPr="002908A8" w:rsidR="005C1BB5" w:rsidP="00417B16" w:rsidRDefault="005C1BB5" w14:paraId="7FDE28BD" w14:textId="78E4AB6C">
            <w:pPr>
              <w:rPr>
                <w:lang w:val="nl-NL"/>
              </w:rPr>
            </w:pPr>
            <w:r w:rsidRPr="002908A8">
              <w:rPr>
                <w:lang w:val="nl-NL"/>
              </w:rPr>
              <w:t xml:space="preserve">- </w:t>
            </w:r>
            <w:r>
              <w:rPr>
                <w:lang w:val="nl-NL"/>
              </w:rPr>
              <w:t>Verdere</w:t>
            </w:r>
            <w:r w:rsidRPr="002908A8">
              <w:rPr>
                <w:lang w:val="nl-NL"/>
              </w:rPr>
              <w:t xml:space="preserve"> analyses voor inrichting</w:t>
            </w:r>
            <w:r>
              <w:rPr>
                <w:lang w:val="nl-NL"/>
              </w:rPr>
              <w:t xml:space="preserve"> limiet</w:t>
            </w:r>
          </w:p>
          <w:p w:rsidR="005C1BB5" w:rsidP="00417B16" w:rsidRDefault="005C1BB5" w14:paraId="08CDCAAF" w14:textId="77777777">
            <w:pPr>
              <w:rPr>
                <w:lang w:val="nl-NL"/>
              </w:rPr>
            </w:pPr>
            <w:r w:rsidRPr="002908A8">
              <w:rPr>
                <w:lang w:val="nl-NL"/>
              </w:rPr>
              <w:t xml:space="preserve">- </w:t>
            </w:r>
            <w:r>
              <w:rPr>
                <w:lang w:val="nl-NL"/>
              </w:rPr>
              <w:t>T</w:t>
            </w:r>
            <w:r w:rsidRPr="002908A8">
              <w:rPr>
                <w:lang w:val="nl-NL"/>
              </w:rPr>
              <w:t>echnische verdere verkenning</w:t>
            </w:r>
          </w:p>
          <w:p w:rsidRPr="002908A8" w:rsidR="005C1BB5" w:rsidP="00417B16" w:rsidRDefault="005C1BB5" w14:paraId="6F904E8F" w14:textId="3B5EFCFC">
            <w:pPr>
              <w:rPr>
                <w:lang w:val="nl-NL"/>
              </w:rPr>
            </w:pPr>
            <w:r>
              <w:rPr>
                <w:lang w:val="nl-NL"/>
              </w:rPr>
              <w:t>- UT Ksa</w:t>
            </w:r>
          </w:p>
          <w:p w:rsidRPr="002908A8" w:rsidR="005C1BB5" w:rsidP="00417B16" w:rsidRDefault="005C1BB5" w14:paraId="59E53DF7" w14:textId="77777777">
            <w:pPr>
              <w:rPr>
                <w:lang w:val="nl-NL"/>
              </w:rPr>
            </w:pPr>
            <w:r w:rsidRPr="002908A8">
              <w:rPr>
                <w:lang w:val="nl-NL"/>
              </w:rPr>
              <w:t>-</w:t>
            </w:r>
            <w:r>
              <w:rPr>
                <w:lang w:val="nl-NL"/>
              </w:rPr>
              <w:t xml:space="preserve"> A</w:t>
            </w:r>
            <w:r w:rsidRPr="002908A8">
              <w:rPr>
                <w:lang w:val="nl-NL"/>
              </w:rPr>
              <w:t>nalyse waar te beleggen</w:t>
            </w:r>
          </w:p>
        </w:tc>
        <w:tc>
          <w:tcPr>
            <w:tcW w:w="1701" w:type="dxa"/>
          </w:tcPr>
          <w:p w:rsidRPr="002908A8" w:rsidR="005C1BB5" w:rsidP="00417B16" w:rsidRDefault="005C1BB5" w14:paraId="4A8714E1" w14:textId="77777777">
            <w:pPr>
              <w:rPr>
                <w:lang w:val="nl-NL"/>
              </w:rPr>
            </w:pPr>
            <w:r w:rsidRPr="002908A8">
              <w:rPr>
                <w:lang w:val="nl-NL"/>
              </w:rPr>
              <w:t>- Onderzoek draagkracht gereed</w:t>
            </w:r>
          </w:p>
          <w:p w:rsidR="005C1BB5" w:rsidP="00417B16" w:rsidRDefault="005C1BB5" w14:paraId="112980A0" w14:textId="77777777">
            <w:pPr>
              <w:rPr>
                <w:lang w:val="nl-NL"/>
              </w:rPr>
            </w:pPr>
            <w:r w:rsidRPr="002908A8">
              <w:rPr>
                <w:lang w:val="nl-NL"/>
              </w:rPr>
              <w:t>- Analyse op welke punten in de Wok de VOS terug moeten komen</w:t>
            </w:r>
          </w:p>
          <w:p w:rsidR="005C1BB5" w:rsidP="00417B16" w:rsidRDefault="005C1BB5" w14:paraId="0038432F" w14:textId="77777777">
            <w:pPr>
              <w:rPr>
                <w:lang w:val="nl-NL"/>
              </w:rPr>
            </w:pPr>
            <w:r w:rsidRPr="002908A8">
              <w:rPr>
                <w:lang w:val="nl-NL"/>
              </w:rPr>
              <w:t xml:space="preserve">- </w:t>
            </w:r>
            <w:r>
              <w:rPr>
                <w:lang w:val="nl-NL"/>
              </w:rPr>
              <w:t>N</w:t>
            </w:r>
            <w:r w:rsidRPr="002908A8">
              <w:rPr>
                <w:lang w:val="nl-NL"/>
              </w:rPr>
              <w:t>adere analyses</w:t>
            </w:r>
          </w:p>
          <w:p w:rsidRPr="002908A8" w:rsidR="005C1BB5" w:rsidP="00417B16" w:rsidRDefault="005C1BB5" w14:paraId="09761960" w14:textId="4186D645">
            <w:pPr>
              <w:rPr>
                <w:lang w:val="nl-NL"/>
              </w:rPr>
            </w:pPr>
            <w:r>
              <w:rPr>
                <w:lang w:val="nl-NL"/>
              </w:rPr>
              <w:t>- Eind 2025 begin MvT en wetteksten</w:t>
            </w:r>
          </w:p>
        </w:tc>
        <w:tc>
          <w:tcPr>
            <w:tcW w:w="1522" w:type="dxa"/>
          </w:tcPr>
          <w:p w:rsidRPr="002908A8" w:rsidR="005C1BB5" w:rsidP="00417B16" w:rsidRDefault="005C1BB5" w14:paraId="12B82D4E" w14:textId="77777777">
            <w:pPr>
              <w:rPr>
                <w:lang w:val="nl-NL"/>
              </w:rPr>
            </w:pPr>
            <w:r>
              <w:rPr>
                <w:lang w:val="nl-NL"/>
              </w:rPr>
              <w:t>MvT, wetteksten en mogelijk lagere regelgeving</w:t>
            </w:r>
          </w:p>
          <w:p w:rsidRPr="002908A8" w:rsidR="005C1BB5" w:rsidP="00417B16" w:rsidRDefault="005C1BB5" w14:paraId="3EAEB862" w14:textId="77777777">
            <w:pPr>
              <w:rPr>
                <w:lang w:val="nl-NL"/>
              </w:rPr>
            </w:pPr>
          </w:p>
        </w:tc>
      </w:tr>
      <w:tr w:rsidRPr="00E83E19" w:rsidR="005C1BB5" w:rsidTr="0034773F" w14:paraId="0665CA23" w14:textId="77777777">
        <w:tc>
          <w:tcPr>
            <w:tcW w:w="534" w:type="dxa"/>
            <w:vMerge/>
          </w:tcPr>
          <w:p w:rsidR="005C1BB5" w:rsidP="00417B16" w:rsidRDefault="005C1BB5" w14:paraId="0599835A" w14:textId="77777777">
            <w:pPr>
              <w:rPr>
                <w:lang w:val="nl-NL"/>
              </w:rPr>
            </w:pPr>
          </w:p>
        </w:tc>
        <w:tc>
          <w:tcPr>
            <w:tcW w:w="2438" w:type="dxa"/>
          </w:tcPr>
          <w:p w:rsidRPr="00E51414" w:rsidR="005C1BB5" w:rsidP="00417B16" w:rsidRDefault="005C1BB5" w14:paraId="6D50C2F9" w14:textId="77777777">
            <w:pPr>
              <w:rPr>
                <w:b/>
                <w:bCs/>
                <w:lang w:val="nl-NL"/>
              </w:rPr>
            </w:pPr>
          </w:p>
        </w:tc>
        <w:tc>
          <w:tcPr>
            <w:tcW w:w="3402" w:type="dxa"/>
          </w:tcPr>
          <w:p w:rsidR="005C1BB5" w:rsidP="00417B16" w:rsidRDefault="005C1BB5" w14:paraId="4E54BBE6" w14:textId="77777777">
            <w:pPr>
              <w:rPr>
                <w:lang w:val="nl-NL"/>
              </w:rPr>
            </w:pPr>
            <w:r>
              <w:rPr>
                <w:lang w:val="nl-NL"/>
              </w:rPr>
              <w:t>Motie Van Nispen</w:t>
            </w:r>
            <w:r>
              <w:rPr>
                <w:rStyle w:val="Voetnootmarkering"/>
                <w:lang w:val="nl-NL"/>
              </w:rPr>
              <w:footnoteReference w:id="9"/>
            </w:r>
            <w:r>
              <w:rPr>
                <w:lang w:val="nl-NL"/>
              </w:rPr>
              <w:t xml:space="preserve">: </w:t>
            </w:r>
          </w:p>
          <w:p w:rsidRPr="000E7BAE" w:rsidR="005C1BB5" w:rsidP="00417B16" w:rsidRDefault="005C1BB5" w14:paraId="23B940B2" w14:textId="77777777">
            <w:pPr>
              <w:rPr>
                <w:lang w:val="nl-NL"/>
              </w:rPr>
            </w:pPr>
            <w:r w:rsidRPr="002908A8">
              <w:rPr>
                <w:lang w:val="nl-NL"/>
              </w:rPr>
              <w:t xml:space="preserve">- </w:t>
            </w:r>
            <w:r w:rsidRPr="000E7BAE">
              <w:rPr>
                <w:lang w:val="nl-NL"/>
              </w:rPr>
              <w:t>Verplichte BKR-toets en verstevigen van de rol van banken</w:t>
            </w:r>
          </w:p>
        </w:tc>
        <w:tc>
          <w:tcPr>
            <w:tcW w:w="3260" w:type="dxa"/>
          </w:tcPr>
          <w:p w:rsidRPr="002908A8" w:rsidR="005C1BB5" w:rsidP="00417B16" w:rsidRDefault="005C1BB5" w14:paraId="14F3B3D9" w14:textId="77777777">
            <w:pPr>
              <w:rPr>
                <w:lang w:val="nl-NL"/>
              </w:rPr>
            </w:pPr>
          </w:p>
        </w:tc>
        <w:tc>
          <w:tcPr>
            <w:tcW w:w="1701" w:type="dxa"/>
          </w:tcPr>
          <w:p w:rsidRPr="000E7BAE" w:rsidR="005C1BB5" w:rsidP="00417B16" w:rsidRDefault="005C1BB5" w14:paraId="644754BC" w14:textId="77777777">
            <w:pPr>
              <w:rPr>
                <w:lang w:val="nl-NL"/>
              </w:rPr>
            </w:pPr>
            <w:r w:rsidRPr="002908A8">
              <w:rPr>
                <w:lang w:val="nl-NL"/>
              </w:rPr>
              <w:t xml:space="preserve">- </w:t>
            </w:r>
            <w:r>
              <w:rPr>
                <w:lang w:val="nl-NL"/>
              </w:rPr>
              <w:t>W</w:t>
            </w:r>
            <w:r w:rsidRPr="000E7BAE">
              <w:rPr>
                <w:lang w:val="nl-NL"/>
              </w:rPr>
              <w:t>ordt meegenomen in draagkracht</w:t>
            </w:r>
            <w:r>
              <w:rPr>
                <w:lang w:val="nl-NL"/>
              </w:rPr>
              <w:t>-</w:t>
            </w:r>
            <w:r w:rsidRPr="000E7BAE">
              <w:rPr>
                <w:lang w:val="nl-NL"/>
              </w:rPr>
              <w:t>onderzoek</w:t>
            </w:r>
          </w:p>
        </w:tc>
        <w:tc>
          <w:tcPr>
            <w:tcW w:w="1701" w:type="dxa"/>
          </w:tcPr>
          <w:p w:rsidRPr="002908A8" w:rsidR="005C1BB5" w:rsidP="00417B16" w:rsidRDefault="005C1BB5" w14:paraId="1F8AA663" w14:textId="77777777">
            <w:pPr>
              <w:rPr>
                <w:lang w:val="nl-NL"/>
              </w:rPr>
            </w:pPr>
          </w:p>
        </w:tc>
        <w:tc>
          <w:tcPr>
            <w:tcW w:w="1522" w:type="dxa"/>
          </w:tcPr>
          <w:p w:rsidRPr="002908A8" w:rsidR="005C1BB5" w:rsidP="00417B16" w:rsidRDefault="005C1BB5" w14:paraId="251DE1A2" w14:textId="77777777">
            <w:pPr>
              <w:rPr>
                <w:lang w:val="nl-NL"/>
              </w:rPr>
            </w:pPr>
          </w:p>
        </w:tc>
      </w:tr>
      <w:tr w:rsidRPr="00E83E19" w:rsidR="005479B4" w:rsidTr="0034773F" w14:paraId="4352C067" w14:textId="77777777">
        <w:tc>
          <w:tcPr>
            <w:tcW w:w="534" w:type="dxa"/>
            <w:vMerge w:val="restart"/>
          </w:tcPr>
          <w:p w:rsidRPr="006E61E6" w:rsidR="005479B4" w:rsidP="00417B16" w:rsidRDefault="00693839" w14:paraId="0A0862BB" w14:textId="4965386F">
            <w:pPr>
              <w:rPr>
                <w:b/>
                <w:bCs/>
                <w:lang w:val="nl-NL"/>
              </w:rPr>
            </w:pPr>
            <w:r>
              <w:rPr>
                <w:b/>
                <w:bCs/>
                <w:lang w:val="nl-NL"/>
              </w:rPr>
              <w:t>7</w:t>
            </w:r>
          </w:p>
        </w:tc>
        <w:tc>
          <w:tcPr>
            <w:tcW w:w="2438" w:type="dxa"/>
            <w:vMerge w:val="restart"/>
          </w:tcPr>
          <w:p w:rsidR="005479B4" w:rsidP="00417B16" w:rsidRDefault="005479B4" w14:paraId="7EC05461" w14:textId="77777777">
            <w:pPr>
              <w:rPr>
                <w:b/>
                <w:bCs/>
                <w:lang w:val="nl-NL"/>
              </w:rPr>
            </w:pPr>
            <w:r w:rsidRPr="002908A8">
              <w:rPr>
                <w:b/>
                <w:bCs/>
                <w:lang w:val="nl-NL"/>
              </w:rPr>
              <w:t>Reclame</w:t>
            </w:r>
          </w:p>
          <w:p w:rsidRPr="00B22608" w:rsidR="005479B4" w:rsidP="00417B16" w:rsidRDefault="005479B4" w14:paraId="59B01CDB" w14:textId="77777777">
            <w:pPr>
              <w:rPr>
                <w:b/>
                <w:bCs/>
                <w:lang w:val="nl-NL"/>
              </w:rPr>
            </w:pPr>
          </w:p>
        </w:tc>
        <w:tc>
          <w:tcPr>
            <w:tcW w:w="3402" w:type="dxa"/>
            <w:vMerge w:val="restart"/>
          </w:tcPr>
          <w:p w:rsidR="005479B4" w:rsidP="00417B16" w:rsidRDefault="005479B4" w14:paraId="544FDFF0" w14:textId="77777777">
            <w:pPr>
              <w:pStyle w:val="broodtekst"/>
            </w:pPr>
            <w:r>
              <w:t xml:space="preserve">Evaluatie: </w:t>
            </w:r>
          </w:p>
          <w:p w:rsidR="005479B4" w:rsidP="005479B4" w:rsidRDefault="005479B4" w14:paraId="174EE6FC" w14:textId="77777777">
            <w:pPr>
              <w:pStyle w:val="broodtekst"/>
              <w:numPr>
                <w:ilvl w:val="0"/>
                <w:numId w:val="1"/>
              </w:numPr>
            </w:pPr>
            <w:r>
              <w:t>Onderzoek effectievere reclameregels om kwetsbaren te beschermen</w:t>
            </w:r>
          </w:p>
          <w:p w:rsidR="005479B4" w:rsidP="00417B16" w:rsidRDefault="005479B4" w14:paraId="4900217F" w14:textId="77777777">
            <w:pPr>
              <w:pStyle w:val="broodtekst"/>
              <w:ind w:left="360"/>
            </w:pPr>
          </w:p>
          <w:p w:rsidR="005479B4" w:rsidP="00417B16" w:rsidRDefault="005479B4" w14:paraId="2511D7B6" w14:textId="77777777">
            <w:pPr>
              <w:pStyle w:val="broodtekst"/>
            </w:pPr>
            <w:r>
              <w:t>Initiatiefnota:</w:t>
            </w:r>
          </w:p>
          <w:p w:rsidR="005479B4" w:rsidP="005479B4" w:rsidRDefault="005479B4" w14:paraId="388D1B0A" w14:textId="77777777">
            <w:pPr>
              <w:pStyle w:val="broodtekst"/>
              <w:numPr>
                <w:ilvl w:val="0"/>
                <w:numId w:val="1"/>
              </w:numPr>
            </w:pPr>
            <w:r>
              <w:t>Verbiedt alle online gokreclames</w:t>
            </w:r>
          </w:p>
          <w:p w:rsidR="005479B4" w:rsidP="00417B16" w:rsidRDefault="005479B4" w14:paraId="185311C5" w14:textId="77777777">
            <w:pPr>
              <w:pStyle w:val="broodtekst"/>
              <w:ind w:left="360"/>
            </w:pPr>
          </w:p>
          <w:p w:rsidR="005479B4" w:rsidP="00417B16" w:rsidRDefault="005479B4" w14:paraId="45DD82D1" w14:textId="77777777">
            <w:pPr>
              <w:pStyle w:val="broodtekst"/>
            </w:pPr>
            <w:r>
              <w:t>Initiatiefwetsvoorstel</w:t>
            </w:r>
            <w:r w:rsidDel="0016567C">
              <w:t xml:space="preserve"> </w:t>
            </w:r>
            <w:r>
              <w:t>:</w:t>
            </w:r>
          </w:p>
          <w:p w:rsidRPr="002908A8" w:rsidR="005479B4" w:rsidP="005479B4" w:rsidRDefault="005479B4" w14:paraId="5DF05401" w14:textId="77777777">
            <w:pPr>
              <w:pStyle w:val="broodtekst"/>
              <w:numPr>
                <w:ilvl w:val="0"/>
                <w:numId w:val="1"/>
              </w:numPr>
            </w:pPr>
            <w:r>
              <w:t>Verbiedt gokreclames met een kleine tenzij</w:t>
            </w:r>
          </w:p>
        </w:tc>
        <w:tc>
          <w:tcPr>
            <w:tcW w:w="3260" w:type="dxa"/>
          </w:tcPr>
          <w:p w:rsidRPr="005545FF" w:rsidR="005479B4" w:rsidP="005545FF" w:rsidRDefault="005479B4" w14:paraId="3CC21FAE" w14:textId="2863641A">
            <w:pPr>
              <w:rPr>
                <w:lang w:val="nl-NL"/>
              </w:rPr>
            </w:pPr>
            <w:r w:rsidRPr="00996150">
              <w:rPr>
                <w:lang w:val="nl-NL"/>
              </w:rPr>
              <w:t>Effecten van de huidige reclameregels moeten nog in kaart worden gebracht</w:t>
            </w:r>
            <w:r w:rsidR="005545FF">
              <w:rPr>
                <w:lang w:val="nl-NL"/>
              </w:rPr>
              <w:t>. De volgende aspecten worden meegenomen in wetswijzigingen:</w:t>
            </w:r>
          </w:p>
          <w:p w:rsidRPr="003A4161" w:rsidR="005545FF" w:rsidP="005545FF" w:rsidRDefault="005545FF" w14:paraId="7FFE1A49" w14:textId="30C370E7">
            <w:pPr>
              <w:pStyle w:val="Lijstalinea"/>
              <w:numPr>
                <w:ilvl w:val="0"/>
                <w:numId w:val="1"/>
              </w:numPr>
              <w:rPr>
                <w:lang w:val="nl-NL"/>
              </w:rPr>
            </w:pPr>
            <w:r w:rsidRPr="003A4161">
              <w:rPr>
                <w:lang w:val="nl-NL"/>
              </w:rPr>
              <w:t>Verbod</w:t>
            </w:r>
            <w:r>
              <w:rPr>
                <w:lang w:val="nl-NL"/>
              </w:rPr>
              <w:t xml:space="preserve"> online reclame</w:t>
            </w:r>
          </w:p>
          <w:p w:rsidRPr="003A4161" w:rsidR="005545FF" w:rsidP="005545FF" w:rsidRDefault="005545FF" w14:paraId="524362CC" w14:textId="77777777">
            <w:pPr>
              <w:pStyle w:val="Lijstalinea"/>
              <w:numPr>
                <w:ilvl w:val="0"/>
                <w:numId w:val="1"/>
              </w:numPr>
              <w:rPr>
                <w:lang w:val="nl-NL"/>
              </w:rPr>
            </w:pPr>
            <w:r w:rsidRPr="003A4161">
              <w:rPr>
                <w:lang w:val="nl-NL"/>
              </w:rPr>
              <w:t>Andere waarschuwende tekst voor loterijen</w:t>
            </w:r>
          </w:p>
          <w:p w:rsidRPr="003A4161" w:rsidR="005545FF" w:rsidP="005545FF" w:rsidRDefault="005545FF" w14:paraId="7E3204BF" w14:textId="77777777">
            <w:pPr>
              <w:pStyle w:val="Lijstalinea"/>
              <w:numPr>
                <w:ilvl w:val="0"/>
                <w:numId w:val="1"/>
              </w:numPr>
              <w:rPr>
                <w:lang w:val="nl-NL"/>
              </w:rPr>
            </w:pPr>
            <w:r w:rsidRPr="003A4161">
              <w:rPr>
                <w:lang w:val="nl-NL"/>
              </w:rPr>
              <w:t>Bonussen beperken</w:t>
            </w:r>
          </w:p>
          <w:p w:rsidRPr="00B22608" w:rsidR="005545FF" w:rsidP="005545FF" w:rsidRDefault="005545FF" w14:paraId="5FED0F04" w14:textId="77777777">
            <w:pPr>
              <w:pStyle w:val="Lijstalinea"/>
              <w:numPr>
                <w:ilvl w:val="0"/>
                <w:numId w:val="1"/>
              </w:numPr>
              <w:rPr>
                <w:b/>
                <w:bCs/>
                <w:lang w:val="nl-NL"/>
              </w:rPr>
            </w:pPr>
            <w:r>
              <w:rPr>
                <w:lang w:val="nl-NL"/>
              </w:rPr>
              <w:t>P</w:t>
            </w:r>
            <w:r w:rsidRPr="003A4161">
              <w:rPr>
                <w:lang w:val="nl-NL"/>
              </w:rPr>
              <w:t>romotionele kansspelen beperken</w:t>
            </w:r>
          </w:p>
          <w:p w:rsidRPr="002908A8" w:rsidR="005545FF" w:rsidP="00417B16" w:rsidRDefault="005545FF" w14:paraId="699E7BBE" w14:textId="77777777">
            <w:pPr>
              <w:pStyle w:val="broodtekst"/>
            </w:pPr>
          </w:p>
          <w:p w:rsidRPr="002908A8" w:rsidR="005479B4" w:rsidP="00417B16" w:rsidRDefault="005479B4" w14:paraId="7E46185F" w14:textId="77777777">
            <w:pPr>
              <w:pStyle w:val="broodtekst"/>
            </w:pPr>
          </w:p>
        </w:tc>
        <w:tc>
          <w:tcPr>
            <w:tcW w:w="1701" w:type="dxa"/>
          </w:tcPr>
          <w:p w:rsidRPr="002908A8" w:rsidR="005479B4" w:rsidP="00417B16" w:rsidRDefault="005479B4" w14:paraId="6221DD42" w14:textId="77777777">
            <w:pPr>
              <w:rPr>
                <w:lang w:val="nl-NL"/>
              </w:rPr>
            </w:pPr>
            <w:r w:rsidRPr="002908A8">
              <w:rPr>
                <w:lang w:val="nl-NL"/>
              </w:rPr>
              <w:t>- Onderzoek effecten reclame</w:t>
            </w:r>
          </w:p>
          <w:p w:rsidR="005479B4" w:rsidP="00417B16" w:rsidRDefault="005479B4" w14:paraId="48322AC8" w14:textId="3FF5FBCE">
            <w:pPr>
              <w:rPr>
                <w:lang w:val="nl-NL"/>
              </w:rPr>
            </w:pPr>
            <w:r w:rsidRPr="002908A8">
              <w:rPr>
                <w:lang w:val="nl-NL"/>
              </w:rPr>
              <w:t>- Analyses rond wijzigen normadressaat voor reclame</w:t>
            </w:r>
          </w:p>
          <w:p w:rsidRPr="002908A8" w:rsidR="005479B4" w:rsidP="00417B16" w:rsidRDefault="005479B4" w14:paraId="47A01385" w14:textId="77777777">
            <w:pPr>
              <w:rPr>
                <w:lang w:val="nl-NL"/>
              </w:rPr>
            </w:pPr>
            <w:r w:rsidRPr="002908A8">
              <w:rPr>
                <w:lang w:val="nl-NL"/>
              </w:rPr>
              <w:t>- Doorlopen beleidskompas</w:t>
            </w:r>
          </w:p>
          <w:p w:rsidRPr="002908A8" w:rsidR="005479B4" w:rsidP="00417B16" w:rsidRDefault="005479B4" w14:paraId="6319BF7D" w14:textId="77777777">
            <w:pPr>
              <w:rPr>
                <w:lang w:val="nl-NL"/>
              </w:rPr>
            </w:pPr>
          </w:p>
        </w:tc>
        <w:tc>
          <w:tcPr>
            <w:tcW w:w="1701" w:type="dxa"/>
          </w:tcPr>
          <w:p w:rsidR="005479B4" w:rsidP="00417B16" w:rsidRDefault="005479B4" w14:paraId="6DD40702" w14:textId="77777777">
            <w:pPr>
              <w:rPr>
                <w:lang w:val="nl-NL"/>
              </w:rPr>
            </w:pPr>
            <w:r>
              <w:rPr>
                <w:lang w:val="nl-NL"/>
              </w:rPr>
              <w:t xml:space="preserve">- </w:t>
            </w:r>
            <w:r w:rsidRPr="002908A8">
              <w:rPr>
                <w:lang w:val="nl-NL"/>
              </w:rPr>
              <w:t>Afronding onderzoek</w:t>
            </w:r>
            <w:r>
              <w:rPr>
                <w:lang w:val="nl-NL"/>
              </w:rPr>
              <w:t xml:space="preserve"> in Q3</w:t>
            </w:r>
          </w:p>
          <w:p w:rsidRPr="002908A8" w:rsidR="005479B4" w:rsidP="00417B16" w:rsidRDefault="005479B4" w14:paraId="7A1DC771" w14:textId="653EA7E0">
            <w:pPr>
              <w:rPr>
                <w:lang w:val="nl-NL"/>
              </w:rPr>
            </w:pPr>
            <w:r>
              <w:rPr>
                <w:lang w:val="nl-NL"/>
              </w:rPr>
              <w:t xml:space="preserve">- Eind 2025 begin </w:t>
            </w:r>
            <w:r w:rsidR="00056627">
              <w:rPr>
                <w:lang w:val="nl-NL"/>
              </w:rPr>
              <w:t xml:space="preserve">MvT en </w:t>
            </w:r>
            <w:r>
              <w:rPr>
                <w:lang w:val="nl-NL"/>
              </w:rPr>
              <w:t>wetteksten</w:t>
            </w:r>
          </w:p>
        </w:tc>
        <w:tc>
          <w:tcPr>
            <w:tcW w:w="1522" w:type="dxa"/>
          </w:tcPr>
          <w:p w:rsidRPr="002908A8" w:rsidR="005479B4" w:rsidP="00417B16" w:rsidRDefault="005479B4" w14:paraId="637933A8" w14:textId="77777777">
            <w:pPr>
              <w:rPr>
                <w:lang w:val="nl-NL"/>
              </w:rPr>
            </w:pPr>
            <w:r>
              <w:rPr>
                <w:lang w:val="nl-NL"/>
              </w:rPr>
              <w:t>MvT, wetteksten en mogelijk lagere regelgeving</w:t>
            </w:r>
          </w:p>
          <w:p w:rsidRPr="002908A8" w:rsidR="005479B4" w:rsidP="00417B16" w:rsidRDefault="005479B4" w14:paraId="3BBFACBE" w14:textId="77777777">
            <w:pPr>
              <w:rPr>
                <w:lang w:val="nl-NL"/>
              </w:rPr>
            </w:pPr>
          </w:p>
        </w:tc>
      </w:tr>
      <w:tr w:rsidRPr="00E83E19" w:rsidR="005479B4" w:rsidTr="0034773F" w14:paraId="7BFF3A21" w14:textId="77777777">
        <w:tc>
          <w:tcPr>
            <w:tcW w:w="534" w:type="dxa"/>
            <w:vMerge/>
          </w:tcPr>
          <w:p w:rsidRPr="002908A8" w:rsidR="005479B4" w:rsidP="00417B16" w:rsidRDefault="005479B4" w14:paraId="58ABFEEA" w14:textId="77777777">
            <w:pPr>
              <w:rPr>
                <w:lang w:val="nl-NL"/>
              </w:rPr>
            </w:pPr>
          </w:p>
        </w:tc>
        <w:tc>
          <w:tcPr>
            <w:tcW w:w="2438" w:type="dxa"/>
            <w:vMerge/>
          </w:tcPr>
          <w:p w:rsidRPr="002908A8" w:rsidR="005479B4" w:rsidP="00417B16" w:rsidRDefault="005479B4" w14:paraId="595F4C7F" w14:textId="77777777">
            <w:pPr>
              <w:rPr>
                <w:lang w:val="nl-NL"/>
              </w:rPr>
            </w:pPr>
          </w:p>
        </w:tc>
        <w:tc>
          <w:tcPr>
            <w:tcW w:w="3402" w:type="dxa"/>
            <w:vMerge/>
          </w:tcPr>
          <w:p w:rsidRPr="002908A8" w:rsidR="005479B4" w:rsidP="00417B16" w:rsidRDefault="005479B4" w14:paraId="380676C9" w14:textId="77777777">
            <w:pPr>
              <w:pStyle w:val="broodtekst"/>
            </w:pPr>
          </w:p>
        </w:tc>
        <w:tc>
          <w:tcPr>
            <w:tcW w:w="3260" w:type="dxa"/>
          </w:tcPr>
          <w:p w:rsidRPr="002908A8" w:rsidR="005479B4" w:rsidP="00417B16" w:rsidRDefault="0034773F" w14:paraId="6B07BDE8" w14:textId="305EB778">
            <w:pPr>
              <w:pStyle w:val="broodtekst"/>
            </w:pPr>
            <w:r>
              <w:t>Inrichting van</w:t>
            </w:r>
            <w:r w:rsidRPr="002908A8" w:rsidR="005479B4">
              <w:t xml:space="preserve"> </w:t>
            </w:r>
            <w:r>
              <w:t xml:space="preserve">een </w:t>
            </w:r>
            <w:r w:rsidRPr="002908A8" w:rsidR="005479B4">
              <w:t xml:space="preserve">totaalverbod </w:t>
            </w:r>
            <w:r>
              <w:t xml:space="preserve">van reclame voor </w:t>
            </w:r>
            <w:r w:rsidRPr="002908A8" w:rsidR="005479B4">
              <w:t xml:space="preserve">online </w:t>
            </w:r>
            <w:r>
              <w:t xml:space="preserve">kansspelen </w:t>
            </w:r>
            <w:r w:rsidRPr="002908A8" w:rsidR="005479B4">
              <w:t xml:space="preserve">met </w:t>
            </w:r>
            <w:r>
              <w:t xml:space="preserve">een </w:t>
            </w:r>
            <w:r w:rsidRPr="002908A8" w:rsidR="005479B4">
              <w:t>uitzonderingsclausule</w:t>
            </w:r>
            <w:r>
              <w:t xml:space="preserve"> voor beperkte reclame in een omgeving waar mensen gericht op zoek zijn naar kansspelen om het legale aanbod van het illegale aanbod te kunnen onderscheiden.</w:t>
            </w:r>
            <w:r w:rsidRPr="002908A8" w:rsidR="005479B4">
              <w:t xml:space="preserve"> </w:t>
            </w:r>
          </w:p>
        </w:tc>
        <w:tc>
          <w:tcPr>
            <w:tcW w:w="1701" w:type="dxa"/>
          </w:tcPr>
          <w:p w:rsidR="005479B4" w:rsidP="00417B16" w:rsidRDefault="005479B4" w14:paraId="230D52A9" w14:textId="77777777">
            <w:pPr>
              <w:rPr>
                <w:lang w:val="nl-NL"/>
              </w:rPr>
            </w:pPr>
            <w:r w:rsidRPr="002908A8">
              <w:rPr>
                <w:lang w:val="nl-NL"/>
              </w:rPr>
              <w:t>- Begin analyses opties voor verbod en reikwijdte verbod</w:t>
            </w:r>
            <w:r w:rsidRPr="00D84578">
              <w:rPr>
                <w:lang w:val="nl-NL"/>
              </w:rPr>
              <w:t xml:space="preserve"> (Q2)</w:t>
            </w:r>
          </w:p>
          <w:p w:rsidRPr="002908A8" w:rsidR="005479B4" w:rsidP="00417B16" w:rsidRDefault="005479B4" w14:paraId="2A42DA40" w14:textId="73281E28">
            <w:pPr>
              <w:rPr>
                <w:lang w:val="nl-NL"/>
              </w:rPr>
            </w:pPr>
          </w:p>
        </w:tc>
        <w:tc>
          <w:tcPr>
            <w:tcW w:w="1701" w:type="dxa"/>
          </w:tcPr>
          <w:p w:rsidR="003D0265" w:rsidP="00417B16" w:rsidRDefault="003D0265" w14:paraId="2B7A684A" w14:textId="11FFAB2A">
            <w:pPr>
              <w:rPr>
                <w:lang w:val="nl-NL"/>
              </w:rPr>
            </w:pPr>
            <w:r w:rsidRPr="002908A8">
              <w:rPr>
                <w:lang w:val="nl-NL"/>
              </w:rPr>
              <w:t xml:space="preserve">- </w:t>
            </w:r>
            <w:r>
              <w:rPr>
                <w:lang w:val="nl-NL"/>
              </w:rPr>
              <w:t>E</w:t>
            </w:r>
            <w:r w:rsidRPr="002908A8">
              <w:rPr>
                <w:lang w:val="nl-NL"/>
              </w:rPr>
              <w:t>ind Q</w:t>
            </w:r>
            <w:r>
              <w:rPr>
                <w:lang w:val="nl-NL"/>
              </w:rPr>
              <w:t>3</w:t>
            </w:r>
            <w:r w:rsidRPr="002908A8">
              <w:rPr>
                <w:lang w:val="nl-NL"/>
              </w:rPr>
              <w:t xml:space="preserve"> onderzoek gereed</w:t>
            </w:r>
          </w:p>
          <w:p w:rsidR="005479B4" w:rsidP="00417B16" w:rsidRDefault="005479B4" w14:paraId="61BB8052" w14:textId="6519D7D8">
            <w:pPr>
              <w:rPr>
                <w:lang w:val="nl-NL"/>
              </w:rPr>
            </w:pPr>
            <w:r w:rsidRPr="002908A8">
              <w:rPr>
                <w:lang w:val="nl-NL"/>
              </w:rPr>
              <w:t>- Begin schrijven MvT</w:t>
            </w:r>
          </w:p>
          <w:p w:rsidRPr="002908A8" w:rsidR="005479B4" w:rsidP="00417B16" w:rsidRDefault="005479B4" w14:paraId="7136B708" w14:textId="77777777">
            <w:pPr>
              <w:rPr>
                <w:lang w:val="nl-NL"/>
              </w:rPr>
            </w:pPr>
            <w:r>
              <w:rPr>
                <w:lang w:val="nl-NL"/>
              </w:rPr>
              <w:t>- Eind 2025 begin wetteksten</w:t>
            </w:r>
          </w:p>
          <w:p w:rsidRPr="002908A8" w:rsidR="005479B4" w:rsidP="00417B16" w:rsidRDefault="005479B4" w14:paraId="5B18A7AA" w14:textId="77777777">
            <w:pPr>
              <w:rPr>
                <w:lang w:val="nl-NL"/>
              </w:rPr>
            </w:pPr>
          </w:p>
        </w:tc>
        <w:tc>
          <w:tcPr>
            <w:tcW w:w="1522" w:type="dxa"/>
          </w:tcPr>
          <w:p w:rsidRPr="002908A8" w:rsidR="005479B4" w:rsidP="00417B16" w:rsidRDefault="005479B4" w14:paraId="5BE5050A" w14:textId="77777777">
            <w:pPr>
              <w:rPr>
                <w:lang w:val="nl-NL"/>
              </w:rPr>
            </w:pPr>
            <w:r>
              <w:rPr>
                <w:lang w:val="nl-NL"/>
              </w:rPr>
              <w:t>MvT, wetteksten en mogelijk lagere regelgeving</w:t>
            </w:r>
          </w:p>
        </w:tc>
      </w:tr>
      <w:tr w:rsidRPr="00E83E19" w:rsidR="005479B4" w:rsidTr="0034773F" w14:paraId="6D63B477" w14:textId="77777777">
        <w:tc>
          <w:tcPr>
            <w:tcW w:w="534" w:type="dxa"/>
            <w:vMerge/>
          </w:tcPr>
          <w:p w:rsidRPr="002908A8" w:rsidR="005479B4" w:rsidP="00417B16" w:rsidRDefault="005479B4" w14:paraId="0965FA9A" w14:textId="77777777">
            <w:pPr>
              <w:rPr>
                <w:lang w:val="nl-NL"/>
              </w:rPr>
            </w:pPr>
          </w:p>
        </w:tc>
        <w:tc>
          <w:tcPr>
            <w:tcW w:w="2438" w:type="dxa"/>
            <w:vMerge/>
          </w:tcPr>
          <w:p w:rsidRPr="002908A8" w:rsidR="005479B4" w:rsidP="00417B16" w:rsidRDefault="005479B4" w14:paraId="284BAE1A" w14:textId="77777777">
            <w:pPr>
              <w:rPr>
                <w:lang w:val="nl-NL"/>
              </w:rPr>
            </w:pPr>
          </w:p>
        </w:tc>
        <w:tc>
          <w:tcPr>
            <w:tcW w:w="3402" w:type="dxa"/>
          </w:tcPr>
          <w:p w:rsidR="005479B4" w:rsidP="00417B16" w:rsidRDefault="005479B4" w14:paraId="7A62F236" w14:textId="77777777">
            <w:pPr>
              <w:pStyle w:val="broodtekst"/>
            </w:pPr>
            <w:r>
              <w:t>Motie Heerema</w:t>
            </w:r>
            <w:r>
              <w:rPr>
                <w:rStyle w:val="Voetnootmarkering"/>
              </w:rPr>
              <w:footnoteReference w:id="10"/>
            </w:r>
            <w:r>
              <w:t>:</w:t>
            </w:r>
          </w:p>
          <w:p w:rsidRPr="002908A8" w:rsidR="005479B4" w:rsidP="00417B16" w:rsidRDefault="005479B4" w14:paraId="40F2E87E" w14:textId="77777777">
            <w:pPr>
              <w:pStyle w:val="broodtekst"/>
            </w:pPr>
            <w:r>
              <w:t>- Onderscheid in waarschuwende tekst tussen risicovolle en risicoarme kansspelen</w:t>
            </w:r>
          </w:p>
        </w:tc>
        <w:tc>
          <w:tcPr>
            <w:tcW w:w="3260" w:type="dxa"/>
          </w:tcPr>
          <w:p w:rsidRPr="002908A8" w:rsidR="005479B4" w:rsidP="00417B16" w:rsidRDefault="005479B4" w14:paraId="19B21596" w14:textId="5A46D4F7">
            <w:pPr>
              <w:pStyle w:val="broodtekst"/>
            </w:pPr>
            <w:r>
              <w:t>Dit r</w:t>
            </w:r>
            <w:r w:rsidRPr="002908A8">
              <w:t>aakt ook aan onderscheid maken in risicovolle en minder risicovolle kansspelen</w:t>
            </w:r>
            <w:r>
              <w:t>. G</w:t>
            </w:r>
            <w:r w:rsidRPr="002908A8">
              <w:t xml:space="preserve">aat </w:t>
            </w:r>
            <w:r w:rsidR="0034773F">
              <w:t>daarnaast</w:t>
            </w:r>
            <w:r w:rsidRPr="002908A8">
              <w:t xml:space="preserve"> om </w:t>
            </w:r>
            <w:r w:rsidR="0034773F">
              <w:t xml:space="preserve">het </w:t>
            </w:r>
            <w:r w:rsidRPr="002908A8">
              <w:t xml:space="preserve">vaststellen </w:t>
            </w:r>
            <w:r w:rsidR="0034773F">
              <w:t xml:space="preserve">van een </w:t>
            </w:r>
            <w:r w:rsidRPr="002908A8">
              <w:t>proces voor</w:t>
            </w:r>
            <w:r w:rsidR="0034773F">
              <w:t xml:space="preserve"> de totstandkoming en vaststelling van de</w:t>
            </w:r>
            <w:r w:rsidRPr="002908A8">
              <w:t xml:space="preserve"> inhoud </w:t>
            </w:r>
            <w:r w:rsidR="0034773F">
              <w:t xml:space="preserve">van de </w:t>
            </w:r>
            <w:r w:rsidRPr="002908A8">
              <w:t>waarschuwende teks</w:t>
            </w:r>
            <w:r w:rsidR="0034773F">
              <w:t>t.</w:t>
            </w:r>
          </w:p>
        </w:tc>
        <w:tc>
          <w:tcPr>
            <w:tcW w:w="1701" w:type="dxa"/>
          </w:tcPr>
          <w:p w:rsidRPr="002908A8" w:rsidR="005479B4" w:rsidP="00417B16" w:rsidRDefault="005479B4" w14:paraId="5FF2DA0E" w14:textId="77777777">
            <w:pPr>
              <w:rPr>
                <w:lang w:val="nl-NL"/>
              </w:rPr>
            </w:pPr>
            <w:r w:rsidRPr="002908A8">
              <w:rPr>
                <w:lang w:val="nl-NL"/>
              </w:rPr>
              <w:t>-</w:t>
            </w:r>
            <w:r>
              <w:rPr>
                <w:lang w:val="nl-NL"/>
              </w:rPr>
              <w:t xml:space="preserve"> </w:t>
            </w:r>
            <w:r w:rsidRPr="002908A8">
              <w:rPr>
                <w:lang w:val="nl-NL"/>
              </w:rPr>
              <w:t>Beleids</w:t>
            </w:r>
            <w:r>
              <w:rPr>
                <w:lang w:val="nl-NL"/>
              </w:rPr>
              <w:t>-</w:t>
            </w:r>
            <w:r w:rsidRPr="002908A8">
              <w:rPr>
                <w:lang w:val="nl-NL"/>
              </w:rPr>
              <w:t>kompas updaten</w:t>
            </w:r>
          </w:p>
          <w:p w:rsidR="005479B4" w:rsidP="00417B16" w:rsidRDefault="005479B4" w14:paraId="02A43EA1" w14:textId="77777777">
            <w:pPr>
              <w:rPr>
                <w:lang w:val="nl-NL"/>
              </w:rPr>
            </w:pPr>
            <w:r w:rsidRPr="002908A8">
              <w:rPr>
                <w:lang w:val="nl-NL"/>
              </w:rPr>
              <w:t xml:space="preserve">- </w:t>
            </w:r>
            <w:r>
              <w:rPr>
                <w:lang w:val="nl-NL"/>
              </w:rPr>
              <w:t>C</w:t>
            </w:r>
            <w:r w:rsidRPr="002908A8">
              <w:rPr>
                <w:lang w:val="nl-NL"/>
              </w:rPr>
              <w:t>oncept wettekst updaten</w:t>
            </w:r>
          </w:p>
          <w:p w:rsidRPr="002908A8" w:rsidR="005479B4" w:rsidP="00417B16" w:rsidRDefault="005479B4" w14:paraId="0447B6EC" w14:textId="29328636">
            <w:pPr>
              <w:rPr>
                <w:lang w:val="nl-NL"/>
              </w:rPr>
            </w:pPr>
          </w:p>
        </w:tc>
        <w:tc>
          <w:tcPr>
            <w:tcW w:w="1701" w:type="dxa"/>
          </w:tcPr>
          <w:p w:rsidRPr="002908A8" w:rsidR="005479B4" w:rsidP="00417B16" w:rsidRDefault="005479B4" w14:paraId="4E413BA6" w14:textId="77777777">
            <w:pPr>
              <w:rPr>
                <w:lang w:val="nl-NL"/>
              </w:rPr>
            </w:pPr>
            <w:r w:rsidRPr="002908A8">
              <w:rPr>
                <w:lang w:val="nl-NL"/>
              </w:rPr>
              <w:t>- Schrijven MvT</w:t>
            </w:r>
          </w:p>
          <w:p w:rsidR="005479B4" w:rsidP="00417B16" w:rsidRDefault="005479B4" w14:paraId="379A26D2" w14:textId="77777777">
            <w:pPr>
              <w:rPr>
                <w:lang w:val="nl-NL"/>
              </w:rPr>
            </w:pPr>
            <w:r w:rsidRPr="002908A8">
              <w:rPr>
                <w:lang w:val="nl-NL"/>
              </w:rPr>
              <w:t>UT Ks</w:t>
            </w:r>
            <w:r>
              <w:rPr>
                <w:lang w:val="nl-NL"/>
              </w:rPr>
              <w:t>a</w:t>
            </w:r>
          </w:p>
          <w:p w:rsidR="003D0265" w:rsidP="00417B16" w:rsidRDefault="003D0265" w14:paraId="29562880" w14:textId="695C8F5D">
            <w:pPr>
              <w:rPr>
                <w:lang w:val="nl-NL"/>
              </w:rPr>
            </w:pPr>
            <w:r w:rsidRPr="002908A8">
              <w:rPr>
                <w:lang w:val="nl-NL"/>
              </w:rPr>
              <w:t>- Eind Q</w:t>
            </w:r>
            <w:r>
              <w:rPr>
                <w:lang w:val="nl-NL"/>
              </w:rPr>
              <w:t>3</w:t>
            </w:r>
            <w:r w:rsidRPr="002908A8">
              <w:rPr>
                <w:lang w:val="nl-NL"/>
              </w:rPr>
              <w:t xml:space="preserve"> onderzoek gereed</w:t>
            </w:r>
          </w:p>
          <w:p w:rsidRPr="0052060F" w:rsidR="005479B4" w:rsidP="00417B16" w:rsidRDefault="005479B4" w14:paraId="2FD02620" w14:textId="77777777">
            <w:pPr>
              <w:rPr>
                <w:lang w:val="nl-NL"/>
              </w:rPr>
            </w:pPr>
            <w:r w:rsidRPr="002908A8">
              <w:rPr>
                <w:lang w:val="nl-NL"/>
              </w:rPr>
              <w:t xml:space="preserve">- </w:t>
            </w:r>
            <w:r w:rsidRPr="0052060F">
              <w:rPr>
                <w:lang w:val="nl-NL"/>
              </w:rPr>
              <w:t>Eind 2025 begin wetteksten</w:t>
            </w:r>
          </w:p>
          <w:p w:rsidRPr="000C3ED7" w:rsidR="005479B4" w:rsidP="00417B16" w:rsidRDefault="005479B4" w14:paraId="5F535950" w14:textId="77777777">
            <w:pPr>
              <w:tabs>
                <w:tab w:val="left" w:pos="871"/>
              </w:tabs>
              <w:rPr>
                <w:lang w:val="nl-NL"/>
              </w:rPr>
            </w:pPr>
          </w:p>
        </w:tc>
        <w:tc>
          <w:tcPr>
            <w:tcW w:w="1522" w:type="dxa"/>
          </w:tcPr>
          <w:p w:rsidRPr="002908A8" w:rsidR="005479B4" w:rsidP="00417B16" w:rsidRDefault="005479B4" w14:paraId="1B963B0A" w14:textId="77777777">
            <w:pPr>
              <w:rPr>
                <w:lang w:val="nl-NL"/>
              </w:rPr>
            </w:pPr>
            <w:r>
              <w:rPr>
                <w:lang w:val="nl-NL"/>
              </w:rPr>
              <w:t>MvT, wetteksten en mogelijk lagere regelgeving</w:t>
            </w:r>
          </w:p>
        </w:tc>
      </w:tr>
      <w:tr w:rsidRPr="002908A8" w:rsidR="005479B4" w:rsidTr="0034773F" w14:paraId="4DB126EA" w14:textId="77777777">
        <w:tc>
          <w:tcPr>
            <w:tcW w:w="534" w:type="dxa"/>
            <w:vMerge/>
          </w:tcPr>
          <w:p w:rsidRPr="002908A8" w:rsidR="005479B4" w:rsidP="00417B16" w:rsidRDefault="005479B4" w14:paraId="250F1E29" w14:textId="77777777">
            <w:pPr>
              <w:rPr>
                <w:lang w:val="nl-NL"/>
              </w:rPr>
            </w:pPr>
          </w:p>
        </w:tc>
        <w:tc>
          <w:tcPr>
            <w:tcW w:w="2438" w:type="dxa"/>
            <w:vMerge/>
          </w:tcPr>
          <w:p w:rsidRPr="002908A8" w:rsidR="005479B4" w:rsidP="00417B16" w:rsidRDefault="005479B4" w14:paraId="5004D825" w14:textId="77777777">
            <w:pPr>
              <w:rPr>
                <w:lang w:val="nl-NL"/>
              </w:rPr>
            </w:pPr>
          </w:p>
        </w:tc>
        <w:tc>
          <w:tcPr>
            <w:tcW w:w="3402" w:type="dxa"/>
          </w:tcPr>
          <w:p w:rsidRPr="002908A8" w:rsidR="005479B4" w:rsidP="00417B16" w:rsidRDefault="005479B4" w14:paraId="64E4E7B2" w14:textId="77777777">
            <w:pPr>
              <w:pStyle w:val="broodtekst"/>
            </w:pPr>
          </w:p>
        </w:tc>
        <w:tc>
          <w:tcPr>
            <w:tcW w:w="3260" w:type="dxa"/>
          </w:tcPr>
          <w:p w:rsidRPr="002908A8" w:rsidR="005479B4" w:rsidP="00417B16" w:rsidRDefault="0034773F" w14:paraId="3C9972DA" w14:textId="4882DF09">
            <w:pPr>
              <w:pStyle w:val="broodtekst"/>
            </w:pPr>
            <w:r>
              <w:t>Aanpassing van de g</w:t>
            </w:r>
            <w:r w:rsidRPr="002908A8" w:rsidR="005479B4">
              <w:t>edragscode</w:t>
            </w:r>
            <w:r w:rsidR="005479B4">
              <w:t xml:space="preserve"> voor promotionele kansspelen</w:t>
            </w:r>
            <w:r>
              <w:t>. Het g</w:t>
            </w:r>
            <w:r w:rsidRPr="002908A8" w:rsidR="005479B4">
              <w:t xml:space="preserve">aat om </w:t>
            </w:r>
            <w:r>
              <w:t xml:space="preserve">een </w:t>
            </w:r>
            <w:r w:rsidRPr="002908A8" w:rsidR="005479B4">
              <w:t>overwegend verbod op promo</w:t>
            </w:r>
            <w:r>
              <w:t>ties van kansspelen door</w:t>
            </w:r>
            <w:r w:rsidRPr="002908A8" w:rsidR="005479B4">
              <w:t xml:space="preserve"> </w:t>
            </w:r>
            <w:r>
              <w:t xml:space="preserve">andere </w:t>
            </w:r>
            <w:r w:rsidRPr="002908A8" w:rsidR="005479B4">
              <w:t>kansspel</w:t>
            </w:r>
            <w:r>
              <w:t>producten aan te bieden.</w:t>
            </w:r>
            <w:r w:rsidRPr="002908A8" w:rsidR="005479B4">
              <w:t xml:space="preserve"> </w:t>
            </w:r>
          </w:p>
        </w:tc>
        <w:tc>
          <w:tcPr>
            <w:tcW w:w="1701" w:type="dxa"/>
          </w:tcPr>
          <w:p w:rsidRPr="002908A8" w:rsidR="005479B4" w:rsidP="00417B16" w:rsidRDefault="005479B4" w14:paraId="65D7F135" w14:textId="77777777">
            <w:pPr>
              <w:rPr>
                <w:lang w:val="nl-NL"/>
              </w:rPr>
            </w:pPr>
            <w:r w:rsidRPr="002908A8">
              <w:rPr>
                <w:lang w:val="nl-NL"/>
              </w:rPr>
              <w:t>- Beleids</w:t>
            </w:r>
            <w:r>
              <w:rPr>
                <w:lang w:val="nl-NL"/>
              </w:rPr>
              <w:t>-</w:t>
            </w:r>
            <w:r w:rsidRPr="002908A8">
              <w:rPr>
                <w:lang w:val="nl-NL"/>
              </w:rPr>
              <w:t>kompas</w:t>
            </w:r>
          </w:p>
          <w:p w:rsidRPr="002908A8" w:rsidR="005479B4" w:rsidP="00417B16" w:rsidRDefault="005479B4" w14:paraId="284D5A31" w14:textId="77777777">
            <w:pPr>
              <w:rPr>
                <w:lang w:val="nl-NL"/>
              </w:rPr>
            </w:pPr>
            <w:r>
              <w:rPr>
                <w:lang w:val="nl-NL"/>
              </w:rPr>
              <w:t>u</w:t>
            </w:r>
            <w:r w:rsidRPr="002908A8">
              <w:rPr>
                <w:lang w:val="nl-NL"/>
              </w:rPr>
              <w:t>pdaten</w:t>
            </w:r>
          </w:p>
          <w:p w:rsidRPr="002908A8" w:rsidR="005479B4" w:rsidP="00417B16" w:rsidRDefault="005479B4" w14:paraId="3A89DEC5" w14:textId="77777777">
            <w:pPr>
              <w:rPr>
                <w:lang w:val="nl-NL"/>
              </w:rPr>
            </w:pPr>
            <w:r w:rsidRPr="002908A8">
              <w:rPr>
                <w:lang w:val="nl-NL"/>
              </w:rPr>
              <w:t>- Analyse op welk niveau regelen</w:t>
            </w:r>
          </w:p>
          <w:p w:rsidRPr="002908A8" w:rsidR="005479B4" w:rsidP="00417B16" w:rsidRDefault="005479B4" w14:paraId="563404A8" w14:textId="77777777">
            <w:pPr>
              <w:rPr>
                <w:lang w:val="nl-NL"/>
              </w:rPr>
            </w:pPr>
            <w:r w:rsidRPr="002908A8">
              <w:rPr>
                <w:lang w:val="nl-NL"/>
              </w:rPr>
              <w:t>- Analyse op wat regelen</w:t>
            </w:r>
          </w:p>
        </w:tc>
        <w:tc>
          <w:tcPr>
            <w:tcW w:w="1701" w:type="dxa"/>
          </w:tcPr>
          <w:p w:rsidRPr="002908A8" w:rsidR="005479B4" w:rsidP="00417B16" w:rsidRDefault="005479B4" w14:paraId="24A379C0" w14:textId="77777777">
            <w:pPr>
              <w:rPr>
                <w:lang w:val="nl-NL"/>
              </w:rPr>
            </w:pPr>
            <w:r w:rsidRPr="002908A8">
              <w:rPr>
                <w:lang w:val="nl-NL"/>
              </w:rPr>
              <w:t>- Schrijven MvT</w:t>
            </w:r>
          </w:p>
          <w:p w:rsidRPr="002908A8" w:rsidR="005479B4" w:rsidP="00417B16" w:rsidRDefault="005479B4" w14:paraId="2E8270A0" w14:textId="77777777">
            <w:pPr>
              <w:rPr>
                <w:lang w:val="nl-NL"/>
              </w:rPr>
            </w:pPr>
            <w:r w:rsidRPr="002908A8">
              <w:rPr>
                <w:lang w:val="nl-NL"/>
              </w:rPr>
              <w:t>- Schrijven regelgeving</w:t>
            </w:r>
          </w:p>
        </w:tc>
        <w:tc>
          <w:tcPr>
            <w:tcW w:w="1522" w:type="dxa"/>
          </w:tcPr>
          <w:p w:rsidRPr="002908A8" w:rsidR="005479B4" w:rsidP="00417B16" w:rsidRDefault="005479B4" w14:paraId="5D27749A" w14:textId="77777777">
            <w:pPr>
              <w:rPr>
                <w:lang w:val="nl-NL"/>
              </w:rPr>
            </w:pPr>
          </w:p>
        </w:tc>
      </w:tr>
      <w:tr w:rsidRPr="00E83E19" w:rsidR="005479B4" w:rsidTr="0034773F" w14:paraId="1BA599E3" w14:textId="77777777">
        <w:tc>
          <w:tcPr>
            <w:tcW w:w="534" w:type="dxa"/>
            <w:vMerge/>
          </w:tcPr>
          <w:p w:rsidRPr="002908A8" w:rsidR="005479B4" w:rsidP="00417B16" w:rsidRDefault="005479B4" w14:paraId="202EB939" w14:textId="77777777">
            <w:pPr>
              <w:rPr>
                <w:lang w:val="nl-NL"/>
              </w:rPr>
            </w:pPr>
          </w:p>
        </w:tc>
        <w:tc>
          <w:tcPr>
            <w:tcW w:w="2438" w:type="dxa"/>
            <w:vMerge/>
          </w:tcPr>
          <w:p w:rsidRPr="002908A8" w:rsidR="005479B4" w:rsidP="00417B16" w:rsidRDefault="005479B4" w14:paraId="3B848DDC" w14:textId="77777777">
            <w:pPr>
              <w:rPr>
                <w:lang w:val="nl-NL"/>
              </w:rPr>
            </w:pPr>
          </w:p>
        </w:tc>
        <w:tc>
          <w:tcPr>
            <w:tcW w:w="3402" w:type="dxa"/>
          </w:tcPr>
          <w:p w:rsidR="005479B4" w:rsidP="00417B16" w:rsidRDefault="005479B4" w14:paraId="6742F5B4" w14:textId="77777777">
            <w:pPr>
              <w:pStyle w:val="broodtekst"/>
            </w:pPr>
            <w:r>
              <w:t>Initiatiefwetsvoorstel:</w:t>
            </w:r>
          </w:p>
          <w:p w:rsidRPr="002908A8" w:rsidR="005479B4" w:rsidP="00417B16" w:rsidRDefault="005479B4" w14:paraId="0ED8F0DB" w14:textId="77777777">
            <w:pPr>
              <w:pStyle w:val="broodtekst"/>
            </w:pPr>
            <w:r>
              <w:t>- Strenge regels voor bonussen</w:t>
            </w:r>
          </w:p>
        </w:tc>
        <w:tc>
          <w:tcPr>
            <w:tcW w:w="3260" w:type="dxa"/>
          </w:tcPr>
          <w:p w:rsidRPr="002908A8" w:rsidR="005479B4" w:rsidP="00417B16" w:rsidRDefault="005479B4" w14:paraId="339CBBB4" w14:textId="35962B4B">
            <w:pPr>
              <w:pStyle w:val="broodtekst"/>
            </w:pPr>
            <w:r w:rsidRPr="002908A8">
              <w:t xml:space="preserve">Bonussen </w:t>
            </w:r>
            <w:r w:rsidR="0034773F">
              <w:t xml:space="preserve">strenger </w:t>
            </w:r>
            <w:r w:rsidRPr="002908A8">
              <w:t xml:space="preserve">regelen in Besluit of Regeling. Gaat om verder beperken van de inzet van bonussen. </w:t>
            </w:r>
            <w:r w:rsidR="0034773F">
              <w:t>Op</w:t>
            </w:r>
            <w:r w:rsidRPr="002908A8">
              <w:t xml:space="preserve"> dit moment </w:t>
            </w:r>
            <w:r w:rsidR="0034773F">
              <w:t xml:space="preserve">is hiervoor </w:t>
            </w:r>
            <w:r w:rsidRPr="002908A8">
              <w:t xml:space="preserve">nog geen specifiek onderzoek </w:t>
            </w:r>
            <w:r w:rsidR="0034773F">
              <w:t xml:space="preserve">beschikbaar met aanbevelingen in welke omvang bonussen nog toegestaan zouden moeten worden. </w:t>
            </w:r>
          </w:p>
        </w:tc>
        <w:tc>
          <w:tcPr>
            <w:tcW w:w="1701" w:type="dxa"/>
          </w:tcPr>
          <w:p w:rsidRPr="0052060F" w:rsidR="005479B4" w:rsidP="00417B16" w:rsidRDefault="005479B4" w14:paraId="1ED9C06F" w14:textId="77777777">
            <w:pPr>
              <w:rPr>
                <w:lang w:val="nl-NL"/>
              </w:rPr>
            </w:pPr>
            <w:r w:rsidRPr="002908A8">
              <w:rPr>
                <w:lang w:val="nl-NL"/>
              </w:rPr>
              <w:t xml:space="preserve">- </w:t>
            </w:r>
            <w:r w:rsidRPr="0052060F">
              <w:rPr>
                <w:lang w:val="nl-NL"/>
              </w:rPr>
              <w:t>Begin analyses opties voor verbod en reikwijdte verbod (Q2)</w:t>
            </w:r>
          </w:p>
        </w:tc>
        <w:tc>
          <w:tcPr>
            <w:tcW w:w="1701" w:type="dxa"/>
          </w:tcPr>
          <w:p w:rsidRPr="002908A8" w:rsidR="005479B4" w:rsidP="00417B16" w:rsidRDefault="005479B4" w14:paraId="22B82636" w14:textId="77777777">
            <w:pPr>
              <w:rPr>
                <w:lang w:val="nl-NL"/>
              </w:rPr>
            </w:pPr>
          </w:p>
        </w:tc>
        <w:tc>
          <w:tcPr>
            <w:tcW w:w="1522" w:type="dxa"/>
          </w:tcPr>
          <w:p w:rsidRPr="002908A8" w:rsidR="005479B4" w:rsidP="00417B16" w:rsidRDefault="005479B4" w14:paraId="0D9EAED3" w14:textId="77777777">
            <w:pPr>
              <w:rPr>
                <w:lang w:val="nl-NL"/>
              </w:rPr>
            </w:pPr>
          </w:p>
        </w:tc>
      </w:tr>
      <w:tr w:rsidRPr="00E83E19" w:rsidR="005479B4" w:rsidTr="0034773F" w14:paraId="31E171B7" w14:textId="77777777">
        <w:tc>
          <w:tcPr>
            <w:tcW w:w="534" w:type="dxa"/>
          </w:tcPr>
          <w:p w:rsidRPr="006E61E6" w:rsidR="005479B4" w:rsidP="00417B16" w:rsidRDefault="00693839" w14:paraId="3B0D6D03" w14:textId="784FBD6F">
            <w:pPr>
              <w:rPr>
                <w:b/>
                <w:bCs/>
                <w:lang w:val="nl-NL"/>
              </w:rPr>
            </w:pPr>
            <w:r>
              <w:rPr>
                <w:b/>
                <w:bCs/>
                <w:lang w:val="nl-NL"/>
              </w:rPr>
              <w:t>8</w:t>
            </w:r>
          </w:p>
        </w:tc>
        <w:tc>
          <w:tcPr>
            <w:tcW w:w="2438" w:type="dxa"/>
          </w:tcPr>
          <w:p w:rsidRPr="002908A8" w:rsidR="005479B4" w:rsidP="00417B16" w:rsidRDefault="005479B4" w14:paraId="0D1BD3E0" w14:textId="77777777">
            <w:pPr>
              <w:rPr>
                <w:b/>
                <w:bCs/>
                <w:lang w:val="nl-NL"/>
              </w:rPr>
            </w:pPr>
            <w:r w:rsidRPr="002908A8">
              <w:rPr>
                <w:b/>
                <w:bCs/>
                <w:lang w:val="nl-NL"/>
              </w:rPr>
              <w:t>Handhaving illegaal</w:t>
            </w:r>
          </w:p>
          <w:p w:rsidR="005479B4" w:rsidP="00417B16" w:rsidRDefault="005479B4" w14:paraId="7F9BEC4C" w14:textId="77777777">
            <w:pPr>
              <w:rPr>
                <w:lang w:val="nl-NL"/>
              </w:rPr>
            </w:pPr>
          </w:p>
          <w:p w:rsidR="005479B4" w:rsidP="00417B16" w:rsidRDefault="005479B4" w14:paraId="73AD2861" w14:textId="77777777">
            <w:pPr>
              <w:rPr>
                <w:lang w:val="nl-NL"/>
              </w:rPr>
            </w:pPr>
          </w:p>
          <w:p w:rsidRPr="002908A8" w:rsidR="005479B4" w:rsidP="00417B16" w:rsidRDefault="005479B4" w14:paraId="54F30813" w14:textId="77777777">
            <w:pPr>
              <w:rPr>
                <w:lang w:val="nl-NL"/>
              </w:rPr>
            </w:pPr>
          </w:p>
        </w:tc>
        <w:tc>
          <w:tcPr>
            <w:tcW w:w="3402" w:type="dxa"/>
          </w:tcPr>
          <w:p w:rsidR="005479B4" w:rsidP="00417B16" w:rsidRDefault="005479B4" w14:paraId="0A899E0B" w14:textId="77777777">
            <w:pPr>
              <w:rPr>
                <w:lang w:val="nl-NL"/>
              </w:rPr>
            </w:pPr>
            <w:r>
              <w:rPr>
                <w:lang w:val="nl-NL"/>
              </w:rPr>
              <w:t>Evaluatie:</w:t>
            </w:r>
          </w:p>
          <w:p w:rsidR="005479B4" w:rsidP="00417B16" w:rsidRDefault="005479B4" w14:paraId="5C80B701" w14:textId="77777777">
            <w:pPr>
              <w:rPr>
                <w:lang w:val="nl-NL"/>
              </w:rPr>
            </w:pPr>
            <w:r>
              <w:rPr>
                <w:lang w:val="nl-NL"/>
              </w:rPr>
              <w:t>- Regel DNS-blokkades tegen illegale websites</w:t>
            </w:r>
          </w:p>
          <w:p w:rsidR="005479B4" w:rsidP="00417B16" w:rsidRDefault="005479B4" w14:paraId="50F9853E" w14:textId="77777777">
            <w:pPr>
              <w:rPr>
                <w:lang w:val="nl-NL"/>
              </w:rPr>
            </w:pPr>
          </w:p>
          <w:p w:rsidR="005479B4" w:rsidP="00417B16" w:rsidRDefault="005479B4" w14:paraId="0F797A3C" w14:textId="77777777">
            <w:pPr>
              <w:rPr>
                <w:lang w:val="nl-NL"/>
              </w:rPr>
            </w:pPr>
            <w:r>
              <w:rPr>
                <w:lang w:val="nl-NL"/>
              </w:rPr>
              <w:t>Initiatiefnota:</w:t>
            </w:r>
          </w:p>
          <w:p w:rsidR="005479B4" w:rsidP="005479B4" w:rsidRDefault="005479B4" w14:paraId="42531A0D" w14:textId="77777777">
            <w:pPr>
              <w:pStyle w:val="Lijstalinea"/>
              <w:numPr>
                <w:ilvl w:val="0"/>
                <w:numId w:val="1"/>
              </w:numPr>
              <w:rPr>
                <w:lang w:val="nl-NL"/>
              </w:rPr>
            </w:pPr>
            <w:r>
              <w:rPr>
                <w:lang w:val="nl-NL"/>
              </w:rPr>
              <w:t>Intensiveer toezicht op buitenlandse casino’s</w:t>
            </w:r>
          </w:p>
          <w:p w:rsidR="005479B4" w:rsidP="00417B16" w:rsidRDefault="005479B4" w14:paraId="091B3ECA" w14:textId="77777777">
            <w:pPr>
              <w:rPr>
                <w:lang w:val="nl-NL"/>
              </w:rPr>
            </w:pPr>
            <w:r>
              <w:rPr>
                <w:lang w:val="nl-NL"/>
              </w:rPr>
              <w:t>Initiatiefwetsvoorstel</w:t>
            </w:r>
            <w:r w:rsidDel="0016567C">
              <w:rPr>
                <w:lang w:val="nl-NL"/>
              </w:rPr>
              <w:t xml:space="preserve"> </w:t>
            </w:r>
            <w:r>
              <w:rPr>
                <w:lang w:val="nl-NL"/>
              </w:rPr>
              <w:t>:</w:t>
            </w:r>
          </w:p>
          <w:p w:rsidR="005479B4" w:rsidP="00417B16" w:rsidRDefault="005479B4" w14:paraId="75448B98" w14:textId="77777777">
            <w:pPr>
              <w:rPr>
                <w:lang w:val="nl-NL"/>
              </w:rPr>
            </w:pPr>
            <w:r>
              <w:rPr>
                <w:lang w:val="nl-NL"/>
              </w:rPr>
              <w:t>-websites op zwart kunnen zetten</w:t>
            </w:r>
          </w:p>
          <w:p w:rsidR="005479B4" w:rsidP="00417B16" w:rsidRDefault="005479B4" w14:paraId="272AE506" w14:textId="77777777">
            <w:pPr>
              <w:rPr>
                <w:lang w:val="nl-NL"/>
              </w:rPr>
            </w:pPr>
          </w:p>
          <w:p w:rsidR="005479B4" w:rsidP="00417B16" w:rsidRDefault="005479B4" w14:paraId="33A0D85E" w14:textId="77777777">
            <w:pPr>
              <w:rPr>
                <w:lang w:val="nl-NL"/>
              </w:rPr>
            </w:pPr>
            <w:r>
              <w:rPr>
                <w:lang w:val="nl-NL"/>
              </w:rPr>
              <w:t>Motie Boswijk</w:t>
            </w:r>
            <w:r>
              <w:rPr>
                <w:rStyle w:val="Voetnootmarkering"/>
                <w:lang w:val="nl-NL"/>
              </w:rPr>
              <w:footnoteReference w:id="11"/>
            </w:r>
            <w:r>
              <w:rPr>
                <w:lang w:val="nl-NL"/>
              </w:rPr>
              <w:t xml:space="preserve">: </w:t>
            </w:r>
          </w:p>
          <w:p w:rsidRPr="002908A8" w:rsidR="005479B4" w:rsidP="00417B16" w:rsidRDefault="005479B4" w14:paraId="3C996909" w14:textId="77777777">
            <w:pPr>
              <w:rPr>
                <w:lang w:val="nl-NL"/>
              </w:rPr>
            </w:pPr>
            <w:r>
              <w:rPr>
                <w:lang w:val="nl-NL"/>
              </w:rPr>
              <w:t>Zware</w:t>
            </w:r>
            <w:r w:rsidRPr="00850D04">
              <w:rPr>
                <w:lang w:val="nl-NL"/>
              </w:rPr>
              <w:t xml:space="preserve"> maatregelen nemen tegen buitenlandse casino's die zonder vergunning in Nederland hun diensten aanbieden aan Nederlandse spelers </w:t>
            </w:r>
          </w:p>
        </w:tc>
        <w:tc>
          <w:tcPr>
            <w:tcW w:w="3260" w:type="dxa"/>
          </w:tcPr>
          <w:p w:rsidRPr="002908A8" w:rsidR="005479B4" w:rsidP="00417B16" w:rsidRDefault="0034773F" w14:paraId="645F64C5" w14:textId="08A82140">
            <w:pPr>
              <w:rPr>
                <w:lang w:val="nl-NL"/>
              </w:rPr>
            </w:pPr>
            <w:r>
              <w:rPr>
                <w:lang w:val="nl-NL"/>
              </w:rPr>
              <w:t>Het g</w:t>
            </w:r>
            <w:r w:rsidRPr="002908A8" w:rsidR="005479B4">
              <w:rPr>
                <w:lang w:val="nl-NL"/>
              </w:rPr>
              <w:t>aat om extra instrumenten om illegale aanbieders of facilitators te blokkeren</w:t>
            </w:r>
            <w:r w:rsidR="005479B4">
              <w:rPr>
                <w:lang w:val="nl-NL"/>
              </w:rPr>
              <w:t>. Hierbij is s</w:t>
            </w:r>
            <w:r w:rsidRPr="002908A8" w:rsidR="005479B4">
              <w:rPr>
                <w:lang w:val="nl-NL"/>
              </w:rPr>
              <w:t>amenhang met wetgevingswensen Ksa en motie</w:t>
            </w:r>
            <w:r w:rsidR="005479B4">
              <w:rPr>
                <w:lang w:val="nl-NL"/>
              </w:rPr>
              <w:t>, namelijk i</w:t>
            </w:r>
            <w:r w:rsidRPr="002908A8" w:rsidR="005479B4">
              <w:rPr>
                <w:lang w:val="nl-NL"/>
              </w:rPr>
              <w:t xml:space="preserve">nternetblokkades, banken, affiliaties, providers </w:t>
            </w:r>
            <w:r w:rsidR="005479B4">
              <w:rPr>
                <w:lang w:val="nl-NL"/>
              </w:rPr>
              <w:t>direct</w:t>
            </w:r>
            <w:r w:rsidRPr="002908A8" w:rsidR="005479B4">
              <w:rPr>
                <w:lang w:val="nl-NL"/>
              </w:rPr>
              <w:t xml:space="preserve"> kunnen aanspreken en boetes en dwangsommen kunnen opleggen</w:t>
            </w:r>
            <w:r w:rsidR="005479B4">
              <w:rPr>
                <w:lang w:val="nl-NL"/>
              </w:rPr>
              <w:t>.</w:t>
            </w:r>
          </w:p>
        </w:tc>
        <w:tc>
          <w:tcPr>
            <w:tcW w:w="1701" w:type="dxa"/>
          </w:tcPr>
          <w:p w:rsidRPr="002908A8" w:rsidR="005479B4" w:rsidP="00417B16" w:rsidRDefault="005479B4" w14:paraId="3AA9C5FD" w14:textId="77777777">
            <w:pPr>
              <w:rPr>
                <w:lang w:val="nl-NL"/>
              </w:rPr>
            </w:pPr>
            <w:r w:rsidRPr="002908A8">
              <w:rPr>
                <w:lang w:val="nl-NL"/>
              </w:rPr>
              <w:t>- Juridische adviezen en analyses rond mogelijke instrumenten</w:t>
            </w:r>
          </w:p>
          <w:p w:rsidRPr="002908A8" w:rsidR="005479B4" w:rsidP="00417B16" w:rsidRDefault="005479B4" w14:paraId="1E1D4E62" w14:textId="77777777">
            <w:pPr>
              <w:rPr>
                <w:lang w:val="nl-NL"/>
              </w:rPr>
            </w:pPr>
            <w:r w:rsidRPr="002908A8">
              <w:rPr>
                <w:lang w:val="nl-NL"/>
              </w:rPr>
              <w:t>-</w:t>
            </w:r>
            <w:r>
              <w:rPr>
                <w:lang w:val="nl-NL"/>
              </w:rPr>
              <w:t xml:space="preserve"> V</w:t>
            </w:r>
            <w:r w:rsidRPr="002908A8">
              <w:rPr>
                <w:lang w:val="nl-NL"/>
              </w:rPr>
              <w:t>ergelijking met andere landen</w:t>
            </w:r>
          </w:p>
          <w:p w:rsidRPr="002908A8" w:rsidR="005479B4" w:rsidP="00417B16" w:rsidRDefault="005479B4" w14:paraId="6554C66A" w14:textId="77777777">
            <w:pPr>
              <w:rPr>
                <w:lang w:val="nl-NL"/>
              </w:rPr>
            </w:pPr>
            <w:r w:rsidRPr="002908A8">
              <w:rPr>
                <w:lang w:val="nl-NL"/>
              </w:rPr>
              <w:t>-</w:t>
            </w:r>
            <w:r>
              <w:rPr>
                <w:lang w:val="nl-NL"/>
              </w:rPr>
              <w:t xml:space="preserve"> V</w:t>
            </w:r>
            <w:r w:rsidRPr="002908A8">
              <w:rPr>
                <w:lang w:val="nl-NL"/>
              </w:rPr>
              <w:t>oorbereiding beleidskompas</w:t>
            </w:r>
          </w:p>
        </w:tc>
        <w:tc>
          <w:tcPr>
            <w:tcW w:w="1701" w:type="dxa"/>
          </w:tcPr>
          <w:p w:rsidRPr="002908A8" w:rsidR="005479B4" w:rsidP="00417B16" w:rsidRDefault="005479B4" w14:paraId="004CAEEC" w14:textId="77777777">
            <w:pPr>
              <w:rPr>
                <w:lang w:val="nl-NL"/>
              </w:rPr>
            </w:pPr>
            <w:r w:rsidRPr="002908A8">
              <w:rPr>
                <w:lang w:val="nl-NL"/>
              </w:rPr>
              <w:t xml:space="preserve">- Beleidskompas doorlopen </w:t>
            </w:r>
          </w:p>
          <w:p w:rsidRPr="002908A8" w:rsidR="005479B4" w:rsidP="00417B16" w:rsidRDefault="005479B4" w14:paraId="18DF421E" w14:textId="77777777">
            <w:pPr>
              <w:rPr>
                <w:lang w:val="nl-NL"/>
              </w:rPr>
            </w:pPr>
            <w:r w:rsidRPr="002908A8">
              <w:rPr>
                <w:lang w:val="nl-NL"/>
              </w:rPr>
              <w:t>- Begin met MvT</w:t>
            </w:r>
          </w:p>
          <w:p w:rsidR="005479B4" w:rsidP="00417B16" w:rsidRDefault="005479B4" w14:paraId="47F83D16" w14:textId="77777777">
            <w:pPr>
              <w:rPr>
                <w:lang w:val="nl-NL"/>
              </w:rPr>
            </w:pPr>
            <w:r w:rsidRPr="002908A8">
              <w:rPr>
                <w:lang w:val="nl-NL"/>
              </w:rPr>
              <w:t>- UT/advies Ksa</w:t>
            </w:r>
          </w:p>
          <w:p w:rsidRPr="002908A8" w:rsidR="005479B4" w:rsidP="00417B16" w:rsidRDefault="005479B4" w14:paraId="194C4214" w14:textId="77777777">
            <w:pPr>
              <w:rPr>
                <w:lang w:val="nl-NL"/>
              </w:rPr>
            </w:pPr>
            <w:r>
              <w:rPr>
                <w:lang w:val="nl-NL"/>
              </w:rPr>
              <w:t>- Eind 2025 begin wetteksten</w:t>
            </w:r>
          </w:p>
        </w:tc>
        <w:tc>
          <w:tcPr>
            <w:tcW w:w="1522" w:type="dxa"/>
          </w:tcPr>
          <w:p w:rsidRPr="002908A8" w:rsidR="005479B4" w:rsidP="00417B16" w:rsidRDefault="005479B4" w14:paraId="1D8FB117" w14:textId="77777777">
            <w:pPr>
              <w:rPr>
                <w:lang w:val="nl-NL"/>
              </w:rPr>
            </w:pPr>
            <w:r>
              <w:rPr>
                <w:lang w:val="nl-NL"/>
              </w:rPr>
              <w:t>MvT, wetteksten en mogelijk lagere regelgeving</w:t>
            </w:r>
          </w:p>
          <w:p w:rsidRPr="002908A8" w:rsidR="005479B4" w:rsidP="00417B16" w:rsidRDefault="005479B4" w14:paraId="2C897F32" w14:textId="77777777">
            <w:pPr>
              <w:rPr>
                <w:lang w:val="nl-NL"/>
              </w:rPr>
            </w:pPr>
          </w:p>
        </w:tc>
      </w:tr>
      <w:tr w:rsidRPr="00E83E19" w:rsidR="005479B4" w:rsidTr="0034773F" w14:paraId="34271B72" w14:textId="77777777">
        <w:tc>
          <w:tcPr>
            <w:tcW w:w="534" w:type="dxa"/>
            <w:vMerge w:val="restart"/>
          </w:tcPr>
          <w:p w:rsidRPr="006E61E6" w:rsidR="005479B4" w:rsidP="00417B16" w:rsidRDefault="00693839" w14:paraId="30D43713" w14:textId="3396A5E5">
            <w:pPr>
              <w:rPr>
                <w:b/>
                <w:bCs/>
                <w:lang w:val="nl-NL"/>
              </w:rPr>
            </w:pPr>
            <w:r>
              <w:rPr>
                <w:b/>
                <w:bCs/>
                <w:lang w:val="nl-NL"/>
              </w:rPr>
              <w:t>9</w:t>
            </w:r>
          </w:p>
          <w:p w:rsidR="005479B4" w:rsidP="00417B16" w:rsidRDefault="005479B4" w14:paraId="58519337" w14:textId="77777777">
            <w:pPr>
              <w:rPr>
                <w:lang w:val="nl-NL"/>
              </w:rPr>
            </w:pPr>
          </w:p>
          <w:p w:rsidR="005479B4" w:rsidP="00417B16" w:rsidRDefault="005479B4" w14:paraId="4C89917A" w14:textId="77777777">
            <w:pPr>
              <w:rPr>
                <w:lang w:val="nl-NL"/>
              </w:rPr>
            </w:pPr>
          </w:p>
          <w:p w:rsidR="005479B4" w:rsidP="00417B16" w:rsidRDefault="005479B4" w14:paraId="549ECFC2" w14:textId="77777777">
            <w:pPr>
              <w:rPr>
                <w:lang w:val="nl-NL"/>
              </w:rPr>
            </w:pPr>
          </w:p>
          <w:p w:rsidR="005479B4" w:rsidP="00417B16" w:rsidRDefault="005479B4" w14:paraId="6B952888" w14:textId="77777777">
            <w:pPr>
              <w:rPr>
                <w:lang w:val="nl-NL"/>
              </w:rPr>
            </w:pPr>
          </w:p>
          <w:p w:rsidR="005479B4" w:rsidP="00417B16" w:rsidRDefault="005479B4" w14:paraId="5440C831" w14:textId="77777777">
            <w:pPr>
              <w:rPr>
                <w:lang w:val="nl-NL"/>
              </w:rPr>
            </w:pPr>
          </w:p>
          <w:p w:rsidR="005479B4" w:rsidP="00417B16" w:rsidRDefault="005479B4" w14:paraId="544CD119" w14:textId="77777777">
            <w:pPr>
              <w:rPr>
                <w:lang w:val="nl-NL"/>
              </w:rPr>
            </w:pPr>
          </w:p>
          <w:p w:rsidR="005479B4" w:rsidP="00417B16" w:rsidRDefault="005479B4" w14:paraId="21FE88FF" w14:textId="77777777">
            <w:pPr>
              <w:rPr>
                <w:lang w:val="nl-NL"/>
              </w:rPr>
            </w:pPr>
          </w:p>
          <w:p w:rsidR="005479B4" w:rsidP="00417B16" w:rsidRDefault="005479B4" w14:paraId="3CDA5B1B" w14:textId="77777777">
            <w:pPr>
              <w:rPr>
                <w:lang w:val="nl-NL"/>
              </w:rPr>
            </w:pPr>
          </w:p>
          <w:p w:rsidR="005479B4" w:rsidP="00417B16" w:rsidRDefault="005479B4" w14:paraId="1FE5E4B1" w14:textId="77777777">
            <w:pPr>
              <w:rPr>
                <w:lang w:val="nl-NL"/>
              </w:rPr>
            </w:pPr>
          </w:p>
          <w:p w:rsidR="005479B4" w:rsidP="00417B16" w:rsidRDefault="005479B4" w14:paraId="51831186" w14:textId="77777777">
            <w:pPr>
              <w:rPr>
                <w:lang w:val="nl-NL"/>
              </w:rPr>
            </w:pPr>
          </w:p>
          <w:p w:rsidR="005479B4" w:rsidP="00417B16" w:rsidRDefault="005479B4" w14:paraId="2C441680" w14:textId="77777777">
            <w:pPr>
              <w:rPr>
                <w:lang w:val="nl-NL"/>
              </w:rPr>
            </w:pPr>
          </w:p>
          <w:p w:rsidR="005479B4" w:rsidP="00417B16" w:rsidRDefault="005479B4" w14:paraId="4B1FF7A7" w14:textId="77777777">
            <w:pPr>
              <w:rPr>
                <w:lang w:val="nl-NL"/>
              </w:rPr>
            </w:pPr>
          </w:p>
          <w:p w:rsidR="005479B4" w:rsidP="00417B16" w:rsidRDefault="005479B4" w14:paraId="246CA2A1" w14:textId="77777777">
            <w:pPr>
              <w:rPr>
                <w:lang w:val="nl-NL"/>
              </w:rPr>
            </w:pPr>
          </w:p>
          <w:p w:rsidR="005479B4" w:rsidP="00417B16" w:rsidRDefault="005479B4" w14:paraId="76A7AF9C" w14:textId="77777777">
            <w:pPr>
              <w:rPr>
                <w:lang w:val="nl-NL"/>
              </w:rPr>
            </w:pPr>
          </w:p>
          <w:p w:rsidR="005479B4" w:rsidP="00417B16" w:rsidRDefault="005479B4" w14:paraId="1A08EB8F" w14:textId="77777777">
            <w:pPr>
              <w:rPr>
                <w:lang w:val="nl-NL"/>
              </w:rPr>
            </w:pPr>
          </w:p>
          <w:p w:rsidR="005479B4" w:rsidP="00417B16" w:rsidRDefault="005479B4" w14:paraId="63419866" w14:textId="77777777">
            <w:pPr>
              <w:rPr>
                <w:lang w:val="nl-NL"/>
              </w:rPr>
            </w:pPr>
          </w:p>
          <w:p w:rsidR="005479B4" w:rsidP="00417B16" w:rsidRDefault="005479B4" w14:paraId="66807DE2" w14:textId="77777777">
            <w:pPr>
              <w:rPr>
                <w:lang w:val="nl-NL"/>
              </w:rPr>
            </w:pPr>
          </w:p>
          <w:p w:rsidR="005479B4" w:rsidP="00417B16" w:rsidRDefault="005479B4" w14:paraId="6A6A3877" w14:textId="77777777">
            <w:pPr>
              <w:rPr>
                <w:lang w:val="nl-NL"/>
              </w:rPr>
            </w:pPr>
          </w:p>
          <w:p w:rsidR="005479B4" w:rsidP="00417B16" w:rsidRDefault="005479B4" w14:paraId="0805269E" w14:textId="77777777">
            <w:pPr>
              <w:rPr>
                <w:lang w:val="nl-NL"/>
              </w:rPr>
            </w:pPr>
          </w:p>
          <w:p w:rsidRPr="00BD1C42" w:rsidR="005479B4" w:rsidP="00417B16" w:rsidRDefault="005479B4" w14:paraId="48A738C4" w14:textId="77777777">
            <w:pPr>
              <w:rPr>
                <w:lang w:val="nl-NL"/>
              </w:rPr>
            </w:pPr>
          </w:p>
        </w:tc>
        <w:tc>
          <w:tcPr>
            <w:tcW w:w="2438" w:type="dxa"/>
          </w:tcPr>
          <w:p w:rsidRPr="002908A8" w:rsidR="005479B4" w:rsidP="00417B16" w:rsidRDefault="005479B4" w14:paraId="523987FA" w14:textId="77777777">
            <w:pPr>
              <w:rPr>
                <w:b/>
                <w:bCs/>
                <w:lang w:val="nl-NL"/>
              </w:rPr>
            </w:pPr>
            <w:r w:rsidRPr="002908A8">
              <w:rPr>
                <w:b/>
                <w:bCs/>
                <w:lang w:val="nl-NL"/>
              </w:rPr>
              <w:t>Handhaving en toezicht legaal</w:t>
            </w:r>
          </w:p>
          <w:p w:rsidR="005479B4" w:rsidP="00417B16" w:rsidRDefault="005479B4" w14:paraId="04225452" w14:textId="77777777">
            <w:pPr>
              <w:rPr>
                <w:lang w:val="nl-NL"/>
              </w:rPr>
            </w:pPr>
          </w:p>
          <w:p w:rsidR="005479B4" w:rsidP="00417B16" w:rsidRDefault="005479B4" w14:paraId="340980BE" w14:textId="77777777">
            <w:pPr>
              <w:rPr>
                <w:lang w:val="nl-NL"/>
              </w:rPr>
            </w:pPr>
          </w:p>
          <w:p w:rsidR="005479B4" w:rsidP="00417B16" w:rsidRDefault="005479B4" w14:paraId="6B9CC047" w14:textId="77777777">
            <w:pPr>
              <w:rPr>
                <w:lang w:val="nl-NL"/>
              </w:rPr>
            </w:pPr>
          </w:p>
          <w:p w:rsidR="005479B4" w:rsidP="00417B16" w:rsidRDefault="005479B4" w14:paraId="77895A07" w14:textId="77777777">
            <w:pPr>
              <w:rPr>
                <w:lang w:val="nl-NL"/>
              </w:rPr>
            </w:pPr>
          </w:p>
          <w:p w:rsidR="005479B4" w:rsidP="00417B16" w:rsidRDefault="005479B4" w14:paraId="6B4FB0A8" w14:textId="77777777">
            <w:pPr>
              <w:rPr>
                <w:lang w:val="nl-NL"/>
              </w:rPr>
            </w:pPr>
          </w:p>
          <w:p w:rsidR="005479B4" w:rsidP="00417B16" w:rsidRDefault="005479B4" w14:paraId="6B390F72" w14:textId="77777777">
            <w:pPr>
              <w:rPr>
                <w:lang w:val="nl-NL"/>
              </w:rPr>
            </w:pPr>
          </w:p>
          <w:p w:rsidR="005479B4" w:rsidP="00417B16" w:rsidRDefault="005479B4" w14:paraId="07127058" w14:textId="77777777">
            <w:pPr>
              <w:rPr>
                <w:lang w:val="nl-NL"/>
              </w:rPr>
            </w:pPr>
          </w:p>
          <w:p w:rsidR="005479B4" w:rsidP="00417B16" w:rsidRDefault="005479B4" w14:paraId="696C910B" w14:textId="77777777">
            <w:pPr>
              <w:rPr>
                <w:lang w:val="nl-NL"/>
              </w:rPr>
            </w:pPr>
          </w:p>
          <w:p w:rsidRPr="002908A8" w:rsidR="005479B4" w:rsidP="00417B16" w:rsidRDefault="005479B4" w14:paraId="0505523A" w14:textId="77777777">
            <w:pPr>
              <w:rPr>
                <w:lang w:val="nl-NL"/>
              </w:rPr>
            </w:pPr>
          </w:p>
        </w:tc>
        <w:tc>
          <w:tcPr>
            <w:tcW w:w="3402" w:type="dxa"/>
          </w:tcPr>
          <w:p w:rsidRPr="002908A8" w:rsidR="005479B4" w:rsidP="00417B16" w:rsidRDefault="005479B4" w14:paraId="38303EE2" w14:textId="77777777">
            <w:pPr>
              <w:rPr>
                <w:lang w:val="nl-NL"/>
              </w:rPr>
            </w:pPr>
            <w:r>
              <w:rPr>
                <w:lang w:val="nl-NL"/>
              </w:rPr>
              <w:t xml:space="preserve">Onderzoek meer handhavingsbevoegdheden </w:t>
            </w:r>
          </w:p>
        </w:tc>
        <w:tc>
          <w:tcPr>
            <w:tcW w:w="3260" w:type="dxa"/>
          </w:tcPr>
          <w:p w:rsidRPr="002908A8" w:rsidR="005479B4" w:rsidP="00417B16" w:rsidRDefault="0034773F" w14:paraId="2DE92657" w14:textId="3FE1BDDE">
            <w:pPr>
              <w:rPr>
                <w:lang w:val="nl-NL"/>
              </w:rPr>
            </w:pPr>
            <w:r>
              <w:rPr>
                <w:lang w:val="nl-NL"/>
              </w:rPr>
              <w:t>Het g</w:t>
            </w:r>
            <w:r w:rsidRPr="002908A8" w:rsidR="005479B4">
              <w:rPr>
                <w:lang w:val="nl-NL"/>
              </w:rPr>
              <w:t>aat om aanvullende toezichtinstrumenten voor vergund aanbod</w:t>
            </w:r>
            <w:r>
              <w:rPr>
                <w:lang w:val="nl-NL"/>
              </w:rPr>
              <w:t xml:space="preserve">, naast de hieronder reeds geïdentificeerde aanvullingen. </w:t>
            </w:r>
          </w:p>
          <w:p w:rsidRPr="002908A8" w:rsidR="005479B4" w:rsidP="00417B16" w:rsidRDefault="005479B4" w14:paraId="6470A0F5" w14:textId="77777777">
            <w:pPr>
              <w:rPr>
                <w:lang w:val="nl-NL"/>
              </w:rPr>
            </w:pPr>
          </w:p>
        </w:tc>
        <w:tc>
          <w:tcPr>
            <w:tcW w:w="1701" w:type="dxa"/>
          </w:tcPr>
          <w:p w:rsidRPr="002908A8" w:rsidR="005479B4" w:rsidP="00417B16" w:rsidRDefault="005479B4" w14:paraId="4FDBD089" w14:textId="77777777">
            <w:pPr>
              <w:rPr>
                <w:lang w:val="nl-NL"/>
              </w:rPr>
            </w:pPr>
            <w:r w:rsidRPr="002908A8">
              <w:rPr>
                <w:lang w:val="nl-NL"/>
              </w:rPr>
              <w:t>- Juridische adviezen en analyses rond mogelijke instrumenten</w:t>
            </w:r>
          </w:p>
          <w:p w:rsidRPr="002908A8" w:rsidR="005479B4" w:rsidP="00417B16" w:rsidRDefault="005479B4" w14:paraId="3EDC0970" w14:textId="77777777">
            <w:pPr>
              <w:rPr>
                <w:lang w:val="nl-NL"/>
              </w:rPr>
            </w:pPr>
            <w:r w:rsidRPr="002908A8">
              <w:rPr>
                <w:lang w:val="nl-NL"/>
              </w:rPr>
              <w:t>-vergelijking met andere landen</w:t>
            </w:r>
          </w:p>
          <w:p w:rsidRPr="002908A8" w:rsidR="005479B4" w:rsidP="00417B16" w:rsidRDefault="005479B4" w14:paraId="1A62D639" w14:textId="77777777">
            <w:pPr>
              <w:rPr>
                <w:lang w:val="nl-NL"/>
              </w:rPr>
            </w:pPr>
            <w:r w:rsidRPr="002908A8">
              <w:rPr>
                <w:lang w:val="nl-NL"/>
              </w:rPr>
              <w:t>-voorbereiding beleidskompas</w:t>
            </w:r>
          </w:p>
        </w:tc>
        <w:tc>
          <w:tcPr>
            <w:tcW w:w="1701" w:type="dxa"/>
          </w:tcPr>
          <w:p w:rsidRPr="002908A8" w:rsidR="005479B4" w:rsidP="00417B16" w:rsidRDefault="005479B4" w14:paraId="5CC0F596" w14:textId="77777777">
            <w:pPr>
              <w:rPr>
                <w:lang w:val="nl-NL"/>
              </w:rPr>
            </w:pPr>
            <w:r w:rsidRPr="002908A8">
              <w:rPr>
                <w:lang w:val="nl-NL"/>
              </w:rPr>
              <w:t xml:space="preserve">- Beleidskompas doorlopen </w:t>
            </w:r>
          </w:p>
          <w:p w:rsidRPr="002908A8" w:rsidR="005479B4" w:rsidP="00417B16" w:rsidRDefault="005479B4" w14:paraId="719A7420" w14:textId="77777777">
            <w:pPr>
              <w:rPr>
                <w:lang w:val="nl-NL"/>
              </w:rPr>
            </w:pPr>
            <w:r w:rsidRPr="002908A8">
              <w:rPr>
                <w:lang w:val="nl-NL"/>
              </w:rPr>
              <w:t>- Begin met MvT</w:t>
            </w:r>
          </w:p>
          <w:p w:rsidR="005479B4" w:rsidP="00417B16" w:rsidRDefault="005479B4" w14:paraId="4D65DA66" w14:textId="77777777">
            <w:pPr>
              <w:rPr>
                <w:lang w:val="nl-NL"/>
              </w:rPr>
            </w:pPr>
            <w:r w:rsidRPr="002908A8">
              <w:rPr>
                <w:lang w:val="nl-NL"/>
              </w:rPr>
              <w:t>- UT/advies Ksa</w:t>
            </w:r>
          </w:p>
          <w:p w:rsidRPr="002908A8" w:rsidR="005479B4" w:rsidP="00417B16" w:rsidRDefault="005479B4" w14:paraId="57784EC0" w14:textId="77777777">
            <w:pPr>
              <w:rPr>
                <w:lang w:val="nl-NL"/>
              </w:rPr>
            </w:pPr>
            <w:r>
              <w:rPr>
                <w:lang w:val="nl-NL"/>
              </w:rPr>
              <w:t>-eind 2025 begin wetteksten</w:t>
            </w:r>
          </w:p>
        </w:tc>
        <w:tc>
          <w:tcPr>
            <w:tcW w:w="1522" w:type="dxa"/>
          </w:tcPr>
          <w:p w:rsidRPr="002908A8" w:rsidR="005479B4" w:rsidP="00417B16" w:rsidRDefault="005479B4" w14:paraId="3D71F178" w14:textId="77777777">
            <w:pPr>
              <w:rPr>
                <w:lang w:val="nl-NL"/>
              </w:rPr>
            </w:pPr>
            <w:r>
              <w:rPr>
                <w:lang w:val="nl-NL"/>
              </w:rPr>
              <w:t>MvT, wetteksten en mogelijk lagere regelgeving</w:t>
            </w:r>
          </w:p>
          <w:p w:rsidRPr="002908A8" w:rsidR="005479B4" w:rsidP="00417B16" w:rsidRDefault="005479B4" w14:paraId="57495AA4" w14:textId="77777777">
            <w:pPr>
              <w:rPr>
                <w:lang w:val="nl-NL"/>
              </w:rPr>
            </w:pPr>
          </w:p>
        </w:tc>
      </w:tr>
      <w:tr w:rsidRPr="00E83E19" w:rsidR="005479B4" w:rsidTr="0034773F" w14:paraId="7ECA76DD" w14:textId="77777777">
        <w:tc>
          <w:tcPr>
            <w:tcW w:w="534" w:type="dxa"/>
            <w:vMerge/>
          </w:tcPr>
          <w:p w:rsidRPr="002908A8" w:rsidR="005479B4" w:rsidP="00417B16" w:rsidRDefault="005479B4" w14:paraId="5B54C465" w14:textId="77777777">
            <w:pPr>
              <w:rPr>
                <w:lang w:val="nl-NL"/>
              </w:rPr>
            </w:pPr>
          </w:p>
        </w:tc>
        <w:tc>
          <w:tcPr>
            <w:tcW w:w="2438" w:type="dxa"/>
          </w:tcPr>
          <w:p w:rsidRPr="002908A8" w:rsidR="005479B4" w:rsidP="00417B16" w:rsidRDefault="005479B4" w14:paraId="5DFF4AAE" w14:textId="77777777">
            <w:pPr>
              <w:rPr>
                <w:lang w:val="nl-NL"/>
              </w:rPr>
            </w:pPr>
          </w:p>
        </w:tc>
        <w:tc>
          <w:tcPr>
            <w:tcW w:w="3402" w:type="dxa"/>
          </w:tcPr>
          <w:p w:rsidR="005479B4" w:rsidP="00417B16" w:rsidRDefault="005479B4" w14:paraId="25E0D5F2" w14:textId="77777777">
            <w:pPr>
              <w:rPr>
                <w:lang w:val="nl-NL"/>
              </w:rPr>
            </w:pPr>
            <w:r>
              <w:rPr>
                <w:lang w:val="nl-NL"/>
              </w:rPr>
              <w:t>Evaluatie:</w:t>
            </w:r>
          </w:p>
          <w:p w:rsidR="005479B4" w:rsidP="00417B16" w:rsidRDefault="005479B4" w14:paraId="3D7C6B7F" w14:textId="77777777">
            <w:pPr>
              <w:rPr>
                <w:lang w:val="nl-NL"/>
              </w:rPr>
            </w:pPr>
            <w:r>
              <w:rPr>
                <w:lang w:val="nl-NL"/>
              </w:rPr>
              <w:t>- Onderzoek mogelijkheid inzetten fake ID</w:t>
            </w:r>
          </w:p>
          <w:p w:rsidR="005479B4" w:rsidP="00417B16" w:rsidRDefault="005479B4" w14:paraId="6934C505" w14:textId="77777777">
            <w:pPr>
              <w:rPr>
                <w:lang w:val="nl-NL"/>
              </w:rPr>
            </w:pPr>
          </w:p>
          <w:p w:rsidR="005479B4" w:rsidP="00417B16" w:rsidRDefault="005479B4" w14:paraId="28774183" w14:textId="77777777">
            <w:pPr>
              <w:rPr>
                <w:lang w:val="nl-NL"/>
              </w:rPr>
            </w:pPr>
            <w:r>
              <w:rPr>
                <w:lang w:val="nl-NL"/>
              </w:rPr>
              <w:t>Initiatiefwetsvoorstel:</w:t>
            </w:r>
          </w:p>
          <w:p w:rsidRPr="00AC2744" w:rsidR="005479B4" w:rsidP="00417B16" w:rsidRDefault="005479B4" w14:paraId="0218F943" w14:textId="77777777">
            <w:pPr>
              <w:rPr>
                <w:lang w:val="nl-NL"/>
              </w:rPr>
            </w:pPr>
            <w:r>
              <w:rPr>
                <w:lang w:val="nl-NL"/>
              </w:rPr>
              <w:t xml:space="preserve">- </w:t>
            </w:r>
            <w:r w:rsidRPr="00AC2744">
              <w:rPr>
                <w:lang w:val="nl-NL"/>
              </w:rPr>
              <w:t>Regel fake ID’s</w:t>
            </w:r>
          </w:p>
          <w:p w:rsidR="005479B4" w:rsidP="00417B16" w:rsidRDefault="005479B4" w14:paraId="131F3B6F" w14:textId="77777777">
            <w:pPr>
              <w:rPr>
                <w:lang w:val="nl-NL"/>
              </w:rPr>
            </w:pPr>
          </w:p>
          <w:p w:rsidR="005479B4" w:rsidP="00417B16" w:rsidRDefault="005479B4" w14:paraId="3037DEBB" w14:textId="77777777">
            <w:pPr>
              <w:rPr>
                <w:lang w:val="nl-NL"/>
              </w:rPr>
            </w:pPr>
            <w:r>
              <w:rPr>
                <w:lang w:val="nl-NL"/>
              </w:rPr>
              <w:t>Motie Van Nispen</w:t>
            </w:r>
            <w:r>
              <w:rPr>
                <w:rStyle w:val="Voetnootmarkering"/>
                <w:lang w:val="nl-NL"/>
              </w:rPr>
              <w:footnoteReference w:id="12"/>
            </w:r>
            <w:r>
              <w:rPr>
                <w:lang w:val="nl-NL"/>
              </w:rPr>
              <w:t xml:space="preserve">: </w:t>
            </w:r>
          </w:p>
          <w:p w:rsidR="005479B4" w:rsidP="00417B16" w:rsidRDefault="005479B4" w14:paraId="6A686866" w14:textId="77777777">
            <w:pPr>
              <w:rPr>
                <w:lang w:val="nl-NL"/>
              </w:rPr>
            </w:pPr>
            <w:r w:rsidRPr="002908A8">
              <w:rPr>
                <w:lang w:val="nl-NL"/>
              </w:rPr>
              <w:t xml:space="preserve">- </w:t>
            </w:r>
            <w:r w:rsidRPr="00AC61FF">
              <w:rPr>
                <w:lang w:val="nl-NL"/>
              </w:rPr>
              <w:t>Gebruik van fake ID’s mogelijk maken voor controle op kansspelaanbieders.</w:t>
            </w:r>
          </w:p>
          <w:p w:rsidR="005479B4" w:rsidP="00417B16" w:rsidRDefault="005479B4" w14:paraId="427A014C" w14:textId="77777777">
            <w:pPr>
              <w:rPr>
                <w:lang w:val="nl-NL"/>
              </w:rPr>
            </w:pPr>
          </w:p>
          <w:p w:rsidRPr="00AC61FF" w:rsidR="005479B4" w:rsidP="00417B16" w:rsidRDefault="005479B4" w14:paraId="5D909E31" w14:textId="77777777">
            <w:pPr>
              <w:rPr>
                <w:lang w:val="nl-NL"/>
              </w:rPr>
            </w:pPr>
          </w:p>
        </w:tc>
        <w:tc>
          <w:tcPr>
            <w:tcW w:w="3260" w:type="dxa"/>
          </w:tcPr>
          <w:p w:rsidRPr="002908A8" w:rsidR="005479B4" w:rsidP="00417B16" w:rsidRDefault="00056627" w14:paraId="1011B8FC" w14:textId="1A4C8FD5">
            <w:pPr>
              <w:rPr>
                <w:lang w:val="nl-NL"/>
              </w:rPr>
            </w:pPr>
            <w:r>
              <w:rPr>
                <w:lang w:val="nl-NL"/>
              </w:rPr>
              <w:t xml:space="preserve">De Ksa kan op dit moment hun medewerkers niet onherkenbaar, met een nep-identiteit, zelf in de online omgeving laten controleren hoe de spelomgeving werkt. Dit kan alleen achteraf via het opvragen van gegevens en data uit de Controledatabank. Om dit mogelijk te maken moet er een wettelijke grondslag voor een volledige nep-identiteit met BSN-nummer komen. </w:t>
            </w:r>
            <w:r w:rsidRPr="002908A8" w:rsidR="005479B4">
              <w:rPr>
                <w:lang w:val="nl-NL"/>
              </w:rPr>
              <w:t xml:space="preserve"> </w:t>
            </w:r>
          </w:p>
        </w:tc>
        <w:tc>
          <w:tcPr>
            <w:tcW w:w="1701" w:type="dxa"/>
          </w:tcPr>
          <w:p w:rsidRPr="002908A8" w:rsidR="005479B4" w:rsidP="00417B16" w:rsidRDefault="005479B4" w14:paraId="12F266B4" w14:textId="77777777">
            <w:pPr>
              <w:rPr>
                <w:lang w:val="nl-NL"/>
              </w:rPr>
            </w:pPr>
            <w:r w:rsidRPr="002908A8">
              <w:rPr>
                <w:lang w:val="nl-NL"/>
              </w:rPr>
              <w:t>- Juridische adviezen en analyses rond mogelijke instrumenten</w:t>
            </w:r>
          </w:p>
        </w:tc>
        <w:tc>
          <w:tcPr>
            <w:tcW w:w="1701" w:type="dxa"/>
          </w:tcPr>
          <w:p w:rsidRPr="002908A8" w:rsidR="005479B4" w:rsidP="00417B16" w:rsidRDefault="005479B4" w14:paraId="785AC1FB" w14:textId="77777777">
            <w:pPr>
              <w:rPr>
                <w:lang w:val="nl-NL"/>
              </w:rPr>
            </w:pPr>
            <w:r w:rsidRPr="002908A8">
              <w:rPr>
                <w:lang w:val="nl-NL"/>
              </w:rPr>
              <w:t>- Juridische adviezen en analyses rond mogelijke instrumenten</w:t>
            </w:r>
          </w:p>
        </w:tc>
        <w:tc>
          <w:tcPr>
            <w:tcW w:w="1522" w:type="dxa"/>
          </w:tcPr>
          <w:p w:rsidRPr="002908A8" w:rsidR="005479B4" w:rsidP="00417B16" w:rsidRDefault="005479B4" w14:paraId="4CD0BC09" w14:textId="6216BD2E">
            <w:pPr>
              <w:rPr>
                <w:lang w:val="nl-NL"/>
              </w:rPr>
            </w:pPr>
            <w:r w:rsidRPr="002908A8">
              <w:rPr>
                <w:lang w:val="nl-NL"/>
              </w:rPr>
              <w:t xml:space="preserve">Vervolg afhankelijk van </w:t>
            </w:r>
            <w:r w:rsidR="0034773F">
              <w:rPr>
                <w:lang w:val="nl-NL"/>
              </w:rPr>
              <w:t>realiseerbare</w:t>
            </w:r>
            <w:r w:rsidRPr="002908A8">
              <w:rPr>
                <w:lang w:val="nl-NL"/>
              </w:rPr>
              <w:t xml:space="preserve"> opties</w:t>
            </w:r>
          </w:p>
        </w:tc>
      </w:tr>
      <w:tr w:rsidRPr="00E83E19" w:rsidR="005479B4" w:rsidTr="0034773F" w14:paraId="7FB6EC3C" w14:textId="77777777">
        <w:tc>
          <w:tcPr>
            <w:tcW w:w="534" w:type="dxa"/>
          </w:tcPr>
          <w:p w:rsidRPr="006E61E6" w:rsidR="005479B4" w:rsidP="00417B16" w:rsidRDefault="00693839" w14:paraId="383EF512" w14:textId="7D2E2484">
            <w:pPr>
              <w:rPr>
                <w:b/>
                <w:bCs/>
                <w:lang w:val="nl-NL"/>
              </w:rPr>
            </w:pPr>
            <w:r>
              <w:rPr>
                <w:b/>
                <w:bCs/>
                <w:lang w:val="nl-NL"/>
              </w:rPr>
              <w:t>10</w:t>
            </w:r>
          </w:p>
          <w:p w:rsidRPr="002908A8" w:rsidR="005479B4" w:rsidP="00417B16" w:rsidRDefault="005479B4" w14:paraId="624C85E2" w14:textId="77777777">
            <w:pPr>
              <w:rPr>
                <w:lang w:val="nl-NL"/>
              </w:rPr>
            </w:pPr>
          </w:p>
        </w:tc>
        <w:tc>
          <w:tcPr>
            <w:tcW w:w="2438" w:type="dxa"/>
          </w:tcPr>
          <w:p w:rsidRPr="00AC61FF" w:rsidR="005479B4" w:rsidP="00417B16" w:rsidRDefault="005479B4" w14:paraId="2CB920D8" w14:textId="77777777">
            <w:pPr>
              <w:rPr>
                <w:b/>
                <w:bCs/>
                <w:lang w:val="nl-NL"/>
              </w:rPr>
            </w:pPr>
            <w:r>
              <w:rPr>
                <w:b/>
                <w:bCs/>
                <w:lang w:val="nl-NL"/>
              </w:rPr>
              <w:t>Schorsen vergunningen</w:t>
            </w:r>
          </w:p>
        </w:tc>
        <w:tc>
          <w:tcPr>
            <w:tcW w:w="3402" w:type="dxa"/>
          </w:tcPr>
          <w:p w:rsidR="005479B4" w:rsidP="00417B16" w:rsidRDefault="005479B4" w14:paraId="552DCDF7" w14:textId="77777777">
            <w:pPr>
              <w:rPr>
                <w:lang w:val="nl-NL"/>
              </w:rPr>
            </w:pPr>
            <w:r>
              <w:rPr>
                <w:lang w:val="nl-NL"/>
              </w:rPr>
              <w:t>Evaluatie:</w:t>
            </w:r>
          </w:p>
          <w:p w:rsidR="005479B4" w:rsidP="005479B4" w:rsidRDefault="005479B4" w14:paraId="59437238" w14:textId="77777777">
            <w:pPr>
              <w:pStyle w:val="Lijstalinea"/>
              <w:numPr>
                <w:ilvl w:val="0"/>
                <w:numId w:val="1"/>
              </w:numPr>
              <w:rPr>
                <w:lang w:val="nl-NL"/>
              </w:rPr>
            </w:pPr>
            <w:r>
              <w:rPr>
                <w:lang w:val="nl-NL"/>
              </w:rPr>
              <w:t>Onderzoek schorsen vergunning</w:t>
            </w:r>
          </w:p>
          <w:p w:rsidR="005479B4" w:rsidP="00417B16" w:rsidRDefault="005479B4" w14:paraId="0B81A0FE" w14:textId="77777777">
            <w:pPr>
              <w:rPr>
                <w:lang w:val="nl-NL"/>
              </w:rPr>
            </w:pPr>
          </w:p>
          <w:p w:rsidR="005479B4" w:rsidP="00417B16" w:rsidRDefault="005479B4" w14:paraId="0709F12A" w14:textId="77777777">
            <w:pPr>
              <w:rPr>
                <w:lang w:val="nl-NL"/>
              </w:rPr>
            </w:pPr>
            <w:r>
              <w:rPr>
                <w:lang w:val="nl-NL"/>
              </w:rPr>
              <w:t>Initiatiefwetsvoorstel</w:t>
            </w:r>
            <w:r w:rsidDel="0016567C">
              <w:rPr>
                <w:lang w:val="nl-NL"/>
              </w:rPr>
              <w:t xml:space="preserve"> </w:t>
            </w:r>
            <w:r>
              <w:rPr>
                <w:lang w:val="nl-NL"/>
              </w:rPr>
              <w:t>:</w:t>
            </w:r>
          </w:p>
          <w:p w:rsidR="005479B4" w:rsidP="005479B4" w:rsidRDefault="005479B4" w14:paraId="23759746" w14:textId="77777777">
            <w:pPr>
              <w:pStyle w:val="Lijstalinea"/>
              <w:numPr>
                <w:ilvl w:val="0"/>
                <w:numId w:val="1"/>
              </w:numPr>
              <w:rPr>
                <w:lang w:val="nl-NL"/>
              </w:rPr>
            </w:pPr>
            <w:r>
              <w:rPr>
                <w:lang w:val="nl-NL"/>
              </w:rPr>
              <w:t>Schorsen vergunning</w:t>
            </w:r>
          </w:p>
          <w:p w:rsidRPr="003A4161" w:rsidR="005479B4" w:rsidP="005479B4" w:rsidRDefault="005479B4" w14:paraId="7139290D" w14:textId="77777777">
            <w:pPr>
              <w:pStyle w:val="Lijstalinea"/>
              <w:numPr>
                <w:ilvl w:val="0"/>
                <w:numId w:val="1"/>
              </w:numPr>
              <w:rPr>
                <w:lang w:val="nl-NL"/>
              </w:rPr>
            </w:pPr>
            <w:r>
              <w:rPr>
                <w:lang w:val="nl-NL"/>
              </w:rPr>
              <w:t>Gedrag op zorgplicht laten meetellen voor nieuwe vergunningverlening</w:t>
            </w:r>
          </w:p>
        </w:tc>
        <w:tc>
          <w:tcPr>
            <w:tcW w:w="3260" w:type="dxa"/>
          </w:tcPr>
          <w:p w:rsidRPr="002908A8" w:rsidR="005479B4" w:rsidP="00417B16" w:rsidRDefault="005479B4" w14:paraId="38E8C2A5" w14:textId="7482B6D8">
            <w:pPr>
              <w:rPr>
                <w:lang w:val="nl-NL"/>
              </w:rPr>
            </w:pPr>
            <w:r w:rsidRPr="002908A8">
              <w:rPr>
                <w:lang w:val="nl-NL"/>
              </w:rPr>
              <w:t>Schorsen vergunning</w:t>
            </w:r>
            <w:r>
              <w:rPr>
                <w:lang w:val="nl-NL"/>
              </w:rPr>
              <w:t xml:space="preserve"> onderzoeken zonder dat een voornemen bestaat om de vergunning in te trekken als zelfstandig instrument </w:t>
            </w:r>
            <w:r w:rsidR="0034773F">
              <w:rPr>
                <w:lang w:val="nl-NL"/>
              </w:rPr>
              <w:t>introduceren</w:t>
            </w:r>
          </w:p>
        </w:tc>
        <w:tc>
          <w:tcPr>
            <w:tcW w:w="1701" w:type="dxa"/>
          </w:tcPr>
          <w:p w:rsidRPr="002908A8" w:rsidR="005479B4" w:rsidP="00417B16" w:rsidRDefault="005479B4" w14:paraId="54801592" w14:textId="77777777">
            <w:pPr>
              <w:rPr>
                <w:lang w:val="nl-NL"/>
              </w:rPr>
            </w:pPr>
            <w:r w:rsidRPr="002908A8">
              <w:rPr>
                <w:lang w:val="nl-NL"/>
              </w:rPr>
              <w:t>- Beleids</w:t>
            </w:r>
            <w:r>
              <w:rPr>
                <w:lang w:val="nl-NL"/>
              </w:rPr>
              <w:t>-</w:t>
            </w:r>
            <w:r w:rsidRPr="002908A8">
              <w:rPr>
                <w:lang w:val="nl-NL"/>
              </w:rPr>
              <w:t xml:space="preserve">kompas doorlopen </w:t>
            </w:r>
          </w:p>
          <w:p w:rsidRPr="002908A8" w:rsidR="005479B4" w:rsidP="00417B16" w:rsidRDefault="005479B4" w14:paraId="50C875E1" w14:textId="77777777">
            <w:pPr>
              <w:rPr>
                <w:lang w:val="nl-NL"/>
              </w:rPr>
            </w:pPr>
            <w:r w:rsidRPr="002908A8">
              <w:rPr>
                <w:lang w:val="nl-NL"/>
              </w:rPr>
              <w:t>- Begin met MvT</w:t>
            </w:r>
          </w:p>
          <w:p w:rsidRPr="002908A8" w:rsidR="005479B4" w:rsidP="00417B16" w:rsidRDefault="005479B4" w14:paraId="355F0B89" w14:textId="77777777">
            <w:pPr>
              <w:rPr>
                <w:lang w:val="nl-NL"/>
              </w:rPr>
            </w:pPr>
            <w:r w:rsidRPr="002908A8">
              <w:rPr>
                <w:lang w:val="nl-NL"/>
              </w:rPr>
              <w:t>- UT/advies Ksa</w:t>
            </w:r>
          </w:p>
        </w:tc>
        <w:tc>
          <w:tcPr>
            <w:tcW w:w="1701" w:type="dxa"/>
          </w:tcPr>
          <w:p w:rsidRPr="002908A8" w:rsidR="005479B4" w:rsidP="00417B16" w:rsidRDefault="005479B4" w14:paraId="1A4A5599" w14:textId="77777777">
            <w:pPr>
              <w:rPr>
                <w:lang w:val="nl-NL"/>
              </w:rPr>
            </w:pPr>
            <w:r w:rsidRPr="002908A8">
              <w:rPr>
                <w:lang w:val="nl-NL"/>
              </w:rPr>
              <w:t xml:space="preserve">- Beleidskompas doorlopen </w:t>
            </w:r>
          </w:p>
          <w:p w:rsidRPr="002908A8" w:rsidR="005479B4" w:rsidP="00417B16" w:rsidRDefault="005479B4" w14:paraId="30C2855B" w14:textId="77777777">
            <w:pPr>
              <w:rPr>
                <w:lang w:val="nl-NL"/>
              </w:rPr>
            </w:pPr>
            <w:r w:rsidRPr="002908A8">
              <w:rPr>
                <w:lang w:val="nl-NL"/>
              </w:rPr>
              <w:t>- MvT</w:t>
            </w:r>
          </w:p>
          <w:p w:rsidRPr="002908A8" w:rsidR="005479B4" w:rsidP="00417B16" w:rsidRDefault="005479B4" w14:paraId="3182C56F" w14:textId="77777777">
            <w:pPr>
              <w:rPr>
                <w:lang w:val="nl-NL"/>
              </w:rPr>
            </w:pPr>
            <w:r>
              <w:rPr>
                <w:lang w:val="nl-NL"/>
              </w:rPr>
              <w:t>-eind 2025 begin wetteksten</w:t>
            </w:r>
          </w:p>
          <w:p w:rsidRPr="002908A8" w:rsidR="005479B4" w:rsidP="00417B16" w:rsidRDefault="005479B4" w14:paraId="00DCF0D8" w14:textId="77777777">
            <w:pPr>
              <w:rPr>
                <w:lang w:val="nl-NL"/>
              </w:rPr>
            </w:pPr>
          </w:p>
        </w:tc>
        <w:tc>
          <w:tcPr>
            <w:tcW w:w="1522" w:type="dxa"/>
          </w:tcPr>
          <w:p w:rsidRPr="002908A8" w:rsidR="005479B4" w:rsidP="00417B16" w:rsidRDefault="005479B4" w14:paraId="371046D1" w14:textId="77777777">
            <w:pPr>
              <w:rPr>
                <w:lang w:val="nl-NL"/>
              </w:rPr>
            </w:pPr>
            <w:r>
              <w:rPr>
                <w:lang w:val="nl-NL"/>
              </w:rPr>
              <w:t>MvT, wetteksten en mogelijk lagere regelgeving</w:t>
            </w:r>
          </w:p>
          <w:p w:rsidRPr="002908A8" w:rsidR="005479B4" w:rsidP="00417B16" w:rsidRDefault="005479B4" w14:paraId="06798A2F" w14:textId="77777777">
            <w:pPr>
              <w:rPr>
                <w:lang w:val="nl-NL"/>
              </w:rPr>
            </w:pPr>
          </w:p>
        </w:tc>
      </w:tr>
      <w:tr w:rsidRPr="00E83E19" w:rsidR="005479B4" w:rsidTr="0034773F" w14:paraId="7B6A99FE" w14:textId="77777777">
        <w:tc>
          <w:tcPr>
            <w:tcW w:w="534" w:type="dxa"/>
          </w:tcPr>
          <w:p w:rsidRPr="006E61E6" w:rsidR="005479B4" w:rsidP="00417B16" w:rsidRDefault="005479B4" w14:paraId="0BD9542C" w14:textId="066BDF75">
            <w:pPr>
              <w:rPr>
                <w:b/>
                <w:bCs/>
                <w:lang w:val="nl-NL"/>
              </w:rPr>
            </w:pPr>
            <w:r w:rsidRPr="006E61E6">
              <w:rPr>
                <w:b/>
                <w:bCs/>
                <w:lang w:val="nl-NL"/>
              </w:rPr>
              <w:t>1</w:t>
            </w:r>
            <w:r w:rsidR="00693839">
              <w:rPr>
                <w:b/>
                <w:bCs/>
                <w:lang w:val="nl-NL"/>
              </w:rPr>
              <w:t>1</w:t>
            </w:r>
          </w:p>
        </w:tc>
        <w:tc>
          <w:tcPr>
            <w:tcW w:w="2438" w:type="dxa"/>
          </w:tcPr>
          <w:p w:rsidRPr="00E51414" w:rsidR="005479B4" w:rsidP="00417B16" w:rsidRDefault="005479B4" w14:paraId="2B7ECEB6" w14:textId="77777777">
            <w:pPr>
              <w:rPr>
                <w:b/>
                <w:bCs/>
                <w:lang w:val="nl-NL"/>
              </w:rPr>
            </w:pPr>
            <w:r w:rsidRPr="00E51414">
              <w:rPr>
                <w:b/>
                <w:bCs/>
                <w:lang w:val="nl-NL"/>
              </w:rPr>
              <w:t>Cruks verbeteren</w:t>
            </w:r>
          </w:p>
          <w:p w:rsidRPr="002908A8" w:rsidR="005479B4" w:rsidP="00417B16" w:rsidRDefault="005479B4" w14:paraId="3ACCF4D5" w14:textId="77777777">
            <w:pPr>
              <w:rPr>
                <w:lang w:val="nl-NL"/>
              </w:rPr>
            </w:pPr>
          </w:p>
        </w:tc>
        <w:tc>
          <w:tcPr>
            <w:tcW w:w="3402" w:type="dxa"/>
          </w:tcPr>
          <w:p w:rsidR="005479B4" w:rsidP="00417B16" w:rsidRDefault="005479B4" w14:paraId="63D96B9D" w14:textId="77777777">
            <w:pPr>
              <w:rPr>
                <w:lang w:val="nl-NL"/>
              </w:rPr>
            </w:pPr>
            <w:r>
              <w:rPr>
                <w:lang w:val="nl-NL"/>
              </w:rPr>
              <w:t xml:space="preserve">Initiatiefnota en initiatiefwetsvoorstel: </w:t>
            </w:r>
          </w:p>
          <w:p w:rsidRPr="00AC61FF" w:rsidR="005479B4" w:rsidP="00417B16" w:rsidRDefault="005479B4" w14:paraId="270256E1" w14:textId="77777777">
            <w:pPr>
              <w:rPr>
                <w:lang w:val="nl-NL"/>
              </w:rPr>
            </w:pPr>
            <w:r>
              <w:rPr>
                <w:lang w:val="nl-NL"/>
              </w:rPr>
              <w:t xml:space="preserve">- </w:t>
            </w:r>
            <w:r w:rsidRPr="00AC61FF">
              <w:rPr>
                <w:lang w:val="nl-NL"/>
              </w:rPr>
              <w:t>Cruks verbeteren</w:t>
            </w:r>
          </w:p>
          <w:p w:rsidR="005479B4" w:rsidP="00417B16" w:rsidRDefault="005479B4" w14:paraId="1FCBBE59" w14:textId="77777777">
            <w:pPr>
              <w:rPr>
                <w:lang w:val="nl-NL"/>
              </w:rPr>
            </w:pPr>
          </w:p>
          <w:p w:rsidR="005479B4" w:rsidP="00417B16" w:rsidRDefault="005479B4" w14:paraId="6652102E" w14:textId="77777777">
            <w:pPr>
              <w:rPr>
                <w:lang w:val="nl-NL"/>
              </w:rPr>
            </w:pPr>
            <w:r>
              <w:rPr>
                <w:lang w:val="nl-NL"/>
              </w:rPr>
              <w:t>Motie Mutluer en Tseggai</w:t>
            </w:r>
            <w:r>
              <w:rPr>
                <w:rStyle w:val="Voetnootmarkering"/>
                <w:lang w:val="nl-NL"/>
              </w:rPr>
              <w:footnoteReference w:id="13"/>
            </w:r>
            <w:r>
              <w:rPr>
                <w:lang w:val="nl-NL"/>
              </w:rPr>
              <w:t xml:space="preserve">: </w:t>
            </w:r>
          </w:p>
          <w:p w:rsidRPr="00CD0562" w:rsidR="005479B4" w:rsidP="00417B16" w:rsidRDefault="005479B4" w14:paraId="7543A939" w14:textId="77777777">
            <w:pPr>
              <w:rPr>
                <w:lang w:val="nl-NL"/>
              </w:rPr>
            </w:pPr>
            <w:r>
              <w:rPr>
                <w:lang w:val="nl-NL"/>
              </w:rPr>
              <w:t>- O</w:t>
            </w:r>
            <w:r w:rsidRPr="00850D04">
              <w:rPr>
                <w:lang w:val="nl-NL"/>
              </w:rPr>
              <w:t>nderzoeken hoe de positie van bewindvoerders en mentoren bij inschrijving van hun cliënten in het Cruks kan worden versterkt </w:t>
            </w:r>
          </w:p>
        </w:tc>
        <w:tc>
          <w:tcPr>
            <w:tcW w:w="3260" w:type="dxa"/>
          </w:tcPr>
          <w:p w:rsidRPr="002908A8" w:rsidR="005479B4" w:rsidP="00417B16" w:rsidRDefault="005479B4" w14:paraId="3FBFDADB" w14:textId="3F7A2379">
            <w:pPr>
              <w:rPr>
                <w:lang w:val="nl-NL"/>
              </w:rPr>
            </w:pPr>
            <w:r>
              <w:rPr>
                <w:lang w:val="nl-NL"/>
              </w:rPr>
              <w:t>Hierbij gaat het o.a. om mogelijkheden om de m</w:t>
            </w:r>
            <w:r w:rsidRPr="002908A8">
              <w:rPr>
                <w:lang w:val="nl-NL"/>
              </w:rPr>
              <w:t>inimale inschrijftermijn</w:t>
            </w:r>
            <w:r>
              <w:rPr>
                <w:lang w:val="nl-NL"/>
              </w:rPr>
              <w:t xml:space="preserve"> te</w:t>
            </w:r>
            <w:r w:rsidRPr="002908A8">
              <w:rPr>
                <w:lang w:val="nl-NL"/>
              </w:rPr>
              <w:t xml:space="preserve"> verlengen</w:t>
            </w:r>
            <w:r>
              <w:rPr>
                <w:lang w:val="nl-NL"/>
              </w:rPr>
              <w:t>, o</w:t>
            </w:r>
            <w:r w:rsidRPr="002908A8">
              <w:rPr>
                <w:lang w:val="nl-NL"/>
              </w:rPr>
              <w:t>nvrijwillige inschrijving makkelijker</w:t>
            </w:r>
            <w:r>
              <w:rPr>
                <w:lang w:val="nl-NL"/>
              </w:rPr>
              <w:t xml:space="preserve"> te</w:t>
            </w:r>
            <w:r w:rsidRPr="002908A8">
              <w:rPr>
                <w:lang w:val="nl-NL"/>
              </w:rPr>
              <w:t xml:space="preserve"> maken</w:t>
            </w:r>
            <w:r>
              <w:rPr>
                <w:lang w:val="nl-NL"/>
              </w:rPr>
              <w:t>, v</w:t>
            </w:r>
            <w:r w:rsidRPr="002908A8">
              <w:rPr>
                <w:lang w:val="nl-NL"/>
              </w:rPr>
              <w:t xml:space="preserve">oorwaardelijke inschrijving </w:t>
            </w:r>
            <w:r>
              <w:rPr>
                <w:lang w:val="nl-NL"/>
              </w:rPr>
              <w:t xml:space="preserve">te </w:t>
            </w:r>
            <w:r w:rsidRPr="002908A8">
              <w:rPr>
                <w:lang w:val="nl-NL"/>
              </w:rPr>
              <w:t>onderzoeken</w:t>
            </w:r>
            <w:r>
              <w:rPr>
                <w:lang w:val="nl-NL"/>
              </w:rPr>
              <w:t>, c</w:t>
            </w:r>
            <w:r w:rsidRPr="002908A8">
              <w:rPr>
                <w:lang w:val="nl-NL"/>
              </w:rPr>
              <w:t>ontrole bij beëindiging Cruks voor aanbieders</w:t>
            </w:r>
            <w:r>
              <w:rPr>
                <w:lang w:val="nl-NL"/>
              </w:rPr>
              <w:t xml:space="preserve"> en p</w:t>
            </w:r>
            <w:r w:rsidRPr="002908A8">
              <w:rPr>
                <w:lang w:val="nl-NL"/>
              </w:rPr>
              <w:t>rivacybeperking</w:t>
            </w:r>
            <w:r>
              <w:rPr>
                <w:lang w:val="nl-NL"/>
              </w:rPr>
              <w:t>en</w:t>
            </w:r>
            <w:r w:rsidRPr="002908A8">
              <w:rPr>
                <w:lang w:val="nl-NL"/>
              </w:rPr>
              <w:t xml:space="preserve"> om uitsluiting </w:t>
            </w:r>
            <w:r>
              <w:rPr>
                <w:lang w:val="nl-NL"/>
              </w:rPr>
              <w:t xml:space="preserve">van </w:t>
            </w:r>
            <w:r w:rsidRPr="002908A8">
              <w:rPr>
                <w:lang w:val="nl-NL"/>
              </w:rPr>
              <w:t>reclame mogelijk te maken.</w:t>
            </w:r>
            <w:r>
              <w:rPr>
                <w:lang w:val="nl-NL"/>
              </w:rPr>
              <w:t xml:space="preserve"> Hierbij is s</w:t>
            </w:r>
            <w:r w:rsidRPr="002908A8">
              <w:rPr>
                <w:lang w:val="nl-NL"/>
              </w:rPr>
              <w:t>amenhang met algemene uitgangspunten</w:t>
            </w:r>
            <w:r>
              <w:rPr>
                <w:lang w:val="nl-NL"/>
              </w:rPr>
              <w:t xml:space="preserve"> van de wet. </w:t>
            </w:r>
          </w:p>
        </w:tc>
        <w:tc>
          <w:tcPr>
            <w:tcW w:w="1701" w:type="dxa"/>
          </w:tcPr>
          <w:p w:rsidR="005479B4" w:rsidP="00417B16" w:rsidRDefault="005479B4" w14:paraId="3E3BD3CF" w14:textId="7033B154">
            <w:pPr>
              <w:rPr>
                <w:lang w:val="nl-NL"/>
              </w:rPr>
            </w:pPr>
            <w:r w:rsidRPr="002908A8">
              <w:rPr>
                <w:lang w:val="nl-NL"/>
              </w:rPr>
              <w:t xml:space="preserve">- </w:t>
            </w:r>
            <w:r w:rsidRPr="006C2B40">
              <w:rPr>
                <w:lang w:val="nl-NL"/>
              </w:rPr>
              <w:t xml:space="preserve">Onderzoek in </w:t>
            </w:r>
            <w:r>
              <w:rPr>
                <w:lang w:val="nl-NL"/>
              </w:rPr>
              <w:t xml:space="preserve">de </w:t>
            </w:r>
            <w:r w:rsidRPr="006C2B40">
              <w:rPr>
                <w:lang w:val="nl-NL"/>
              </w:rPr>
              <w:t xml:space="preserve"> onderzoeken naar risico- en probleemspelers (kwalitatief en kwantitatief)</w:t>
            </w:r>
          </w:p>
          <w:p w:rsidRPr="006C2B40" w:rsidR="005479B4" w:rsidP="00417B16" w:rsidRDefault="005479B4" w14:paraId="18397448" w14:textId="77777777">
            <w:pPr>
              <w:rPr>
                <w:lang w:val="nl-NL"/>
              </w:rPr>
            </w:pPr>
            <w:r>
              <w:rPr>
                <w:lang w:val="nl-NL"/>
              </w:rPr>
              <w:t>-</w:t>
            </w:r>
            <w:r w:rsidRPr="006C2B40">
              <w:rPr>
                <w:lang w:val="nl-NL"/>
              </w:rPr>
              <w:t xml:space="preserve"> </w:t>
            </w:r>
            <w:r>
              <w:rPr>
                <w:lang w:val="nl-NL"/>
              </w:rPr>
              <w:t>J</w:t>
            </w:r>
            <w:r w:rsidRPr="006C2B40">
              <w:rPr>
                <w:lang w:val="nl-NL"/>
              </w:rPr>
              <w:t>uridische analyses</w:t>
            </w:r>
          </w:p>
        </w:tc>
        <w:tc>
          <w:tcPr>
            <w:tcW w:w="1701" w:type="dxa"/>
          </w:tcPr>
          <w:p w:rsidRPr="002908A8" w:rsidR="005479B4" w:rsidP="00417B16" w:rsidRDefault="005479B4" w14:paraId="6F2EBDF4" w14:textId="77777777">
            <w:pPr>
              <w:rPr>
                <w:lang w:val="nl-NL"/>
              </w:rPr>
            </w:pPr>
            <w:r>
              <w:rPr>
                <w:lang w:val="nl-NL"/>
              </w:rPr>
              <w:t xml:space="preserve">- </w:t>
            </w:r>
            <w:r w:rsidRPr="002908A8">
              <w:rPr>
                <w:lang w:val="nl-NL"/>
              </w:rPr>
              <w:t>Afronding onderzoek</w:t>
            </w:r>
          </w:p>
          <w:p w:rsidRPr="002908A8" w:rsidR="005479B4" w:rsidP="00417B16" w:rsidRDefault="005479B4" w14:paraId="6F3A24A3" w14:textId="77777777">
            <w:pPr>
              <w:rPr>
                <w:lang w:val="nl-NL"/>
              </w:rPr>
            </w:pPr>
            <w:r w:rsidRPr="002908A8">
              <w:rPr>
                <w:lang w:val="nl-NL"/>
              </w:rPr>
              <w:t xml:space="preserve">- Beleidskompas doorlopen </w:t>
            </w:r>
          </w:p>
          <w:p w:rsidRPr="002908A8" w:rsidR="005479B4" w:rsidP="00417B16" w:rsidRDefault="005479B4" w14:paraId="249C69BE" w14:textId="77777777">
            <w:pPr>
              <w:rPr>
                <w:lang w:val="nl-NL"/>
              </w:rPr>
            </w:pPr>
            <w:r w:rsidRPr="002908A8">
              <w:rPr>
                <w:lang w:val="nl-NL"/>
              </w:rPr>
              <w:t>- Begin met MvT</w:t>
            </w:r>
          </w:p>
          <w:p w:rsidR="005479B4" w:rsidP="00417B16" w:rsidRDefault="005479B4" w14:paraId="1F91607D" w14:textId="77777777">
            <w:pPr>
              <w:rPr>
                <w:lang w:val="nl-NL"/>
              </w:rPr>
            </w:pPr>
            <w:r w:rsidRPr="002908A8">
              <w:rPr>
                <w:lang w:val="nl-NL"/>
              </w:rPr>
              <w:t>- UT/advies Ksa</w:t>
            </w:r>
          </w:p>
          <w:p w:rsidRPr="002908A8" w:rsidR="005479B4" w:rsidP="00417B16" w:rsidRDefault="005479B4" w14:paraId="272F534F" w14:textId="77777777">
            <w:pPr>
              <w:rPr>
                <w:lang w:val="nl-NL"/>
              </w:rPr>
            </w:pPr>
            <w:r>
              <w:rPr>
                <w:lang w:val="nl-NL"/>
              </w:rPr>
              <w:t>- Eind 2025 begin wetteksten</w:t>
            </w:r>
          </w:p>
        </w:tc>
        <w:tc>
          <w:tcPr>
            <w:tcW w:w="1522" w:type="dxa"/>
          </w:tcPr>
          <w:p w:rsidRPr="002908A8" w:rsidR="005479B4" w:rsidP="00417B16" w:rsidRDefault="005479B4" w14:paraId="5D9BC481" w14:textId="77777777">
            <w:pPr>
              <w:rPr>
                <w:lang w:val="nl-NL"/>
              </w:rPr>
            </w:pPr>
            <w:r>
              <w:rPr>
                <w:lang w:val="nl-NL"/>
              </w:rPr>
              <w:t>MvT, wetteksten en mogelijk lagere regelgeving</w:t>
            </w:r>
          </w:p>
          <w:p w:rsidRPr="002908A8" w:rsidR="005479B4" w:rsidP="00417B16" w:rsidRDefault="005479B4" w14:paraId="3BCE7BA7" w14:textId="77777777">
            <w:pPr>
              <w:rPr>
                <w:lang w:val="nl-NL"/>
              </w:rPr>
            </w:pPr>
          </w:p>
        </w:tc>
      </w:tr>
      <w:tr w:rsidRPr="00E83E19" w:rsidR="005479B4" w:rsidTr="0034773F" w14:paraId="289E256A" w14:textId="77777777">
        <w:tc>
          <w:tcPr>
            <w:tcW w:w="534" w:type="dxa"/>
          </w:tcPr>
          <w:p w:rsidRPr="006E61E6" w:rsidR="005479B4" w:rsidP="00417B16" w:rsidRDefault="005479B4" w14:paraId="52F21CC9" w14:textId="0383DAFF">
            <w:pPr>
              <w:rPr>
                <w:b/>
                <w:bCs/>
                <w:lang w:val="nl-NL"/>
              </w:rPr>
            </w:pPr>
            <w:r w:rsidRPr="006E61E6">
              <w:rPr>
                <w:b/>
                <w:bCs/>
                <w:lang w:val="nl-NL"/>
              </w:rPr>
              <w:t>1</w:t>
            </w:r>
            <w:r w:rsidR="00693839">
              <w:rPr>
                <w:b/>
                <w:bCs/>
                <w:lang w:val="nl-NL"/>
              </w:rPr>
              <w:t>2</w:t>
            </w:r>
          </w:p>
          <w:p w:rsidR="005479B4" w:rsidP="00417B16" w:rsidRDefault="005479B4" w14:paraId="2D473545" w14:textId="77777777">
            <w:pPr>
              <w:rPr>
                <w:lang w:val="nl-NL"/>
              </w:rPr>
            </w:pPr>
          </w:p>
          <w:p w:rsidRPr="002908A8" w:rsidR="005479B4" w:rsidP="00417B16" w:rsidRDefault="005479B4" w14:paraId="1FD36146" w14:textId="77777777">
            <w:pPr>
              <w:rPr>
                <w:lang w:val="nl-NL"/>
              </w:rPr>
            </w:pPr>
          </w:p>
        </w:tc>
        <w:tc>
          <w:tcPr>
            <w:tcW w:w="2438" w:type="dxa"/>
          </w:tcPr>
          <w:p w:rsidR="005479B4" w:rsidP="00417B16" w:rsidRDefault="00E83E19" w14:paraId="0B477FAB" w14:textId="489F8928">
            <w:pPr>
              <w:rPr>
                <w:b/>
                <w:bCs/>
                <w:lang w:val="nl-NL"/>
              </w:rPr>
            </w:pPr>
            <w:r>
              <w:rPr>
                <w:b/>
                <w:bCs/>
                <w:lang w:val="nl-NL"/>
              </w:rPr>
              <w:t>I</w:t>
            </w:r>
            <w:r w:rsidRPr="00E51414" w:rsidR="005479B4">
              <w:rPr>
                <w:b/>
                <w:bCs/>
                <w:lang w:val="nl-NL"/>
              </w:rPr>
              <w:t xml:space="preserve">nformatie-uitwisseling </w:t>
            </w:r>
            <w:r>
              <w:rPr>
                <w:b/>
                <w:bCs/>
                <w:lang w:val="nl-NL"/>
              </w:rPr>
              <w:t>matchfixing</w:t>
            </w:r>
          </w:p>
          <w:p w:rsidR="005479B4" w:rsidP="00417B16" w:rsidRDefault="005479B4" w14:paraId="50F9704D" w14:textId="77777777">
            <w:pPr>
              <w:rPr>
                <w:b/>
                <w:bCs/>
                <w:lang w:val="nl-NL"/>
              </w:rPr>
            </w:pPr>
          </w:p>
          <w:p w:rsidRPr="004438D1" w:rsidR="005479B4" w:rsidP="00417B16" w:rsidRDefault="005479B4" w14:paraId="0C56281F" w14:textId="77777777">
            <w:pPr>
              <w:rPr>
                <w:lang w:val="nl-NL"/>
              </w:rPr>
            </w:pPr>
          </w:p>
          <w:p w:rsidRPr="004438D1" w:rsidR="005479B4" w:rsidP="00417B16" w:rsidRDefault="005479B4" w14:paraId="604DE12F" w14:textId="77777777">
            <w:pPr>
              <w:rPr>
                <w:lang w:val="nl-NL"/>
              </w:rPr>
            </w:pPr>
          </w:p>
          <w:p w:rsidRPr="00E51414" w:rsidR="005479B4" w:rsidP="00417B16" w:rsidRDefault="005479B4" w14:paraId="1AB50BA2" w14:textId="77777777">
            <w:pPr>
              <w:rPr>
                <w:b/>
                <w:bCs/>
                <w:lang w:val="nl-NL"/>
              </w:rPr>
            </w:pPr>
          </w:p>
        </w:tc>
        <w:tc>
          <w:tcPr>
            <w:tcW w:w="3402" w:type="dxa"/>
          </w:tcPr>
          <w:p w:rsidR="005479B4" w:rsidP="00417B16" w:rsidRDefault="005479B4" w14:paraId="2E8BFD73" w14:textId="77777777">
            <w:pPr>
              <w:rPr>
                <w:lang w:val="nl-NL"/>
              </w:rPr>
            </w:pPr>
            <w:r>
              <w:rPr>
                <w:lang w:val="nl-NL"/>
              </w:rPr>
              <w:t>Evaluatie:</w:t>
            </w:r>
          </w:p>
          <w:p w:rsidR="005479B4" w:rsidP="00417B16" w:rsidRDefault="005479B4" w14:paraId="4B86F613" w14:textId="77777777">
            <w:pPr>
              <w:rPr>
                <w:lang w:val="nl-NL"/>
              </w:rPr>
            </w:pPr>
            <w:r>
              <w:rPr>
                <w:lang w:val="nl-NL"/>
              </w:rPr>
              <w:t>- Los knelpunten in informatiedeling rond matchfixing op</w:t>
            </w:r>
          </w:p>
          <w:p w:rsidRPr="002908A8" w:rsidR="005479B4" w:rsidP="00417B16" w:rsidRDefault="005479B4" w14:paraId="649AD122" w14:textId="5234BD74">
            <w:pPr>
              <w:rPr>
                <w:lang w:val="nl-NL"/>
              </w:rPr>
            </w:pPr>
          </w:p>
        </w:tc>
        <w:tc>
          <w:tcPr>
            <w:tcW w:w="3260" w:type="dxa"/>
          </w:tcPr>
          <w:p w:rsidRPr="002908A8" w:rsidR="005479B4" w:rsidP="00417B16" w:rsidRDefault="005479B4" w14:paraId="222AC405" w14:textId="43DEC44E">
            <w:pPr>
              <w:rPr>
                <w:lang w:val="nl-NL"/>
              </w:rPr>
            </w:pPr>
            <w:r>
              <w:rPr>
                <w:lang w:val="nl-NL"/>
              </w:rPr>
              <w:t xml:space="preserve">Op het gebied van matchfixing gaat het om </w:t>
            </w:r>
            <w:r w:rsidRPr="002908A8">
              <w:rPr>
                <w:lang w:val="nl-NL"/>
              </w:rPr>
              <w:t>aanpass</w:t>
            </w:r>
            <w:r>
              <w:rPr>
                <w:lang w:val="nl-NL"/>
              </w:rPr>
              <w:t>ing van de wet</w:t>
            </w:r>
            <w:r w:rsidRPr="002908A8">
              <w:rPr>
                <w:lang w:val="nl-NL"/>
              </w:rPr>
              <w:t xml:space="preserve"> om signalen van weddenschapsmanipulatie breder te kunnen delen</w:t>
            </w:r>
            <w:r>
              <w:rPr>
                <w:lang w:val="nl-NL"/>
              </w:rPr>
              <w:t>.</w:t>
            </w:r>
          </w:p>
        </w:tc>
        <w:tc>
          <w:tcPr>
            <w:tcW w:w="1701" w:type="dxa"/>
          </w:tcPr>
          <w:p w:rsidRPr="00706322" w:rsidR="005479B4" w:rsidP="00417B16" w:rsidRDefault="005479B4" w14:paraId="5DAEBED1" w14:textId="77777777">
            <w:pPr>
              <w:rPr>
                <w:lang w:val="nl-NL"/>
              </w:rPr>
            </w:pPr>
            <w:r w:rsidRPr="002908A8">
              <w:rPr>
                <w:lang w:val="nl-NL"/>
              </w:rPr>
              <w:t xml:space="preserve">- </w:t>
            </w:r>
            <w:r w:rsidRPr="00706322">
              <w:rPr>
                <w:lang w:val="nl-NL"/>
              </w:rPr>
              <w:t>Onderzoek grondslagen data-deling</w:t>
            </w:r>
          </w:p>
          <w:p w:rsidRPr="002908A8" w:rsidR="005479B4" w:rsidP="00417B16" w:rsidRDefault="005479B4" w14:paraId="13DB5150" w14:textId="77777777">
            <w:pPr>
              <w:rPr>
                <w:lang w:val="nl-NL"/>
              </w:rPr>
            </w:pPr>
            <w:r>
              <w:rPr>
                <w:lang w:val="nl-NL"/>
              </w:rPr>
              <w:t>- Privacy Impact Assessment</w:t>
            </w:r>
          </w:p>
        </w:tc>
        <w:tc>
          <w:tcPr>
            <w:tcW w:w="1701" w:type="dxa"/>
          </w:tcPr>
          <w:p w:rsidRPr="002908A8" w:rsidR="005479B4" w:rsidP="00417B16" w:rsidRDefault="005479B4" w14:paraId="5FCB276D" w14:textId="77777777">
            <w:pPr>
              <w:rPr>
                <w:lang w:val="nl-NL"/>
              </w:rPr>
            </w:pPr>
            <w:r w:rsidRPr="002908A8">
              <w:rPr>
                <w:lang w:val="nl-NL"/>
              </w:rPr>
              <w:t>- Onderzoek afronden</w:t>
            </w:r>
          </w:p>
          <w:p w:rsidR="005479B4" w:rsidP="00417B16" w:rsidRDefault="005479B4" w14:paraId="0FB477BD" w14:textId="77777777">
            <w:pPr>
              <w:rPr>
                <w:lang w:val="nl-NL"/>
              </w:rPr>
            </w:pPr>
            <w:r w:rsidRPr="002908A8">
              <w:rPr>
                <w:lang w:val="nl-NL"/>
              </w:rPr>
              <w:t>- Doorlopen beleidskompas</w:t>
            </w:r>
          </w:p>
          <w:p w:rsidRPr="002908A8" w:rsidR="005479B4" w:rsidP="00417B16" w:rsidRDefault="005479B4" w14:paraId="196239CC" w14:textId="1D3F9157">
            <w:pPr>
              <w:rPr>
                <w:lang w:val="nl-NL"/>
              </w:rPr>
            </w:pPr>
            <w:r>
              <w:rPr>
                <w:lang w:val="nl-NL"/>
              </w:rPr>
              <w:t xml:space="preserve">- Eind 2025 begin </w:t>
            </w:r>
            <w:r w:rsidR="00056627">
              <w:rPr>
                <w:lang w:val="nl-NL"/>
              </w:rPr>
              <w:t xml:space="preserve">MvT en </w:t>
            </w:r>
            <w:r>
              <w:rPr>
                <w:lang w:val="nl-NL"/>
              </w:rPr>
              <w:t>wetteksten</w:t>
            </w:r>
          </w:p>
        </w:tc>
        <w:tc>
          <w:tcPr>
            <w:tcW w:w="1522" w:type="dxa"/>
          </w:tcPr>
          <w:p w:rsidRPr="002908A8" w:rsidR="005479B4" w:rsidP="00417B16" w:rsidRDefault="005479B4" w14:paraId="684FFA0F" w14:textId="77777777">
            <w:pPr>
              <w:rPr>
                <w:lang w:val="nl-NL"/>
              </w:rPr>
            </w:pPr>
            <w:r>
              <w:rPr>
                <w:lang w:val="nl-NL"/>
              </w:rPr>
              <w:t>MvT, wetteksten en mogelijk lagere regelgeving</w:t>
            </w:r>
          </w:p>
          <w:p w:rsidRPr="002908A8" w:rsidR="005479B4" w:rsidP="00417B16" w:rsidRDefault="005479B4" w14:paraId="5F38FF11" w14:textId="77777777">
            <w:pPr>
              <w:rPr>
                <w:lang w:val="nl-NL"/>
              </w:rPr>
            </w:pPr>
          </w:p>
        </w:tc>
      </w:tr>
      <w:tr w:rsidRPr="00E83E19" w:rsidR="00E83E19" w:rsidTr="0034773F" w14:paraId="78760D73" w14:textId="77777777">
        <w:tc>
          <w:tcPr>
            <w:tcW w:w="534" w:type="dxa"/>
          </w:tcPr>
          <w:p w:rsidRPr="006E61E6" w:rsidR="00E83E19" w:rsidP="00417B16" w:rsidRDefault="00E83E19" w14:paraId="64758B37" w14:textId="48EFF6CC">
            <w:pPr>
              <w:rPr>
                <w:b/>
                <w:bCs/>
                <w:lang w:val="nl-NL"/>
              </w:rPr>
            </w:pPr>
            <w:r>
              <w:rPr>
                <w:b/>
                <w:bCs/>
                <w:lang w:val="nl-NL"/>
              </w:rPr>
              <w:t>1</w:t>
            </w:r>
            <w:r w:rsidR="00693839">
              <w:rPr>
                <w:b/>
                <w:bCs/>
                <w:lang w:val="nl-NL"/>
              </w:rPr>
              <w:t>3</w:t>
            </w:r>
          </w:p>
        </w:tc>
        <w:tc>
          <w:tcPr>
            <w:tcW w:w="2438" w:type="dxa"/>
          </w:tcPr>
          <w:p w:rsidRPr="00E51414" w:rsidR="00E83E19" w:rsidP="00417B16" w:rsidRDefault="00E83E19" w14:paraId="0C6ABADD" w14:textId="042D3ED2">
            <w:pPr>
              <w:rPr>
                <w:b/>
                <w:bCs/>
                <w:lang w:val="nl-NL"/>
              </w:rPr>
            </w:pPr>
            <w:r>
              <w:rPr>
                <w:b/>
                <w:bCs/>
                <w:lang w:val="nl-NL"/>
              </w:rPr>
              <w:t>Toegankelijkheid data voor onderzoek</w:t>
            </w:r>
          </w:p>
        </w:tc>
        <w:tc>
          <w:tcPr>
            <w:tcW w:w="3402" w:type="dxa"/>
          </w:tcPr>
          <w:p w:rsidR="00E83E19" w:rsidP="00417B16" w:rsidRDefault="00E83E19" w14:paraId="4C8354F1" w14:textId="77777777">
            <w:pPr>
              <w:rPr>
                <w:lang w:val="nl-NL"/>
              </w:rPr>
            </w:pPr>
            <w:r>
              <w:rPr>
                <w:lang w:val="nl-NL"/>
              </w:rPr>
              <w:t xml:space="preserve">Evaluatie: </w:t>
            </w:r>
          </w:p>
          <w:p w:rsidR="00E83E19" w:rsidP="00E83E19" w:rsidRDefault="00E83E19" w14:paraId="655E76BE" w14:textId="77777777">
            <w:pPr>
              <w:rPr>
                <w:lang w:val="nl-NL"/>
              </w:rPr>
            </w:pPr>
            <w:r>
              <w:rPr>
                <w:lang w:val="nl-NL"/>
              </w:rPr>
              <w:t>- Maak aanbieder overstijgende deling van spelersdata t.b.v. onderzoek mogelijk</w:t>
            </w:r>
          </w:p>
          <w:p w:rsidR="00E83E19" w:rsidP="00E83E19" w:rsidRDefault="00E83E19" w14:paraId="6D136BF5" w14:textId="77777777">
            <w:pPr>
              <w:rPr>
                <w:lang w:val="nl-NL"/>
              </w:rPr>
            </w:pPr>
          </w:p>
          <w:p w:rsidR="00E83E19" w:rsidP="00E83E19" w:rsidRDefault="00E83E19" w14:paraId="1D218487" w14:textId="77777777">
            <w:pPr>
              <w:rPr>
                <w:lang w:val="nl-NL"/>
              </w:rPr>
            </w:pPr>
            <w:r>
              <w:rPr>
                <w:lang w:val="nl-NL"/>
              </w:rPr>
              <w:t>Initiatiefwetsvoorstel:</w:t>
            </w:r>
          </w:p>
          <w:p w:rsidR="00E83E19" w:rsidP="00E83E19" w:rsidRDefault="00E83E19" w14:paraId="29E5DF86" w14:textId="77777777">
            <w:pPr>
              <w:rPr>
                <w:lang w:val="nl-NL"/>
              </w:rPr>
            </w:pPr>
            <w:r>
              <w:rPr>
                <w:lang w:val="nl-NL"/>
              </w:rPr>
              <w:t xml:space="preserve">- </w:t>
            </w:r>
            <w:r w:rsidRPr="003A4161">
              <w:rPr>
                <w:lang w:val="nl-NL"/>
              </w:rPr>
              <w:t xml:space="preserve">De </w:t>
            </w:r>
            <w:r>
              <w:rPr>
                <w:lang w:val="nl-NL"/>
              </w:rPr>
              <w:t>N</w:t>
            </w:r>
            <w:r w:rsidRPr="003A4161">
              <w:rPr>
                <w:lang w:val="nl-NL"/>
              </w:rPr>
              <w:t xml:space="preserve">ationaal </w:t>
            </w:r>
            <w:r>
              <w:rPr>
                <w:lang w:val="nl-NL"/>
              </w:rPr>
              <w:t>R</w:t>
            </w:r>
            <w:r w:rsidRPr="003A4161">
              <w:rPr>
                <w:lang w:val="nl-NL"/>
              </w:rPr>
              <w:t xml:space="preserve">apporteur </w:t>
            </w:r>
            <w:r>
              <w:rPr>
                <w:lang w:val="nl-NL"/>
              </w:rPr>
              <w:t>V</w:t>
            </w:r>
            <w:r w:rsidRPr="003A4161">
              <w:rPr>
                <w:lang w:val="nl-NL"/>
              </w:rPr>
              <w:t>erslavingen krijgt toegang tot alle data om onafhankelijk onderzoek te kunnen doen</w:t>
            </w:r>
          </w:p>
          <w:p w:rsidR="00E83E19" w:rsidP="00E83E19" w:rsidRDefault="00E83E19" w14:paraId="72BCDF29" w14:textId="77777777">
            <w:pPr>
              <w:rPr>
                <w:lang w:val="nl-NL"/>
              </w:rPr>
            </w:pPr>
          </w:p>
          <w:p w:rsidR="00E83E19" w:rsidP="00E83E19" w:rsidRDefault="00E83E19" w14:paraId="52CA0CAC" w14:textId="77777777">
            <w:pPr>
              <w:rPr>
                <w:lang w:val="nl-NL"/>
              </w:rPr>
            </w:pPr>
            <w:r>
              <w:rPr>
                <w:lang w:val="nl-NL"/>
              </w:rPr>
              <w:t>Motie Ceder</w:t>
            </w:r>
            <w:r>
              <w:rPr>
                <w:rStyle w:val="Voetnootmarkering"/>
                <w:lang w:val="nl-NL"/>
              </w:rPr>
              <w:footnoteReference w:id="14"/>
            </w:r>
            <w:r>
              <w:rPr>
                <w:lang w:val="nl-NL"/>
              </w:rPr>
              <w:t xml:space="preserve">: </w:t>
            </w:r>
          </w:p>
          <w:p w:rsidR="00E83E19" w:rsidP="00E83E19" w:rsidRDefault="00E83E19" w14:paraId="6E8B323E" w14:textId="2C55082A">
            <w:pPr>
              <w:rPr>
                <w:lang w:val="nl-NL"/>
              </w:rPr>
            </w:pPr>
            <w:r>
              <w:rPr>
                <w:lang w:val="nl-NL"/>
              </w:rPr>
              <w:t xml:space="preserve">- De </w:t>
            </w:r>
            <w:r w:rsidRPr="00850D04">
              <w:rPr>
                <w:lang w:val="nl-NL"/>
              </w:rPr>
              <w:t>Nationaal Rapporteur Verslavingen toegang verlenen tot dezelfde data als de Kansspelautoriteit zodat deze onderzoek kan doen naar gokgedrag en gokverslaving </w:t>
            </w:r>
          </w:p>
          <w:p w:rsidR="00E83E19" w:rsidP="00417B16" w:rsidRDefault="00E83E19" w14:paraId="758F69C1" w14:textId="1DF09FFD">
            <w:pPr>
              <w:rPr>
                <w:lang w:val="nl-NL"/>
              </w:rPr>
            </w:pPr>
          </w:p>
        </w:tc>
        <w:tc>
          <w:tcPr>
            <w:tcW w:w="3260" w:type="dxa"/>
          </w:tcPr>
          <w:p w:rsidRPr="002908A8" w:rsidR="00E83E19" w:rsidP="00E83E19" w:rsidRDefault="00E83E19" w14:paraId="0D5EA976" w14:textId="18707E04">
            <w:pPr>
              <w:rPr>
                <w:lang w:val="nl-NL"/>
              </w:rPr>
            </w:pPr>
            <w:r>
              <w:rPr>
                <w:lang w:val="nl-NL"/>
              </w:rPr>
              <w:t xml:space="preserve">Met betrekking tot data voor onderzoek gaat het om het </w:t>
            </w:r>
            <w:r w:rsidRPr="002908A8">
              <w:rPr>
                <w:lang w:val="nl-NL"/>
              </w:rPr>
              <w:t xml:space="preserve">aanpassen </w:t>
            </w:r>
            <w:r>
              <w:rPr>
                <w:lang w:val="nl-NL"/>
              </w:rPr>
              <w:t xml:space="preserve">van de wet </w:t>
            </w:r>
            <w:r w:rsidRPr="002908A8">
              <w:rPr>
                <w:lang w:val="nl-NL"/>
              </w:rPr>
              <w:t>zodat gepseudonimiseerde gegeven</w:t>
            </w:r>
            <w:r>
              <w:rPr>
                <w:lang w:val="nl-NL"/>
              </w:rPr>
              <w:t>s</w:t>
            </w:r>
            <w:r w:rsidRPr="002908A8">
              <w:rPr>
                <w:lang w:val="nl-NL"/>
              </w:rPr>
              <w:t xml:space="preserve"> voor onderzoek kunnen worden gebruikt</w:t>
            </w:r>
            <w:r>
              <w:rPr>
                <w:lang w:val="nl-NL"/>
              </w:rPr>
              <w:t xml:space="preserve"> </w:t>
            </w:r>
            <w:r w:rsidR="0034773F">
              <w:rPr>
                <w:lang w:val="nl-NL"/>
              </w:rPr>
              <w:t>in plaats van slechts geanonimiseerde gegevens. E</w:t>
            </w:r>
            <w:r>
              <w:rPr>
                <w:lang w:val="nl-NL"/>
              </w:rPr>
              <w:t>n</w:t>
            </w:r>
            <w:r w:rsidR="0034773F">
              <w:rPr>
                <w:lang w:val="nl-NL"/>
              </w:rPr>
              <w:t xml:space="preserve"> het gaat erom </w:t>
            </w:r>
            <w:r w:rsidRPr="002908A8">
              <w:rPr>
                <w:lang w:val="nl-NL"/>
              </w:rPr>
              <w:t xml:space="preserve">data uit </w:t>
            </w:r>
            <w:r w:rsidR="0034773F">
              <w:rPr>
                <w:lang w:val="nl-NL"/>
              </w:rPr>
              <w:t xml:space="preserve">de </w:t>
            </w:r>
            <w:r w:rsidRPr="002908A8">
              <w:rPr>
                <w:lang w:val="nl-NL"/>
              </w:rPr>
              <w:t xml:space="preserve">CDB </w:t>
            </w:r>
            <w:r w:rsidR="0034773F">
              <w:rPr>
                <w:lang w:val="nl-NL"/>
              </w:rPr>
              <w:t xml:space="preserve">te ontsluiten </w:t>
            </w:r>
            <w:r w:rsidRPr="002908A8">
              <w:rPr>
                <w:lang w:val="nl-NL"/>
              </w:rPr>
              <w:t xml:space="preserve">buiten </w:t>
            </w:r>
            <w:r w:rsidR="0034773F">
              <w:rPr>
                <w:lang w:val="nl-NL"/>
              </w:rPr>
              <w:t xml:space="preserve">de </w:t>
            </w:r>
            <w:r w:rsidRPr="002908A8">
              <w:rPr>
                <w:lang w:val="nl-NL"/>
              </w:rPr>
              <w:t xml:space="preserve">toezichtsdoeleinden </w:t>
            </w:r>
            <w:r w:rsidR="0034773F">
              <w:rPr>
                <w:lang w:val="nl-NL"/>
              </w:rPr>
              <w:t>van de Ksa, zodat ook deze data voor onderzoek gebruikt kan worden.</w:t>
            </w:r>
          </w:p>
          <w:p w:rsidR="00E83E19" w:rsidP="00417B16" w:rsidRDefault="00E83E19" w14:paraId="19D8F72B" w14:textId="77777777">
            <w:pPr>
              <w:rPr>
                <w:lang w:val="nl-NL"/>
              </w:rPr>
            </w:pPr>
          </w:p>
        </w:tc>
        <w:tc>
          <w:tcPr>
            <w:tcW w:w="1701" w:type="dxa"/>
          </w:tcPr>
          <w:p w:rsidRPr="00706322" w:rsidR="00E83E19" w:rsidP="00E83E19" w:rsidRDefault="00E83E19" w14:paraId="44101365" w14:textId="77777777">
            <w:pPr>
              <w:rPr>
                <w:lang w:val="nl-NL"/>
              </w:rPr>
            </w:pPr>
            <w:r w:rsidRPr="002908A8">
              <w:rPr>
                <w:lang w:val="nl-NL"/>
              </w:rPr>
              <w:t xml:space="preserve">- </w:t>
            </w:r>
            <w:r w:rsidRPr="00706322">
              <w:rPr>
                <w:lang w:val="nl-NL"/>
              </w:rPr>
              <w:t>Onderzoek grondslagen data-deling</w:t>
            </w:r>
          </w:p>
          <w:p w:rsidRPr="002908A8" w:rsidR="00E83E19" w:rsidP="00E83E19" w:rsidRDefault="00E83E19" w14:paraId="338EEF62" w14:textId="37C4F49D">
            <w:pPr>
              <w:rPr>
                <w:lang w:val="nl-NL"/>
              </w:rPr>
            </w:pPr>
            <w:r>
              <w:rPr>
                <w:lang w:val="nl-NL"/>
              </w:rPr>
              <w:t>- Privacy Impact Assessment</w:t>
            </w:r>
          </w:p>
        </w:tc>
        <w:tc>
          <w:tcPr>
            <w:tcW w:w="1701" w:type="dxa"/>
          </w:tcPr>
          <w:p w:rsidRPr="002908A8" w:rsidR="00E83E19" w:rsidP="00E83E19" w:rsidRDefault="00E83E19" w14:paraId="3F3E1094" w14:textId="77777777">
            <w:pPr>
              <w:rPr>
                <w:lang w:val="nl-NL"/>
              </w:rPr>
            </w:pPr>
            <w:r w:rsidRPr="002908A8">
              <w:rPr>
                <w:lang w:val="nl-NL"/>
              </w:rPr>
              <w:t>- Onderzoek afronden</w:t>
            </w:r>
          </w:p>
          <w:p w:rsidR="00E83E19" w:rsidP="00E83E19" w:rsidRDefault="00E83E19" w14:paraId="4B0EE3BE" w14:textId="77777777">
            <w:pPr>
              <w:rPr>
                <w:lang w:val="nl-NL"/>
              </w:rPr>
            </w:pPr>
            <w:r w:rsidRPr="002908A8">
              <w:rPr>
                <w:lang w:val="nl-NL"/>
              </w:rPr>
              <w:t>- Doorlopen beleidskompas</w:t>
            </w:r>
          </w:p>
          <w:p w:rsidRPr="002908A8" w:rsidR="00E83E19" w:rsidP="00E83E19" w:rsidRDefault="00E83E19" w14:paraId="0D825660" w14:textId="38052079">
            <w:pPr>
              <w:rPr>
                <w:lang w:val="nl-NL"/>
              </w:rPr>
            </w:pPr>
            <w:r>
              <w:rPr>
                <w:lang w:val="nl-NL"/>
              </w:rPr>
              <w:t xml:space="preserve">- Eind 2025 begin </w:t>
            </w:r>
            <w:r w:rsidR="00056627">
              <w:rPr>
                <w:lang w:val="nl-NL"/>
              </w:rPr>
              <w:t xml:space="preserve">MvT en </w:t>
            </w:r>
            <w:r>
              <w:rPr>
                <w:lang w:val="nl-NL"/>
              </w:rPr>
              <w:t>wetteksten</w:t>
            </w:r>
          </w:p>
        </w:tc>
        <w:tc>
          <w:tcPr>
            <w:tcW w:w="1522" w:type="dxa"/>
          </w:tcPr>
          <w:p w:rsidRPr="002908A8" w:rsidR="00E83E19" w:rsidP="00E83E19" w:rsidRDefault="00E83E19" w14:paraId="5AD9FB04" w14:textId="77777777">
            <w:pPr>
              <w:rPr>
                <w:lang w:val="nl-NL"/>
              </w:rPr>
            </w:pPr>
            <w:r>
              <w:rPr>
                <w:lang w:val="nl-NL"/>
              </w:rPr>
              <w:t>MvT, wetteksten en mogelijk lagere regelgeving</w:t>
            </w:r>
          </w:p>
          <w:p w:rsidR="00E83E19" w:rsidP="00417B16" w:rsidRDefault="00E83E19" w14:paraId="5C385732" w14:textId="77777777">
            <w:pPr>
              <w:rPr>
                <w:lang w:val="nl-NL"/>
              </w:rPr>
            </w:pPr>
          </w:p>
        </w:tc>
      </w:tr>
      <w:tr w:rsidRPr="00E83E19" w:rsidR="005479B4" w:rsidTr="00417B16" w14:paraId="76CC5993" w14:textId="77777777">
        <w:trPr>
          <w:gridAfter w:val="3"/>
          <w:wAfter w:w="4924" w:type="dxa"/>
        </w:trPr>
        <w:tc>
          <w:tcPr>
            <w:tcW w:w="9634" w:type="dxa"/>
            <w:gridSpan w:val="4"/>
          </w:tcPr>
          <w:p w:rsidRPr="002908A8" w:rsidR="005479B4" w:rsidP="00417B16" w:rsidRDefault="005479B4" w14:paraId="560E1F1C" w14:textId="77777777">
            <w:pPr>
              <w:rPr>
                <w:lang w:val="nl-NL"/>
              </w:rPr>
            </w:pPr>
          </w:p>
        </w:tc>
      </w:tr>
      <w:tr w:rsidRPr="00B3474A" w:rsidR="005479B4" w:rsidTr="00F5690B" w14:paraId="427D4EF6" w14:textId="77777777">
        <w:trPr>
          <w:gridAfter w:val="3"/>
          <w:wAfter w:w="4924" w:type="dxa"/>
        </w:trPr>
        <w:tc>
          <w:tcPr>
            <w:tcW w:w="2972" w:type="dxa"/>
            <w:gridSpan w:val="2"/>
          </w:tcPr>
          <w:p w:rsidR="005479B4" w:rsidP="00417B16" w:rsidRDefault="005479B4" w14:paraId="18954588" w14:textId="77777777">
            <w:pPr>
              <w:rPr>
                <w:b/>
                <w:bCs/>
                <w:lang w:val="nl-NL"/>
              </w:rPr>
            </w:pPr>
          </w:p>
          <w:p w:rsidR="005479B4" w:rsidP="00417B16" w:rsidRDefault="005479B4" w14:paraId="31991FE4" w14:textId="77777777">
            <w:pPr>
              <w:rPr>
                <w:b/>
                <w:bCs/>
                <w:lang w:val="nl-NL"/>
              </w:rPr>
            </w:pPr>
            <w:r>
              <w:rPr>
                <w:b/>
                <w:bCs/>
                <w:lang w:val="nl-NL"/>
              </w:rPr>
              <w:t>Geen Wetswijzigingen</w:t>
            </w:r>
          </w:p>
          <w:p w:rsidRPr="00CD0562" w:rsidR="005479B4" w:rsidP="00417B16" w:rsidRDefault="005479B4" w14:paraId="5A692B1E" w14:textId="77777777">
            <w:pPr>
              <w:rPr>
                <w:b/>
                <w:bCs/>
                <w:lang w:val="nl-NL"/>
              </w:rPr>
            </w:pPr>
          </w:p>
        </w:tc>
        <w:tc>
          <w:tcPr>
            <w:tcW w:w="3402" w:type="dxa"/>
          </w:tcPr>
          <w:p w:rsidR="005479B4" w:rsidP="00417B16" w:rsidRDefault="005479B4" w14:paraId="0FA80E12" w14:textId="77777777">
            <w:pPr>
              <w:rPr>
                <w:lang w:val="nl-NL"/>
              </w:rPr>
            </w:pPr>
          </w:p>
          <w:p w:rsidRPr="00706322" w:rsidR="005479B4" w:rsidP="00417B16" w:rsidRDefault="005479B4" w14:paraId="3D3078CB" w14:textId="77777777">
            <w:pPr>
              <w:rPr>
                <w:b/>
                <w:bCs/>
                <w:lang w:val="nl-NL"/>
              </w:rPr>
            </w:pPr>
            <w:r>
              <w:rPr>
                <w:b/>
                <w:bCs/>
                <w:lang w:val="nl-NL"/>
              </w:rPr>
              <w:t>Voorstel</w:t>
            </w:r>
          </w:p>
        </w:tc>
        <w:tc>
          <w:tcPr>
            <w:tcW w:w="3260" w:type="dxa"/>
          </w:tcPr>
          <w:p w:rsidR="005479B4" w:rsidP="00417B16" w:rsidRDefault="005479B4" w14:paraId="0796DCB1" w14:textId="77777777">
            <w:pPr>
              <w:rPr>
                <w:lang w:val="nl-NL"/>
              </w:rPr>
            </w:pPr>
          </w:p>
          <w:p w:rsidRPr="002908A8" w:rsidR="005479B4" w:rsidP="00417B16" w:rsidRDefault="005479B4" w14:paraId="419D16B7" w14:textId="77777777">
            <w:pPr>
              <w:rPr>
                <w:lang w:val="nl-NL"/>
              </w:rPr>
            </w:pPr>
            <w:r w:rsidRPr="00706322">
              <w:rPr>
                <w:b/>
                <w:bCs/>
                <w:lang w:val="nl-NL"/>
              </w:rPr>
              <w:t>Toelichting</w:t>
            </w:r>
          </w:p>
        </w:tc>
      </w:tr>
      <w:tr w:rsidRPr="00E83E19" w:rsidR="005479B4" w:rsidTr="00F5690B" w14:paraId="0DB0CA0F" w14:textId="77777777">
        <w:trPr>
          <w:gridAfter w:val="3"/>
          <w:wAfter w:w="4924" w:type="dxa"/>
        </w:trPr>
        <w:tc>
          <w:tcPr>
            <w:tcW w:w="534" w:type="dxa"/>
          </w:tcPr>
          <w:p w:rsidRPr="002908A8" w:rsidR="005479B4" w:rsidP="00417B16" w:rsidRDefault="005479B4" w14:paraId="5C4AFD18" w14:textId="77777777">
            <w:pPr>
              <w:rPr>
                <w:lang w:val="nl-NL"/>
              </w:rPr>
            </w:pPr>
          </w:p>
        </w:tc>
        <w:tc>
          <w:tcPr>
            <w:tcW w:w="2438" w:type="dxa"/>
          </w:tcPr>
          <w:p w:rsidRPr="00CD0562" w:rsidR="005479B4" w:rsidP="00417B16" w:rsidRDefault="005479B4" w14:paraId="43DC77BB" w14:textId="77777777">
            <w:pPr>
              <w:rPr>
                <w:b/>
                <w:bCs/>
                <w:lang w:val="nl-NL"/>
              </w:rPr>
            </w:pPr>
          </w:p>
        </w:tc>
        <w:tc>
          <w:tcPr>
            <w:tcW w:w="3402" w:type="dxa"/>
          </w:tcPr>
          <w:p w:rsidR="005479B4" w:rsidP="00417B16" w:rsidRDefault="005479B4" w14:paraId="7BEA1DFE" w14:textId="77777777">
            <w:pPr>
              <w:rPr>
                <w:lang w:val="nl-NL"/>
              </w:rPr>
            </w:pPr>
            <w:r>
              <w:rPr>
                <w:lang w:val="nl-NL"/>
              </w:rPr>
              <w:t>Initiatiefnota:</w:t>
            </w:r>
          </w:p>
          <w:p w:rsidR="005479B4" w:rsidP="00417B16" w:rsidRDefault="005479B4" w14:paraId="5F8D8A0A" w14:textId="77777777">
            <w:pPr>
              <w:rPr>
                <w:lang w:val="nl-NL"/>
              </w:rPr>
            </w:pPr>
            <w:r>
              <w:rPr>
                <w:lang w:val="nl-NL"/>
              </w:rPr>
              <w:t>-</w:t>
            </w:r>
            <w:r w:rsidRPr="00F61941">
              <w:rPr>
                <w:szCs w:val="18"/>
                <w:lang w:val="nl-NL"/>
              </w:rPr>
              <w:t xml:space="preserve"> </w:t>
            </w:r>
            <w:r>
              <w:rPr>
                <w:szCs w:val="18"/>
                <w:lang w:val="nl-NL"/>
              </w:rPr>
              <w:t>Trek de Wet koa in</w:t>
            </w:r>
          </w:p>
        </w:tc>
        <w:tc>
          <w:tcPr>
            <w:tcW w:w="3260" w:type="dxa"/>
          </w:tcPr>
          <w:p w:rsidRPr="002908A8" w:rsidR="005479B4" w:rsidP="00417B16" w:rsidRDefault="005479B4" w14:paraId="53F589B5" w14:textId="77777777">
            <w:pPr>
              <w:rPr>
                <w:lang w:val="nl-NL"/>
              </w:rPr>
            </w:pPr>
            <w:r>
              <w:rPr>
                <w:lang w:val="nl-NL"/>
              </w:rPr>
              <w:t>Dat is niet de inzet en komt ook niet naar voren uit de evaluatie.</w:t>
            </w:r>
          </w:p>
        </w:tc>
      </w:tr>
      <w:tr w:rsidRPr="00E83E19" w:rsidR="005479B4" w:rsidTr="00F5690B" w14:paraId="514FFCB8" w14:textId="77777777">
        <w:trPr>
          <w:gridAfter w:val="3"/>
          <w:wAfter w:w="4924" w:type="dxa"/>
        </w:trPr>
        <w:tc>
          <w:tcPr>
            <w:tcW w:w="534" w:type="dxa"/>
          </w:tcPr>
          <w:p w:rsidRPr="002908A8" w:rsidR="005479B4" w:rsidP="00417B16" w:rsidRDefault="005479B4" w14:paraId="52446B1A" w14:textId="77777777">
            <w:pPr>
              <w:rPr>
                <w:lang w:val="nl-NL"/>
              </w:rPr>
            </w:pPr>
          </w:p>
        </w:tc>
        <w:tc>
          <w:tcPr>
            <w:tcW w:w="2438" w:type="dxa"/>
          </w:tcPr>
          <w:p w:rsidRPr="00CD0562" w:rsidR="005479B4" w:rsidP="00417B16" w:rsidRDefault="005479B4" w14:paraId="25CDB37E" w14:textId="77777777">
            <w:pPr>
              <w:rPr>
                <w:b/>
                <w:bCs/>
                <w:lang w:val="nl-NL"/>
              </w:rPr>
            </w:pPr>
          </w:p>
        </w:tc>
        <w:tc>
          <w:tcPr>
            <w:tcW w:w="3402" w:type="dxa"/>
          </w:tcPr>
          <w:p w:rsidR="005479B4" w:rsidP="00417B16" w:rsidRDefault="005479B4" w14:paraId="5F6BA397" w14:textId="77777777">
            <w:pPr>
              <w:rPr>
                <w:lang w:val="nl-NL"/>
              </w:rPr>
            </w:pPr>
            <w:r>
              <w:rPr>
                <w:lang w:val="nl-NL"/>
              </w:rPr>
              <w:t>Initiatiefnota:</w:t>
            </w:r>
          </w:p>
          <w:p w:rsidR="005479B4" w:rsidP="00417B16" w:rsidRDefault="005479B4" w14:paraId="3F6FC840" w14:textId="77777777">
            <w:pPr>
              <w:rPr>
                <w:lang w:val="nl-NL"/>
              </w:rPr>
            </w:pPr>
            <w:r>
              <w:rPr>
                <w:lang w:val="nl-NL"/>
              </w:rPr>
              <w:t>-</w:t>
            </w:r>
            <w:r w:rsidRPr="00F61941">
              <w:rPr>
                <w:szCs w:val="18"/>
                <w:lang w:val="nl-NL"/>
              </w:rPr>
              <w:t xml:space="preserve"> Verlaag de drempels voor gokkers om aan te kloppen bij hulporganisaties</w:t>
            </w:r>
          </w:p>
        </w:tc>
        <w:tc>
          <w:tcPr>
            <w:tcW w:w="3260" w:type="dxa"/>
          </w:tcPr>
          <w:p w:rsidRPr="002908A8" w:rsidR="005479B4" w:rsidP="00417B16" w:rsidRDefault="005479B4" w14:paraId="3E620469" w14:textId="77777777">
            <w:pPr>
              <w:rPr>
                <w:lang w:val="nl-NL"/>
              </w:rPr>
            </w:pPr>
            <w:r>
              <w:rPr>
                <w:lang w:val="nl-NL"/>
              </w:rPr>
              <w:t>Kan onder bewustwording en inzet op verslavingspreventie in beleid worden meegenomen.</w:t>
            </w:r>
          </w:p>
        </w:tc>
      </w:tr>
      <w:tr w:rsidRPr="00E83E19" w:rsidR="005479B4" w:rsidTr="00F5690B" w14:paraId="0B53E698" w14:textId="77777777">
        <w:trPr>
          <w:gridAfter w:val="3"/>
          <w:wAfter w:w="4924" w:type="dxa"/>
        </w:trPr>
        <w:tc>
          <w:tcPr>
            <w:tcW w:w="534" w:type="dxa"/>
          </w:tcPr>
          <w:p w:rsidRPr="002908A8" w:rsidR="005479B4" w:rsidP="00417B16" w:rsidRDefault="005479B4" w14:paraId="049F111D" w14:textId="77777777">
            <w:pPr>
              <w:rPr>
                <w:lang w:val="nl-NL"/>
              </w:rPr>
            </w:pPr>
          </w:p>
        </w:tc>
        <w:tc>
          <w:tcPr>
            <w:tcW w:w="2438" w:type="dxa"/>
          </w:tcPr>
          <w:p w:rsidRPr="00CD0562" w:rsidR="005479B4" w:rsidP="00417B16" w:rsidRDefault="005479B4" w14:paraId="65603915" w14:textId="77777777">
            <w:pPr>
              <w:rPr>
                <w:b/>
                <w:bCs/>
                <w:lang w:val="nl-NL"/>
              </w:rPr>
            </w:pPr>
          </w:p>
        </w:tc>
        <w:tc>
          <w:tcPr>
            <w:tcW w:w="3402" w:type="dxa"/>
          </w:tcPr>
          <w:p w:rsidR="005479B4" w:rsidP="00417B16" w:rsidRDefault="005479B4" w14:paraId="377AD9A2" w14:textId="77777777">
            <w:pPr>
              <w:rPr>
                <w:lang w:val="nl-NL"/>
              </w:rPr>
            </w:pPr>
            <w:r>
              <w:rPr>
                <w:lang w:val="nl-NL"/>
              </w:rPr>
              <w:t>Initiatiefwetsvoorstel:</w:t>
            </w:r>
          </w:p>
          <w:p w:rsidRPr="00AC2744" w:rsidR="005479B4" w:rsidP="00417B16" w:rsidRDefault="005479B4" w14:paraId="7EFBF11E" w14:textId="77777777">
            <w:pPr>
              <w:rPr>
                <w:lang w:val="nl-NL"/>
              </w:rPr>
            </w:pPr>
            <w:r>
              <w:rPr>
                <w:lang w:val="nl-NL"/>
              </w:rPr>
              <w:t xml:space="preserve">- </w:t>
            </w:r>
            <w:r w:rsidRPr="00AC2744">
              <w:rPr>
                <w:lang w:val="nl-NL"/>
              </w:rPr>
              <w:t>Ksa kan hogere boetes opleggen gerelateerd aan omzet</w:t>
            </w:r>
          </w:p>
        </w:tc>
        <w:tc>
          <w:tcPr>
            <w:tcW w:w="3260" w:type="dxa"/>
          </w:tcPr>
          <w:p w:rsidRPr="002908A8" w:rsidR="005479B4" w:rsidP="00417B16" w:rsidRDefault="005479B4" w14:paraId="225E00DD" w14:textId="541DB52F">
            <w:pPr>
              <w:rPr>
                <w:lang w:val="nl-NL"/>
              </w:rPr>
            </w:pPr>
            <w:r>
              <w:rPr>
                <w:lang w:val="nl-NL"/>
              </w:rPr>
              <w:t>Dat kan deels al en is onderdeel van het beleidskader van Ksa als zelfstandig bestuursorgaan.</w:t>
            </w:r>
          </w:p>
        </w:tc>
      </w:tr>
      <w:tr w:rsidRPr="00E83E19" w:rsidR="005479B4" w:rsidTr="00F5690B" w14:paraId="45115806" w14:textId="77777777">
        <w:trPr>
          <w:gridAfter w:val="3"/>
          <w:wAfter w:w="4924" w:type="dxa"/>
        </w:trPr>
        <w:tc>
          <w:tcPr>
            <w:tcW w:w="534" w:type="dxa"/>
          </w:tcPr>
          <w:p w:rsidRPr="002908A8" w:rsidR="005479B4" w:rsidP="00417B16" w:rsidRDefault="005479B4" w14:paraId="2CC21390" w14:textId="77777777">
            <w:pPr>
              <w:rPr>
                <w:lang w:val="nl-NL"/>
              </w:rPr>
            </w:pPr>
          </w:p>
        </w:tc>
        <w:tc>
          <w:tcPr>
            <w:tcW w:w="2438" w:type="dxa"/>
          </w:tcPr>
          <w:p w:rsidRPr="00CD0562" w:rsidR="005479B4" w:rsidP="00417B16" w:rsidRDefault="005479B4" w14:paraId="2C753396" w14:textId="77777777">
            <w:pPr>
              <w:rPr>
                <w:b/>
                <w:bCs/>
                <w:lang w:val="nl-NL"/>
              </w:rPr>
            </w:pPr>
          </w:p>
        </w:tc>
        <w:tc>
          <w:tcPr>
            <w:tcW w:w="3402" w:type="dxa"/>
          </w:tcPr>
          <w:p w:rsidR="005479B4" w:rsidP="00417B16" w:rsidRDefault="005479B4" w14:paraId="2748C4C8" w14:textId="77777777">
            <w:pPr>
              <w:rPr>
                <w:lang w:val="nl-NL"/>
              </w:rPr>
            </w:pPr>
            <w:r>
              <w:rPr>
                <w:lang w:val="nl-NL"/>
              </w:rPr>
              <w:t>Initiatiefwetsvoorstel:</w:t>
            </w:r>
          </w:p>
          <w:p w:rsidRPr="003A4161" w:rsidR="005479B4" w:rsidP="00417B16" w:rsidRDefault="005479B4" w14:paraId="2DB1E47B" w14:textId="77777777">
            <w:pPr>
              <w:rPr>
                <w:lang w:val="nl-NL"/>
              </w:rPr>
            </w:pPr>
            <w:r>
              <w:rPr>
                <w:lang w:val="nl-NL"/>
              </w:rPr>
              <w:t xml:space="preserve">- </w:t>
            </w:r>
            <w:r w:rsidRPr="00AC2744">
              <w:rPr>
                <w:lang w:val="nl-NL"/>
              </w:rPr>
              <w:t xml:space="preserve">De afdracht van de aanbieders aan het verslavingspreventiefonds wordt </w:t>
            </w:r>
            <w:r w:rsidRPr="003A4161">
              <w:rPr>
                <w:lang w:val="nl-NL"/>
              </w:rPr>
              <w:t>verhoogd</w:t>
            </w:r>
          </w:p>
        </w:tc>
        <w:tc>
          <w:tcPr>
            <w:tcW w:w="3260" w:type="dxa"/>
          </w:tcPr>
          <w:p w:rsidRPr="00AC2744" w:rsidR="005479B4" w:rsidP="00417B16" w:rsidRDefault="005479B4" w14:paraId="1C970286" w14:textId="12BCA58B">
            <w:pPr>
              <w:rPr>
                <w:lang w:val="nl-NL"/>
              </w:rPr>
            </w:pPr>
            <w:r w:rsidRPr="00AC2744">
              <w:rPr>
                <w:lang w:val="nl-NL"/>
              </w:rPr>
              <w:t xml:space="preserve">Hogere afdrachten zijn op dit moment voor de doelstellingen van het </w:t>
            </w:r>
            <w:r>
              <w:rPr>
                <w:lang w:val="nl-NL"/>
              </w:rPr>
              <w:t>Verslavingspreventiefonds</w:t>
            </w:r>
            <w:r w:rsidRPr="00AC2744">
              <w:rPr>
                <w:lang w:val="nl-NL"/>
              </w:rPr>
              <w:t xml:space="preserve"> niet nodig.</w:t>
            </w:r>
          </w:p>
          <w:p w:rsidRPr="003A4161" w:rsidR="005479B4" w:rsidP="00417B16" w:rsidRDefault="005479B4" w14:paraId="68489F3A" w14:textId="77777777">
            <w:pPr>
              <w:rPr>
                <w:lang w:val="nl-NL"/>
              </w:rPr>
            </w:pPr>
          </w:p>
        </w:tc>
      </w:tr>
      <w:tr w:rsidRPr="00E83E19" w:rsidR="00E83E19" w:rsidTr="00F5690B" w14:paraId="714E6659" w14:textId="77777777">
        <w:trPr>
          <w:gridAfter w:val="3"/>
          <w:wAfter w:w="4924" w:type="dxa"/>
        </w:trPr>
        <w:tc>
          <w:tcPr>
            <w:tcW w:w="534" w:type="dxa"/>
          </w:tcPr>
          <w:p w:rsidRPr="002908A8" w:rsidR="00E83E19" w:rsidP="00417B16" w:rsidRDefault="00E83E19" w14:paraId="4C20E8FF" w14:textId="77777777">
            <w:pPr>
              <w:rPr>
                <w:lang w:val="nl-NL"/>
              </w:rPr>
            </w:pPr>
          </w:p>
        </w:tc>
        <w:tc>
          <w:tcPr>
            <w:tcW w:w="2438" w:type="dxa"/>
          </w:tcPr>
          <w:p w:rsidRPr="00CD0562" w:rsidR="00E83E19" w:rsidP="00417B16" w:rsidRDefault="00E83E19" w14:paraId="25974CCA" w14:textId="761EC99A">
            <w:pPr>
              <w:rPr>
                <w:b/>
                <w:bCs/>
                <w:lang w:val="nl-NL"/>
              </w:rPr>
            </w:pPr>
          </w:p>
        </w:tc>
        <w:tc>
          <w:tcPr>
            <w:tcW w:w="3402" w:type="dxa"/>
          </w:tcPr>
          <w:p w:rsidR="00A102A5" w:rsidP="00A102A5" w:rsidRDefault="00A102A5" w14:paraId="718039F2" w14:textId="77777777">
            <w:pPr>
              <w:rPr>
                <w:lang w:val="nl-NL"/>
              </w:rPr>
            </w:pPr>
            <w:r>
              <w:rPr>
                <w:lang w:val="nl-NL"/>
              </w:rPr>
              <w:t>Initiatiefwetsvoorstel:</w:t>
            </w:r>
          </w:p>
          <w:p w:rsidRPr="004B6565" w:rsidR="00E83E19" w:rsidP="004B6565" w:rsidRDefault="00A102A5" w14:paraId="3869A62B" w14:textId="7364D6FC">
            <w:pPr>
              <w:pStyle w:val="Lijstalinea"/>
              <w:numPr>
                <w:ilvl w:val="0"/>
                <w:numId w:val="1"/>
              </w:numPr>
              <w:rPr>
                <w:lang w:val="nl-NL"/>
              </w:rPr>
            </w:pPr>
            <w:r w:rsidRPr="004B6565">
              <w:rPr>
                <w:lang w:val="nl-NL"/>
              </w:rPr>
              <w:t>Verbod op gokken met geleend geld, zoals een verbod op betalen voor online gokken met creditcard, omdat je dan per definitie speelt met geleend geld.</w:t>
            </w:r>
          </w:p>
        </w:tc>
        <w:tc>
          <w:tcPr>
            <w:tcW w:w="3260" w:type="dxa"/>
          </w:tcPr>
          <w:p w:rsidRPr="00AC2744" w:rsidR="00E83E19" w:rsidP="00417B16" w:rsidRDefault="00A102A5" w14:paraId="48188FB8" w14:textId="158E71AA">
            <w:pPr>
              <w:rPr>
                <w:lang w:val="nl-NL"/>
              </w:rPr>
            </w:pPr>
            <w:r>
              <w:rPr>
                <w:lang w:val="nl-NL"/>
              </w:rPr>
              <w:t xml:space="preserve">Uitzoeken in hoeverre dit </w:t>
            </w:r>
            <w:r w:rsidR="002636E8">
              <w:rPr>
                <w:lang w:val="nl-NL"/>
              </w:rPr>
              <w:t>juridisch mogelijk is in relatie tot EU-richtlijnen. Zo ja, volgt een wetswijziging. Z</w:t>
            </w:r>
            <w:r>
              <w:rPr>
                <w:lang w:val="nl-NL"/>
              </w:rPr>
              <w:t xml:space="preserve">o niet </w:t>
            </w:r>
            <w:r w:rsidR="002636E8">
              <w:rPr>
                <w:lang w:val="nl-NL"/>
              </w:rPr>
              <w:t xml:space="preserve">wordt bezien </w:t>
            </w:r>
            <w:r>
              <w:rPr>
                <w:lang w:val="nl-NL"/>
              </w:rPr>
              <w:t xml:space="preserve">of er andere mogelijkheden zijn om spelen met geleend geld te voorkomen. </w:t>
            </w:r>
          </w:p>
        </w:tc>
      </w:tr>
      <w:bookmarkEnd w:id="2"/>
    </w:tbl>
    <w:p w:rsidRPr="00996150" w:rsidR="00A812BD" w:rsidRDefault="00A812BD" w14:paraId="51E37324" w14:textId="77777777">
      <w:pPr>
        <w:rPr>
          <w:lang w:val="nl-NL"/>
        </w:rPr>
      </w:pPr>
    </w:p>
    <w:sectPr w:rsidRPr="00996150" w:rsidR="00A812BD" w:rsidSect="005479B4">
      <w:footerReference w:type="default" r:id="rId8"/>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65EA6" w14:textId="77777777" w:rsidR="00F1381F" w:rsidRDefault="00F1381F" w:rsidP="005479B4">
      <w:pPr>
        <w:spacing w:after="0" w:line="240" w:lineRule="auto"/>
      </w:pPr>
      <w:r>
        <w:separator/>
      </w:r>
    </w:p>
  </w:endnote>
  <w:endnote w:type="continuationSeparator" w:id="0">
    <w:p w14:paraId="28111202" w14:textId="77777777" w:rsidR="00F1381F" w:rsidRDefault="00F1381F" w:rsidP="0054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72220"/>
      <w:docPartObj>
        <w:docPartGallery w:val="Page Numbers (Bottom of Page)"/>
        <w:docPartUnique/>
      </w:docPartObj>
    </w:sdtPr>
    <w:sdtEndPr/>
    <w:sdtContent>
      <w:p w14:paraId="4358B7C8" w14:textId="21E96FD4" w:rsidR="00CA6F74" w:rsidRDefault="00CA6F74">
        <w:pPr>
          <w:pStyle w:val="Voettekst"/>
          <w:jc w:val="right"/>
        </w:pPr>
        <w:r>
          <w:fldChar w:fldCharType="begin"/>
        </w:r>
        <w:r>
          <w:instrText>PAGE   \* MERGEFORMAT</w:instrText>
        </w:r>
        <w:r>
          <w:fldChar w:fldCharType="separate"/>
        </w:r>
        <w:r w:rsidR="0012533D" w:rsidRPr="0012533D">
          <w:rPr>
            <w:noProof/>
            <w:lang w:val="nl-NL"/>
          </w:rPr>
          <w:t>2</w:t>
        </w:r>
        <w:r>
          <w:fldChar w:fldCharType="end"/>
        </w:r>
      </w:p>
    </w:sdtContent>
  </w:sdt>
  <w:p w14:paraId="52704004" w14:textId="77777777" w:rsidR="00CA6F74" w:rsidRDefault="00CA6F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87CFD" w14:textId="77777777" w:rsidR="00F1381F" w:rsidRDefault="00F1381F" w:rsidP="005479B4">
      <w:pPr>
        <w:spacing w:after="0" w:line="240" w:lineRule="auto"/>
      </w:pPr>
      <w:r>
        <w:separator/>
      </w:r>
    </w:p>
  </w:footnote>
  <w:footnote w:type="continuationSeparator" w:id="0">
    <w:p w14:paraId="2F245346" w14:textId="77777777" w:rsidR="00F1381F" w:rsidRDefault="00F1381F" w:rsidP="005479B4">
      <w:pPr>
        <w:spacing w:after="0" w:line="240" w:lineRule="auto"/>
      </w:pPr>
      <w:r>
        <w:continuationSeparator/>
      </w:r>
    </w:p>
  </w:footnote>
  <w:footnote w:id="1">
    <w:p w14:paraId="5CEE4759" w14:textId="77777777" w:rsidR="005479B4" w:rsidRPr="00B3474A" w:rsidRDefault="005479B4" w:rsidP="005479B4">
      <w:pPr>
        <w:pStyle w:val="Voetnoottekst"/>
        <w:rPr>
          <w:lang w:val="nl-NL"/>
        </w:rPr>
      </w:pPr>
      <w:r>
        <w:rPr>
          <w:rStyle w:val="Voetnootmarkering"/>
        </w:rPr>
        <w:footnoteRef/>
      </w:r>
      <w:r w:rsidRPr="00996150">
        <w:rPr>
          <w:lang w:val="nl-NL"/>
        </w:rPr>
        <w:t xml:space="preserve"> </w:t>
      </w:r>
      <w:r>
        <w:rPr>
          <w:lang w:val="nl-NL"/>
        </w:rPr>
        <w:t>Kamerstukken II 2024/25, 24557, nr. 244</w:t>
      </w:r>
    </w:p>
  </w:footnote>
  <w:footnote w:id="2">
    <w:p w14:paraId="49B25ADC" w14:textId="697FEDD3" w:rsidR="00FC5172" w:rsidRPr="00FC5172" w:rsidRDefault="00FC5172">
      <w:pPr>
        <w:pStyle w:val="Voetnoottekst"/>
        <w:rPr>
          <w:lang w:val="nl-NL"/>
        </w:rPr>
      </w:pPr>
      <w:r>
        <w:rPr>
          <w:rStyle w:val="Voetnootmarkering"/>
        </w:rPr>
        <w:footnoteRef/>
      </w:r>
      <w:r>
        <w:t xml:space="preserve"> </w:t>
      </w:r>
      <w:hyperlink r:id="rId1" w:history="1">
        <w:r>
          <w:rPr>
            <w:rStyle w:val="Hyperlink"/>
          </w:rPr>
          <w:t>Initiatiefwet Online Gokken.pdf</w:t>
        </w:r>
      </w:hyperlink>
    </w:p>
  </w:footnote>
  <w:footnote w:id="3">
    <w:p w14:paraId="343FB5BD" w14:textId="31647FFA" w:rsidR="005479B4" w:rsidRPr="00B3474A" w:rsidRDefault="005479B4" w:rsidP="005479B4">
      <w:pPr>
        <w:pStyle w:val="Voetnoottekst"/>
        <w:rPr>
          <w:lang w:val="nl-NL"/>
        </w:rPr>
      </w:pPr>
      <w:r>
        <w:rPr>
          <w:rStyle w:val="Voetnootmarkering"/>
        </w:rPr>
        <w:footnoteRef/>
      </w:r>
      <w:r w:rsidRPr="00996150">
        <w:rPr>
          <w:lang w:val="nl-NL"/>
        </w:rPr>
        <w:t xml:space="preserve"> </w:t>
      </w:r>
      <w:r w:rsidRPr="00996150">
        <w:rPr>
          <w:sz w:val="18"/>
          <w:szCs w:val="18"/>
          <w:lang w:val="nl-NL"/>
        </w:rPr>
        <w:t>Kamerstukken II, 2023/24, 24557, nr</w:t>
      </w:r>
      <w:r w:rsidR="005C5F36">
        <w:rPr>
          <w:sz w:val="18"/>
          <w:szCs w:val="18"/>
          <w:lang w:val="nl-NL"/>
        </w:rPr>
        <w:t>.</w:t>
      </w:r>
      <w:r w:rsidRPr="00996150">
        <w:rPr>
          <w:sz w:val="18"/>
          <w:szCs w:val="18"/>
          <w:lang w:val="nl-NL"/>
        </w:rPr>
        <w:t xml:space="preserve"> 235</w:t>
      </w:r>
    </w:p>
  </w:footnote>
  <w:footnote w:id="4">
    <w:p w14:paraId="0B2BECE7" w14:textId="77777777" w:rsidR="005479B4" w:rsidRPr="00B3474A" w:rsidRDefault="005479B4" w:rsidP="005479B4">
      <w:pPr>
        <w:pStyle w:val="Voetnoottekst"/>
        <w:rPr>
          <w:lang w:val="nl-NL"/>
        </w:rPr>
      </w:pPr>
      <w:r>
        <w:rPr>
          <w:rStyle w:val="Voetnootmarkering"/>
        </w:rPr>
        <w:footnoteRef/>
      </w:r>
      <w:r w:rsidRPr="00996150">
        <w:rPr>
          <w:lang w:val="nl-NL"/>
        </w:rPr>
        <w:t xml:space="preserve"> </w:t>
      </w:r>
      <w:r>
        <w:rPr>
          <w:lang w:val="nl-NL"/>
        </w:rPr>
        <w:t>Kamerstukken II, 2021/22, 24557, nr. 182</w:t>
      </w:r>
    </w:p>
  </w:footnote>
  <w:footnote w:id="5">
    <w:p w14:paraId="2F2C1A35" w14:textId="77777777" w:rsidR="005479B4" w:rsidRPr="00B3474A" w:rsidRDefault="005479B4" w:rsidP="005479B4">
      <w:pPr>
        <w:pStyle w:val="Voetnoottekst"/>
        <w:rPr>
          <w:lang w:val="nl-NL"/>
        </w:rPr>
      </w:pPr>
      <w:r>
        <w:rPr>
          <w:rStyle w:val="Voetnootmarkering"/>
        </w:rPr>
        <w:footnoteRef/>
      </w:r>
      <w:r w:rsidRPr="00996150">
        <w:rPr>
          <w:lang w:val="nl-NL"/>
        </w:rPr>
        <w:t xml:space="preserve"> </w:t>
      </w:r>
      <w:r w:rsidRPr="00996150">
        <w:rPr>
          <w:sz w:val="18"/>
          <w:szCs w:val="18"/>
          <w:lang w:val="nl-NL"/>
        </w:rPr>
        <w:t>Kamerstukken II, 2023/24, 24557, nr. 224</w:t>
      </w:r>
    </w:p>
  </w:footnote>
  <w:footnote w:id="6">
    <w:p w14:paraId="49F63740" w14:textId="77777777" w:rsidR="005479B4" w:rsidRPr="00B3474A" w:rsidRDefault="005479B4" w:rsidP="005479B4">
      <w:pPr>
        <w:pStyle w:val="Voetnoottekst"/>
        <w:rPr>
          <w:lang w:val="nl-NL"/>
        </w:rPr>
      </w:pPr>
      <w:r>
        <w:rPr>
          <w:rStyle w:val="Voetnootmarkering"/>
        </w:rPr>
        <w:footnoteRef/>
      </w:r>
      <w:r w:rsidRPr="00996150">
        <w:rPr>
          <w:lang w:val="nl-NL"/>
        </w:rPr>
        <w:t xml:space="preserve"> </w:t>
      </w:r>
      <w:r>
        <w:rPr>
          <w:lang w:val="nl-NL"/>
        </w:rPr>
        <w:t>Kamerstukken II, 2024/25, 36628, nr. 2</w:t>
      </w:r>
    </w:p>
  </w:footnote>
  <w:footnote w:id="7">
    <w:p w14:paraId="05B25D7B" w14:textId="77777777" w:rsidR="005479B4" w:rsidRPr="00B3474A" w:rsidRDefault="005479B4" w:rsidP="005479B4">
      <w:pPr>
        <w:pStyle w:val="Voetnoottekst"/>
        <w:rPr>
          <w:lang w:val="nl-NL"/>
        </w:rPr>
      </w:pPr>
      <w:r>
        <w:rPr>
          <w:rStyle w:val="Voetnootmarkering"/>
        </w:rPr>
        <w:footnoteRef/>
      </w:r>
      <w:r w:rsidRPr="00996150">
        <w:rPr>
          <w:lang w:val="nl-NL"/>
        </w:rPr>
        <w:t xml:space="preserve"> </w:t>
      </w:r>
      <w:r w:rsidRPr="00996150">
        <w:rPr>
          <w:sz w:val="18"/>
          <w:szCs w:val="18"/>
          <w:lang w:val="nl-NL"/>
        </w:rPr>
        <w:t>Kamerstukken II, 2023/24, 36410-VI-63</w:t>
      </w:r>
    </w:p>
  </w:footnote>
  <w:footnote w:id="8">
    <w:p w14:paraId="26B8F93F" w14:textId="77777777" w:rsidR="005C1BB5" w:rsidRPr="00B3474A" w:rsidRDefault="005C1BB5" w:rsidP="005479B4">
      <w:pPr>
        <w:pStyle w:val="Voetnoottekst"/>
        <w:rPr>
          <w:lang w:val="nl-NL"/>
        </w:rPr>
      </w:pPr>
      <w:r>
        <w:rPr>
          <w:rStyle w:val="Voetnootmarkering"/>
        </w:rPr>
        <w:footnoteRef/>
      </w:r>
      <w:r w:rsidRPr="00996150">
        <w:rPr>
          <w:lang w:val="nl-NL"/>
        </w:rPr>
        <w:t xml:space="preserve"> </w:t>
      </w:r>
      <w:r w:rsidRPr="00996150">
        <w:rPr>
          <w:sz w:val="18"/>
          <w:szCs w:val="18"/>
          <w:lang w:val="nl-NL"/>
        </w:rPr>
        <w:t>Kamerstukken II, 2023/24, 36410-VI60</w:t>
      </w:r>
    </w:p>
  </w:footnote>
  <w:footnote w:id="9">
    <w:p w14:paraId="213EBD41" w14:textId="77777777" w:rsidR="005C1BB5" w:rsidRPr="00B3474A" w:rsidRDefault="005C1BB5" w:rsidP="005479B4">
      <w:pPr>
        <w:pStyle w:val="Voetnoottekst"/>
        <w:rPr>
          <w:lang w:val="nl-NL"/>
        </w:rPr>
      </w:pPr>
      <w:r>
        <w:rPr>
          <w:rStyle w:val="Voetnootmarkering"/>
        </w:rPr>
        <w:footnoteRef/>
      </w:r>
      <w:r w:rsidRPr="00996150">
        <w:rPr>
          <w:lang w:val="nl-NL"/>
        </w:rPr>
        <w:t xml:space="preserve"> </w:t>
      </w:r>
      <w:r w:rsidRPr="00996150">
        <w:rPr>
          <w:sz w:val="18"/>
          <w:szCs w:val="18"/>
          <w:lang w:val="nl-NL"/>
        </w:rPr>
        <w:t>Kamerstukken II, 2023/24, 24557, nr. 233</w:t>
      </w:r>
    </w:p>
  </w:footnote>
  <w:footnote w:id="10">
    <w:p w14:paraId="7EEF3882" w14:textId="77777777" w:rsidR="005479B4" w:rsidRPr="00B3474A" w:rsidRDefault="005479B4" w:rsidP="005479B4">
      <w:pPr>
        <w:pStyle w:val="Voetnoottekst"/>
        <w:rPr>
          <w:lang w:val="nl-NL"/>
        </w:rPr>
      </w:pPr>
      <w:r>
        <w:rPr>
          <w:rStyle w:val="Voetnootmarkering"/>
        </w:rPr>
        <w:footnoteRef/>
      </w:r>
      <w:r w:rsidRPr="00996150">
        <w:rPr>
          <w:lang w:val="nl-NL"/>
        </w:rPr>
        <w:t xml:space="preserve"> </w:t>
      </w:r>
      <w:r w:rsidRPr="00996150">
        <w:rPr>
          <w:sz w:val="18"/>
          <w:szCs w:val="18"/>
          <w:lang w:val="nl-NL"/>
        </w:rPr>
        <w:t>Kamerstukken II, 2021/22, 24557, nr. 182</w:t>
      </w:r>
    </w:p>
  </w:footnote>
  <w:footnote w:id="11">
    <w:p w14:paraId="3A57C186" w14:textId="77777777" w:rsidR="005479B4" w:rsidRPr="00B3474A" w:rsidRDefault="005479B4" w:rsidP="005479B4">
      <w:pPr>
        <w:pStyle w:val="Voetnoottekst"/>
        <w:rPr>
          <w:lang w:val="nl-NL"/>
        </w:rPr>
      </w:pPr>
      <w:r>
        <w:rPr>
          <w:rStyle w:val="Voetnootmarkering"/>
        </w:rPr>
        <w:footnoteRef/>
      </w:r>
      <w:r w:rsidRPr="00996150">
        <w:rPr>
          <w:lang w:val="nl-NL"/>
        </w:rPr>
        <w:t xml:space="preserve"> </w:t>
      </w:r>
      <w:r w:rsidRPr="00996150">
        <w:rPr>
          <w:sz w:val="18"/>
          <w:szCs w:val="18"/>
          <w:lang w:val="nl-NL"/>
        </w:rPr>
        <w:t>Kamerstukken II, 2023/24, 24557, nr. 226</w:t>
      </w:r>
    </w:p>
  </w:footnote>
  <w:footnote w:id="12">
    <w:p w14:paraId="53A7F38A" w14:textId="77777777" w:rsidR="005479B4" w:rsidRPr="00B3474A" w:rsidRDefault="005479B4" w:rsidP="005479B4">
      <w:pPr>
        <w:pStyle w:val="Voetnoottekst"/>
        <w:rPr>
          <w:lang w:val="nl-NL"/>
        </w:rPr>
      </w:pPr>
      <w:r>
        <w:rPr>
          <w:rStyle w:val="Voetnootmarkering"/>
        </w:rPr>
        <w:footnoteRef/>
      </w:r>
      <w:r w:rsidRPr="00BD1C42">
        <w:rPr>
          <w:lang w:val="nl-NL"/>
        </w:rPr>
        <w:t xml:space="preserve"> </w:t>
      </w:r>
      <w:r w:rsidRPr="00BD1C42">
        <w:rPr>
          <w:sz w:val="18"/>
          <w:szCs w:val="18"/>
          <w:lang w:val="nl-NL"/>
        </w:rPr>
        <w:t>Kamerstukken II, 2023/24, 24557, nr. 234</w:t>
      </w:r>
    </w:p>
  </w:footnote>
  <w:footnote w:id="13">
    <w:p w14:paraId="6D36E85F" w14:textId="77777777" w:rsidR="005479B4" w:rsidRPr="00B3474A" w:rsidRDefault="005479B4" w:rsidP="005479B4">
      <w:pPr>
        <w:pStyle w:val="Voetnoottekst"/>
        <w:rPr>
          <w:lang w:val="nl-NL"/>
        </w:rPr>
      </w:pPr>
      <w:r>
        <w:rPr>
          <w:rStyle w:val="Voetnootmarkering"/>
        </w:rPr>
        <w:footnoteRef/>
      </w:r>
      <w:r w:rsidRPr="00BD1C42">
        <w:rPr>
          <w:lang w:val="nl-NL"/>
        </w:rPr>
        <w:t xml:space="preserve"> </w:t>
      </w:r>
      <w:r w:rsidRPr="00BD1C42">
        <w:rPr>
          <w:sz w:val="18"/>
          <w:szCs w:val="18"/>
          <w:lang w:val="nl-NL"/>
        </w:rPr>
        <w:t>Kamerstukken II, 2023/24, 24557, nr. 223</w:t>
      </w:r>
    </w:p>
  </w:footnote>
  <w:footnote w:id="14">
    <w:p w14:paraId="5526F964" w14:textId="77777777" w:rsidR="00E83E19" w:rsidRPr="00B3474A" w:rsidRDefault="00E83E19" w:rsidP="00E83E19">
      <w:pPr>
        <w:pStyle w:val="Voetnoottekst"/>
        <w:rPr>
          <w:lang w:val="nl-NL"/>
        </w:rPr>
      </w:pPr>
      <w:r>
        <w:rPr>
          <w:rStyle w:val="Voetnootmarkering"/>
        </w:rPr>
        <w:footnoteRef/>
      </w:r>
      <w:r w:rsidRPr="00996150">
        <w:rPr>
          <w:lang w:val="nl-NL"/>
        </w:rPr>
        <w:t xml:space="preserve"> </w:t>
      </w:r>
      <w:bookmarkStart w:id="3" w:name="_Hlk187395529"/>
      <w:r w:rsidRPr="00996150">
        <w:rPr>
          <w:sz w:val="18"/>
          <w:szCs w:val="18"/>
          <w:lang w:val="nl-NL"/>
        </w:rPr>
        <w:t>Kamerstukken II, 2024/25, 36600-VI-104</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113A5"/>
    <w:multiLevelType w:val="hybridMultilevel"/>
    <w:tmpl w:val="2BC476A4"/>
    <w:lvl w:ilvl="0" w:tplc="9FC834F0">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08F7954"/>
    <w:multiLevelType w:val="multilevel"/>
    <w:tmpl w:val="7C7E1DF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9B4"/>
    <w:rsid w:val="00056627"/>
    <w:rsid w:val="0012533D"/>
    <w:rsid w:val="001459ED"/>
    <w:rsid w:val="00245E49"/>
    <w:rsid w:val="002636E8"/>
    <w:rsid w:val="0034773F"/>
    <w:rsid w:val="003545FD"/>
    <w:rsid w:val="003D0265"/>
    <w:rsid w:val="004B6565"/>
    <w:rsid w:val="005479B4"/>
    <w:rsid w:val="005545FF"/>
    <w:rsid w:val="00571B48"/>
    <w:rsid w:val="005C1BB5"/>
    <w:rsid w:val="005C5F36"/>
    <w:rsid w:val="00693839"/>
    <w:rsid w:val="006A23F0"/>
    <w:rsid w:val="006B6CAB"/>
    <w:rsid w:val="00765FA5"/>
    <w:rsid w:val="00774F9D"/>
    <w:rsid w:val="007A7AF0"/>
    <w:rsid w:val="00911881"/>
    <w:rsid w:val="00996150"/>
    <w:rsid w:val="00A102A5"/>
    <w:rsid w:val="00A34B82"/>
    <w:rsid w:val="00A356CE"/>
    <w:rsid w:val="00A812BD"/>
    <w:rsid w:val="00B86BAE"/>
    <w:rsid w:val="00BB79D8"/>
    <w:rsid w:val="00C248D7"/>
    <w:rsid w:val="00CA6F74"/>
    <w:rsid w:val="00CC4053"/>
    <w:rsid w:val="00CD2E86"/>
    <w:rsid w:val="00D16BC0"/>
    <w:rsid w:val="00D40EE0"/>
    <w:rsid w:val="00DD57AB"/>
    <w:rsid w:val="00E00B15"/>
    <w:rsid w:val="00E83E19"/>
    <w:rsid w:val="00E86C12"/>
    <w:rsid w:val="00F1381F"/>
    <w:rsid w:val="00F5690B"/>
    <w:rsid w:val="00F85031"/>
    <w:rsid w:val="00FC5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D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479B4"/>
    <w:rPr>
      <w:rFonts w:ascii="Verdana" w:hAnsi="Verdana"/>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479B4"/>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479B4"/>
    <w:pPr>
      <w:ind w:left="720"/>
      <w:contextualSpacing/>
    </w:pPr>
  </w:style>
  <w:style w:type="character" w:styleId="Verwijzingopmerking">
    <w:name w:val="annotation reference"/>
    <w:basedOn w:val="Standaardalinea-lettertype"/>
    <w:uiPriority w:val="99"/>
    <w:semiHidden/>
    <w:unhideWhenUsed/>
    <w:rsid w:val="005479B4"/>
    <w:rPr>
      <w:sz w:val="16"/>
      <w:szCs w:val="16"/>
    </w:rPr>
  </w:style>
  <w:style w:type="paragraph" w:styleId="Tekstopmerking">
    <w:name w:val="annotation text"/>
    <w:basedOn w:val="Standaard"/>
    <w:link w:val="TekstopmerkingChar"/>
    <w:uiPriority w:val="99"/>
    <w:unhideWhenUsed/>
    <w:rsid w:val="005479B4"/>
    <w:pPr>
      <w:spacing w:line="240" w:lineRule="auto"/>
    </w:pPr>
    <w:rPr>
      <w:sz w:val="20"/>
      <w:szCs w:val="20"/>
    </w:rPr>
  </w:style>
  <w:style w:type="character" w:customStyle="1" w:styleId="TekstopmerkingChar">
    <w:name w:val="Tekst opmerking Char"/>
    <w:basedOn w:val="Standaardalinea-lettertype"/>
    <w:link w:val="Tekstopmerking"/>
    <w:uiPriority w:val="99"/>
    <w:rsid w:val="005479B4"/>
    <w:rPr>
      <w:rFonts w:ascii="Verdana" w:hAnsi="Verdana"/>
      <w:sz w:val="20"/>
      <w:szCs w:val="20"/>
      <w:lang w:val="en-US"/>
    </w:rPr>
  </w:style>
  <w:style w:type="paragraph" w:customStyle="1" w:styleId="broodtekst">
    <w:name w:val="broodtekst"/>
    <w:basedOn w:val="Standaard"/>
    <w:qFormat/>
    <w:rsid w:val="005479B4"/>
    <w:pPr>
      <w:tabs>
        <w:tab w:val="left" w:pos="227"/>
        <w:tab w:val="left" w:pos="454"/>
        <w:tab w:val="left" w:pos="680"/>
      </w:tabs>
      <w:autoSpaceDE w:val="0"/>
      <w:autoSpaceDN w:val="0"/>
      <w:adjustRightInd w:val="0"/>
      <w:spacing w:after="0" w:line="240" w:lineRule="atLeast"/>
    </w:pPr>
    <w:rPr>
      <w:rFonts w:eastAsia="Times New Roman" w:cs="Times New Roman"/>
      <w:kern w:val="0"/>
      <w:szCs w:val="18"/>
      <w:lang w:val="nl-NL" w:eastAsia="nl-NL"/>
      <w14:ligatures w14:val="none"/>
    </w:rPr>
  </w:style>
  <w:style w:type="paragraph" w:styleId="Voetnoottekst">
    <w:name w:val="footnote text"/>
    <w:basedOn w:val="Standaard"/>
    <w:link w:val="VoetnoottekstChar"/>
    <w:uiPriority w:val="99"/>
    <w:semiHidden/>
    <w:unhideWhenUsed/>
    <w:rsid w:val="005479B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479B4"/>
    <w:rPr>
      <w:rFonts w:ascii="Verdana" w:hAnsi="Verdana"/>
      <w:sz w:val="20"/>
      <w:szCs w:val="20"/>
      <w:lang w:val="en-US"/>
    </w:rPr>
  </w:style>
  <w:style w:type="character" w:styleId="Voetnootmarkering">
    <w:name w:val="footnote reference"/>
    <w:basedOn w:val="Standaardalinea-lettertype"/>
    <w:uiPriority w:val="99"/>
    <w:semiHidden/>
    <w:unhideWhenUsed/>
    <w:rsid w:val="005479B4"/>
    <w:rPr>
      <w:vertAlign w:val="superscript"/>
    </w:rPr>
  </w:style>
  <w:style w:type="paragraph" w:customStyle="1" w:styleId="Agendapunt">
    <w:name w:val="Agendapunt"/>
    <w:basedOn w:val="Standaard"/>
    <w:next w:val="Standaard"/>
    <w:rsid w:val="005479B4"/>
    <w:pPr>
      <w:numPr>
        <w:numId w:val="2"/>
      </w:numPr>
      <w:autoSpaceDN w:val="0"/>
      <w:spacing w:after="0" w:line="240" w:lineRule="atLeast"/>
      <w:textAlignment w:val="baseline"/>
    </w:pPr>
    <w:rPr>
      <w:rFonts w:eastAsia="DejaVu Sans" w:cs="Lohit Hindi"/>
      <w:b/>
      <w:color w:val="000000"/>
      <w:kern w:val="0"/>
      <w:szCs w:val="18"/>
      <w:lang w:val="nl-NL" w:eastAsia="nl-NL"/>
      <w14:ligatures w14:val="none"/>
    </w:rPr>
  </w:style>
  <w:style w:type="paragraph" w:customStyle="1" w:styleId="Agendapuntniveau1">
    <w:name w:val="Agendapunt niveau 1"/>
    <w:basedOn w:val="Standaard"/>
    <w:next w:val="Standaard"/>
    <w:rsid w:val="005479B4"/>
    <w:pPr>
      <w:numPr>
        <w:ilvl w:val="1"/>
        <w:numId w:val="2"/>
      </w:numPr>
      <w:autoSpaceDN w:val="0"/>
      <w:spacing w:after="0" w:line="240" w:lineRule="atLeast"/>
      <w:textAlignment w:val="baseline"/>
    </w:pPr>
    <w:rPr>
      <w:rFonts w:eastAsia="DejaVu Sans" w:cs="Lohit Hindi"/>
      <w:b/>
      <w:color w:val="000000"/>
      <w:kern w:val="0"/>
      <w:szCs w:val="18"/>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96150"/>
    <w:rPr>
      <w:b/>
      <w:bCs/>
    </w:rPr>
  </w:style>
  <w:style w:type="character" w:customStyle="1" w:styleId="OnderwerpvanopmerkingChar">
    <w:name w:val="Onderwerp van opmerking Char"/>
    <w:basedOn w:val="TekstopmerkingChar"/>
    <w:link w:val="Onderwerpvanopmerking"/>
    <w:uiPriority w:val="99"/>
    <w:semiHidden/>
    <w:rsid w:val="00996150"/>
    <w:rPr>
      <w:rFonts w:ascii="Verdana" w:hAnsi="Verdana"/>
      <w:b/>
      <w:bCs/>
      <w:sz w:val="20"/>
      <w:szCs w:val="20"/>
      <w:lang w:val="en-US"/>
    </w:rPr>
  </w:style>
  <w:style w:type="character" w:styleId="Hyperlink">
    <w:name w:val="Hyperlink"/>
    <w:basedOn w:val="Standaardalinea-lettertype"/>
    <w:uiPriority w:val="99"/>
    <w:semiHidden/>
    <w:unhideWhenUsed/>
    <w:rsid w:val="00FC5172"/>
    <w:rPr>
      <w:color w:val="0000FF"/>
      <w:u w:val="single"/>
    </w:rPr>
  </w:style>
  <w:style w:type="paragraph" w:styleId="Koptekst">
    <w:name w:val="header"/>
    <w:basedOn w:val="Standaard"/>
    <w:link w:val="KoptekstChar"/>
    <w:uiPriority w:val="99"/>
    <w:unhideWhenUsed/>
    <w:rsid w:val="00CA6F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6F74"/>
    <w:rPr>
      <w:rFonts w:ascii="Verdana" w:hAnsi="Verdana"/>
      <w:sz w:val="18"/>
      <w:lang w:val="en-US"/>
    </w:rPr>
  </w:style>
  <w:style w:type="paragraph" w:styleId="Voettekst">
    <w:name w:val="footer"/>
    <w:basedOn w:val="Standaard"/>
    <w:link w:val="VoettekstChar"/>
    <w:uiPriority w:val="99"/>
    <w:unhideWhenUsed/>
    <w:rsid w:val="00CA6F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6F74"/>
    <w:rPr>
      <w:rFonts w:ascii="Verdana" w:hAnsi="Verdana"/>
      <w:sz w:val="18"/>
      <w:lang w:val="en-US"/>
    </w:rPr>
  </w:style>
  <w:style w:type="paragraph" w:styleId="Revisie">
    <w:name w:val="Revision"/>
    <w:hidden/>
    <w:uiPriority w:val="99"/>
    <w:semiHidden/>
    <w:rsid w:val="007A7AF0"/>
    <w:pPr>
      <w:spacing w:after="0" w:line="240" w:lineRule="auto"/>
    </w:pPr>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7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file:///H:\Downloads\Initiatiefwet%20Online%20Gokk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2205</ap:Words>
  <ap:Characters>12130</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2025-02-14T12:44:00.0000000Z</dcterms:created>
  <dcterms:modified xsi:type="dcterms:W3CDTF">2025-02-14T12:44:00.0000000Z</dcterms:modified>
  <version/>
  <category/>
</coreProperties>
</file>