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08" w:rsidP="00914BAB" w:rsidRDefault="001A2108" w14:paraId="104F6CAA" w14:textId="77777777">
      <w:pPr>
        <w:rPr>
          <w:rFonts w:ascii="Verdana" w:hAnsi="Verdana"/>
          <w:sz w:val="18"/>
          <w:szCs w:val="18"/>
        </w:rPr>
      </w:pPr>
      <w:bookmarkStart w:name="_GoBack" w:id="0"/>
      <w:bookmarkEnd w:id="0"/>
    </w:p>
    <w:p w:rsidRPr="002B7113" w:rsidR="00914BAB" w:rsidP="00914BAB" w:rsidRDefault="00914BAB" w14:paraId="4A070318" w14:textId="2A40BAEA">
      <w:pPr>
        <w:rPr>
          <w:rFonts w:ascii="Verdana" w:hAnsi="Verdana"/>
          <w:sz w:val="18"/>
          <w:szCs w:val="18"/>
        </w:rPr>
      </w:pPr>
      <w:r>
        <w:rPr>
          <w:rFonts w:ascii="Verdana" w:hAnsi="Verdana"/>
          <w:sz w:val="18"/>
          <w:szCs w:val="18"/>
        </w:rPr>
        <w:t>Er is een</w:t>
      </w:r>
      <w:r w:rsidRPr="002B7113">
        <w:rPr>
          <w:rFonts w:ascii="Verdana" w:hAnsi="Verdana"/>
          <w:sz w:val="18"/>
          <w:szCs w:val="18"/>
        </w:rPr>
        <w:t xml:space="preserve"> verkenning uitgevoerd naar </w:t>
      </w:r>
      <w:r>
        <w:rPr>
          <w:rFonts w:ascii="Verdana" w:hAnsi="Verdana"/>
          <w:sz w:val="18"/>
          <w:szCs w:val="18"/>
        </w:rPr>
        <w:t>mogelijkheden voor</w:t>
      </w:r>
      <w:r w:rsidRPr="002B7113">
        <w:rPr>
          <w:rFonts w:ascii="Verdana" w:hAnsi="Verdana"/>
          <w:sz w:val="18"/>
          <w:szCs w:val="18"/>
        </w:rPr>
        <w:t xml:space="preserve"> overkoepelende speellimieten. In dit traject </w:t>
      </w:r>
      <w:r>
        <w:rPr>
          <w:rFonts w:ascii="Verdana" w:hAnsi="Verdana"/>
          <w:sz w:val="18"/>
          <w:szCs w:val="18"/>
        </w:rPr>
        <w:t>zijn</w:t>
      </w:r>
      <w:r w:rsidRPr="002B7113">
        <w:rPr>
          <w:rFonts w:ascii="Verdana" w:hAnsi="Verdana"/>
          <w:sz w:val="18"/>
          <w:szCs w:val="18"/>
        </w:rPr>
        <w:t xml:space="preserve"> de bevindingen van</w:t>
      </w:r>
      <w:r>
        <w:rPr>
          <w:rFonts w:ascii="Verdana" w:hAnsi="Verdana"/>
          <w:sz w:val="18"/>
          <w:szCs w:val="18"/>
        </w:rPr>
        <w:t xml:space="preserve"> </w:t>
      </w:r>
      <w:r w:rsidRPr="002B7113">
        <w:rPr>
          <w:rFonts w:ascii="Verdana" w:hAnsi="Verdana"/>
          <w:sz w:val="18"/>
          <w:szCs w:val="18"/>
        </w:rPr>
        <w:t xml:space="preserve">eerdere onderzoeken meegenomen, </w:t>
      </w:r>
      <w:r>
        <w:rPr>
          <w:rFonts w:ascii="Verdana" w:hAnsi="Verdana"/>
          <w:sz w:val="18"/>
          <w:szCs w:val="18"/>
        </w:rPr>
        <w:t>als</w:t>
      </w:r>
      <w:r w:rsidRPr="002B7113">
        <w:rPr>
          <w:rFonts w:ascii="Verdana" w:hAnsi="Verdana"/>
          <w:sz w:val="18"/>
          <w:szCs w:val="18"/>
        </w:rPr>
        <w:t xml:space="preserve">mede de </w:t>
      </w:r>
      <w:r>
        <w:rPr>
          <w:rFonts w:ascii="Verdana" w:hAnsi="Verdana"/>
          <w:sz w:val="18"/>
          <w:szCs w:val="18"/>
        </w:rPr>
        <w:t xml:space="preserve">uitkomsten van de </w:t>
      </w:r>
      <w:r w:rsidRPr="002B7113">
        <w:rPr>
          <w:rFonts w:ascii="Verdana" w:hAnsi="Verdana"/>
          <w:sz w:val="18"/>
          <w:szCs w:val="18"/>
        </w:rPr>
        <w:t xml:space="preserve">evaluatie van de </w:t>
      </w:r>
      <w:r>
        <w:rPr>
          <w:rFonts w:ascii="Verdana" w:hAnsi="Verdana"/>
          <w:sz w:val="18"/>
          <w:szCs w:val="18"/>
        </w:rPr>
        <w:t>W</w:t>
      </w:r>
      <w:r w:rsidRPr="002B7113">
        <w:rPr>
          <w:rFonts w:ascii="Verdana" w:hAnsi="Verdana"/>
          <w:sz w:val="18"/>
          <w:szCs w:val="18"/>
        </w:rPr>
        <w:t xml:space="preserve">et </w:t>
      </w:r>
      <w:r>
        <w:rPr>
          <w:rFonts w:ascii="Verdana" w:hAnsi="Verdana"/>
          <w:sz w:val="18"/>
          <w:szCs w:val="18"/>
        </w:rPr>
        <w:t>k</w:t>
      </w:r>
      <w:r w:rsidRPr="002B7113">
        <w:rPr>
          <w:rFonts w:ascii="Verdana" w:hAnsi="Verdana"/>
          <w:sz w:val="18"/>
          <w:szCs w:val="18"/>
        </w:rPr>
        <w:t xml:space="preserve">ansspelen op afstand. </w:t>
      </w:r>
      <w:r>
        <w:rPr>
          <w:rFonts w:ascii="Verdana" w:hAnsi="Verdana"/>
          <w:sz w:val="18"/>
          <w:szCs w:val="18"/>
        </w:rPr>
        <w:t>Daarnaast zijn de bevindingen van de tweede deelrapportage van het WODC-onderzoek “Deelrapportage 2 g</w:t>
      </w:r>
      <w:r w:rsidRPr="001E4E0C">
        <w:rPr>
          <w:rFonts w:ascii="Verdana" w:hAnsi="Verdana"/>
          <w:sz w:val="18"/>
          <w:szCs w:val="18"/>
        </w:rPr>
        <w:t>edragsinzichten bij het instellen van speellimieten: interventies</w:t>
      </w:r>
      <w:r>
        <w:rPr>
          <w:rFonts w:ascii="Verdana" w:hAnsi="Verdana"/>
          <w:sz w:val="18"/>
          <w:szCs w:val="18"/>
        </w:rPr>
        <w:t xml:space="preserve">” meegenomen (Bijlage </w:t>
      </w:r>
      <w:r w:rsidR="001A2108">
        <w:rPr>
          <w:rFonts w:ascii="Verdana" w:hAnsi="Verdana"/>
          <w:sz w:val="18"/>
          <w:szCs w:val="18"/>
        </w:rPr>
        <w:t>4</w:t>
      </w:r>
      <w:r>
        <w:rPr>
          <w:rFonts w:ascii="Verdana" w:hAnsi="Verdana"/>
          <w:sz w:val="18"/>
          <w:szCs w:val="18"/>
        </w:rPr>
        <w:t>).</w:t>
      </w:r>
      <w:r>
        <w:rPr>
          <w:rStyle w:val="Voetnootmarkering"/>
          <w:rFonts w:ascii="Verdana" w:hAnsi="Verdana"/>
          <w:sz w:val="18"/>
          <w:szCs w:val="18"/>
        </w:rPr>
        <w:footnoteReference w:id="1"/>
      </w:r>
      <w:r>
        <w:rPr>
          <w:rFonts w:ascii="Verdana" w:hAnsi="Verdana"/>
          <w:sz w:val="18"/>
          <w:szCs w:val="18"/>
        </w:rPr>
        <w:t xml:space="preserve"> Eerst worden</w:t>
      </w:r>
      <w:r w:rsidRPr="002B7113">
        <w:rPr>
          <w:rFonts w:ascii="Verdana" w:hAnsi="Verdana"/>
          <w:sz w:val="18"/>
          <w:szCs w:val="18"/>
        </w:rPr>
        <w:t xml:space="preserve"> de belangrijkste conclusies en aanbevelingen van </w:t>
      </w:r>
      <w:r>
        <w:rPr>
          <w:rFonts w:ascii="Verdana" w:hAnsi="Verdana"/>
          <w:sz w:val="18"/>
          <w:szCs w:val="18"/>
        </w:rPr>
        <w:t>het WODC</w:t>
      </w:r>
      <w:r w:rsidRPr="002B7113">
        <w:rPr>
          <w:rFonts w:ascii="Verdana" w:hAnsi="Verdana"/>
          <w:sz w:val="18"/>
          <w:szCs w:val="18"/>
        </w:rPr>
        <w:t>-onderzoek</w:t>
      </w:r>
      <w:r>
        <w:rPr>
          <w:rFonts w:ascii="Verdana" w:hAnsi="Verdana"/>
          <w:sz w:val="18"/>
          <w:szCs w:val="18"/>
        </w:rPr>
        <w:t xml:space="preserve"> uiteengezet</w:t>
      </w:r>
      <w:r w:rsidR="00833EC0">
        <w:rPr>
          <w:rFonts w:ascii="Verdana" w:hAnsi="Verdana"/>
          <w:sz w:val="18"/>
          <w:szCs w:val="18"/>
        </w:rPr>
        <w:t xml:space="preserve"> (ad 1)</w:t>
      </w:r>
      <w:r w:rsidRPr="002B7113">
        <w:rPr>
          <w:rFonts w:ascii="Verdana" w:hAnsi="Verdana"/>
          <w:sz w:val="18"/>
          <w:szCs w:val="18"/>
        </w:rPr>
        <w:t xml:space="preserve">, waarna de </w:t>
      </w:r>
      <w:r>
        <w:rPr>
          <w:rFonts w:ascii="Verdana" w:hAnsi="Verdana"/>
          <w:sz w:val="18"/>
          <w:szCs w:val="18"/>
        </w:rPr>
        <w:t>contouren van</w:t>
      </w:r>
      <w:r w:rsidRPr="002B7113">
        <w:rPr>
          <w:rFonts w:ascii="Verdana" w:hAnsi="Verdana"/>
          <w:sz w:val="18"/>
          <w:szCs w:val="18"/>
        </w:rPr>
        <w:t xml:space="preserve"> overkoepelende speellimieten en het vervolgtraject </w:t>
      </w:r>
      <w:r>
        <w:rPr>
          <w:rFonts w:ascii="Verdana" w:hAnsi="Verdana"/>
          <w:sz w:val="18"/>
          <w:szCs w:val="18"/>
        </w:rPr>
        <w:t xml:space="preserve">hierop </w:t>
      </w:r>
      <w:r w:rsidRPr="002B7113">
        <w:rPr>
          <w:rFonts w:ascii="Verdana" w:hAnsi="Verdana"/>
          <w:sz w:val="18"/>
          <w:szCs w:val="18"/>
        </w:rPr>
        <w:t>word</w:t>
      </w:r>
      <w:r>
        <w:rPr>
          <w:rFonts w:ascii="Verdana" w:hAnsi="Verdana"/>
          <w:sz w:val="18"/>
          <w:szCs w:val="18"/>
        </w:rPr>
        <w:t>en</w:t>
      </w:r>
      <w:r w:rsidRPr="002B7113">
        <w:rPr>
          <w:rFonts w:ascii="Verdana" w:hAnsi="Verdana"/>
          <w:sz w:val="18"/>
          <w:szCs w:val="18"/>
        </w:rPr>
        <w:t xml:space="preserve"> toegelicht</w:t>
      </w:r>
      <w:r w:rsidR="00833EC0">
        <w:rPr>
          <w:rFonts w:ascii="Verdana" w:hAnsi="Verdana"/>
          <w:sz w:val="18"/>
          <w:szCs w:val="18"/>
        </w:rPr>
        <w:t xml:space="preserve"> (ad 2)</w:t>
      </w:r>
      <w:r w:rsidRPr="002B7113">
        <w:rPr>
          <w:rFonts w:ascii="Verdana" w:hAnsi="Verdana"/>
          <w:sz w:val="18"/>
          <w:szCs w:val="18"/>
        </w:rPr>
        <w:t xml:space="preserve">. </w:t>
      </w:r>
    </w:p>
    <w:p w:rsidR="001A2108" w:rsidP="00914BAB" w:rsidRDefault="001A2108" w14:paraId="665319FD" w14:textId="77777777">
      <w:pPr>
        <w:rPr>
          <w:rFonts w:ascii="Verdana" w:hAnsi="Verdana"/>
          <w:sz w:val="18"/>
          <w:szCs w:val="18"/>
        </w:rPr>
      </w:pPr>
    </w:p>
    <w:p w:rsidRPr="002B7113" w:rsidR="002E2AA6" w:rsidP="00914BAB" w:rsidRDefault="002E2AA6" w14:paraId="19056AA5" w14:textId="77777777">
      <w:pPr>
        <w:rPr>
          <w:rFonts w:ascii="Verdana" w:hAnsi="Verdana"/>
          <w:sz w:val="18"/>
          <w:szCs w:val="18"/>
        </w:rPr>
      </w:pPr>
    </w:p>
    <w:p w:rsidRPr="002B7113" w:rsidR="00914BAB" w:rsidP="00914BAB" w:rsidRDefault="00833EC0" w14:paraId="6D8EA44A" w14:textId="60BB48AE">
      <w:pPr>
        <w:rPr>
          <w:rFonts w:ascii="Verdana" w:hAnsi="Verdana"/>
          <w:b/>
          <w:bCs/>
          <w:sz w:val="18"/>
          <w:szCs w:val="18"/>
        </w:rPr>
      </w:pPr>
      <w:r>
        <w:rPr>
          <w:rFonts w:ascii="Verdana" w:hAnsi="Verdana"/>
          <w:b/>
          <w:bCs/>
          <w:sz w:val="18"/>
          <w:szCs w:val="18"/>
        </w:rPr>
        <w:t xml:space="preserve">Ad 1. </w:t>
      </w:r>
      <w:r w:rsidRPr="002B7113" w:rsidR="00914BAB">
        <w:rPr>
          <w:rFonts w:ascii="Verdana" w:hAnsi="Verdana"/>
          <w:b/>
          <w:bCs/>
          <w:sz w:val="18"/>
          <w:szCs w:val="18"/>
        </w:rPr>
        <w:t xml:space="preserve">Onderzoek naar effectieve interventies </w:t>
      </w:r>
      <w:r w:rsidR="00914BAB">
        <w:rPr>
          <w:rFonts w:ascii="Verdana" w:hAnsi="Verdana"/>
          <w:b/>
          <w:bCs/>
          <w:sz w:val="18"/>
          <w:szCs w:val="18"/>
        </w:rPr>
        <w:t>bij het instellen van speellimieten</w:t>
      </w:r>
    </w:p>
    <w:p w:rsidRPr="002B7113" w:rsidR="00914BAB" w:rsidP="00914BAB" w:rsidRDefault="00914BAB" w14:paraId="144189D2" w14:textId="34082FA6">
      <w:pPr>
        <w:rPr>
          <w:rFonts w:ascii="Verdana" w:hAnsi="Verdana"/>
          <w:sz w:val="18"/>
          <w:szCs w:val="18"/>
        </w:rPr>
      </w:pPr>
      <w:r w:rsidRPr="002B7113">
        <w:rPr>
          <w:rFonts w:ascii="Verdana" w:hAnsi="Verdana"/>
          <w:sz w:val="18"/>
          <w:szCs w:val="18"/>
        </w:rPr>
        <w:t xml:space="preserve">Het onderzoeks- en adviesbureau Dijksterhuis &amp; Van Baarle (D&amp;B) voerde in opdracht van het WODC </w:t>
      </w:r>
      <w:r>
        <w:rPr>
          <w:rFonts w:ascii="Verdana" w:hAnsi="Verdana"/>
          <w:sz w:val="18"/>
          <w:szCs w:val="18"/>
        </w:rPr>
        <w:t>het</w:t>
      </w:r>
      <w:r w:rsidRPr="002B7113">
        <w:rPr>
          <w:rFonts w:ascii="Verdana" w:hAnsi="Verdana"/>
          <w:sz w:val="18"/>
          <w:szCs w:val="18"/>
        </w:rPr>
        <w:t xml:space="preserve"> onderzoek </w:t>
      </w:r>
      <w:r>
        <w:rPr>
          <w:rFonts w:ascii="Verdana" w:hAnsi="Verdana"/>
          <w:sz w:val="18"/>
          <w:szCs w:val="18"/>
        </w:rPr>
        <w:t xml:space="preserve">“Gedragsinzichten bij het instellen van speellimieten” </w:t>
      </w:r>
      <w:r w:rsidRPr="002B7113">
        <w:rPr>
          <w:rFonts w:ascii="Verdana" w:hAnsi="Verdana"/>
          <w:sz w:val="18"/>
          <w:szCs w:val="18"/>
        </w:rPr>
        <w:t>uit</w:t>
      </w:r>
      <w:r>
        <w:rPr>
          <w:rFonts w:ascii="Verdana" w:hAnsi="Verdana"/>
          <w:sz w:val="18"/>
          <w:szCs w:val="18"/>
        </w:rPr>
        <w:t xml:space="preserve">. Het </w:t>
      </w:r>
      <w:r w:rsidR="006F1224">
        <w:rPr>
          <w:rFonts w:ascii="Verdana" w:hAnsi="Verdana"/>
          <w:sz w:val="18"/>
          <w:szCs w:val="18"/>
        </w:rPr>
        <w:t xml:space="preserve">bureau </w:t>
      </w:r>
      <w:r>
        <w:rPr>
          <w:rFonts w:ascii="Verdana" w:hAnsi="Verdana"/>
          <w:sz w:val="18"/>
          <w:szCs w:val="18"/>
        </w:rPr>
        <w:t xml:space="preserve">onderzocht </w:t>
      </w:r>
      <w:r w:rsidRPr="002B7113">
        <w:rPr>
          <w:rFonts w:ascii="Verdana" w:hAnsi="Verdana"/>
          <w:sz w:val="18"/>
          <w:szCs w:val="18"/>
        </w:rPr>
        <w:t xml:space="preserve">de invloed van </w:t>
      </w:r>
      <w:r>
        <w:rPr>
          <w:rFonts w:ascii="Verdana" w:hAnsi="Verdana"/>
          <w:sz w:val="18"/>
          <w:szCs w:val="18"/>
        </w:rPr>
        <w:t>gedragsinterventies op</w:t>
      </w:r>
      <w:r w:rsidRPr="002B7113">
        <w:rPr>
          <w:rFonts w:ascii="Verdana" w:hAnsi="Verdana"/>
          <w:sz w:val="18"/>
          <w:szCs w:val="18"/>
        </w:rPr>
        <w:t xml:space="preserve"> pagina</w:t>
      </w:r>
      <w:r w:rsidR="006F1224">
        <w:rPr>
          <w:rFonts w:ascii="Verdana" w:hAnsi="Verdana"/>
          <w:sz w:val="18"/>
          <w:szCs w:val="18"/>
        </w:rPr>
        <w:t>’</w:t>
      </w:r>
      <w:r w:rsidRPr="002B7113">
        <w:rPr>
          <w:rFonts w:ascii="Verdana" w:hAnsi="Verdana"/>
          <w:sz w:val="18"/>
          <w:szCs w:val="18"/>
        </w:rPr>
        <w:t xml:space="preserve">s </w:t>
      </w:r>
      <w:r w:rsidR="006F1224">
        <w:rPr>
          <w:rFonts w:ascii="Verdana" w:hAnsi="Verdana"/>
          <w:sz w:val="18"/>
          <w:szCs w:val="18"/>
        </w:rPr>
        <w:t xml:space="preserve">waar de speellimieten worden ingesteld </w:t>
      </w:r>
      <w:r w:rsidRPr="002B7113">
        <w:rPr>
          <w:rFonts w:ascii="Verdana" w:hAnsi="Verdana"/>
          <w:sz w:val="18"/>
          <w:szCs w:val="18"/>
        </w:rPr>
        <w:t xml:space="preserve">op </w:t>
      </w:r>
      <w:r>
        <w:rPr>
          <w:rFonts w:ascii="Verdana" w:hAnsi="Verdana"/>
          <w:sz w:val="18"/>
          <w:szCs w:val="18"/>
        </w:rPr>
        <w:t>webpagina’s</w:t>
      </w:r>
      <w:r w:rsidRPr="002B7113">
        <w:rPr>
          <w:rFonts w:ascii="Verdana" w:hAnsi="Verdana"/>
          <w:sz w:val="18"/>
          <w:szCs w:val="18"/>
        </w:rPr>
        <w:t xml:space="preserve"> van </w:t>
      </w:r>
      <w:r>
        <w:rPr>
          <w:rFonts w:ascii="Verdana" w:hAnsi="Verdana"/>
          <w:sz w:val="18"/>
          <w:szCs w:val="18"/>
        </w:rPr>
        <w:t>vergunninghouders. Op deze pagina’s bepalen</w:t>
      </w:r>
      <w:r w:rsidRPr="002B7113">
        <w:rPr>
          <w:rFonts w:ascii="Verdana" w:hAnsi="Verdana"/>
          <w:sz w:val="18"/>
          <w:szCs w:val="18"/>
        </w:rPr>
        <w:t xml:space="preserve"> </w:t>
      </w:r>
      <w:r>
        <w:rPr>
          <w:rFonts w:ascii="Verdana" w:hAnsi="Verdana"/>
          <w:sz w:val="18"/>
          <w:szCs w:val="18"/>
        </w:rPr>
        <w:t>spelers</w:t>
      </w:r>
      <w:r w:rsidRPr="002B7113">
        <w:rPr>
          <w:rFonts w:ascii="Verdana" w:hAnsi="Verdana"/>
          <w:sz w:val="18"/>
          <w:szCs w:val="18"/>
        </w:rPr>
        <w:t xml:space="preserve"> de hoogte van </w:t>
      </w:r>
      <w:r>
        <w:rPr>
          <w:rFonts w:ascii="Verdana" w:hAnsi="Verdana"/>
          <w:sz w:val="18"/>
          <w:szCs w:val="18"/>
        </w:rPr>
        <w:t>hun</w:t>
      </w:r>
      <w:r w:rsidRPr="002B7113">
        <w:rPr>
          <w:rFonts w:ascii="Verdana" w:hAnsi="Verdana"/>
          <w:sz w:val="18"/>
          <w:szCs w:val="18"/>
        </w:rPr>
        <w:t xml:space="preserve"> limieten. </w:t>
      </w:r>
      <w:r>
        <w:rPr>
          <w:rFonts w:ascii="Verdana" w:hAnsi="Verdana"/>
          <w:sz w:val="18"/>
          <w:szCs w:val="18"/>
        </w:rPr>
        <w:t xml:space="preserve">Bijgevoegde deelrapportage </w:t>
      </w:r>
      <w:r w:rsidRPr="002B7113">
        <w:rPr>
          <w:rFonts w:ascii="Verdana" w:hAnsi="Verdana"/>
          <w:sz w:val="18"/>
          <w:szCs w:val="18"/>
        </w:rPr>
        <w:t xml:space="preserve">is het tweede deel van </w:t>
      </w:r>
      <w:r>
        <w:rPr>
          <w:rFonts w:ascii="Verdana" w:hAnsi="Verdana"/>
          <w:sz w:val="18"/>
          <w:szCs w:val="18"/>
        </w:rPr>
        <w:t>dit</w:t>
      </w:r>
      <w:r w:rsidRPr="002B7113">
        <w:rPr>
          <w:rFonts w:ascii="Verdana" w:hAnsi="Verdana"/>
          <w:sz w:val="18"/>
          <w:szCs w:val="18"/>
        </w:rPr>
        <w:t xml:space="preserve"> onderzoek. Het eerste deel van het onderzoek </w:t>
      </w:r>
      <w:r>
        <w:rPr>
          <w:rFonts w:ascii="Verdana" w:hAnsi="Verdana"/>
          <w:sz w:val="18"/>
          <w:szCs w:val="18"/>
        </w:rPr>
        <w:t>richtte</w:t>
      </w:r>
      <w:r w:rsidRPr="002B7113">
        <w:rPr>
          <w:rFonts w:ascii="Verdana" w:hAnsi="Verdana"/>
          <w:sz w:val="18"/>
          <w:szCs w:val="18"/>
        </w:rPr>
        <w:t xml:space="preserve"> zich op de inrichting van de limietenpagina’s van kansspelaanbieders en </w:t>
      </w:r>
      <w:r>
        <w:rPr>
          <w:rFonts w:ascii="Verdana" w:hAnsi="Verdana"/>
          <w:sz w:val="18"/>
          <w:szCs w:val="18"/>
        </w:rPr>
        <w:t>op de</w:t>
      </w:r>
      <w:r w:rsidRPr="002B7113">
        <w:rPr>
          <w:rFonts w:ascii="Verdana" w:hAnsi="Verdana"/>
          <w:sz w:val="18"/>
          <w:szCs w:val="18"/>
        </w:rPr>
        <w:t xml:space="preserve"> beïnvloedingstechnieken </w:t>
      </w:r>
      <w:r>
        <w:rPr>
          <w:rFonts w:ascii="Verdana" w:hAnsi="Verdana"/>
          <w:sz w:val="18"/>
          <w:szCs w:val="18"/>
        </w:rPr>
        <w:t>die zij gebruiken</w:t>
      </w:r>
      <w:r w:rsidRPr="002B7113">
        <w:rPr>
          <w:rFonts w:ascii="Verdana" w:hAnsi="Verdana"/>
          <w:sz w:val="18"/>
          <w:szCs w:val="18"/>
        </w:rPr>
        <w:t xml:space="preserve">. Dit </w:t>
      </w:r>
      <w:r>
        <w:rPr>
          <w:rFonts w:ascii="Verdana" w:hAnsi="Verdana"/>
          <w:sz w:val="18"/>
          <w:szCs w:val="18"/>
        </w:rPr>
        <w:t>rapport</w:t>
      </w:r>
      <w:r w:rsidRPr="002B7113">
        <w:rPr>
          <w:rFonts w:ascii="Verdana" w:hAnsi="Verdana"/>
          <w:sz w:val="18"/>
          <w:szCs w:val="18"/>
        </w:rPr>
        <w:t xml:space="preserve"> is met de Tweede Kamer gedeeld op 21 december 2023.</w:t>
      </w:r>
      <w:r w:rsidRPr="002B7113">
        <w:rPr>
          <w:rStyle w:val="Voetnootmarkering"/>
          <w:rFonts w:ascii="Verdana" w:hAnsi="Verdana"/>
          <w:sz w:val="18"/>
          <w:szCs w:val="18"/>
        </w:rPr>
        <w:footnoteReference w:id="2"/>
      </w:r>
      <w:r w:rsidRPr="002B7113">
        <w:rPr>
          <w:rFonts w:ascii="Verdana" w:hAnsi="Verdana"/>
          <w:sz w:val="18"/>
          <w:szCs w:val="18"/>
        </w:rPr>
        <w:t xml:space="preserve"> In de </w:t>
      </w:r>
      <w:r>
        <w:rPr>
          <w:rFonts w:ascii="Verdana" w:hAnsi="Verdana"/>
          <w:sz w:val="18"/>
          <w:szCs w:val="18"/>
        </w:rPr>
        <w:t>R</w:t>
      </w:r>
      <w:r w:rsidRPr="002B7113">
        <w:rPr>
          <w:rFonts w:ascii="Verdana" w:hAnsi="Verdana"/>
          <w:sz w:val="18"/>
          <w:szCs w:val="18"/>
        </w:rPr>
        <w:t xml:space="preserve">egeling speellimieten en bewuster speelgedrag </w:t>
      </w:r>
      <w:r>
        <w:rPr>
          <w:rFonts w:ascii="Verdana" w:hAnsi="Verdana"/>
          <w:sz w:val="18"/>
          <w:szCs w:val="18"/>
        </w:rPr>
        <w:t>(Rsbs)</w:t>
      </w:r>
      <w:r>
        <w:rPr>
          <w:rStyle w:val="Voetnootmarkering"/>
          <w:rFonts w:ascii="Verdana" w:hAnsi="Verdana"/>
          <w:sz w:val="18"/>
          <w:szCs w:val="18"/>
        </w:rPr>
        <w:footnoteReference w:id="3"/>
      </w:r>
      <w:r>
        <w:rPr>
          <w:rFonts w:ascii="Verdana" w:hAnsi="Verdana"/>
          <w:sz w:val="18"/>
          <w:szCs w:val="18"/>
        </w:rPr>
        <w:t xml:space="preserve"> zijn verschillende </w:t>
      </w:r>
      <w:r w:rsidRPr="002B7113">
        <w:rPr>
          <w:rFonts w:ascii="Verdana" w:hAnsi="Verdana"/>
          <w:sz w:val="18"/>
          <w:szCs w:val="18"/>
        </w:rPr>
        <w:t xml:space="preserve">aanbevelingen </w:t>
      </w:r>
      <w:r>
        <w:rPr>
          <w:rFonts w:ascii="Verdana" w:hAnsi="Verdana"/>
          <w:sz w:val="18"/>
          <w:szCs w:val="18"/>
        </w:rPr>
        <w:t>uit</w:t>
      </w:r>
      <w:r w:rsidRPr="002B7113">
        <w:rPr>
          <w:rFonts w:ascii="Verdana" w:hAnsi="Verdana"/>
          <w:sz w:val="18"/>
          <w:szCs w:val="18"/>
        </w:rPr>
        <w:t xml:space="preserve"> het eerste deel van het onderzoek over</w:t>
      </w:r>
      <w:r>
        <w:rPr>
          <w:rFonts w:ascii="Verdana" w:hAnsi="Verdana"/>
          <w:sz w:val="18"/>
          <w:szCs w:val="18"/>
        </w:rPr>
        <w:t>genomen en zijn op basis daarvan de regels met betrekking tot het instellen van limieten opgesteld, zoals een neutrale inrichting van limietenpagina’s, verplichte lege invoervelden en het opwerpen van drempels voor het instellen van een hoog limiet middels een verplicht contactmoment</w:t>
      </w:r>
      <w:r w:rsidRPr="002B7113">
        <w:rPr>
          <w:rFonts w:ascii="Verdana" w:hAnsi="Verdana"/>
          <w:sz w:val="18"/>
          <w:szCs w:val="18"/>
        </w:rPr>
        <w:t>.</w:t>
      </w:r>
      <w:r>
        <w:rPr>
          <w:rStyle w:val="Voetnootmarkering"/>
          <w:rFonts w:ascii="Verdana" w:hAnsi="Verdana"/>
          <w:sz w:val="18"/>
          <w:szCs w:val="18"/>
        </w:rPr>
        <w:footnoteReference w:id="4"/>
      </w:r>
      <w:r w:rsidRPr="002B7113">
        <w:rPr>
          <w:rFonts w:ascii="Verdana" w:hAnsi="Verdana"/>
          <w:sz w:val="18"/>
          <w:szCs w:val="18"/>
        </w:rPr>
        <w:t xml:space="preserve"> </w:t>
      </w:r>
    </w:p>
    <w:p w:rsidRPr="002B7113" w:rsidR="00914BAB" w:rsidP="00914BAB" w:rsidRDefault="00914BAB" w14:paraId="3150F629" w14:textId="77777777">
      <w:pPr>
        <w:rPr>
          <w:rFonts w:ascii="Verdana" w:hAnsi="Verdana"/>
          <w:sz w:val="18"/>
          <w:szCs w:val="18"/>
        </w:rPr>
      </w:pPr>
    </w:p>
    <w:p w:rsidR="00914BAB" w:rsidP="00914BAB" w:rsidRDefault="00914BAB" w14:paraId="17DD9E08" w14:textId="02D57456">
      <w:pPr>
        <w:rPr>
          <w:rFonts w:ascii="Verdana" w:hAnsi="Verdana"/>
          <w:sz w:val="18"/>
          <w:szCs w:val="18"/>
        </w:rPr>
      </w:pPr>
      <w:r>
        <w:rPr>
          <w:rFonts w:ascii="Verdana" w:hAnsi="Verdana"/>
          <w:sz w:val="18"/>
          <w:szCs w:val="18"/>
        </w:rPr>
        <w:t>In dit</w:t>
      </w:r>
      <w:r w:rsidRPr="002B7113">
        <w:rPr>
          <w:rFonts w:ascii="Verdana" w:hAnsi="Verdana"/>
          <w:sz w:val="18"/>
          <w:szCs w:val="18"/>
        </w:rPr>
        <w:t xml:space="preserve"> deel </w:t>
      </w:r>
      <w:r>
        <w:rPr>
          <w:rFonts w:ascii="Verdana" w:hAnsi="Verdana"/>
          <w:sz w:val="18"/>
          <w:szCs w:val="18"/>
        </w:rPr>
        <w:t>van het onderzoek ontwikkelde en testte</w:t>
      </w:r>
      <w:r w:rsidRPr="002B7113">
        <w:rPr>
          <w:rFonts w:ascii="Verdana" w:hAnsi="Verdana"/>
          <w:sz w:val="18"/>
          <w:szCs w:val="18"/>
        </w:rPr>
        <w:t xml:space="preserve"> D&amp;B drie interventies die </w:t>
      </w:r>
      <w:r>
        <w:rPr>
          <w:rFonts w:ascii="Verdana" w:hAnsi="Verdana"/>
          <w:sz w:val="18"/>
          <w:szCs w:val="18"/>
        </w:rPr>
        <w:t xml:space="preserve">moeten </w:t>
      </w:r>
      <w:r w:rsidRPr="002B7113">
        <w:rPr>
          <w:rFonts w:ascii="Verdana" w:hAnsi="Verdana"/>
          <w:sz w:val="18"/>
          <w:szCs w:val="18"/>
        </w:rPr>
        <w:t xml:space="preserve">bijdragen aan het instellen van verantwoorde limieten. D&amp;B heeft dit getest door de interventies </w:t>
      </w:r>
      <w:r>
        <w:rPr>
          <w:rFonts w:ascii="Verdana" w:hAnsi="Verdana"/>
          <w:sz w:val="18"/>
          <w:szCs w:val="18"/>
        </w:rPr>
        <w:t xml:space="preserve">tijdelijk </w:t>
      </w:r>
      <w:r w:rsidRPr="002B7113">
        <w:rPr>
          <w:rFonts w:ascii="Verdana" w:hAnsi="Verdana"/>
          <w:sz w:val="18"/>
          <w:szCs w:val="18"/>
        </w:rPr>
        <w:t>te implementeren op de website van een vergunninghouder gedurende het onderzoek</w:t>
      </w:r>
      <w:r>
        <w:rPr>
          <w:rFonts w:ascii="Verdana" w:hAnsi="Verdana"/>
          <w:sz w:val="18"/>
          <w:szCs w:val="18"/>
        </w:rPr>
        <w:t xml:space="preserve">. </w:t>
      </w:r>
      <w:r w:rsidRPr="002B7113">
        <w:rPr>
          <w:rFonts w:ascii="Verdana" w:hAnsi="Verdana"/>
          <w:sz w:val="18"/>
          <w:szCs w:val="18"/>
        </w:rPr>
        <w:t>De</w:t>
      </w:r>
      <w:r>
        <w:rPr>
          <w:rFonts w:ascii="Verdana" w:hAnsi="Verdana"/>
          <w:sz w:val="18"/>
          <w:szCs w:val="18"/>
        </w:rPr>
        <w:t xml:space="preserve"> effectiviteit van de interventies werd bepaald aan de hand van de</w:t>
      </w:r>
      <w:r w:rsidRPr="002B7113">
        <w:rPr>
          <w:rFonts w:ascii="Verdana" w:hAnsi="Verdana"/>
          <w:sz w:val="18"/>
          <w:szCs w:val="18"/>
        </w:rPr>
        <w:t xml:space="preserve"> hoogte van de ingestelde limieten</w:t>
      </w:r>
      <w:r>
        <w:rPr>
          <w:rFonts w:ascii="Verdana" w:hAnsi="Verdana"/>
          <w:sz w:val="18"/>
          <w:szCs w:val="18"/>
        </w:rPr>
        <w:t xml:space="preserve"> na interventie in vergelijking met de controlegroep.</w:t>
      </w:r>
      <w:r w:rsidR="00C54B73">
        <w:rPr>
          <w:rFonts w:ascii="Verdana" w:hAnsi="Verdana"/>
          <w:sz w:val="18"/>
          <w:szCs w:val="18"/>
        </w:rPr>
        <w:t xml:space="preserve"> </w:t>
      </w:r>
      <w:r w:rsidRPr="002B7113">
        <w:rPr>
          <w:rFonts w:ascii="Verdana" w:hAnsi="Verdana"/>
          <w:sz w:val="18"/>
          <w:szCs w:val="18"/>
        </w:rPr>
        <w:t>Aan het onderzoek namen 7981</w:t>
      </w:r>
      <w:r>
        <w:rPr>
          <w:rFonts w:ascii="Verdana" w:hAnsi="Verdana"/>
          <w:sz w:val="18"/>
          <w:szCs w:val="18"/>
        </w:rPr>
        <w:t xml:space="preserve"> spelers</w:t>
      </w:r>
      <w:r w:rsidRPr="002B7113">
        <w:rPr>
          <w:rFonts w:ascii="Verdana" w:hAnsi="Verdana"/>
          <w:sz w:val="18"/>
          <w:szCs w:val="18"/>
        </w:rPr>
        <w:t xml:space="preserve"> deel. Deze werden </w:t>
      </w:r>
      <w:r w:rsidR="00B111B2">
        <w:rPr>
          <w:rFonts w:ascii="Verdana" w:hAnsi="Verdana"/>
          <w:sz w:val="18"/>
          <w:szCs w:val="18"/>
        </w:rPr>
        <w:t xml:space="preserve">aselect </w:t>
      </w:r>
      <w:r w:rsidRPr="002B7113">
        <w:rPr>
          <w:rFonts w:ascii="Verdana" w:hAnsi="Verdana"/>
          <w:sz w:val="18"/>
          <w:szCs w:val="18"/>
        </w:rPr>
        <w:t xml:space="preserve">in vier groepen verdeeld, </w:t>
      </w:r>
      <w:r>
        <w:rPr>
          <w:rFonts w:ascii="Verdana" w:hAnsi="Verdana"/>
          <w:sz w:val="18"/>
          <w:szCs w:val="18"/>
        </w:rPr>
        <w:t>ee</w:t>
      </w:r>
      <w:r w:rsidRPr="002B7113">
        <w:rPr>
          <w:rFonts w:ascii="Verdana" w:hAnsi="Verdana"/>
          <w:sz w:val="18"/>
          <w:szCs w:val="18"/>
        </w:rPr>
        <w:t xml:space="preserve">n controlegroep en drie groepen met </w:t>
      </w:r>
      <w:r>
        <w:rPr>
          <w:rFonts w:ascii="Verdana" w:hAnsi="Verdana"/>
          <w:sz w:val="18"/>
          <w:szCs w:val="18"/>
        </w:rPr>
        <w:t>elk verschillende</w:t>
      </w:r>
      <w:r w:rsidRPr="002B7113">
        <w:rPr>
          <w:rFonts w:ascii="Verdana" w:hAnsi="Verdana"/>
          <w:sz w:val="18"/>
          <w:szCs w:val="18"/>
        </w:rPr>
        <w:t xml:space="preserve"> interventies. De </w:t>
      </w:r>
      <w:r>
        <w:rPr>
          <w:rFonts w:ascii="Verdana" w:hAnsi="Verdana"/>
          <w:sz w:val="18"/>
          <w:szCs w:val="18"/>
        </w:rPr>
        <w:t xml:space="preserve">zwaarte van de </w:t>
      </w:r>
      <w:r w:rsidRPr="002B7113">
        <w:rPr>
          <w:rFonts w:ascii="Verdana" w:hAnsi="Verdana"/>
          <w:sz w:val="18"/>
          <w:szCs w:val="18"/>
        </w:rPr>
        <w:t>interventies nam per groep toe</w:t>
      </w:r>
      <w:r w:rsidR="003A651B">
        <w:rPr>
          <w:rFonts w:ascii="Verdana" w:hAnsi="Verdana"/>
          <w:sz w:val="18"/>
          <w:szCs w:val="18"/>
        </w:rPr>
        <w:t>.</w:t>
      </w:r>
    </w:p>
    <w:p w:rsidRPr="002B7113" w:rsidR="00914BAB" w:rsidP="00914BAB" w:rsidRDefault="00914BAB" w14:paraId="2C044D48" w14:textId="77777777">
      <w:pPr>
        <w:rPr>
          <w:rFonts w:ascii="Verdana" w:hAnsi="Verdana"/>
          <w:sz w:val="18"/>
          <w:szCs w:val="18"/>
        </w:rPr>
      </w:pPr>
    </w:p>
    <w:p w:rsidRPr="002B7113" w:rsidR="00914BAB" w:rsidP="00914BAB" w:rsidRDefault="00914BAB" w14:paraId="3C159BB9" w14:textId="77777777">
      <w:pPr>
        <w:rPr>
          <w:rFonts w:ascii="Verdana" w:hAnsi="Verdana"/>
          <w:i/>
          <w:iCs/>
          <w:sz w:val="18"/>
          <w:szCs w:val="18"/>
        </w:rPr>
      </w:pPr>
      <w:r w:rsidRPr="002B7113">
        <w:rPr>
          <w:rFonts w:ascii="Verdana" w:hAnsi="Verdana"/>
          <w:i/>
          <w:iCs/>
          <w:sz w:val="18"/>
          <w:szCs w:val="18"/>
        </w:rPr>
        <w:t xml:space="preserve">Resultaten en aanbevelingen onderzoek </w:t>
      </w:r>
    </w:p>
    <w:p w:rsidRPr="002B7113" w:rsidR="00914BAB" w:rsidP="00914BAB" w:rsidRDefault="00914BAB" w14:paraId="2403D682" w14:textId="57EC4335">
      <w:pPr>
        <w:rPr>
          <w:rFonts w:ascii="Verdana" w:hAnsi="Verdana"/>
          <w:sz w:val="18"/>
          <w:szCs w:val="18"/>
        </w:rPr>
      </w:pPr>
      <w:r w:rsidRPr="002B7113">
        <w:rPr>
          <w:rFonts w:ascii="Verdana" w:hAnsi="Verdana"/>
          <w:sz w:val="18"/>
          <w:szCs w:val="18"/>
        </w:rPr>
        <w:t xml:space="preserve">Dit onderzoek vond plaats voordat de </w:t>
      </w:r>
      <w:r>
        <w:rPr>
          <w:rFonts w:ascii="Verdana" w:hAnsi="Verdana"/>
          <w:sz w:val="18"/>
          <w:szCs w:val="18"/>
        </w:rPr>
        <w:t>Rsbs</w:t>
      </w:r>
      <w:r w:rsidRPr="002B7113">
        <w:rPr>
          <w:rFonts w:ascii="Verdana" w:hAnsi="Verdana"/>
          <w:sz w:val="18"/>
          <w:szCs w:val="18"/>
        </w:rPr>
        <w:t xml:space="preserve"> en </w:t>
      </w:r>
      <w:r>
        <w:rPr>
          <w:rFonts w:ascii="Verdana" w:hAnsi="Verdana"/>
          <w:sz w:val="18"/>
          <w:szCs w:val="18"/>
        </w:rPr>
        <w:t>de B</w:t>
      </w:r>
      <w:r w:rsidRPr="002B7113">
        <w:rPr>
          <w:rFonts w:ascii="Verdana" w:hAnsi="Verdana"/>
          <w:sz w:val="18"/>
          <w:szCs w:val="18"/>
        </w:rPr>
        <w:t>eleidsregels</w:t>
      </w:r>
      <w:r>
        <w:rPr>
          <w:rFonts w:ascii="Verdana" w:hAnsi="Verdana"/>
          <w:sz w:val="18"/>
          <w:szCs w:val="18"/>
        </w:rPr>
        <w:t xml:space="preserve"> verantwoord spelen 2024 van de Kansspelautoriteit</w:t>
      </w:r>
      <w:r w:rsidRPr="002B7113">
        <w:rPr>
          <w:rFonts w:ascii="Verdana" w:hAnsi="Verdana"/>
          <w:sz w:val="18"/>
          <w:szCs w:val="18"/>
        </w:rPr>
        <w:t xml:space="preserve"> </w:t>
      </w:r>
      <w:r>
        <w:rPr>
          <w:rFonts w:ascii="Verdana" w:hAnsi="Verdana"/>
          <w:sz w:val="18"/>
          <w:szCs w:val="18"/>
        </w:rPr>
        <w:t xml:space="preserve">(Ksa) </w:t>
      </w:r>
      <w:r w:rsidRPr="002B7113">
        <w:rPr>
          <w:rFonts w:ascii="Verdana" w:hAnsi="Verdana"/>
          <w:sz w:val="18"/>
          <w:szCs w:val="18"/>
        </w:rPr>
        <w:t xml:space="preserve">in werking </w:t>
      </w:r>
      <w:r>
        <w:rPr>
          <w:rFonts w:ascii="Verdana" w:hAnsi="Verdana"/>
          <w:sz w:val="18"/>
          <w:szCs w:val="18"/>
        </w:rPr>
        <w:t>traden</w:t>
      </w:r>
      <w:r w:rsidRPr="002B7113">
        <w:rPr>
          <w:rFonts w:ascii="Verdana" w:hAnsi="Verdana"/>
          <w:sz w:val="18"/>
          <w:szCs w:val="18"/>
        </w:rPr>
        <w:t>.</w:t>
      </w:r>
      <w:r>
        <w:rPr>
          <w:rStyle w:val="Voetnootmarkering"/>
          <w:rFonts w:ascii="Verdana" w:hAnsi="Verdana"/>
          <w:sz w:val="18"/>
          <w:szCs w:val="18"/>
        </w:rPr>
        <w:footnoteReference w:id="5"/>
      </w:r>
      <w:r w:rsidRPr="002B7113">
        <w:rPr>
          <w:rFonts w:ascii="Verdana" w:hAnsi="Verdana"/>
          <w:sz w:val="18"/>
          <w:szCs w:val="18"/>
        </w:rPr>
        <w:t xml:space="preserve"> Uit het onderzoek bl</w:t>
      </w:r>
      <w:r>
        <w:rPr>
          <w:rFonts w:ascii="Verdana" w:hAnsi="Verdana"/>
          <w:sz w:val="18"/>
          <w:szCs w:val="18"/>
        </w:rPr>
        <w:t>ijkt</w:t>
      </w:r>
      <w:r w:rsidRPr="002B7113">
        <w:rPr>
          <w:rFonts w:ascii="Verdana" w:hAnsi="Verdana"/>
          <w:sz w:val="18"/>
          <w:szCs w:val="18"/>
        </w:rPr>
        <w:t xml:space="preserve"> dat </w:t>
      </w:r>
      <w:r>
        <w:rPr>
          <w:rFonts w:ascii="Verdana" w:hAnsi="Verdana"/>
          <w:sz w:val="18"/>
          <w:szCs w:val="18"/>
        </w:rPr>
        <w:t>spelers</w:t>
      </w:r>
      <w:r w:rsidRPr="002B7113">
        <w:rPr>
          <w:rFonts w:ascii="Verdana" w:hAnsi="Verdana"/>
          <w:sz w:val="18"/>
          <w:szCs w:val="18"/>
        </w:rPr>
        <w:t xml:space="preserve"> significant lagere limieten instelden in </w:t>
      </w:r>
      <w:r>
        <w:rPr>
          <w:rFonts w:ascii="Verdana" w:hAnsi="Verdana"/>
          <w:sz w:val="18"/>
          <w:szCs w:val="18"/>
        </w:rPr>
        <w:t xml:space="preserve">de </w:t>
      </w:r>
      <w:r w:rsidRPr="002B7113">
        <w:rPr>
          <w:rFonts w:ascii="Verdana" w:hAnsi="Verdana"/>
          <w:sz w:val="18"/>
          <w:szCs w:val="18"/>
        </w:rPr>
        <w:t>interventie</w:t>
      </w:r>
      <w:r>
        <w:rPr>
          <w:rFonts w:ascii="Verdana" w:hAnsi="Verdana"/>
          <w:sz w:val="18"/>
          <w:szCs w:val="18"/>
        </w:rPr>
        <w:t>groepen</w:t>
      </w:r>
      <w:r w:rsidRPr="002B7113">
        <w:rPr>
          <w:rFonts w:ascii="Verdana" w:hAnsi="Verdana"/>
          <w:sz w:val="18"/>
          <w:szCs w:val="18"/>
        </w:rPr>
        <w:t xml:space="preserve"> dan </w:t>
      </w:r>
      <w:r>
        <w:rPr>
          <w:rFonts w:ascii="Verdana" w:hAnsi="Verdana"/>
          <w:sz w:val="18"/>
          <w:szCs w:val="18"/>
        </w:rPr>
        <w:t xml:space="preserve">in </w:t>
      </w:r>
      <w:r w:rsidRPr="002B7113">
        <w:rPr>
          <w:rFonts w:ascii="Verdana" w:hAnsi="Verdana"/>
          <w:sz w:val="18"/>
          <w:szCs w:val="18"/>
        </w:rPr>
        <w:t>de controlegroep. Hierbij signaleren de onderzoekers wel dat de lager ingestelde limieten nog steeds zeer hoog zijn.</w:t>
      </w:r>
      <w:r>
        <w:rPr>
          <w:rStyle w:val="Voetnootmarkering"/>
          <w:rFonts w:ascii="Verdana" w:hAnsi="Verdana"/>
          <w:sz w:val="18"/>
          <w:szCs w:val="18"/>
        </w:rPr>
        <w:footnoteReference w:id="6"/>
      </w:r>
      <w:r w:rsidRPr="002B7113">
        <w:rPr>
          <w:rFonts w:ascii="Verdana" w:hAnsi="Verdana"/>
          <w:sz w:val="18"/>
          <w:szCs w:val="18"/>
        </w:rPr>
        <w:t xml:space="preserve"> </w:t>
      </w:r>
      <w:r w:rsidR="00C54B73">
        <w:rPr>
          <w:rFonts w:ascii="Verdana" w:hAnsi="Verdana"/>
          <w:sz w:val="18"/>
          <w:szCs w:val="18"/>
        </w:rPr>
        <w:t>Ook is</w:t>
      </w:r>
      <w:r>
        <w:rPr>
          <w:rFonts w:ascii="Verdana" w:hAnsi="Verdana"/>
          <w:sz w:val="18"/>
          <w:szCs w:val="18"/>
        </w:rPr>
        <w:t xml:space="preserve"> </w:t>
      </w:r>
      <w:r w:rsidRPr="002B7113">
        <w:rPr>
          <w:rFonts w:ascii="Verdana" w:hAnsi="Verdana"/>
          <w:sz w:val="18"/>
          <w:szCs w:val="18"/>
        </w:rPr>
        <w:t xml:space="preserve">onderzocht of </w:t>
      </w:r>
      <w:r w:rsidRPr="002B7113">
        <w:rPr>
          <w:rFonts w:ascii="Verdana" w:hAnsi="Verdana"/>
          <w:sz w:val="18"/>
          <w:szCs w:val="18"/>
        </w:rPr>
        <w:lastRenderedPageBreak/>
        <w:t>de interventie</w:t>
      </w:r>
      <w:r>
        <w:rPr>
          <w:rFonts w:ascii="Verdana" w:hAnsi="Verdana"/>
          <w:sz w:val="18"/>
          <w:szCs w:val="18"/>
        </w:rPr>
        <w:t>s</w:t>
      </w:r>
      <w:r w:rsidRPr="002B7113">
        <w:rPr>
          <w:rFonts w:ascii="Verdana" w:hAnsi="Verdana"/>
          <w:sz w:val="18"/>
          <w:szCs w:val="18"/>
        </w:rPr>
        <w:t xml:space="preserve"> invloed hadden op het daadwerkelijke gokgedrag. Dit </w:t>
      </w:r>
      <w:r>
        <w:rPr>
          <w:rFonts w:ascii="Verdana" w:hAnsi="Verdana"/>
          <w:sz w:val="18"/>
          <w:szCs w:val="18"/>
        </w:rPr>
        <w:t>blijkt</w:t>
      </w:r>
      <w:r w:rsidRPr="002B7113">
        <w:rPr>
          <w:rFonts w:ascii="Verdana" w:hAnsi="Verdana"/>
          <w:sz w:val="18"/>
          <w:szCs w:val="18"/>
        </w:rPr>
        <w:t xml:space="preserve"> niet het geval</w:t>
      </w:r>
      <w:r>
        <w:rPr>
          <w:rFonts w:ascii="Verdana" w:hAnsi="Verdana"/>
          <w:sz w:val="18"/>
          <w:szCs w:val="18"/>
        </w:rPr>
        <w:t xml:space="preserve"> te zijn</w:t>
      </w:r>
      <w:r w:rsidRPr="002B7113">
        <w:rPr>
          <w:rFonts w:ascii="Verdana" w:hAnsi="Verdana"/>
          <w:sz w:val="18"/>
          <w:szCs w:val="18"/>
        </w:rPr>
        <w:t xml:space="preserve">. </w:t>
      </w:r>
      <w:r>
        <w:rPr>
          <w:rFonts w:ascii="Verdana" w:hAnsi="Verdana"/>
          <w:sz w:val="18"/>
          <w:szCs w:val="18"/>
        </w:rPr>
        <w:t>Spelers</w:t>
      </w:r>
      <w:r w:rsidRPr="002B7113">
        <w:rPr>
          <w:rFonts w:ascii="Verdana" w:hAnsi="Verdana"/>
          <w:sz w:val="18"/>
          <w:szCs w:val="18"/>
        </w:rPr>
        <w:t xml:space="preserve"> hebben in alle </w:t>
      </w:r>
      <w:r>
        <w:rPr>
          <w:rFonts w:ascii="Verdana" w:hAnsi="Verdana"/>
          <w:sz w:val="18"/>
          <w:szCs w:val="18"/>
        </w:rPr>
        <w:t xml:space="preserve">groepen, met veel, weinig en geen interventies op de limietenpagina, </w:t>
      </w:r>
      <w:r w:rsidRPr="002B7113">
        <w:rPr>
          <w:rFonts w:ascii="Verdana" w:hAnsi="Verdana"/>
          <w:sz w:val="18"/>
          <w:szCs w:val="18"/>
        </w:rPr>
        <w:t xml:space="preserve">evenveel tijd op de gokwebsites besteed </w:t>
      </w:r>
      <w:r>
        <w:rPr>
          <w:rFonts w:ascii="Verdana" w:hAnsi="Verdana"/>
          <w:sz w:val="18"/>
          <w:szCs w:val="18"/>
        </w:rPr>
        <w:t>en</w:t>
      </w:r>
      <w:r w:rsidRPr="002B7113">
        <w:rPr>
          <w:rFonts w:ascii="Verdana" w:hAnsi="Verdana"/>
          <w:sz w:val="18"/>
          <w:szCs w:val="18"/>
        </w:rPr>
        <w:t xml:space="preserve"> geld gestort. Hoewel </w:t>
      </w:r>
      <w:r>
        <w:rPr>
          <w:rFonts w:ascii="Verdana" w:hAnsi="Verdana"/>
          <w:sz w:val="18"/>
          <w:szCs w:val="18"/>
        </w:rPr>
        <w:t xml:space="preserve">de </w:t>
      </w:r>
      <w:r w:rsidRPr="002B7113">
        <w:rPr>
          <w:rFonts w:ascii="Verdana" w:hAnsi="Verdana"/>
          <w:sz w:val="18"/>
          <w:szCs w:val="18"/>
        </w:rPr>
        <w:t>limieten lager w</w:t>
      </w:r>
      <w:r>
        <w:rPr>
          <w:rFonts w:ascii="Verdana" w:hAnsi="Verdana"/>
          <w:sz w:val="18"/>
          <w:szCs w:val="18"/>
        </w:rPr>
        <w:t>e</w:t>
      </w:r>
      <w:r w:rsidRPr="002B7113">
        <w:rPr>
          <w:rFonts w:ascii="Verdana" w:hAnsi="Verdana"/>
          <w:sz w:val="18"/>
          <w:szCs w:val="18"/>
        </w:rPr>
        <w:t xml:space="preserve">rden ingesteld, </w:t>
      </w:r>
      <w:r>
        <w:rPr>
          <w:rFonts w:ascii="Verdana" w:hAnsi="Verdana"/>
          <w:sz w:val="18"/>
          <w:szCs w:val="18"/>
        </w:rPr>
        <w:t>werd er dus niet daadwerkelijk minder gespeeld of minder geld verloren</w:t>
      </w:r>
      <w:r w:rsidRPr="002B7113">
        <w:rPr>
          <w:rFonts w:ascii="Verdana" w:hAnsi="Verdana"/>
          <w:sz w:val="18"/>
          <w:szCs w:val="18"/>
        </w:rPr>
        <w:t xml:space="preserve">. </w:t>
      </w:r>
      <w:r>
        <w:rPr>
          <w:rFonts w:ascii="Verdana" w:hAnsi="Verdana"/>
          <w:sz w:val="18"/>
          <w:szCs w:val="18"/>
        </w:rPr>
        <w:t>De c</w:t>
      </w:r>
      <w:r w:rsidRPr="002B7113">
        <w:rPr>
          <w:rFonts w:ascii="Verdana" w:hAnsi="Verdana"/>
          <w:sz w:val="18"/>
          <w:szCs w:val="18"/>
        </w:rPr>
        <w:t xml:space="preserve">onclusie van de onderzoekers is dan ook dat zelfingestelde limieten onvoldoende effectief zijn om onmatig gokgedrag te reguleren. </w:t>
      </w:r>
      <w:r>
        <w:rPr>
          <w:rFonts w:ascii="Verdana" w:hAnsi="Verdana"/>
          <w:sz w:val="18"/>
          <w:szCs w:val="18"/>
        </w:rPr>
        <w:t>V</w:t>
      </w:r>
      <w:r w:rsidRPr="002B7113">
        <w:rPr>
          <w:rFonts w:ascii="Verdana" w:hAnsi="Verdana"/>
          <w:sz w:val="18"/>
          <w:szCs w:val="18"/>
        </w:rPr>
        <w:t xml:space="preserve">eel </w:t>
      </w:r>
      <w:r>
        <w:rPr>
          <w:rFonts w:ascii="Verdana" w:hAnsi="Verdana"/>
          <w:sz w:val="18"/>
          <w:szCs w:val="18"/>
        </w:rPr>
        <w:t>spelers</w:t>
      </w:r>
      <w:r w:rsidRPr="002B7113">
        <w:rPr>
          <w:rFonts w:ascii="Verdana" w:hAnsi="Verdana"/>
          <w:sz w:val="18"/>
          <w:szCs w:val="18"/>
        </w:rPr>
        <w:t xml:space="preserve"> spelen niet door tot hun ingestelde limieten, wat erop wijst dat </w:t>
      </w:r>
      <w:r>
        <w:rPr>
          <w:rFonts w:ascii="Verdana" w:hAnsi="Verdana"/>
          <w:sz w:val="18"/>
          <w:szCs w:val="18"/>
        </w:rPr>
        <w:t xml:space="preserve">ofwel de </w:t>
      </w:r>
      <w:r w:rsidRPr="002B7113">
        <w:rPr>
          <w:rFonts w:ascii="Verdana" w:hAnsi="Verdana"/>
          <w:sz w:val="18"/>
          <w:szCs w:val="18"/>
        </w:rPr>
        <w:t>limieten te hoog worden ingesteld</w:t>
      </w:r>
      <w:r>
        <w:rPr>
          <w:rFonts w:ascii="Verdana" w:hAnsi="Verdana"/>
          <w:sz w:val="18"/>
          <w:szCs w:val="18"/>
        </w:rPr>
        <w:t>,</w:t>
      </w:r>
      <w:r w:rsidRPr="002B7113">
        <w:rPr>
          <w:rFonts w:ascii="Verdana" w:hAnsi="Verdana"/>
          <w:sz w:val="18"/>
          <w:szCs w:val="18"/>
        </w:rPr>
        <w:t xml:space="preserve"> of</w:t>
      </w:r>
      <w:r>
        <w:rPr>
          <w:rFonts w:ascii="Verdana" w:hAnsi="Verdana"/>
          <w:sz w:val="18"/>
          <w:szCs w:val="18"/>
        </w:rPr>
        <w:t xml:space="preserve"> dat</w:t>
      </w:r>
      <w:r w:rsidRPr="002B7113">
        <w:rPr>
          <w:rFonts w:ascii="Verdana" w:hAnsi="Verdana"/>
          <w:sz w:val="18"/>
          <w:szCs w:val="18"/>
        </w:rPr>
        <w:t xml:space="preserve"> consumenten verantwoord spelen</w:t>
      </w:r>
      <w:r>
        <w:rPr>
          <w:rFonts w:ascii="Verdana" w:hAnsi="Verdana"/>
          <w:sz w:val="18"/>
          <w:szCs w:val="18"/>
        </w:rPr>
        <w:t xml:space="preserve"> door onder de limieten te blijven</w:t>
      </w:r>
      <w:r w:rsidRPr="002B7113">
        <w:rPr>
          <w:rFonts w:ascii="Verdana" w:hAnsi="Verdana"/>
          <w:sz w:val="18"/>
          <w:szCs w:val="18"/>
        </w:rPr>
        <w:t xml:space="preserve">. De onderzoekers </w:t>
      </w:r>
      <w:r>
        <w:rPr>
          <w:rFonts w:ascii="Verdana" w:hAnsi="Verdana"/>
          <w:sz w:val="18"/>
          <w:szCs w:val="18"/>
        </w:rPr>
        <w:t>vermoeden</w:t>
      </w:r>
      <w:r w:rsidRPr="002B7113">
        <w:rPr>
          <w:rFonts w:ascii="Verdana" w:hAnsi="Verdana"/>
          <w:sz w:val="18"/>
          <w:szCs w:val="18"/>
        </w:rPr>
        <w:t xml:space="preserve"> dat beide groepen zijn vertegenwoordigd in het onderzoek. </w:t>
      </w:r>
    </w:p>
    <w:p w:rsidRPr="002B7113" w:rsidR="00914BAB" w:rsidP="00914BAB" w:rsidRDefault="00914BAB" w14:paraId="42490BF3" w14:textId="77777777">
      <w:pPr>
        <w:rPr>
          <w:rFonts w:ascii="Verdana" w:hAnsi="Verdana"/>
          <w:sz w:val="18"/>
          <w:szCs w:val="18"/>
        </w:rPr>
      </w:pPr>
    </w:p>
    <w:p w:rsidR="00914BAB" w:rsidP="00914BAB" w:rsidRDefault="00914BAB" w14:paraId="76D5C69B" w14:textId="7AF5295C">
      <w:pPr>
        <w:rPr>
          <w:rFonts w:ascii="Verdana" w:hAnsi="Verdana"/>
          <w:sz w:val="18"/>
          <w:szCs w:val="18"/>
        </w:rPr>
      </w:pPr>
      <w:r w:rsidRPr="002B7113">
        <w:rPr>
          <w:rFonts w:ascii="Verdana" w:hAnsi="Verdana"/>
          <w:sz w:val="18"/>
          <w:szCs w:val="18"/>
        </w:rPr>
        <w:t xml:space="preserve">De onderzoekers doen een aantal aanbevelingen, </w:t>
      </w:r>
      <w:r>
        <w:rPr>
          <w:rFonts w:ascii="Verdana" w:hAnsi="Verdana"/>
          <w:sz w:val="18"/>
          <w:szCs w:val="18"/>
        </w:rPr>
        <w:t>waarvan een deel</w:t>
      </w:r>
      <w:r w:rsidRPr="002B7113">
        <w:rPr>
          <w:rFonts w:ascii="Verdana" w:hAnsi="Verdana"/>
          <w:sz w:val="18"/>
          <w:szCs w:val="18"/>
        </w:rPr>
        <w:t xml:space="preserve"> </w:t>
      </w:r>
      <w:r>
        <w:rPr>
          <w:rFonts w:ascii="Verdana" w:hAnsi="Verdana"/>
          <w:sz w:val="18"/>
          <w:szCs w:val="18"/>
        </w:rPr>
        <w:t>reeds</w:t>
      </w:r>
      <w:r w:rsidRPr="002B7113">
        <w:rPr>
          <w:rFonts w:ascii="Verdana" w:hAnsi="Verdana"/>
          <w:sz w:val="18"/>
          <w:szCs w:val="18"/>
        </w:rPr>
        <w:t xml:space="preserve"> </w:t>
      </w:r>
      <w:r>
        <w:rPr>
          <w:rFonts w:ascii="Verdana" w:hAnsi="Verdana"/>
          <w:sz w:val="18"/>
          <w:szCs w:val="18"/>
        </w:rPr>
        <w:t>is</w:t>
      </w:r>
      <w:r w:rsidRPr="002B7113">
        <w:rPr>
          <w:rFonts w:ascii="Verdana" w:hAnsi="Verdana"/>
          <w:sz w:val="18"/>
          <w:szCs w:val="18"/>
        </w:rPr>
        <w:t xml:space="preserve"> overgenomen met de </w:t>
      </w:r>
      <w:r>
        <w:rPr>
          <w:rFonts w:ascii="Verdana" w:hAnsi="Verdana"/>
          <w:sz w:val="18"/>
          <w:szCs w:val="18"/>
        </w:rPr>
        <w:t>Rsbs.</w:t>
      </w:r>
      <w:r w:rsidRPr="002B7113">
        <w:rPr>
          <w:rFonts w:ascii="Verdana" w:hAnsi="Verdana"/>
          <w:sz w:val="18"/>
          <w:szCs w:val="18"/>
        </w:rPr>
        <w:t xml:space="preserve"> </w:t>
      </w:r>
      <w:r>
        <w:rPr>
          <w:rFonts w:ascii="Verdana" w:hAnsi="Verdana"/>
          <w:sz w:val="18"/>
          <w:szCs w:val="18"/>
        </w:rPr>
        <w:t>Dit betreft aanpassingen van de</w:t>
      </w:r>
      <w:r w:rsidRPr="002B7113">
        <w:rPr>
          <w:rFonts w:ascii="Verdana" w:hAnsi="Verdana"/>
          <w:sz w:val="18"/>
          <w:szCs w:val="18"/>
        </w:rPr>
        <w:t xml:space="preserve"> limietenpagina’s op de websites van de vergunninghouders</w:t>
      </w:r>
      <w:r>
        <w:rPr>
          <w:rFonts w:ascii="Verdana" w:hAnsi="Verdana"/>
          <w:sz w:val="18"/>
          <w:szCs w:val="18"/>
        </w:rPr>
        <w:t>, zoals</w:t>
      </w:r>
      <w:r w:rsidRPr="002B7113">
        <w:rPr>
          <w:rFonts w:ascii="Verdana" w:hAnsi="Verdana"/>
          <w:sz w:val="18"/>
          <w:szCs w:val="18"/>
        </w:rPr>
        <w:t xml:space="preserve"> </w:t>
      </w:r>
      <w:r>
        <w:rPr>
          <w:rFonts w:ascii="Verdana" w:hAnsi="Verdana"/>
          <w:sz w:val="18"/>
          <w:szCs w:val="18"/>
        </w:rPr>
        <w:t xml:space="preserve">het </w:t>
      </w:r>
      <w:r w:rsidRPr="002B7113">
        <w:rPr>
          <w:rFonts w:ascii="Verdana" w:hAnsi="Verdana"/>
          <w:sz w:val="18"/>
          <w:szCs w:val="18"/>
        </w:rPr>
        <w:t>v</w:t>
      </w:r>
      <w:r>
        <w:rPr>
          <w:rFonts w:ascii="Verdana" w:hAnsi="Verdana"/>
          <w:sz w:val="18"/>
          <w:szCs w:val="18"/>
        </w:rPr>
        <w:t>oorkomen</w:t>
      </w:r>
      <w:r w:rsidRPr="002B7113">
        <w:rPr>
          <w:rFonts w:ascii="Verdana" w:hAnsi="Verdana"/>
          <w:sz w:val="18"/>
          <w:szCs w:val="18"/>
        </w:rPr>
        <w:t xml:space="preserve"> </w:t>
      </w:r>
      <w:r>
        <w:rPr>
          <w:rFonts w:ascii="Verdana" w:hAnsi="Verdana"/>
          <w:sz w:val="18"/>
          <w:szCs w:val="18"/>
        </w:rPr>
        <w:t>van</w:t>
      </w:r>
      <w:r w:rsidRPr="002B7113">
        <w:rPr>
          <w:rFonts w:ascii="Verdana" w:hAnsi="Verdana"/>
          <w:sz w:val="18"/>
          <w:szCs w:val="18"/>
        </w:rPr>
        <w:t xml:space="preserve"> hoge </w:t>
      </w:r>
      <w:r>
        <w:rPr>
          <w:rFonts w:ascii="Verdana" w:hAnsi="Verdana"/>
          <w:sz w:val="18"/>
          <w:szCs w:val="18"/>
        </w:rPr>
        <w:t>voorbeeldbedragen</w:t>
      </w:r>
      <w:r w:rsidRPr="002B7113">
        <w:rPr>
          <w:rFonts w:ascii="Verdana" w:hAnsi="Verdana"/>
          <w:sz w:val="18"/>
          <w:szCs w:val="18"/>
        </w:rPr>
        <w:t xml:space="preserve"> </w:t>
      </w:r>
      <w:r>
        <w:rPr>
          <w:rFonts w:ascii="Verdana" w:hAnsi="Verdana"/>
          <w:sz w:val="18"/>
          <w:szCs w:val="18"/>
        </w:rPr>
        <w:t xml:space="preserve">die </w:t>
      </w:r>
      <w:r w:rsidRPr="002B7113">
        <w:rPr>
          <w:rFonts w:ascii="Verdana" w:hAnsi="Verdana"/>
          <w:sz w:val="18"/>
          <w:szCs w:val="18"/>
        </w:rPr>
        <w:t xml:space="preserve">leiden tot hoge limieten, </w:t>
      </w:r>
      <w:r>
        <w:rPr>
          <w:rFonts w:ascii="Verdana" w:hAnsi="Verdana"/>
          <w:sz w:val="18"/>
          <w:szCs w:val="18"/>
        </w:rPr>
        <w:t xml:space="preserve">het instellen van </w:t>
      </w:r>
      <w:r w:rsidRPr="002B7113">
        <w:rPr>
          <w:rFonts w:ascii="Verdana" w:hAnsi="Verdana"/>
          <w:sz w:val="18"/>
          <w:szCs w:val="18"/>
        </w:rPr>
        <w:t>open invulvelden,</w:t>
      </w:r>
      <w:r>
        <w:rPr>
          <w:rFonts w:ascii="Verdana" w:hAnsi="Verdana"/>
          <w:sz w:val="18"/>
          <w:szCs w:val="18"/>
        </w:rPr>
        <w:t xml:space="preserve"> het gebruik van</w:t>
      </w:r>
      <w:r w:rsidRPr="002B7113">
        <w:rPr>
          <w:rFonts w:ascii="Verdana" w:hAnsi="Verdana"/>
          <w:sz w:val="18"/>
          <w:szCs w:val="18"/>
        </w:rPr>
        <w:t xml:space="preserve"> preventief en activerend taalgebruik en </w:t>
      </w:r>
      <w:r>
        <w:rPr>
          <w:rFonts w:ascii="Verdana" w:hAnsi="Verdana"/>
          <w:sz w:val="18"/>
          <w:szCs w:val="18"/>
        </w:rPr>
        <w:t>de weergave van euro-tekens in plaats van speelmunten</w:t>
      </w:r>
      <w:r w:rsidRPr="002B7113">
        <w:rPr>
          <w:rFonts w:ascii="Verdana" w:hAnsi="Verdana"/>
          <w:sz w:val="18"/>
          <w:szCs w:val="18"/>
        </w:rPr>
        <w:t>.</w:t>
      </w:r>
      <w:r>
        <w:rPr>
          <w:rFonts w:ascii="Verdana" w:hAnsi="Verdana"/>
          <w:sz w:val="18"/>
          <w:szCs w:val="18"/>
        </w:rPr>
        <w:t xml:space="preserve"> Verder bevelen de onderzoekers het</w:t>
      </w:r>
      <w:r w:rsidRPr="002B7113">
        <w:rPr>
          <w:rFonts w:ascii="Verdana" w:hAnsi="Verdana"/>
          <w:sz w:val="18"/>
          <w:szCs w:val="18"/>
        </w:rPr>
        <w:t xml:space="preserve"> introduceren van wettelijke maximumlimieten </w:t>
      </w:r>
      <w:r>
        <w:rPr>
          <w:rFonts w:ascii="Verdana" w:hAnsi="Verdana"/>
          <w:sz w:val="18"/>
          <w:szCs w:val="18"/>
        </w:rPr>
        <w:t xml:space="preserve">aan, </w:t>
      </w:r>
      <w:r w:rsidRPr="002B7113">
        <w:rPr>
          <w:rFonts w:ascii="Verdana" w:hAnsi="Verdana"/>
          <w:sz w:val="18"/>
          <w:szCs w:val="18"/>
        </w:rPr>
        <w:t xml:space="preserve">die ook veilig zijn voor kwetsbare groepen. </w:t>
      </w:r>
      <w:r>
        <w:rPr>
          <w:rFonts w:ascii="Verdana" w:hAnsi="Verdana"/>
          <w:sz w:val="18"/>
          <w:szCs w:val="18"/>
        </w:rPr>
        <w:t>M</w:t>
      </w:r>
      <w:r w:rsidRPr="002B7113">
        <w:rPr>
          <w:rFonts w:ascii="Verdana" w:hAnsi="Verdana"/>
          <w:sz w:val="18"/>
          <w:szCs w:val="18"/>
        </w:rPr>
        <w:t xml:space="preserve">et </w:t>
      </w:r>
      <w:r>
        <w:rPr>
          <w:rFonts w:ascii="Verdana" w:hAnsi="Verdana"/>
          <w:sz w:val="18"/>
          <w:szCs w:val="18"/>
        </w:rPr>
        <w:t>de invoering</w:t>
      </w:r>
      <w:r w:rsidRPr="002B7113">
        <w:rPr>
          <w:rFonts w:ascii="Verdana" w:hAnsi="Verdana"/>
          <w:sz w:val="18"/>
          <w:szCs w:val="18"/>
        </w:rPr>
        <w:t xml:space="preserve"> van het persoonlijke contactmoment </w:t>
      </w:r>
      <w:r>
        <w:rPr>
          <w:rFonts w:ascii="Verdana" w:hAnsi="Verdana"/>
          <w:sz w:val="18"/>
          <w:szCs w:val="18"/>
        </w:rPr>
        <w:t>vanaf</w:t>
      </w:r>
      <w:r w:rsidRPr="002B7113">
        <w:rPr>
          <w:rFonts w:ascii="Verdana" w:hAnsi="Verdana"/>
          <w:sz w:val="18"/>
          <w:szCs w:val="18"/>
        </w:rPr>
        <w:t xml:space="preserve"> 350 euro</w:t>
      </w:r>
      <w:r>
        <w:rPr>
          <w:rFonts w:ascii="Verdana" w:hAnsi="Verdana"/>
          <w:sz w:val="18"/>
          <w:szCs w:val="18"/>
        </w:rPr>
        <w:t xml:space="preserve"> in de maand</w:t>
      </w:r>
      <w:r w:rsidRPr="002B7113">
        <w:rPr>
          <w:rFonts w:ascii="Verdana" w:hAnsi="Verdana"/>
          <w:sz w:val="18"/>
          <w:szCs w:val="18"/>
        </w:rPr>
        <w:t xml:space="preserve"> en 150 euro in de maand voor jongvolwassenen</w:t>
      </w:r>
      <w:r>
        <w:rPr>
          <w:rFonts w:ascii="Verdana" w:hAnsi="Verdana"/>
          <w:sz w:val="18"/>
          <w:szCs w:val="18"/>
        </w:rPr>
        <w:t xml:space="preserve"> uit de Rsbs</w:t>
      </w:r>
      <w:r w:rsidRPr="002B7113">
        <w:rPr>
          <w:rFonts w:ascii="Verdana" w:hAnsi="Verdana"/>
          <w:sz w:val="18"/>
          <w:szCs w:val="18"/>
        </w:rPr>
        <w:t xml:space="preserve"> en met de </w:t>
      </w:r>
      <w:r>
        <w:rPr>
          <w:rFonts w:ascii="Verdana" w:hAnsi="Verdana"/>
          <w:sz w:val="18"/>
          <w:szCs w:val="18"/>
        </w:rPr>
        <w:t xml:space="preserve">nieuwe </w:t>
      </w:r>
      <w:r w:rsidRPr="002B7113">
        <w:rPr>
          <w:rFonts w:ascii="Verdana" w:hAnsi="Verdana"/>
          <w:sz w:val="18"/>
          <w:szCs w:val="18"/>
        </w:rPr>
        <w:t>beleidsregels</w:t>
      </w:r>
      <w:r>
        <w:rPr>
          <w:rFonts w:ascii="Verdana" w:hAnsi="Verdana"/>
          <w:sz w:val="18"/>
          <w:szCs w:val="18"/>
        </w:rPr>
        <w:t xml:space="preserve"> van de Ksa, waarin de aanbieder verplicht wordt om de financiële draagkracht van een speler na te gaan vanaf stortingen van 700 euro in de maand (300 voor jongvolwassenen), is hier deels invulling aan gegeven</w:t>
      </w:r>
      <w:r w:rsidRPr="002B7113">
        <w:rPr>
          <w:rFonts w:ascii="Verdana" w:hAnsi="Verdana"/>
          <w:sz w:val="18"/>
          <w:szCs w:val="18"/>
        </w:rPr>
        <w:t xml:space="preserve">. </w:t>
      </w:r>
      <w:r>
        <w:rPr>
          <w:rFonts w:ascii="Verdana" w:hAnsi="Verdana"/>
          <w:sz w:val="18"/>
          <w:szCs w:val="18"/>
        </w:rPr>
        <w:t>Tot slot bevelen de onderzoekers</w:t>
      </w:r>
      <w:r w:rsidRPr="002B7113">
        <w:rPr>
          <w:rFonts w:ascii="Verdana" w:hAnsi="Verdana"/>
          <w:sz w:val="18"/>
          <w:szCs w:val="18"/>
        </w:rPr>
        <w:t xml:space="preserve"> het instellen van overkoepelende limieten</w:t>
      </w:r>
      <w:r>
        <w:rPr>
          <w:rFonts w:ascii="Verdana" w:hAnsi="Verdana"/>
          <w:sz w:val="18"/>
          <w:szCs w:val="18"/>
        </w:rPr>
        <w:t xml:space="preserve"> aan</w:t>
      </w:r>
      <w:r w:rsidRPr="002B7113">
        <w:rPr>
          <w:rFonts w:ascii="Verdana" w:hAnsi="Verdana"/>
          <w:sz w:val="18"/>
          <w:szCs w:val="18"/>
        </w:rPr>
        <w:t xml:space="preserve">. </w:t>
      </w:r>
      <w:r>
        <w:rPr>
          <w:rFonts w:ascii="Verdana" w:hAnsi="Verdana"/>
          <w:sz w:val="18"/>
          <w:szCs w:val="18"/>
        </w:rPr>
        <w:t xml:space="preserve">Uit het onderzoek blijkt dat spelers doorgaans </w:t>
      </w:r>
      <w:r w:rsidR="00DC6544">
        <w:rPr>
          <w:rFonts w:ascii="Verdana" w:hAnsi="Verdana"/>
          <w:sz w:val="18"/>
          <w:szCs w:val="18"/>
        </w:rPr>
        <w:t xml:space="preserve">al </w:t>
      </w:r>
      <w:r>
        <w:rPr>
          <w:rFonts w:ascii="Verdana" w:hAnsi="Verdana"/>
          <w:sz w:val="18"/>
          <w:szCs w:val="18"/>
        </w:rPr>
        <w:t xml:space="preserve">hoge limieten </w:t>
      </w:r>
      <w:r w:rsidR="006F1224">
        <w:rPr>
          <w:rFonts w:ascii="Verdana" w:hAnsi="Verdana"/>
          <w:sz w:val="18"/>
          <w:szCs w:val="18"/>
        </w:rPr>
        <w:t xml:space="preserve">per aanbieder </w:t>
      </w:r>
      <w:r>
        <w:rPr>
          <w:rFonts w:ascii="Verdana" w:hAnsi="Verdana"/>
          <w:sz w:val="18"/>
          <w:szCs w:val="18"/>
        </w:rPr>
        <w:t>instellen. Overkoepelende limieten moeten voorkomen dat spelers via meerdere vergunninghouders alsnog grote bedragen kunnen verspelen. Deze aanbeveling wordt overgenomen met de uitwerking van overkoepelende speellimieten.</w:t>
      </w:r>
    </w:p>
    <w:p w:rsidR="001A2108" w:rsidP="00914BAB" w:rsidRDefault="001A2108" w14:paraId="71E787DD" w14:textId="77777777">
      <w:pPr>
        <w:rPr>
          <w:rFonts w:ascii="Verdana" w:hAnsi="Verdana"/>
          <w:sz w:val="18"/>
          <w:szCs w:val="18"/>
        </w:rPr>
      </w:pPr>
    </w:p>
    <w:p w:rsidRPr="002B7113" w:rsidR="002E2AA6" w:rsidP="00914BAB" w:rsidRDefault="002E2AA6" w14:paraId="449B9D0C" w14:textId="77777777">
      <w:pPr>
        <w:rPr>
          <w:rFonts w:ascii="Verdana" w:hAnsi="Verdana"/>
          <w:sz w:val="18"/>
          <w:szCs w:val="18"/>
        </w:rPr>
      </w:pPr>
    </w:p>
    <w:p w:rsidRPr="001A2108" w:rsidR="00914BAB" w:rsidP="00914BAB" w:rsidRDefault="00833EC0" w14:paraId="02311FAC" w14:textId="5A791CE7">
      <w:pPr>
        <w:rPr>
          <w:rFonts w:ascii="Verdana" w:hAnsi="Verdana"/>
          <w:b/>
          <w:bCs/>
          <w:sz w:val="18"/>
          <w:szCs w:val="18"/>
        </w:rPr>
      </w:pPr>
      <w:r w:rsidRPr="001A2108">
        <w:rPr>
          <w:rFonts w:ascii="Verdana" w:hAnsi="Verdana"/>
          <w:b/>
          <w:bCs/>
          <w:sz w:val="18"/>
          <w:szCs w:val="18"/>
        </w:rPr>
        <w:t xml:space="preserve">Ad 2. </w:t>
      </w:r>
      <w:r w:rsidRPr="001A2108" w:rsidR="00914BAB">
        <w:rPr>
          <w:rFonts w:ascii="Verdana" w:hAnsi="Verdana"/>
          <w:b/>
          <w:bCs/>
          <w:sz w:val="18"/>
          <w:szCs w:val="18"/>
        </w:rPr>
        <w:t xml:space="preserve">Contouren overkoepelende speellimieten </w:t>
      </w:r>
    </w:p>
    <w:p w:rsidRPr="002B7113" w:rsidR="00914BAB" w:rsidP="00914BAB" w:rsidRDefault="008B2748" w14:paraId="3198CA99" w14:textId="31B6683C">
      <w:pPr>
        <w:rPr>
          <w:rFonts w:ascii="Verdana" w:hAnsi="Verdana"/>
          <w:sz w:val="18"/>
          <w:szCs w:val="18"/>
        </w:rPr>
      </w:pPr>
      <w:r>
        <w:rPr>
          <w:rFonts w:ascii="Verdana" w:hAnsi="Verdana"/>
          <w:sz w:val="18"/>
          <w:szCs w:val="18"/>
        </w:rPr>
        <w:t xml:space="preserve">In de visiebrief is aangegeven </w:t>
      </w:r>
      <w:r w:rsidR="0023126F">
        <w:rPr>
          <w:rFonts w:ascii="Verdana" w:hAnsi="Verdana"/>
          <w:sz w:val="18"/>
          <w:szCs w:val="18"/>
        </w:rPr>
        <w:t xml:space="preserve">te komen tot overkoepelende speellimieten. Dit naar aanleiding van de evaluatie van de wet kansspelen op afstand </w:t>
      </w:r>
      <w:r w:rsidR="00914BAB">
        <w:rPr>
          <w:rFonts w:ascii="Verdana" w:hAnsi="Verdana"/>
          <w:sz w:val="18"/>
          <w:szCs w:val="18"/>
        </w:rPr>
        <w:t xml:space="preserve">en de </w:t>
      </w:r>
      <w:r w:rsidRPr="002B7113" w:rsidR="00914BAB">
        <w:rPr>
          <w:rFonts w:ascii="Verdana" w:hAnsi="Verdana"/>
          <w:sz w:val="18"/>
          <w:szCs w:val="18"/>
        </w:rPr>
        <w:t>aangenomen motie van het lid Bikker</w:t>
      </w:r>
      <w:r w:rsidR="00914BAB">
        <w:rPr>
          <w:rStyle w:val="Voetnootmarkering"/>
          <w:rFonts w:ascii="Verdana" w:hAnsi="Verdana"/>
          <w:sz w:val="18"/>
          <w:szCs w:val="18"/>
        </w:rPr>
        <w:footnoteReference w:id="7"/>
      </w:r>
      <w:r w:rsidRPr="002B7113" w:rsidR="00914BAB">
        <w:rPr>
          <w:rFonts w:ascii="Verdana" w:hAnsi="Verdana"/>
          <w:sz w:val="18"/>
          <w:szCs w:val="18"/>
        </w:rPr>
        <w:t xml:space="preserve"> c.s</w:t>
      </w:r>
      <w:r w:rsidR="0023126F">
        <w:rPr>
          <w:rFonts w:ascii="Verdana" w:hAnsi="Verdana"/>
          <w:sz w:val="18"/>
          <w:szCs w:val="18"/>
        </w:rPr>
        <w:t xml:space="preserve">. Daarom is een verkenning </w:t>
      </w:r>
      <w:r w:rsidRPr="002B7113" w:rsidR="00914BAB">
        <w:rPr>
          <w:rFonts w:ascii="Verdana" w:hAnsi="Verdana"/>
          <w:sz w:val="18"/>
          <w:szCs w:val="18"/>
        </w:rPr>
        <w:t xml:space="preserve">uitgevoerd naar de beleidsmatige en technische mogelijkheden voor het realiseren van overkoepelende speellimieten. </w:t>
      </w:r>
      <w:r w:rsidR="00914BAB">
        <w:rPr>
          <w:rFonts w:ascii="Verdana" w:hAnsi="Verdana"/>
          <w:sz w:val="18"/>
          <w:szCs w:val="18"/>
        </w:rPr>
        <w:t>Hier</w:t>
      </w:r>
      <w:r w:rsidR="00DC6544">
        <w:rPr>
          <w:rFonts w:ascii="Verdana" w:hAnsi="Verdana"/>
          <w:sz w:val="18"/>
          <w:szCs w:val="18"/>
        </w:rPr>
        <w:t>in</w:t>
      </w:r>
      <w:r w:rsidRPr="002B7113" w:rsidR="00914BAB">
        <w:rPr>
          <w:rFonts w:ascii="Verdana" w:hAnsi="Verdana"/>
          <w:sz w:val="18"/>
          <w:szCs w:val="18"/>
        </w:rPr>
        <w:t xml:space="preserve"> stond de probleemanalyse centraal en de weging van mogelijke </w:t>
      </w:r>
      <w:r w:rsidR="00876D12">
        <w:rPr>
          <w:rFonts w:ascii="Verdana" w:hAnsi="Verdana"/>
          <w:sz w:val="18"/>
          <w:szCs w:val="18"/>
        </w:rPr>
        <w:t>varianten</w:t>
      </w:r>
      <w:r w:rsidRPr="002B7113" w:rsidR="00914BAB">
        <w:rPr>
          <w:rFonts w:ascii="Verdana" w:hAnsi="Verdana"/>
          <w:sz w:val="18"/>
          <w:szCs w:val="18"/>
        </w:rPr>
        <w:t xml:space="preserve">. </w:t>
      </w:r>
      <w:r w:rsidR="00914BAB">
        <w:rPr>
          <w:rFonts w:ascii="Verdana" w:hAnsi="Verdana"/>
          <w:sz w:val="18"/>
          <w:szCs w:val="18"/>
        </w:rPr>
        <w:t>De verkenning bestond uit analyse van</w:t>
      </w:r>
      <w:r w:rsidRPr="002B7113" w:rsidR="00914BAB">
        <w:rPr>
          <w:rFonts w:ascii="Verdana" w:hAnsi="Verdana"/>
          <w:sz w:val="18"/>
          <w:szCs w:val="18"/>
        </w:rPr>
        <w:t xml:space="preserve"> </w:t>
      </w:r>
      <w:r w:rsidR="00914BAB">
        <w:rPr>
          <w:rFonts w:ascii="Verdana" w:hAnsi="Verdana"/>
          <w:sz w:val="18"/>
          <w:szCs w:val="18"/>
        </w:rPr>
        <w:t xml:space="preserve">wetenschappelijke </w:t>
      </w:r>
      <w:r w:rsidRPr="002B7113" w:rsidR="00914BAB">
        <w:rPr>
          <w:rFonts w:ascii="Verdana" w:hAnsi="Verdana"/>
          <w:sz w:val="18"/>
          <w:szCs w:val="18"/>
        </w:rPr>
        <w:t xml:space="preserve">onderzoeken, </w:t>
      </w:r>
      <w:r w:rsidR="00914BAB">
        <w:rPr>
          <w:rFonts w:ascii="Verdana" w:hAnsi="Verdana"/>
          <w:sz w:val="18"/>
          <w:szCs w:val="18"/>
        </w:rPr>
        <w:t xml:space="preserve">gesprekken met </w:t>
      </w:r>
      <w:r w:rsidRPr="002B7113" w:rsidR="00914BAB">
        <w:rPr>
          <w:rFonts w:ascii="Verdana" w:hAnsi="Verdana"/>
          <w:sz w:val="18"/>
          <w:szCs w:val="18"/>
        </w:rPr>
        <w:t>stakeholders en experts</w:t>
      </w:r>
      <w:r w:rsidR="00914BAB">
        <w:rPr>
          <w:rFonts w:ascii="Verdana" w:hAnsi="Verdana"/>
          <w:sz w:val="18"/>
          <w:szCs w:val="18"/>
        </w:rPr>
        <w:t xml:space="preserve"> en analyses van mogelijke varianten</w:t>
      </w:r>
      <w:r w:rsidRPr="002B7113" w:rsidR="00914BAB">
        <w:rPr>
          <w:rFonts w:ascii="Verdana" w:hAnsi="Verdana"/>
          <w:sz w:val="18"/>
          <w:szCs w:val="18"/>
        </w:rPr>
        <w:t xml:space="preserve">. TNO </w:t>
      </w:r>
      <w:r w:rsidR="00914BAB">
        <w:rPr>
          <w:rFonts w:ascii="Verdana" w:hAnsi="Verdana"/>
          <w:sz w:val="18"/>
          <w:szCs w:val="18"/>
        </w:rPr>
        <w:t xml:space="preserve">heeft daarnaast </w:t>
      </w:r>
      <w:r w:rsidRPr="002B7113" w:rsidR="00914BAB">
        <w:rPr>
          <w:rFonts w:ascii="Verdana" w:hAnsi="Verdana"/>
          <w:sz w:val="18"/>
          <w:szCs w:val="18"/>
        </w:rPr>
        <w:t xml:space="preserve">een technisch advies uitgebracht over welke technologische oplossingen </w:t>
      </w:r>
      <w:r w:rsidR="00914BAB">
        <w:rPr>
          <w:rFonts w:ascii="Verdana" w:hAnsi="Verdana"/>
          <w:sz w:val="18"/>
          <w:szCs w:val="18"/>
        </w:rPr>
        <w:t>voor de registratie van overkoepelende limieten met inachtneming van de bescherming van de privacy van spelers mogelijk zijn</w:t>
      </w:r>
      <w:r w:rsidRPr="002B7113" w:rsidR="00914BAB">
        <w:rPr>
          <w:rFonts w:ascii="Verdana" w:hAnsi="Verdana"/>
          <w:sz w:val="18"/>
          <w:szCs w:val="18"/>
        </w:rPr>
        <w:t xml:space="preserve">. De </w:t>
      </w:r>
      <w:r w:rsidR="00914BAB">
        <w:rPr>
          <w:rFonts w:ascii="Verdana" w:hAnsi="Verdana"/>
          <w:sz w:val="18"/>
          <w:szCs w:val="18"/>
        </w:rPr>
        <w:t>conclusie uit de verkenning is</w:t>
      </w:r>
      <w:r w:rsidRPr="002B7113" w:rsidR="00914BAB">
        <w:rPr>
          <w:rFonts w:ascii="Verdana" w:hAnsi="Verdana"/>
          <w:sz w:val="18"/>
          <w:szCs w:val="18"/>
        </w:rPr>
        <w:t xml:space="preserve"> dat het mogelijk is om een systeem voor overkoepelende speellimieten te realiseren. </w:t>
      </w:r>
    </w:p>
    <w:p w:rsidRPr="002B7113" w:rsidR="00914BAB" w:rsidP="00914BAB" w:rsidRDefault="00914BAB" w14:paraId="4DA12381" w14:textId="77777777">
      <w:pPr>
        <w:rPr>
          <w:rFonts w:ascii="Verdana" w:hAnsi="Verdana"/>
          <w:sz w:val="18"/>
          <w:szCs w:val="18"/>
        </w:rPr>
      </w:pPr>
    </w:p>
    <w:p w:rsidRPr="002B7113" w:rsidR="00914BAB" w:rsidP="00146E14" w:rsidRDefault="00914BAB" w14:paraId="3097A720" w14:textId="3DC99166">
      <w:pPr>
        <w:rPr>
          <w:rFonts w:ascii="Verdana" w:hAnsi="Verdana"/>
          <w:sz w:val="18"/>
          <w:szCs w:val="18"/>
        </w:rPr>
      </w:pPr>
      <w:r w:rsidRPr="00FF102F">
        <w:rPr>
          <w:rFonts w:ascii="Verdana" w:hAnsi="Verdana"/>
          <w:sz w:val="18"/>
          <w:szCs w:val="18"/>
        </w:rPr>
        <w:t xml:space="preserve">Uit de evaluatie </w:t>
      </w:r>
      <w:r>
        <w:rPr>
          <w:rFonts w:ascii="Verdana" w:hAnsi="Verdana"/>
          <w:sz w:val="18"/>
          <w:szCs w:val="18"/>
        </w:rPr>
        <w:t xml:space="preserve">van de Wet kansspelen op afstand </w:t>
      </w:r>
      <w:r w:rsidRPr="00FF102F">
        <w:rPr>
          <w:rFonts w:ascii="Verdana" w:hAnsi="Verdana"/>
          <w:sz w:val="18"/>
          <w:szCs w:val="18"/>
        </w:rPr>
        <w:t>en de verkenning blijkt dat</w:t>
      </w:r>
      <w:r>
        <w:rPr>
          <w:rFonts w:ascii="Verdana" w:hAnsi="Verdana"/>
          <w:sz w:val="18"/>
          <w:szCs w:val="18"/>
        </w:rPr>
        <w:t xml:space="preserve"> speellimieten niet voldoende effectief zijn.</w:t>
      </w:r>
      <w:r>
        <w:rPr>
          <w:rStyle w:val="Voetnootmarkering"/>
          <w:rFonts w:ascii="Verdana" w:hAnsi="Verdana"/>
          <w:sz w:val="18"/>
          <w:szCs w:val="18"/>
        </w:rPr>
        <w:footnoteReference w:id="8"/>
      </w:r>
      <w:r w:rsidRPr="00F95242">
        <w:t xml:space="preserve"> </w:t>
      </w:r>
      <w:r>
        <w:rPr>
          <w:rFonts w:ascii="Verdana" w:hAnsi="Verdana"/>
          <w:sz w:val="18"/>
          <w:szCs w:val="18"/>
        </w:rPr>
        <w:t xml:space="preserve">Wanneer de speler zijn limiet bereikt bij een vergunninghouder, kan hij momenteel eenvoudig doorspelen bij een andere vergunninghouder tot de limiet die de speler daar heeft ingesteld. </w:t>
      </w:r>
      <w:r w:rsidRPr="00FF102F">
        <w:rPr>
          <w:rFonts w:ascii="Verdana" w:hAnsi="Verdana"/>
          <w:sz w:val="18"/>
          <w:szCs w:val="18"/>
        </w:rPr>
        <w:t xml:space="preserve">Uit de monitoringsrapportage van de Ksa blijkt dat spelers gemiddeld 2,8 kansspelwebsites per maand bezoeken en dat 20% van de spelers zelfs vier of meer kansspelwebsites per maand bezoeken. </w:t>
      </w:r>
      <w:r w:rsidRPr="002B7113" w:rsidR="00146E14">
        <w:rPr>
          <w:rFonts w:ascii="Verdana" w:hAnsi="Verdana"/>
          <w:sz w:val="18"/>
          <w:szCs w:val="18"/>
        </w:rPr>
        <w:t>Door overkoepelende speellimieten te introduceren</w:t>
      </w:r>
      <w:r w:rsidR="00146E14">
        <w:rPr>
          <w:rFonts w:ascii="Verdana" w:hAnsi="Verdana"/>
          <w:sz w:val="18"/>
          <w:szCs w:val="18"/>
        </w:rPr>
        <w:t>,</w:t>
      </w:r>
      <w:r w:rsidRPr="002B7113" w:rsidR="00146E14">
        <w:rPr>
          <w:rFonts w:ascii="Verdana" w:hAnsi="Verdana"/>
          <w:sz w:val="18"/>
          <w:szCs w:val="18"/>
        </w:rPr>
        <w:t xml:space="preserve"> </w:t>
      </w:r>
      <w:r w:rsidR="00146E14">
        <w:rPr>
          <w:rFonts w:ascii="Verdana" w:hAnsi="Verdana"/>
          <w:sz w:val="18"/>
          <w:szCs w:val="18"/>
        </w:rPr>
        <w:t>worden spelers en in het bijzonder kwetsbare groepen</w:t>
      </w:r>
      <w:r w:rsidRPr="002B7113" w:rsidR="00146E14">
        <w:rPr>
          <w:rFonts w:ascii="Verdana" w:hAnsi="Verdana"/>
          <w:sz w:val="18"/>
          <w:szCs w:val="18"/>
        </w:rPr>
        <w:t xml:space="preserve"> beter beschermd tegen onmatig gokken, financiële schade en kansspelverslaving.</w:t>
      </w:r>
      <w:r w:rsidR="00146E14">
        <w:rPr>
          <w:rFonts w:ascii="Verdana" w:hAnsi="Verdana"/>
          <w:sz w:val="18"/>
          <w:szCs w:val="18"/>
        </w:rPr>
        <w:t xml:space="preserve"> </w:t>
      </w:r>
      <w:r>
        <w:rPr>
          <w:rFonts w:ascii="Verdana" w:hAnsi="Verdana"/>
          <w:sz w:val="18"/>
          <w:szCs w:val="18"/>
        </w:rPr>
        <w:t>Dit geldt in het bijzonder voor</w:t>
      </w:r>
      <w:r w:rsidRPr="00F95242">
        <w:rPr>
          <w:rFonts w:ascii="Verdana" w:hAnsi="Verdana"/>
          <w:sz w:val="18"/>
          <w:szCs w:val="18"/>
        </w:rPr>
        <w:t xml:space="preserve"> jongvolwassenen, </w:t>
      </w:r>
      <w:r>
        <w:rPr>
          <w:rFonts w:ascii="Verdana" w:hAnsi="Verdana"/>
          <w:sz w:val="18"/>
          <w:szCs w:val="18"/>
        </w:rPr>
        <w:t>waar de impulscontrole nog onvoldoende ontwikkeld is en begrenzing van onmatig gedrag</w:t>
      </w:r>
      <w:r w:rsidRPr="00F95242">
        <w:rPr>
          <w:rFonts w:ascii="Verdana" w:hAnsi="Verdana"/>
          <w:sz w:val="18"/>
          <w:szCs w:val="18"/>
        </w:rPr>
        <w:t xml:space="preserve"> gewenst is. </w:t>
      </w:r>
    </w:p>
    <w:p w:rsidRPr="002B7113" w:rsidR="001A2108" w:rsidP="00914BAB" w:rsidRDefault="001A2108" w14:paraId="20A73E64" w14:textId="77777777">
      <w:pPr>
        <w:rPr>
          <w:rFonts w:ascii="Verdana" w:hAnsi="Verdana"/>
          <w:sz w:val="18"/>
          <w:szCs w:val="18"/>
        </w:rPr>
      </w:pPr>
    </w:p>
    <w:p w:rsidRPr="00833EC0" w:rsidR="00914BAB" w:rsidP="00914BAB" w:rsidRDefault="00833EC0" w14:paraId="44B63EA9" w14:textId="08DA9430">
      <w:pPr>
        <w:rPr>
          <w:rFonts w:ascii="Verdana" w:hAnsi="Verdana"/>
          <w:i/>
          <w:iCs/>
          <w:sz w:val="18"/>
          <w:szCs w:val="18"/>
          <w:u w:val="single"/>
        </w:rPr>
      </w:pPr>
      <w:r>
        <w:rPr>
          <w:rFonts w:ascii="Verdana" w:hAnsi="Verdana"/>
          <w:i/>
          <w:iCs/>
          <w:sz w:val="18"/>
          <w:szCs w:val="18"/>
          <w:u w:val="single"/>
        </w:rPr>
        <w:t xml:space="preserve">2.1 Beleidsanalyse </w:t>
      </w:r>
    </w:p>
    <w:p w:rsidRPr="002B7113" w:rsidR="00914BAB" w:rsidP="00914BAB" w:rsidRDefault="00914BAB" w14:paraId="1E8EC3DF" w14:textId="790ACD68">
      <w:pPr>
        <w:rPr>
          <w:rFonts w:ascii="Verdana" w:hAnsi="Verdana"/>
          <w:sz w:val="18"/>
          <w:szCs w:val="18"/>
        </w:rPr>
      </w:pPr>
      <w:r w:rsidRPr="002B7113">
        <w:rPr>
          <w:rFonts w:ascii="Verdana" w:hAnsi="Verdana"/>
          <w:sz w:val="18"/>
          <w:szCs w:val="18"/>
        </w:rPr>
        <w:t>In de beleids</w:t>
      </w:r>
      <w:r>
        <w:rPr>
          <w:rFonts w:ascii="Verdana" w:hAnsi="Verdana"/>
          <w:sz w:val="18"/>
          <w:szCs w:val="18"/>
        </w:rPr>
        <w:t>analyses</w:t>
      </w:r>
      <w:r w:rsidRPr="002B7113">
        <w:rPr>
          <w:rFonts w:ascii="Verdana" w:hAnsi="Verdana"/>
          <w:sz w:val="18"/>
          <w:szCs w:val="18"/>
        </w:rPr>
        <w:t xml:space="preserve"> is onderzocht hoe </w:t>
      </w:r>
      <w:r>
        <w:rPr>
          <w:rFonts w:ascii="Verdana" w:hAnsi="Verdana"/>
          <w:sz w:val="18"/>
          <w:szCs w:val="18"/>
        </w:rPr>
        <w:t>spelers het beste beschermd worden</w:t>
      </w:r>
      <w:r w:rsidRPr="002B7113">
        <w:rPr>
          <w:rFonts w:ascii="Verdana" w:hAnsi="Verdana"/>
          <w:sz w:val="18"/>
          <w:szCs w:val="18"/>
        </w:rPr>
        <w:t xml:space="preserve"> en hoe invulling gegeven </w:t>
      </w:r>
      <w:r>
        <w:rPr>
          <w:rFonts w:ascii="Verdana" w:hAnsi="Verdana"/>
          <w:sz w:val="18"/>
          <w:szCs w:val="18"/>
        </w:rPr>
        <w:t>kan</w:t>
      </w:r>
      <w:r w:rsidRPr="002B7113">
        <w:rPr>
          <w:rFonts w:ascii="Verdana" w:hAnsi="Verdana"/>
          <w:sz w:val="18"/>
          <w:szCs w:val="18"/>
        </w:rPr>
        <w:t xml:space="preserve"> worden aan een overkoepelende speellimiet. Na weging van </w:t>
      </w:r>
      <w:r w:rsidR="005557D8">
        <w:rPr>
          <w:rFonts w:ascii="Verdana" w:hAnsi="Verdana"/>
          <w:sz w:val="18"/>
          <w:szCs w:val="18"/>
        </w:rPr>
        <w:t xml:space="preserve">de </w:t>
      </w:r>
      <w:r w:rsidRPr="002B7113">
        <w:rPr>
          <w:rFonts w:ascii="Verdana" w:hAnsi="Verdana"/>
          <w:sz w:val="18"/>
          <w:szCs w:val="18"/>
        </w:rPr>
        <w:t>verschillende varianten is</w:t>
      </w:r>
      <w:r>
        <w:rPr>
          <w:rFonts w:ascii="Verdana" w:hAnsi="Verdana"/>
          <w:sz w:val="18"/>
          <w:szCs w:val="18"/>
        </w:rPr>
        <w:t xml:space="preserve"> </w:t>
      </w:r>
      <w:r w:rsidRPr="002B7113">
        <w:rPr>
          <w:rFonts w:ascii="Verdana" w:hAnsi="Verdana"/>
          <w:sz w:val="18"/>
          <w:szCs w:val="18"/>
        </w:rPr>
        <w:t xml:space="preserve">gekozen voor een overkoepelende stortingslimiet met een mogelijkheid tot verhoging na een draagkrachttoets. Deze keuze wordt </w:t>
      </w:r>
      <w:r w:rsidR="00833EC0">
        <w:rPr>
          <w:rFonts w:ascii="Verdana" w:hAnsi="Verdana"/>
          <w:sz w:val="18"/>
          <w:szCs w:val="18"/>
        </w:rPr>
        <w:t xml:space="preserve">in dit document verder </w:t>
      </w:r>
      <w:r w:rsidRPr="002B7113">
        <w:rPr>
          <w:rFonts w:ascii="Verdana" w:hAnsi="Verdana"/>
          <w:sz w:val="18"/>
          <w:szCs w:val="18"/>
        </w:rPr>
        <w:t xml:space="preserve">toegelicht.  </w:t>
      </w:r>
    </w:p>
    <w:p w:rsidRPr="002B7113" w:rsidR="00914BAB" w:rsidP="00914BAB" w:rsidRDefault="00914BAB" w14:paraId="65FCF9C2" w14:textId="77777777">
      <w:pPr>
        <w:rPr>
          <w:rFonts w:ascii="Verdana" w:hAnsi="Verdana"/>
          <w:sz w:val="18"/>
          <w:szCs w:val="18"/>
        </w:rPr>
      </w:pPr>
    </w:p>
    <w:p w:rsidR="00914BAB" w:rsidP="00914BAB" w:rsidRDefault="00914BAB" w14:paraId="350666B6" w14:textId="20A7564C">
      <w:pPr>
        <w:rPr>
          <w:rFonts w:ascii="Verdana" w:hAnsi="Verdana"/>
          <w:sz w:val="18"/>
          <w:szCs w:val="18"/>
        </w:rPr>
      </w:pPr>
      <w:r w:rsidRPr="002B7113">
        <w:rPr>
          <w:rFonts w:ascii="Verdana" w:hAnsi="Verdana"/>
          <w:sz w:val="18"/>
          <w:szCs w:val="18"/>
        </w:rPr>
        <w:t xml:space="preserve">Een eerste </w:t>
      </w:r>
      <w:r w:rsidR="00852C1F">
        <w:rPr>
          <w:rFonts w:ascii="Verdana" w:hAnsi="Verdana"/>
          <w:sz w:val="18"/>
          <w:szCs w:val="18"/>
        </w:rPr>
        <w:t>uitgangspunt</w:t>
      </w:r>
      <w:r w:rsidRPr="002B7113" w:rsidR="00852C1F">
        <w:rPr>
          <w:rFonts w:ascii="Verdana" w:hAnsi="Verdana"/>
          <w:sz w:val="18"/>
          <w:szCs w:val="18"/>
        </w:rPr>
        <w:t xml:space="preserve"> </w:t>
      </w:r>
      <w:r w:rsidRPr="002B7113">
        <w:rPr>
          <w:rFonts w:ascii="Verdana" w:hAnsi="Verdana"/>
          <w:sz w:val="18"/>
          <w:szCs w:val="18"/>
        </w:rPr>
        <w:t xml:space="preserve">is dat een overkoepelende stortingslimiet per maand de voorkeur geniet boven een overkoepelende verlies-, inzet- of tijdslimiet. De stortingslimiet is een bestaande </w:t>
      </w:r>
      <w:r>
        <w:rPr>
          <w:rFonts w:ascii="Verdana" w:hAnsi="Verdana"/>
          <w:sz w:val="18"/>
          <w:szCs w:val="18"/>
        </w:rPr>
        <w:t xml:space="preserve">wettelijk </w:t>
      </w:r>
      <w:r w:rsidRPr="002B7113">
        <w:rPr>
          <w:rFonts w:ascii="Verdana" w:hAnsi="Verdana"/>
          <w:sz w:val="18"/>
          <w:szCs w:val="18"/>
        </w:rPr>
        <w:t xml:space="preserve">verplichte limiet die momenteel ook wordt gehanteerd bij het </w:t>
      </w:r>
      <w:r>
        <w:rPr>
          <w:rFonts w:ascii="Verdana" w:hAnsi="Verdana"/>
          <w:sz w:val="18"/>
          <w:szCs w:val="18"/>
        </w:rPr>
        <w:t xml:space="preserve">bestaande </w:t>
      </w:r>
      <w:r w:rsidRPr="002B7113">
        <w:rPr>
          <w:rFonts w:ascii="Verdana" w:hAnsi="Verdana"/>
          <w:sz w:val="18"/>
          <w:szCs w:val="18"/>
        </w:rPr>
        <w:t>contactmoment en is het meest begrijpelijk voor de speler.</w:t>
      </w:r>
      <w:r>
        <w:rPr>
          <w:rStyle w:val="Voetnootmarkering"/>
          <w:rFonts w:ascii="Verdana" w:hAnsi="Verdana"/>
          <w:sz w:val="18"/>
          <w:szCs w:val="18"/>
        </w:rPr>
        <w:footnoteReference w:id="9"/>
      </w:r>
      <w:r w:rsidRPr="002B7113">
        <w:rPr>
          <w:rFonts w:ascii="Verdana" w:hAnsi="Verdana"/>
          <w:sz w:val="18"/>
          <w:szCs w:val="18"/>
        </w:rPr>
        <w:t xml:space="preserve"> </w:t>
      </w:r>
      <w:r w:rsidRPr="002B7113" w:rsidR="00DC6544">
        <w:rPr>
          <w:rFonts w:ascii="Verdana" w:hAnsi="Verdana"/>
          <w:sz w:val="18"/>
          <w:szCs w:val="18"/>
        </w:rPr>
        <w:t>Een stortingslimiet bepaalt hoeveel geld een speler binnen een bepaalde periode kan storten en daarmee hoeveel geld een speler van de</w:t>
      </w:r>
      <w:r w:rsidR="00DC6544">
        <w:rPr>
          <w:rFonts w:ascii="Verdana" w:hAnsi="Verdana"/>
          <w:sz w:val="18"/>
          <w:szCs w:val="18"/>
        </w:rPr>
        <w:t>ze</w:t>
      </w:r>
      <w:r w:rsidRPr="002B7113" w:rsidR="00DC6544">
        <w:rPr>
          <w:rFonts w:ascii="Verdana" w:hAnsi="Verdana"/>
          <w:sz w:val="18"/>
          <w:szCs w:val="18"/>
        </w:rPr>
        <w:t xml:space="preserve"> eigen inleg daadwerkelijk kan verliezen.</w:t>
      </w:r>
      <w:r w:rsidR="00DC6544">
        <w:rPr>
          <w:rFonts w:ascii="Verdana" w:hAnsi="Verdana"/>
          <w:sz w:val="18"/>
          <w:szCs w:val="18"/>
        </w:rPr>
        <w:t xml:space="preserve"> </w:t>
      </w:r>
      <w:r w:rsidRPr="002B7113">
        <w:rPr>
          <w:rFonts w:ascii="Verdana" w:hAnsi="Verdana"/>
          <w:sz w:val="18"/>
          <w:szCs w:val="18"/>
        </w:rPr>
        <w:t>Daarnaast maakt een stortingslimiet de minste inbreuk op de privacy van de speler en is technisch het minst complex om te realiseren</w:t>
      </w:r>
      <w:r>
        <w:rPr>
          <w:rFonts w:ascii="Verdana" w:hAnsi="Verdana"/>
          <w:sz w:val="18"/>
          <w:szCs w:val="18"/>
        </w:rPr>
        <w:t>, omdat er aanzienlijk minder transacties geregistreerd dienen te worden</w:t>
      </w:r>
      <w:r w:rsidRPr="002B7113">
        <w:rPr>
          <w:rFonts w:ascii="Verdana" w:hAnsi="Verdana"/>
          <w:sz w:val="18"/>
          <w:szCs w:val="18"/>
        </w:rPr>
        <w:t xml:space="preserve">. </w:t>
      </w:r>
      <w:r>
        <w:rPr>
          <w:rFonts w:ascii="Verdana" w:hAnsi="Verdana"/>
          <w:sz w:val="18"/>
          <w:szCs w:val="18"/>
        </w:rPr>
        <w:t xml:space="preserve">Een ander uitgangspunt is dat voor jongvolwassenen tot 24 jaar een lagere limiet zal worden gehanteerd, omdat dit een extra kwetsbare groep is die over het algemeen over minder geld beschikt. </w:t>
      </w:r>
      <w:r w:rsidR="003A651B">
        <w:rPr>
          <w:rFonts w:ascii="Verdana" w:hAnsi="Verdana"/>
          <w:sz w:val="18"/>
          <w:szCs w:val="18"/>
        </w:rPr>
        <w:t>Deze uitgangspunten gelden</w:t>
      </w:r>
      <w:r>
        <w:rPr>
          <w:rFonts w:ascii="Verdana" w:hAnsi="Verdana"/>
          <w:sz w:val="18"/>
          <w:szCs w:val="18"/>
        </w:rPr>
        <w:t xml:space="preserve"> voor elk van de drie mogelijke varianten die zijn </w:t>
      </w:r>
      <w:r w:rsidR="00852C1F">
        <w:rPr>
          <w:rFonts w:ascii="Verdana" w:hAnsi="Verdana"/>
          <w:sz w:val="18"/>
          <w:szCs w:val="18"/>
        </w:rPr>
        <w:t>onderzocht</w:t>
      </w:r>
      <w:r>
        <w:rPr>
          <w:rFonts w:ascii="Verdana" w:hAnsi="Verdana"/>
          <w:sz w:val="18"/>
          <w:szCs w:val="18"/>
        </w:rPr>
        <w:t xml:space="preserve">. </w:t>
      </w:r>
    </w:p>
    <w:p w:rsidR="001A2108" w:rsidP="00914BAB" w:rsidRDefault="001A2108" w14:paraId="5EB89E7B" w14:textId="77777777">
      <w:pPr>
        <w:rPr>
          <w:rFonts w:ascii="Verdana" w:hAnsi="Verdana"/>
          <w:sz w:val="18"/>
          <w:szCs w:val="18"/>
        </w:rPr>
      </w:pPr>
    </w:p>
    <w:p w:rsidRPr="00833EC0" w:rsidR="00914BAB" w:rsidP="00914BAB" w:rsidRDefault="00833EC0" w14:paraId="61EC8A99" w14:textId="4EA671EF">
      <w:pPr>
        <w:rPr>
          <w:rFonts w:ascii="Verdana" w:hAnsi="Verdana"/>
          <w:i/>
          <w:iCs/>
          <w:sz w:val="18"/>
          <w:szCs w:val="18"/>
          <w:u w:val="single"/>
        </w:rPr>
      </w:pPr>
      <w:r>
        <w:rPr>
          <w:rFonts w:ascii="Verdana" w:hAnsi="Verdana"/>
          <w:i/>
          <w:iCs/>
          <w:sz w:val="18"/>
          <w:szCs w:val="18"/>
          <w:u w:val="single"/>
        </w:rPr>
        <w:t>2.2 Beleidsweging van de d</w:t>
      </w:r>
      <w:r w:rsidRPr="00833EC0" w:rsidR="00914BAB">
        <w:rPr>
          <w:rFonts w:ascii="Verdana" w:hAnsi="Verdana"/>
          <w:i/>
          <w:iCs/>
          <w:sz w:val="18"/>
          <w:szCs w:val="18"/>
          <w:u w:val="single"/>
        </w:rPr>
        <w:t>rie varianten</w:t>
      </w:r>
    </w:p>
    <w:p w:rsidRPr="00FE43C4" w:rsidR="00914BAB" w:rsidP="00914BAB" w:rsidRDefault="00914BAB" w14:paraId="4A8DF8C8" w14:textId="77777777">
      <w:pPr>
        <w:pStyle w:val="Lijstalinea"/>
        <w:numPr>
          <w:ilvl w:val="0"/>
          <w:numId w:val="7"/>
        </w:numPr>
        <w:ind w:left="360"/>
        <w:rPr>
          <w:rFonts w:ascii="Verdana" w:hAnsi="Verdana"/>
          <w:i/>
          <w:iCs/>
          <w:sz w:val="18"/>
          <w:szCs w:val="18"/>
        </w:rPr>
      </w:pPr>
      <w:r w:rsidRPr="00FE43C4">
        <w:rPr>
          <w:rFonts w:ascii="Verdana" w:hAnsi="Verdana"/>
          <w:i/>
          <w:iCs/>
          <w:sz w:val="18"/>
          <w:szCs w:val="18"/>
        </w:rPr>
        <w:t>Absolute stortingslimiet</w:t>
      </w:r>
      <w:r>
        <w:rPr>
          <w:rFonts w:ascii="Verdana" w:hAnsi="Verdana"/>
          <w:i/>
          <w:iCs/>
          <w:sz w:val="18"/>
          <w:szCs w:val="18"/>
        </w:rPr>
        <w:t xml:space="preserve">. </w:t>
      </w:r>
      <w:r w:rsidRPr="00FE43C4">
        <w:rPr>
          <w:rFonts w:ascii="Verdana" w:hAnsi="Verdana"/>
          <w:sz w:val="18"/>
          <w:szCs w:val="18"/>
        </w:rPr>
        <w:t xml:space="preserve">Er geldt een vastgestelde overkoepelende stortingslimiet van X euro per maand, waar in geen geval van kan worden afgeweken. </w:t>
      </w:r>
    </w:p>
    <w:p w:rsidRPr="00FE43C4" w:rsidR="00914BAB" w:rsidP="00914BAB" w:rsidRDefault="00914BAB" w14:paraId="438DEB65" w14:textId="77777777">
      <w:pPr>
        <w:pStyle w:val="Lijstalinea"/>
        <w:numPr>
          <w:ilvl w:val="0"/>
          <w:numId w:val="7"/>
        </w:numPr>
        <w:ind w:left="360"/>
        <w:rPr>
          <w:rFonts w:ascii="Verdana" w:hAnsi="Verdana"/>
          <w:sz w:val="18"/>
          <w:szCs w:val="18"/>
        </w:rPr>
      </w:pPr>
      <w:r w:rsidRPr="00FE43C4">
        <w:rPr>
          <w:rFonts w:ascii="Verdana" w:hAnsi="Verdana"/>
          <w:i/>
          <w:iCs/>
          <w:sz w:val="18"/>
          <w:szCs w:val="18"/>
        </w:rPr>
        <w:t>Mogelijkheid tot verhoging na draagkrachttoets.</w:t>
      </w:r>
      <w:r>
        <w:rPr>
          <w:rFonts w:ascii="Verdana" w:hAnsi="Verdana"/>
          <w:i/>
          <w:iCs/>
          <w:sz w:val="18"/>
          <w:szCs w:val="18"/>
        </w:rPr>
        <w:t xml:space="preserve"> </w:t>
      </w:r>
      <w:r w:rsidRPr="00FE43C4">
        <w:rPr>
          <w:rFonts w:ascii="Verdana" w:hAnsi="Verdana"/>
          <w:sz w:val="18"/>
          <w:szCs w:val="18"/>
        </w:rPr>
        <w:t xml:space="preserve">Er geldt een vastgestelde overkoepelende stortingslimiet van X euro per maand. Wanneer de speler een stortingslimiet boven deze grens wil instellen, dient </w:t>
      </w:r>
      <w:r>
        <w:rPr>
          <w:rFonts w:ascii="Verdana" w:hAnsi="Verdana"/>
          <w:sz w:val="18"/>
          <w:szCs w:val="18"/>
        </w:rPr>
        <w:t>d</w:t>
      </w:r>
      <w:r w:rsidRPr="00FE43C4">
        <w:rPr>
          <w:rFonts w:ascii="Verdana" w:hAnsi="Verdana"/>
          <w:sz w:val="18"/>
          <w:szCs w:val="18"/>
        </w:rPr>
        <w:t xml:space="preserve">e speler een draagkrachttoets aan te vragen. Op basis van de uitkomst van de toets wordt bepaald of de limiet verhoogd kan worden. </w:t>
      </w:r>
    </w:p>
    <w:p w:rsidRPr="00FE43C4" w:rsidR="00914BAB" w:rsidP="00914BAB" w:rsidRDefault="00914BAB" w14:paraId="368C5A42" w14:textId="77777777">
      <w:pPr>
        <w:pStyle w:val="Lijstalinea"/>
        <w:numPr>
          <w:ilvl w:val="0"/>
          <w:numId w:val="7"/>
        </w:numPr>
        <w:ind w:left="360"/>
        <w:rPr>
          <w:rFonts w:ascii="Verdana" w:hAnsi="Verdana"/>
          <w:sz w:val="18"/>
          <w:szCs w:val="18"/>
        </w:rPr>
      </w:pPr>
      <w:r w:rsidRPr="00FE43C4">
        <w:rPr>
          <w:rFonts w:ascii="Verdana" w:hAnsi="Verdana"/>
          <w:i/>
          <w:iCs/>
          <w:sz w:val="18"/>
          <w:szCs w:val="18"/>
        </w:rPr>
        <w:t>Mogelijkheid tot verhoging na contactmoment</w:t>
      </w:r>
      <w:r>
        <w:rPr>
          <w:rFonts w:ascii="Verdana" w:hAnsi="Verdana"/>
          <w:i/>
          <w:iCs/>
          <w:sz w:val="18"/>
          <w:szCs w:val="18"/>
        </w:rPr>
        <w:t xml:space="preserve">. </w:t>
      </w:r>
      <w:r w:rsidRPr="00FE43C4">
        <w:rPr>
          <w:rFonts w:ascii="Verdana" w:hAnsi="Verdana"/>
          <w:sz w:val="18"/>
          <w:szCs w:val="18"/>
        </w:rPr>
        <w:t xml:space="preserve">De speler bepaalt zelf de overkoepelende stortingslimiet, maar wanneer een speler deze boven de grens van X euro wil instellen, dient </w:t>
      </w:r>
      <w:r>
        <w:rPr>
          <w:rFonts w:ascii="Verdana" w:hAnsi="Verdana"/>
          <w:sz w:val="18"/>
          <w:szCs w:val="18"/>
        </w:rPr>
        <w:t>hij</w:t>
      </w:r>
      <w:r w:rsidRPr="00FE43C4">
        <w:rPr>
          <w:rFonts w:ascii="Verdana" w:hAnsi="Verdana"/>
          <w:sz w:val="18"/>
          <w:szCs w:val="18"/>
        </w:rPr>
        <w:t xml:space="preserve"> een contactmoment te hebben met het verslavingsdeskundig personeel van de vergunninghouder, waarin wordt gewezen op de risico’s van een ho</w:t>
      </w:r>
      <w:r>
        <w:rPr>
          <w:rFonts w:ascii="Verdana" w:hAnsi="Verdana"/>
          <w:sz w:val="18"/>
          <w:szCs w:val="18"/>
        </w:rPr>
        <w:t>ge</w:t>
      </w:r>
      <w:r w:rsidRPr="00FE43C4">
        <w:rPr>
          <w:rFonts w:ascii="Verdana" w:hAnsi="Verdana"/>
          <w:sz w:val="18"/>
          <w:szCs w:val="18"/>
        </w:rPr>
        <w:t xml:space="preserve"> limiet. De limiet kan wel verhoogd worden. </w:t>
      </w:r>
      <w:r>
        <w:rPr>
          <w:rFonts w:ascii="Verdana" w:hAnsi="Verdana"/>
          <w:sz w:val="18"/>
          <w:szCs w:val="18"/>
        </w:rPr>
        <w:t>Deze variant lijkt het meest op de status quo, maar dan met een overkoepelende stortingslimiet.</w:t>
      </w:r>
    </w:p>
    <w:p w:rsidRPr="002B7113" w:rsidR="00914BAB" w:rsidP="00914BAB" w:rsidRDefault="00914BAB" w14:paraId="416F6447" w14:textId="77777777">
      <w:pPr>
        <w:pStyle w:val="Lijstalinea"/>
        <w:rPr>
          <w:rFonts w:ascii="Verdana" w:hAnsi="Verdana"/>
          <w:sz w:val="18"/>
          <w:szCs w:val="18"/>
        </w:rPr>
      </w:pPr>
    </w:p>
    <w:p w:rsidRPr="002B7113" w:rsidR="00914BAB" w:rsidP="00914BAB" w:rsidRDefault="00914BAB" w14:paraId="6966CA83" w14:textId="73BE7A29">
      <w:pPr>
        <w:rPr>
          <w:rFonts w:ascii="Verdana" w:hAnsi="Verdana"/>
          <w:sz w:val="18"/>
          <w:szCs w:val="18"/>
        </w:rPr>
      </w:pPr>
      <w:r w:rsidRPr="002B7113">
        <w:rPr>
          <w:rFonts w:ascii="Verdana" w:hAnsi="Verdana"/>
          <w:sz w:val="18"/>
          <w:szCs w:val="18"/>
        </w:rPr>
        <w:t xml:space="preserve">Bovenstaande varianten zijn </w:t>
      </w:r>
      <w:r>
        <w:rPr>
          <w:rFonts w:ascii="Verdana" w:hAnsi="Verdana"/>
          <w:sz w:val="18"/>
          <w:szCs w:val="18"/>
        </w:rPr>
        <w:t>gewogen</w:t>
      </w:r>
      <w:r w:rsidRPr="002B7113">
        <w:rPr>
          <w:rFonts w:ascii="Verdana" w:hAnsi="Verdana"/>
          <w:sz w:val="18"/>
          <w:szCs w:val="18"/>
        </w:rPr>
        <w:t xml:space="preserve"> naar </w:t>
      </w:r>
      <w:r>
        <w:rPr>
          <w:rFonts w:ascii="Verdana" w:hAnsi="Verdana"/>
          <w:sz w:val="18"/>
          <w:szCs w:val="18"/>
        </w:rPr>
        <w:t xml:space="preserve">de mate waarin </w:t>
      </w:r>
      <w:r w:rsidRPr="002B7113">
        <w:rPr>
          <w:rFonts w:ascii="Verdana" w:hAnsi="Verdana"/>
          <w:sz w:val="18"/>
          <w:szCs w:val="18"/>
        </w:rPr>
        <w:t>de speler</w:t>
      </w:r>
      <w:r>
        <w:rPr>
          <w:rFonts w:ascii="Verdana" w:hAnsi="Verdana"/>
          <w:sz w:val="18"/>
          <w:szCs w:val="18"/>
        </w:rPr>
        <w:t xml:space="preserve"> beter tegen de risico’s van kansspelen wordt beschermd</w:t>
      </w:r>
      <w:r w:rsidRPr="002B7113">
        <w:rPr>
          <w:rFonts w:ascii="Verdana" w:hAnsi="Verdana"/>
          <w:sz w:val="18"/>
          <w:szCs w:val="18"/>
        </w:rPr>
        <w:t>.</w:t>
      </w:r>
      <w:r w:rsidR="005557D8">
        <w:rPr>
          <w:rFonts w:ascii="Verdana" w:hAnsi="Verdana"/>
          <w:sz w:val="18"/>
          <w:szCs w:val="18"/>
        </w:rPr>
        <w:t xml:space="preserve"> </w:t>
      </w:r>
      <w:r w:rsidR="00146C75">
        <w:rPr>
          <w:rFonts w:ascii="Verdana" w:hAnsi="Verdana"/>
          <w:sz w:val="18"/>
          <w:szCs w:val="18"/>
        </w:rPr>
        <w:t>Dit is gedaan op</w:t>
      </w:r>
      <w:r w:rsidRPr="005557D8" w:rsidR="005557D8">
        <w:rPr>
          <w:rFonts w:ascii="Verdana" w:hAnsi="Verdana"/>
          <w:sz w:val="18"/>
          <w:szCs w:val="18"/>
        </w:rPr>
        <w:t xml:space="preserve"> basis van wetenschappelijke onderzoeken en aan de hand van de opbrengsten uit de gesprekken met verschillende stakeholders, zoals verslavings- en gedragsdeskundigen, de Kansspelautoriteit en vergunninghouders. Daarbij is de bescherming van de speler het belangrijkste criterium, ook wel het hoofdcriterium, waarop de beleidsopties gewogen zijn.</w:t>
      </w:r>
      <w:r w:rsidR="005557D8">
        <w:rPr>
          <w:rFonts w:ascii="Verdana" w:hAnsi="Verdana"/>
          <w:sz w:val="18"/>
          <w:szCs w:val="18"/>
        </w:rPr>
        <w:t xml:space="preserve"> </w:t>
      </w:r>
      <w:r w:rsidRPr="002B7113" w:rsidR="005557D8">
        <w:rPr>
          <w:rFonts w:ascii="Verdana" w:hAnsi="Verdana"/>
          <w:sz w:val="18"/>
          <w:szCs w:val="18"/>
        </w:rPr>
        <w:t xml:space="preserve">Daarnaast is gekeken naar </w:t>
      </w:r>
      <w:r w:rsidR="005557D8">
        <w:rPr>
          <w:rFonts w:ascii="Verdana" w:hAnsi="Verdana"/>
          <w:sz w:val="18"/>
          <w:szCs w:val="18"/>
        </w:rPr>
        <w:t xml:space="preserve">randvoorwaarden voor realisatie, zoals </w:t>
      </w:r>
      <w:r w:rsidRPr="002B7113" w:rsidR="005557D8">
        <w:rPr>
          <w:rFonts w:ascii="Verdana" w:hAnsi="Verdana"/>
          <w:sz w:val="18"/>
          <w:szCs w:val="18"/>
        </w:rPr>
        <w:t>de realiseerbaarheid en uitvoerbaarheid</w:t>
      </w:r>
      <w:r w:rsidR="005557D8">
        <w:rPr>
          <w:rFonts w:ascii="Verdana" w:hAnsi="Verdana"/>
          <w:sz w:val="18"/>
          <w:szCs w:val="18"/>
        </w:rPr>
        <w:t xml:space="preserve">. </w:t>
      </w:r>
      <w:r w:rsidRPr="002B7113">
        <w:rPr>
          <w:rFonts w:ascii="Verdana" w:hAnsi="Verdana"/>
          <w:sz w:val="18"/>
          <w:szCs w:val="18"/>
        </w:rPr>
        <w:t>B</w:t>
      </w:r>
      <w:r w:rsidR="005557D8">
        <w:rPr>
          <w:rFonts w:ascii="Verdana" w:hAnsi="Verdana"/>
          <w:sz w:val="18"/>
          <w:szCs w:val="18"/>
        </w:rPr>
        <w:t>ij de b</w:t>
      </w:r>
      <w:r w:rsidRPr="002B7113">
        <w:rPr>
          <w:rFonts w:ascii="Verdana" w:hAnsi="Verdana"/>
          <w:sz w:val="18"/>
          <w:szCs w:val="18"/>
        </w:rPr>
        <w:t xml:space="preserve">escherming van de speler </w:t>
      </w:r>
      <w:r w:rsidR="005557D8">
        <w:rPr>
          <w:rFonts w:ascii="Verdana" w:hAnsi="Verdana"/>
          <w:sz w:val="18"/>
          <w:szCs w:val="18"/>
        </w:rPr>
        <w:t>is rekening gehouden met de volgende vier subcriteria</w:t>
      </w:r>
      <w:r w:rsidRPr="002B7113">
        <w:rPr>
          <w:rFonts w:ascii="Verdana" w:hAnsi="Verdana"/>
          <w:sz w:val="18"/>
          <w:szCs w:val="18"/>
        </w:rPr>
        <w:t xml:space="preserve">: </w:t>
      </w:r>
    </w:p>
    <w:p w:rsidRPr="002B7113" w:rsidR="00914BAB" w:rsidP="005557D8" w:rsidRDefault="00914BAB" w14:paraId="2773F1D0" w14:textId="77777777">
      <w:pPr>
        <w:pStyle w:val="Lijstalinea"/>
        <w:numPr>
          <w:ilvl w:val="0"/>
          <w:numId w:val="13"/>
        </w:numPr>
        <w:rPr>
          <w:rFonts w:ascii="Verdana" w:hAnsi="Verdana"/>
          <w:sz w:val="18"/>
          <w:szCs w:val="18"/>
        </w:rPr>
      </w:pPr>
      <w:r>
        <w:rPr>
          <w:rFonts w:ascii="Verdana" w:hAnsi="Verdana"/>
          <w:sz w:val="18"/>
          <w:szCs w:val="18"/>
        </w:rPr>
        <w:t>b</w:t>
      </w:r>
      <w:r w:rsidRPr="002B7113">
        <w:rPr>
          <w:rFonts w:ascii="Verdana" w:hAnsi="Verdana"/>
          <w:sz w:val="18"/>
          <w:szCs w:val="18"/>
        </w:rPr>
        <w:t>escherming biedt tegen onmatig speelgedrag, financiële schade en kansspelverslaving</w:t>
      </w:r>
      <w:r>
        <w:rPr>
          <w:rFonts w:ascii="Verdana" w:hAnsi="Verdana"/>
          <w:sz w:val="18"/>
          <w:szCs w:val="18"/>
        </w:rPr>
        <w:t>;</w:t>
      </w:r>
    </w:p>
    <w:p w:rsidRPr="002B7113" w:rsidR="00914BAB" w:rsidP="005557D8" w:rsidRDefault="00914BAB" w14:paraId="26107375" w14:textId="77777777">
      <w:pPr>
        <w:pStyle w:val="Lijstalinea"/>
        <w:numPr>
          <w:ilvl w:val="0"/>
          <w:numId w:val="13"/>
        </w:numPr>
        <w:rPr>
          <w:rFonts w:ascii="Verdana" w:hAnsi="Verdana"/>
          <w:sz w:val="18"/>
          <w:szCs w:val="18"/>
        </w:rPr>
      </w:pPr>
      <w:r>
        <w:rPr>
          <w:rFonts w:ascii="Verdana" w:hAnsi="Verdana"/>
          <w:sz w:val="18"/>
          <w:szCs w:val="18"/>
        </w:rPr>
        <w:t>d</w:t>
      </w:r>
      <w:r w:rsidRPr="002B7113">
        <w:rPr>
          <w:rFonts w:ascii="Verdana" w:hAnsi="Verdana"/>
          <w:sz w:val="18"/>
          <w:szCs w:val="18"/>
        </w:rPr>
        <w:t>e speler ondersteunt in het maken en nakomen van afspraken over het speelgedrag</w:t>
      </w:r>
      <w:r>
        <w:rPr>
          <w:rFonts w:ascii="Verdana" w:hAnsi="Verdana"/>
          <w:sz w:val="18"/>
          <w:szCs w:val="18"/>
        </w:rPr>
        <w:t>;</w:t>
      </w:r>
      <w:r w:rsidRPr="002B7113">
        <w:rPr>
          <w:rFonts w:ascii="Verdana" w:hAnsi="Verdana"/>
          <w:sz w:val="18"/>
          <w:szCs w:val="18"/>
        </w:rPr>
        <w:t xml:space="preserve"> </w:t>
      </w:r>
    </w:p>
    <w:p w:rsidRPr="002B7113" w:rsidR="00914BAB" w:rsidP="005557D8" w:rsidRDefault="00914BAB" w14:paraId="602A2080" w14:textId="77777777">
      <w:pPr>
        <w:pStyle w:val="Lijstalinea"/>
        <w:numPr>
          <w:ilvl w:val="0"/>
          <w:numId w:val="13"/>
        </w:numPr>
        <w:rPr>
          <w:rFonts w:ascii="Verdana" w:hAnsi="Verdana"/>
          <w:sz w:val="18"/>
          <w:szCs w:val="18"/>
        </w:rPr>
      </w:pPr>
      <w:r>
        <w:rPr>
          <w:rFonts w:ascii="Verdana" w:hAnsi="Verdana"/>
          <w:sz w:val="18"/>
          <w:szCs w:val="18"/>
        </w:rPr>
        <w:t>s</w:t>
      </w:r>
      <w:r w:rsidRPr="002B7113">
        <w:rPr>
          <w:rFonts w:ascii="Verdana" w:hAnsi="Verdana"/>
          <w:sz w:val="18"/>
          <w:szCs w:val="18"/>
        </w:rPr>
        <w:t>impel, begrijpelijk en hanteerbaar is</w:t>
      </w:r>
      <w:r>
        <w:rPr>
          <w:rFonts w:ascii="Verdana" w:hAnsi="Verdana"/>
          <w:sz w:val="18"/>
          <w:szCs w:val="18"/>
        </w:rPr>
        <w:t>;</w:t>
      </w:r>
      <w:r w:rsidRPr="002B7113">
        <w:rPr>
          <w:rFonts w:ascii="Verdana" w:hAnsi="Verdana"/>
          <w:sz w:val="18"/>
          <w:szCs w:val="18"/>
        </w:rPr>
        <w:t xml:space="preserve"> </w:t>
      </w:r>
    </w:p>
    <w:p w:rsidR="00914BAB" w:rsidP="005557D8" w:rsidRDefault="00914BAB" w14:paraId="4B2DB5E7" w14:textId="77777777">
      <w:pPr>
        <w:pStyle w:val="Lijstalinea"/>
        <w:numPr>
          <w:ilvl w:val="0"/>
          <w:numId w:val="13"/>
        </w:numPr>
        <w:rPr>
          <w:rFonts w:ascii="Verdana" w:hAnsi="Verdana"/>
          <w:sz w:val="18"/>
          <w:szCs w:val="18"/>
        </w:rPr>
      </w:pPr>
      <w:r>
        <w:rPr>
          <w:rFonts w:ascii="Verdana" w:hAnsi="Verdana"/>
          <w:sz w:val="18"/>
          <w:szCs w:val="18"/>
        </w:rPr>
        <w:t>h</w:t>
      </w:r>
      <w:r w:rsidRPr="002B7113">
        <w:rPr>
          <w:rFonts w:ascii="Verdana" w:hAnsi="Verdana"/>
          <w:sz w:val="18"/>
          <w:szCs w:val="18"/>
        </w:rPr>
        <w:t xml:space="preserve">et uitwijken van spelers naar het illegale aanbod beperkt. </w:t>
      </w:r>
    </w:p>
    <w:p w:rsidR="002E2AA6" w:rsidP="00914BAB" w:rsidRDefault="002E2AA6" w14:paraId="4BC0D14B" w14:textId="77777777">
      <w:pPr>
        <w:rPr>
          <w:rFonts w:ascii="Verdana" w:hAnsi="Verdana"/>
          <w:sz w:val="18"/>
          <w:szCs w:val="18"/>
        </w:rPr>
      </w:pPr>
    </w:p>
    <w:p w:rsidRPr="005557D8" w:rsidR="005557D8" w:rsidP="005557D8" w:rsidRDefault="00126409" w14:paraId="7B4DEE4B" w14:textId="01A110C1">
      <w:pPr>
        <w:rPr>
          <w:rFonts w:ascii="Verdana" w:hAnsi="Verdana"/>
          <w:i/>
          <w:iCs/>
          <w:sz w:val="18"/>
          <w:szCs w:val="18"/>
        </w:rPr>
      </w:pPr>
      <w:r>
        <w:rPr>
          <w:rFonts w:ascii="Verdana" w:hAnsi="Verdana"/>
          <w:i/>
          <w:iCs/>
          <w:sz w:val="18"/>
          <w:szCs w:val="18"/>
        </w:rPr>
        <w:t>O</w:t>
      </w:r>
      <w:r w:rsidRPr="005557D8" w:rsidR="005557D8">
        <w:rPr>
          <w:rFonts w:ascii="Verdana" w:hAnsi="Verdana"/>
          <w:i/>
          <w:iCs/>
          <w:sz w:val="18"/>
          <w:szCs w:val="18"/>
        </w:rPr>
        <w:t>ptie 1: Absolute limiet</w:t>
      </w:r>
    </w:p>
    <w:p w:rsidRPr="005557D8" w:rsidR="005557D8" w:rsidP="005557D8" w:rsidRDefault="005557D8" w14:paraId="77BBB47F" w14:textId="446D04B2">
      <w:pPr>
        <w:numPr>
          <w:ilvl w:val="0"/>
          <w:numId w:val="11"/>
        </w:numPr>
        <w:rPr>
          <w:rFonts w:ascii="Verdana" w:hAnsi="Verdana"/>
          <w:sz w:val="18"/>
          <w:szCs w:val="18"/>
        </w:rPr>
      </w:pPr>
      <w:r w:rsidRPr="005557D8">
        <w:rPr>
          <w:rFonts w:ascii="Verdana" w:hAnsi="Verdana"/>
          <w:sz w:val="18"/>
          <w:szCs w:val="18"/>
        </w:rPr>
        <w:t xml:space="preserve">Deze optie kan bescherming bieden tegen onmatig speelgedrag, financiële schade en kansspelverslaving door het bedrag dat de speler per maand kan storten te begrenzen. Een belangrijk nadeel is dat de hoogte van een absolute en uniforme limiet slechts voor een gedeelte van de spelers een passende limiet kan zijn. Er bestaan grote verschillen in wat spelers financieel kunnen dragen om maandelijks te verliezen aan kansspelen </w:t>
      </w:r>
    </w:p>
    <w:p w:rsidRPr="005557D8" w:rsidR="005557D8" w:rsidP="005557D8" w:rsidRDefault="005557D8" w14:paraId="770852B6" w14:textId="255A0149">
      <w:pPr>
        <w:numPr>
          <w:ilvl w:val="0"/>
          <w:numId w:val="11"/>
        </w:numPr>
        <w:rPr>
          <w:rFonts w:ascii="Verdana" w:hAnsi="Verdana"/>
          <w:sz w:val="18"/>
          <w:szCs w:val="18"/>
        </w:rPr>
      </w:pPr>
      <w:r w:rsidRPr="005557D8">
        <w:rPr>
          <w:rFonts w:ascii="Verdana" w:hAnsi="Verdana"/>
          <w:sz w:val="18"/>
          <w:szCs w:val="18"/>
        </w:rPr>
        <w:t xml:space="preserve">Wanneer een speler de eigen limiet wil bepalen, bestaat het risico dat deze onbedoeld gestuurd wordt door het anker-effect van de absolute en uniforme grens. Vanuit de gedragskunde is bekend dat de speler dit bedrag als een ‘normale’ grens kan gaan zien en bij het invullen van de eigen limieten daar dicht tegen aan gaan zitten om de eigen limiet te ‘optimaliseren’. Binnen deze optie bestaat het risico dat de speler daardoor minder goed nadenkt over de eigen limiet. </w:t>
      </w:r>
    </w:p>
    <w:p w:rsidRPr="005557D8" w:rsidR="005557D8" w:rsidP="005557D8" w:rsidRDefault="005557D8" w14:paraId="155A0396" w14:textId="77777777">
      <w:pPr>
        <w:numPr>
          <w:ilvl w:val="0"/>
          <w:numId w:val="11"/>
        </w:numPr>
        <w:rPr>
          <w:rFonts w:ascii="Verdana" w:hAnsi="Verdana"/>
          <w:sz w:val="18"/>
          <w:szCs w:val="18"/>
        </w:rPr>
      </w:pPr>
      <w:r w:rsidRPr="005557D8">
        <w:rPr>
          <w:rFonts w:ascii="Verdana" w:hAnsi="Verdana"/>
          <w:sz w:val="18"/>
          <w:szCs w:val="18"/>
        </w:rPr>
        <w:t xml:space="preserve">Een absolute en uniforme limiet is het meest simpel, begrijpelijk en hanteerbaar voor de speler. De speler hoeft hier de minste actie op te ondernemen. Ook is het duidelijk dat de limiet voor iedereen geldt en er geen uitzonderingen mogelijk zijn. </w:t>
      </w:r>
    </w:p>
    <w:p w:rsidRPr="005557D8" w:rsidR="005557D8" w:rsidP="005557D8" w:rsidRDefault="005557D8" w14:paraId="39484186" w14:textId="77777777">
      <w:pPr>
        <w:numPr>
          <w:ilvl w:val="0"/>
          <w:numId w:val="11"/>
        </w:numPr>
        <w:rPr>
          <w:rFonts w:ascii="Verdana" w:hAnsi="Verdana"/>
          <w:sz w:val="18"/>
          <w:szCs w:val="18"/>
        </w:rPr>
      </w:pPr>
      <w:r w:rsidRPr="005557D8">
        <w:rPr>
          <w:rFonts w:ascii="Verdana" w:hAnsi="Verdana"/>
          <w:sz w:val="18"/>
          <w:szCs w:val="18"/>
        </w:rPr>
        <w:t>De mate waarin spelers uitwijken naar illegale online aanbieders wordt beïnvloed door de mate waarin de speler zonder beperkingen kan spelen binnen het vergunde aanbod. Wanneer bij het opleggen van een absolute stortingslimiet een groep spelers de limiet te laag acht, zal dat een deel van deze groep spelers kunnen doen besluiten te gaan spelen bij illegaal aanbod. Bij een absolute limiet is dit scenario het meest waarschijnlijk, omdat er geen mogelijkheden zijn voor een verhoging van de overkoepelende limiet. Dit kan ten koste gaan van de bescherming van de speler, omdat spelers voor wie het (nog) niet schadelijk zou zijn om boven de limiet te spelen al wel worden uitgesloten van deelname aan het vergunde en beschermde aanbod. Het verhogen van de absolute limiet ten behoeve van deze groep, kan weer ten koste gaan van de bescherming van spelers met minder financiële draagkracht.</w:t>
      </w:r>
    </w:p>
    <w:p w:rsidRPr="005557D8" w:rsidR="001A2108" w:rsidP="005557D8" w:rsidRDefault="001A2108" w14:paraId="2B60BB5F" w14:textId="77777777">
      <w:pPr>
        <w:rPr>
          <w:rFonts w:ascii="Verdana" w:hAnsi="Verdana"/>
          <w:i/>
          <w:iCs/>
          <w:sz w:val="18"/>
          <w:szCs w:val="18"/>
        </w:rPr>
      </w:pPr>
    </w:p>
    <w:p w:rsidRPr="005557D8" w:rsidR="005557D8" w:rsidP="005557D8" w:rsidRDefault="00126409" w14:paraId="26DEC4A0" w14:textId="08F01CCC">
      <w:pPr>
        <w:rPr>
          <w:rFonts w:ascii="Verdana" w:hAnsi="Verdana"/>
          <w:i/>
          <w:iCs/>
          <w:sz w:val="18"/>
          <w:szCs w:val="18"/>
        </w:rPr>
      </w:pPr>
      <w:r>
        <w:rPr>
          <w:rFonts w:ascii="Verdana" w:hAnsi="Verdana"/>
          <w:i/>
          <w:iCs/>
          <w:sz w:val="18"/>
          <w:szCs w:val="18"/>
        </w:rPr>
        <w:t>O</w:t>
      </w:r>
      <w:r w:rsidRPr="005557D8" w:rsidR="005557D8">
        <w:rPr>
          <w:rFonts w:ascii="Verdana" w:hAnsi="Verdana"/>
          <w:i/>
          <w:iCs/>
          <w:sz w:val="18"/>
          <w:szCs w:val="18"/>
        </w:rPr>
        <w:t xml:space="preserve">ptie 2: Mogelijkheid tot draagkrachttoets </w:t>
      </w:r>
    </w:p>
    <w:p w:rsidRPr="005557D8" w:rsidR="005557D8" w:rsidP="00502F41" w:rsidRDefault="005557D8" w14:paraId="222DB232" w14:textId="25B022C2">
      <w:pPr>
        <w:numPr>
          <w:ilvl w:val="0"/>
          <w:numId w:val="12"/>
        </w:numPr>
        <w:rPr>
          <w:rFonts w:ascii="Verdana" w:hAnsi="Verdana"/>
          <w:sz w:val="18"/>
          <w:szCs w:val="18"/>
        </w:rPr>
      </w:pPr>
      <w:r w:rsidRPr="005557D8">
        <w:rPr>
          <w:rFonts w:ascii="Verdana" w:hAnsi="Verdana"/>
          <w:sz w:val="18"/>
          <w:szCs w:val="18"/>
        </w:rPr>
        <w:t>Deze optie zal, in vergelijking met de andere twee opties, de hoogste mate van bescherming bieden tegen onmatig speelgedrag, financiële schade en verslaving. Deze optie biedt namelijk de mogelijkheid tot maatwerk, waardoor aan een grotere groep spelers een passende limiet kan worden geboden.</w:t>
      </w:r>
      <w:r w:rsidR="00502F41">
        <w:rPr>
          <w:rFonts w:ascii="Verdana" w:hAnsi="Verdana"/>
          <w:sz w:val="18"/>
          <w:szCs w:val="18"/>
        </w:rPr>
        <w:t xml:space="preserve"> </w:t>
      </w:r>
      <w:r w:rsidRPr="005557D8">
        <w:rPr>
          <w:rFonts w:ascii="Verdana" w:hAnsi="Verdana"/>
          <w:sz w:val="18"/>
          <w:szCs w:val="18"/>
        </w:rPr>
        <w:t xml:space="preserve">Uit de gesprekken die zijn gevoerd met verslavingsdeskundigen blijkt dat het bieden van maatwerk van groot belang is bij het inrichten van een overkoepelende speellimiet die de speler beschermt tegen onmatig speelgedrag, financiële schade en kansspelverslaving. </w:t>
      </w:r>
    </w:p>
    <w:p w:rsidRPr="005557D8" w:rsidR="005557D8" w:rsidP="005557D8" w:rsidRDefault="005557D8" w14:paraId="4E19E8E7" w14:textId="7E8D7853">
      <w:pPr>
        <w:numPr>
          <w:ilvl w:val="0"/>
          <w:numId w:val="12"/>
        </w:numPr>
        <w:rPr>
          <w:rFonts w:ascii="Verdana" w:hAnsi="Verdana"/>
          <w:sz w:val="18"/>
          <w:szCs w:val="18"/>
        </w:rPr>
      </w:pPr>
      <w:r w:rsidRPr="005557D8">
        <w:rPr>
          <w:rFonts w:ascii="Verdana" w:hAnsi="Verdana"/>
          <w:sz w:val="18"/>
          <w:szCs w:val="18"/>
        </w:rPr>
        <w:t xml:space="preserve">Ook binnen deze optie zal de speler, bij het bepalen van de eigen limieten, mogelijk gestuurd worden door het anker-effect van de grens waarboven de draagkrachttoets uitgevoerd dient te worden. De speler zal dan dicht tegen de vastgelegde grens de eigen limiet bepalen. Dit bedrag is echter in principe lager dan bij een absolute en uniforme limiet, waardoor de grens die zij als ‘normaal’ zien ook lager ligt. Daarnaast is vanuit de gedragskunde de verwachting dat een draagkrachtbeoordeling extra zwaarte geeft aan de limiet, waardoor mensen extra zullen nadenken voor zij een hoog limiet invullen/aanvragen. </w:t>
      </w:r>
    </w:p>
    <w:p w:rsidRPr="005557D8" w:rsidR="005557D8" w:rsidP="005557D8" w:rsidRDefault="005557D8" w14:paraId="5308BD5C" w14:textId="77777777">
      <w:pPr>
        <w:numPr>
          <w:ilvl w:val="0"/>
          <w:numId w:val="12"/>
        </w:numPr>
        <w:rPr>
          <w:rFonts w:ascii="Verdana" w:hAnsi="Verdana"/>
          <w:sz w:val="18"/>
          <w:szCs w:val="18"/>
        </w:rPr>
      </w:pPr>
      <w:r w:rsidRPr="005557D8">
        <w:rPr>
          <w:rFonts w:ascii="Verdana" w:hAnsi="Verdana"/>
          <w:sz w:val="18"/>
          <w:szCs w:val="18"/>
        </w:rPr>
        <w:t xml:space="preserve">De mogelijkheid tot een draagkrachttoets kan een extra handeling vragen van de speler wanneer deze de overkoepelende stortingslimiet wil verhogen. Bij de inrichting hiervan is het van belang dat dit begrijpelijk en hanteerbaar voor de speler is.  </w:t>
      </w:r>
    </w:p>
    <w:p w:rsidRPr="001A2108" w:rsidR="00502F41" w:rsidP="001A2108" w:rsidRDefault="005557D8" w14:paraId="74D19C3E" w14:textId="2C7AB818">
      <w:pPr>
        <w:numPr>
          <w:ilvl w:val="0"/>
          <w:numId w:val="12"/>
        </w:numPr>
        <w:rPr>
          <w:rFonts w:ascii="Verdana" w:hAnsi="Verdana"/>
          <w:i/>
          <w:iCs/>
          <w:sz w:val="18"/>
          <w:szCs w:val="18"/>
        </w:rPr>
      </w:pPr>
      <w:r w:rsidRPr="005557D8">
        <w:rPr>
          <w:rFonts w:ascii="Verdana" w:hAnsi="Verdana"/>
          <w:sz w:val="18"/>
          <w:szCs w:val="18"/>
        </w:rPr>
        <w:t xml:space="preserve">Wanneer een verhoging van de limiet naar draagkracht mogelijk is, wordt ruimte geboden binnen het vergunde aanbod aan de groep spelers die boven de limiet wil spelen en voor wie dit niet direct schadelijk is. Daardoor zullen spelers bij deze optie minder snel uitwijken naar het illegale aanbod. </w:t>
      </w:r>
    </w:p>
    <w:p w:rsidR="001A2108" w:rsidP="00502F41" w:rsidRDefault="001A2108" w14:paraId="742F0248" w14:textId="77777777">
      <w:pPr>
        <w:ind w:left="360"/>
        <w:rPr>
          <w:rFonts w:ascii="Verdana" w:hAnsi="Verdana"/>
          <w:i/>
          <w:iCs/>
          <w:sz w:val="18"/>
          <w:szCs w:val="18"/>
        </w:rPr>
      </w:pPr>
    </w:p>
    <w:p w:rsidRPr="005557D8" w:rsidR="002E2AA6" w:rsidP="00502F41" w:rsidRDefault="002E2AA6" w14:paraId="7FD68141" w14:textId="77777777">
      <w:pPr>
        <w:ind w:left="360"/>
        <w:rPr>
          <w:rFonts w:ascii="Verdana" w:hAnsi="Verdana"/>
          <w:i/>
          <w:iCs/>
          <w:sz w:val="18"/>
          <w:szCs w:val="18"/>
        </w:rPr>
      </w:pPr>
    </w:p>
    <w:p w:rsidRPr="005557D8" w:rsidR="005557D8" w:rsidP="005557D8" w:rsidRDefault="00C32D08" w14:paraId="068483E8" w14:textId="1169B3CF">
      <w:pPr>
        <w:rPr>
          <w:rFonts w:ascii="Verdana" w:hAnsi="Verdana"/>
          <w:i/>
          <w:iCs/>
          <w:sz w:val="18"/>
          <w:szCs w:val="18"/>
        </w:rPr>
      </w:pPr>
      <w:r>
        <w:rPr>
          <w:rFonts w:ascii="Verdana" w:hAnsi="Verdana"/>
          <w:i/>
          <w:iCs/>
          <w:sz w:val="18"/>
          <w:szCs w:val="18"/>
        </w:rPr>
        <w:t>O</w:t>
      </w:r>
      <w:r w:rsidRPr="005557D8">
        <w:rPr>
          <w:rFonts w:ascii="Verdana" w:hAnsi="Verdana"/>
          <w:i/>
          <w:iCs/>
          <w:sz w:val="18"/>
          <w:szCs w:val="18"/>
        </w:rPr>
        <w:t xml:space="preserve">ptie </w:t>
      </w:r>
      <w:r w:rsidRPr="005557D8" w:rsidR="005557D8">
        <w:rPr>
          <w:rFonts w:ascii="Verdana" w:hAnsi="Verdana"/>
          <w:i/>
          <w:iCs/>
          <w:sz w:val="18"/>
          <w:szCs w:val="18"/>
        </w:rPr>
        <w:t>3: Vrije keuze met contactmoment</w:t>
      </w:r>
    </w:p>
    <w:p w:rsidRPr="005557D8" w:rsidR="005557D8" w:rsidP="005557D8" w:rsidRDefault="005557D8" w14:paraId="24C4FE46" w14:textId="3CCD1B5E">
      <w:pPr>
        <w:numPr>
          <w:ilvl w:val="0"/>
          <w:numId w:val="10"/>
        </w:numPr>
        <w:rPr>
          <w:rFonts w:ascii="Verdana" w:hAnsi="Verdana"/>
          <w:sz w:val="18"/>
          <w:szCs w:val="18"/>
        </w:rPr>
      </w:pPr>
      <w:r w:rsidRPr="005557D8">
        <w:rPr>
          <w:rFonts w:ascii="Verdana" w:hAnsi="Verdana"/>
          <w:sz w:val="18"/>
          <w:szCs w:val="18"/>
        </w:rPr>
        <w:t xml:space="preserve">In deze optie wordt de speler, in vergelijking met de andere opties, het minst begrensd in het speelgedrag. </w:t>
      </w:r>
    </w:p>
    <w:p w:rsidRPr="005557D8" w:rsidR="005557D8" w:rsidP="005557D8" w:rsidRDefault="005557D8" w14:paraId="345B969A" w14:textId="161A93CB">
      <w:pPr>
        <w:numPr>
          <w:ilvl w:val="0"/>
          <w:numId w:val="10"/>
        </w:numPr>
        <w:rPr>
          <w:rFonts w:ascii="Verdana" w:hAnsi="Verdana"/>
          <w:sz w:val="18"/>
          <w:szCs w:val="18"/>
        </w:rPr>
      </w:pPr>
      <w:r w:rsidRPr="005557D8">
        <w:rPr>
          <w:rFonts w:ascii="Verdana" w:hAnsi="Verdana"/>
          <w:sz w:val="18"/>
          <w:szCs w:val="18"/>
        </w:rPr>
        <w:t xml:space="preserve">Binnen deze optie geldt geen bindende overkoepelende stortingslimiet, waardoor het aan spelers is om geheel hun eigen limiet te bepalen. Wel geldt hier ook een anker-effect van de grens waarna het contactmoment plaats dient te vinden. Net als bij de draagkrachttoets is het waarschijnlijk dat deze grens lager ligt dan bij een absolute en uniforme limiet, waardoor de grens die door de speler als ‘normaal’ wordt gezien, ook lager ligt. </w:t>
      </w:r>
    </w:p>
    <w:p w:rsidRPr="005557D8" w:rsidR="005557D8" w:rsidP="005557D8" w:rsidRDefault="005557D8" w14:paraId="38AD5D40" w14:textId="14A48D91">
      <w:pPr>
        <w:numPr>
          <w:ilvl w:val="0"/>
          <w:numId w:val="10"/>
        </w:numPr>
        <w:rPr>
          <w:rFonts w:ascii="Verdana" w:hAnsi="Verdana"/>
          <w:sz w:val="18"/>
          <w:szCs w:val="18"/>
        </w:rPr>
      </w:pPr>
      <w:r w:rsidRPr="005557D8">
        <w:rPr>
          <w:rFonts w:ascii="Verdana" w:hAnsi="Verdana"/>
          <w:sz w:val="18"/>
          <w:szCs w:val="18"/>
        </w:rPr>
        <w:t xml:space="preserve">Net als bij de mogelijkheid tot een draagkrachttoets kan deze optie een extra handeling van de speler vragen wanneer deze de overkoepelende stortingslimiet wil verhogen door het aanvragen van een contactmoment. </w:t>
      </w:r>
    </w:p>
    <w:p w:rsidR="0087456E" w:rsidP="0087456E" w:rsidRDefault="005557D8" w14:paraId="0DC4FF55" w14:textId="06BBED81">
      <w:pPr>
        <w:numPr>
          <w:ilvl w:val="0"/>
          <w:numId w:val="10"/>
        </w:numPr>
        <w:rPr>
          <w:rFonts w:ascii="Verdana" w:hAnsi="Verdana"/>
          <w:sz w:val="18"/>
          <w:szCs w:val="18"/>
        </w:rPr>
      </w:pPr>
      <w:r w:rsidRPr="005557D8">
        <w:rPr>
          <w:rFonts w:ascii="Verdana" w:hAnsi="Verdana"/>
          <w:sz w:val="18"/>
          <w:szCs w:val="18"/>
        </w:rPr>
        <w:t xml:space="preserve">De verwachting is dat de kans dat spelers uitwijken naar het illegale aanbod het kleinst is binnen deze optie. De speler wordt hier namelijk het minst beperkt in de hoogte van de overkoepelende stortingslimiet. </w:t>
      </w:r>
    </w:p>
    <w:p w:rsidR="0087456E" w:rsidP="0087456E" w:rsidRDefault="0087456E" w14:paraId="7B13B859" w14:textId="77777777">
      <w:pPr>
        <w:ind w:left="360"/>
        <w:rPr>
          <w:rFonts w:ascii="Verdana" w:hAnsi="Verdana"/>
          <w:sz w:val="18"/>
          <w:szCs w:val="18"/>
        </w:rPr>
      </w:pPr>
    </w:p>
    <w:p w:rsidRPr="005557D8" w:rsidR="002E2AA6" w:rsidP="0087456E" w:rsidRDefault="002E2AA6" w14:paraId="7E72DC98" w14:textId="77777777">
      <w:pPr>
        <w:ind w:left="360"/>
        <w:rPr>
          <w:rFonts w:ascii="Verdana" w:hAnsi="Verdana"/>
          <w:sz w:val="18"/>
          <w:szCs w:val="18"/>
        </w:rPr>
      </w:pPr>
    </w:p>
    <w:p w:rsidRPr="005557D8" w:rsidR="005557D8" w:rsidP="005557D8" w:rsidRDefault="002745EC" w14:paraId="252C53E7" w14:textId="71D9448B">
      <w:pPr>
        <w:rPr>
          <w:rFonts w:ascii="Verdana" w:hAnsi="Verdana"/>
          <w:sz w:val="18"/>
          <w:szCs w:val="18"/>
        </w:rPr>
      </w:pPr>
      <w:r>
        <w:rPr>
          <w:rFonts w:ascii="Verdana" w:hAnsi="Verdana"/>
          <w:sz w:val="18"/>
          <w:szCs w:val="18"/>
        </w:rPr>
        <w:t>De conclusie is dat</w:t>
      </w:r>
      <w:r w:rsidRPr="005557D8" w:rsidR="005557D8">
        <w:rPr>
          <w:rFonts w:ascii="Verdana" w:hAnsi="Verdana"/>
          <w:sz w:val="18"/>
          <w:szCs w:val="18"/>
        </w:rPr>
        <w:t xml:space="preserve"> een overkoepelende stortingslimiet met mogelijkheid tot verhoging na een draagkrachttoets, het meeste bijdraagt aan de bescherming van spelers. Dit is terug te zien in onderstaande tabel, waarin de drie beleidsopties ten aanzien van elkaar worden vergeleken op de vier subcriteria en daarmee de mate waarin zij bijdragen aan de bescherming van spelers. Hoe donkerder de kleur, hoe beter de optie scoort op het subcriterium ten aanzien van de andere opties. De kleur </w:t>
      </w:r>
      <w:r w:rsidR="00C32D08">
        <w:rPr>
          <w:rFonts w:ascii="Verdana" w:hAnsi="Verdana"/>
          <w:sz w:val="18"/>
          <w:szCs w:val="18"/>
        </w:rPr>
        <w:t xml:space="preserve">is </w:t>
      </w:r>
      <w:r w:rsidR="003F42E2">
        <w:rPr>
          <w:rFonts w:ascii="Verdana" w:hAnsi="Verdana"/>
          <w:sz w:val="18"/>
          <w:szCs w:val="18"/>
        </w:rPr>
        <w:t>gebaseerd op</w:t>
      </w:r>
      <w:r w:rsidR="00C32D08">
        <w:rPr>
          <w:rFonts w:ascii="Verdana" w:hAnsi="Verdana"/>
          <w:sz w:val="18"/>
          <w:szCs w:val="18"/>
        </w:rPr>
        <w:t xml:space="preserve"> </w:t>
      </w:r>
      <w:r w:rsidRPr="005557D8" w:rsidR="005557D8">
        <w:rPr>
          <w:rFonts w:ascii="Verdana" w:hAnsi="Verdana"/>
          <w:sz w:val="18"/>
          <w:szCs w:val="18"/>
        </w:rPr>
        <w:t xml:space="preserve">bovenstaande toelichting die tot stand is gekomen op basis van gesprekken met stakeholders, waaronder verslavings- en gedragsdeskundigen.  </w:t>
      </w:r>
    </w:p>
    <w:p w:rsidR="00F43ED7" w:rsidRDefault="002E2AA6" w14:paraId="1E2775FA" w14:textId="6AE5B4CF">
      <w:pPr>
        <w:autoSpaceDN w:val="0"/>
        <w:textAlignment w:val="baseline"/>
        <w:rPr>
          <w:rFonts w:ascii="Verdana" w:hAnsi="Verdana" w:eastAsia="DejaVu Sans" w:cs="Lohit Hindi"/>
          <w:i/>
          <w:iCs/>
          <w:color w:val="000000"/>
          <w:sz w:val="18"/>
          <w:szCs w:val="18"/>
          <w:lang w:eastAsia="nl-NL"/>
          <w14:ligatures w14:val="none"/>
        </w:rPr>
      </w:pPr>
      <w:r>
        <w:rPr>
          <w:rFonts w:ascii="Verdana" w:hAnsi="Verdana" w:eastAsia="DejaVu Sans" w:cs="Lohit Hindi"/>
          <w:i/>
          <w:iCs/>
          <w:color w:val="000000"/>
          <w:sz w:val="18"/>
          <w:szCs w:val="18"/>
          <w:lang w:eastAsia="nl-NL"/>
          <w14:ligatures w14:val="none"/>
        </w:rPr>
        <w:br w:type="page"/>
      </w:r>
    </w:p>
    <w:p w:rsidR="002E2AA6" w:rsidP="0087456E" w:rsidRDefault="002E2AA6" w14:paraId="02499625" w14:textId="77777777">
      <w:pPr>
        <w:autoSpaceDN w:val="0"/>
        <w:spacing w:line="240" w:lineRule="atLeast"/>
        <w:textAlignment w:val="baseline"/>
        <w:rPr>
          <w:rFonts w:ascii="Verdana" w:hAnsi="Verdana" w:eastAsia="DejaVu Sans" w:cs="Lohit Hindi"/>
          <w:i/>
          <w:iCs/>
          <w:color w:val="000000"/>
          <w:sz w:val="18"/>
          <w:szCs w:val="18"/>
          <w:lang w:eastAsia="nl-NL"/>
          <w14:ligatures w14:val="none"/>
        </w:rPr>
      </w:pPr>
    </w:p>
    <w:p w:rsidR="002E2AA6" w:rsidP="0087456E" w:rsidRDefault="002E2AA6" w14:paraId="2E8C606D" w14:textId="77777777">
      <w:pPr>
        <w:autoSpaceDN w:val="0"/>
        <w:spacing w:line="240" w:lineRule="atLeast"/>
        <w:textAlignment w:val="baseline"/>
        <w:rPr>
          <w:rFonts w:ascii="Verdana" w:hAnsi="Verdana" w:eastAsia="DejaVu Sans" w:cs="Lohit Hindi"/>
          <w:i/>
          <w:iCs/>
          <w:color w:val="000000"/>
          <w:sz w:val="18"/>
          <w:szCs w:val="18"/>
          <w:lang w:eastAsia="nl-NL"/>
          <w14:ligatures w14:val="none"/>
        </w:rPr>
      </w:pPr>
    </w:p>
    <w:p w:rsidR="00BB2AA3" w:rsidP="0087456E" w:rsidRDefault="0087456E" w14:paraId="25580E29" w14:textId="5C11B652">
      <w:pPr>
        <w:autoSpaceDN w:val="0"/>
        <w:spacing w:line="240" w:lineRule="atLeast"/>
        <w:textAlignment w:val="baseline"/>
        <w:rPr>
          <w:rFonts w:ascii="Verdana" w:hAnsi="Verdana" w:eastAsia="DejaVu Sans" w:cs="Lohit Hindi"/>
          <w:i/>
          <w:iCs/>
          <w:color w:val="000000"/>
          <w:sz w:val="18"/>
          <w:szCs w:val="18"/>
          <w:lang w:eastAsia="nl-NL"/>
          <w14:ligatures w14:val="none"/>
        </w:rPr>
      </w:pPr>
      <w:r w:rsidRPr="0087456E">
        <w:rPr>
          <w:rFonts w:ascii="Verdana" w:hAnsi="Verdana" w:eastAsia="DejaVu Sans" w:cs="Lohit Hindi"/>
          <w:i/>
          <w:iCs/>
          <w:color w:val="000000"/>
          <w:sz w:val="18"/>
          <w:szCs w:val="18"/>
          <w:lang w:eastAsia="nl-NL"/>
          <w14:ligatures w14:val="none"/>
        </w:rPr>
        <w:t>Verwachte realisatie van criteria als onderdeel van bescherming van spelers:</w:t>
      </w:r>
    </w:p>
    <w:p w:rsidRPr="0087456E" w:rsidR="002E2AA6" w:rsidP="0087456E" w:rsidRDefault="002E2AA6" w14:paraId="5D38217C" w14:textId="77777777">
      <w:pPr>
        <w:autoSpaceDN w:val="0"/>
        <w:spacing w:line="240" w:lineRule="atLeast"/>
        <w:textAlignment w:val="baseline"/>
        <w:rPr>
          <w:rFonts w:ascii="Verdana" w:hAnsi="Verdana" w:eastAsia="DejaVu Sans" w:cs="Lohit Hindi"/>
          <w:i/>
          <w:iCs/>
          <w:color w:val="000000"/>
          <w:sz w:val="18"/>
          <w:szCs w:val="18"/>
          <w:lang w:eastAsia="nl-NL"/>
          <w14:ligatures w14:val="none"/>
        </w:rPr>
      </w:pPr>
    </w:p>
    <w:tbl>
      <w:tblPr>
        <w:tblStyle w:val="Tabelraster"/>
        <w:tblpPr w:leftFromText="141" w:rightFromText="141" w:vertAnchor="text" w:tblpY="1"/>
        <w:tblOverlap w:val="never"/>
        <w:tblW w:w="77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78"/>
        <w:gridCol w:w="734"/>
        <w:gridCol w:w="798"/>
        <w:gridCol w:w="694"/>
        <w:gridCol w:w="1007"/>
        <w:gridCol w:w="1843"/>
        <w:gridCol w:w="1843"/>
      </w:tblGrid>
      <w:tr w:rsidRPr="0087456E" w:rsidR="0087456E" w:rsidTr="002E2AA6" w14:paraId="5D3705EB" w14:textId="77777777">
        <w:trPr>
          <w:gridAfter w:val="2"/>
          <w:wAfter w:w="3686" w:type="dxa"/>
          <w:trHeight w:val="249"/>
        </w:trPr>
        <w:tc>
          <w:tcPr>
            <w:tcW w:w="878" w:type="dxa"/>
            <w:shd w:val="clear" w:color="auto" w:fill="DEEAF6"/>
          </w:tcPr>
          <w:p w:rsidRPr="0087456E" w:rsidR="0087456E" w:rsidP="0087456E" w:rsidRDefault="0087456E" w14:paraId="2572FDBF" w14:textId="77777777">
            <w:pPr>
              <w:autoSpaceDN w:val="0"/>
              <w:spacing w:line="240" w:lineRule="atLeast"/>
              <w:textAlignment w:val="baseline"/>
              <w:rPr>
                <w:rFonts w:ascii="Verdana" w:hAnsi="Verdana" w:eastAsia="DejaVu Sans" w:cs="Lohit Hindi"/>
                <w:sz w:val="18"/>
                <w:szCs w:val="18"/>
                <w:lang w:eastAsia="nl-NL"/>
                <w14:ligatures w14:val="none"/>
              </w:rPr>
            </w:pPr>
            <w:r w:rsidRPr="0087456E">
              <w:rPr>
                <w:rFonts w:ascii="Verdana" w:hAnsi="Verdana" w:eastAsia="DejaVu Sans" w:cs="Lohit Hindi"/>
                <w:sz w:val="18"/>
                <w:szCs w:val="18"/>
                <w:lang w:eastAsia="nl-NL"/>
                <w14:ligatures w14:val="none"/>
              </w:rPr>
              <w:t>Laag</w:t>
            </w:r>
          </w:p>
        </w:tc>
        <w:tc>
          <w:tcPr>
            <w:tcW w:w="734" w:type="dxa"/>
            <w:shd w:val="clear" w:color="auto" w:fill="BDD6EE"/>
          </w:tcPr>
          <w:p w:rsidRPr="0087456E" w:rsidR="0087456E" w:rsidP="0087456E" w:rsidRDefault="0087456E" w14:paraId="477D5124" w14:textId="77777777">
            <w:pPr>
              <w:autoSpaceDN w:val="0"/>
              <w:spacing w:line="240" w:lineRule="atLeast"/>
              <w:textAlignment w:val="baseline"/>
              <w:rPr>
                <w:rFonts w:ascii="Verdana" w:hAnsi="Verdana" w:eastAsia="DejaVu Sans" w:cs="Lohit Hindi"/>
                <w:sz w:val="18"/>
                <w:szCs w:val="18"/>
                <w:lang w:eastAsia="nl-NL"/>
                <w14:ligatures w14:val="none"/>
              </w:rPr>
            </w:pPr>
          </w:p>
        </w:tc>
        <w:tc>
          <w:tcPr>
            <w:tcW w:w="798" w:type="dxa"/>
            <w:shd w:val="clear" w:color="auto" w:fill="9CC2E5"/>
          </w:tcPr>
          <w:p w:rsidRPr="0087456E" w:rsidR="0087456E" w:rsidP="0087456E" w:rsidRDefault="0087456E" w14:paraId="2D9EBA3B" w14:textId="77777777">
            <w:pPr>
              <w:autoSpaceDN w:val="0"/>
              <w:spacing w:line="240" w:lineRule="atLeast"/>
              <w:textAlignment w:val="baseline"/>
              <w:rPr>
                <w:rFonts w:ascii="Verdana" w:hAnsi="Verdana" w:eastAsia="DejaVu Sans" w:cs="Lohit Hindi"/>
                <w:sz w:val="18"/>
                <w:szCs w:val="18"/>
                <w:lang w:eastAsia="nl-NL"/>
                <w14:ligatures w14:val="none"/>
              </w:rPr>
            </w:pPr>
          </w:p>
        </w:tc>
        <w:tc>
          <w:tcPr>
            <w:tcW w:w="694" w:type="dxa"/>
            <w:shd w:val="clear" w:color="auto" w:fill="2E74B5"/>
          </w:tcPr>
          <w:p w:rsidRPr="0087456E" w:rsidR="0087456E" w:rsidP="0087456E" w:rsidRDefault="0087456E" w14:paraId="3D5B2F58" w14:textId="77777777">
            <w:pPr>
              <w:autoSpaceDN w:val="0"/>
              <w:spacing w:line="240" w:lineRule="atLeast"/>
              <w:textAlignment w:val="baseline"/>
              <w:rPr>
                <w:rFonts w:ascii="Verdana" w:hAnsi="Verdana" w:eastAsia="DejaVu Sans" w:cs="Lohit Hindi"/>
                <w:sz w:val="18"/>
                <w:szCs w:val="18"/>
                <w:lang w:eastAsia="nl-NL"/>
                <w14:ligatures w14:val="none"/>
              </w:rPr>
            </w:pPr>
          </w:p>
        </w:tc>
        <w:tc>
          <w:tcPr>
            <w:tcW w:w="1007" w:type="dxa"/>
            <w:shd w:val="clear" w:color="auto" w:fill="1F4E79"/>
          </w:tcPr>
          <w:p w:rsidRPr="0087456E" w:rsidR="0087456E" w:rsidP="0087456E" w:rsidRDefault="0087456E" w14:paraId="6E340880" w14:textId="77777777">
            <w:pPr>
              <w:autoSpaceDN w:val="0"/>
              <w:spacing w:line="240" w:lineRule="atLeast"/>
              <w:jc w:val="right"/>
              <w:textAlignment w:val="baseline"/>
              <w:rPr>
                <w:rFonts w:ascii="Verdana" w:hAnsi="Verdana" w:eastAsia="DejaVu Sans" w:cs="Lohit Hindi"/>
                <w:sz w:val="18"/>
                <w:szCs w:val="18"/>
                <w:lang w:eastAsia="nl-NL"/>
                <w14:ligatures w14:val="none"/>
              </w:rPr>
            </w:pPr>
            <w:r w:rsidRPr="0087456E">
              <w:rPr>
                <w:rFonts w:ascii="Verdana" w:hAnsi="Verdana" w:eastAsia="DejaVu Sans" w:cs="Lohit Hindi"/>
                <w:color w:val="FFFFFF"/>
                <w:sz w:val="18"/>
                <w:szCs w:val="18"/>
                <w:lang w:eastAsia="nl-NL"/>
                <w14:ligatures w14:val="none"/>
              </w:rPr>
              <w:t>Hoog</w:t>
            </w:r>
          </w:p>
        </w:tc>
      </w:tr>
      <w:tr w:rsidRPr="0087456E" w:rsidR="00A14CDA" w:rsidTr="002E2AA6" w14:paraId="0E06D1E0" w14:textId="77777777">
        <w:trPr>
          <w:trHeight w:val="950"/>
        </w:trPr>
        <w:tc>
          <w:tcPr>
            <w:tcW w:w="2410" w:type="dxa"/>
            <w:gridSpan w:val="3"/>
          </w:tcPr>
          <w:p w:rsidR="0087456E" w:rsidP="0087456E" w:rsidRDefault="0087456E" w14:paraId="71E75B2B" w14:textId="77777777">
            <w:pPr>
              <w:autoSpaceDN w:val="0"/>
              <w:spacing w:line="240" w:lineRule="atLeast"/>
              <w:textAlignment w:val="baseline"/>
              <w:rPr>
                <w:rFonts w:ascii="Verdana" w:hAnsi="Verdana" w:eastAsia="DejaVu Sans" w:cs="Lohit Hindi"/>
                <w:sz w:val="18"/>
                <w:szCs w:val="18"/>
                <w:lang w:eastAsia="nl-NL"/>
                <w14:ligatures w14:val="none"/>
              </w:rPr>
            </w:pPr>
            <w:bookmarkStart w:name="_Hlk180413865" w:id="3"/>
          </w:p>
          <w:p w:rsidR="002E2AA6" w:rsidP="0087456E" w:rsidRDefault="002E2AA6" w14:paraId="7470A0A3" w14:textId="77777777">
            <w:pPr>
              <w:autoSpaceDN w:val="0"/>
              <w:spacing w:line="240" w:lineRule="atLeast"/>
              <w:textAlignment w:val="baseline"/>
              <w:rPr>
                <w:rFonts w:ascii="Verdana" w:hAnsi="Verdana" w:eastAsia="DejaVu Sans" w:cs="Lohit Hindi"/>
                <w:sz w:val="18"/>
                <w:szCs w:val="18"/>
                <w:lang w:eastAsia="nl-NL"/>
                <w14:ligatures w14:val="none"/>
              </w:rPr>
            </w:pPr>
          </w:p>
          <w:p w:rsidR="002E2AA6" w:rsidP="0087456E" w:rsidRDefault="002E2AA6" w14:paraId="772C424E" w14:textId="77777777">
            <w:pPr>
              <w:autoSpaceDN w:val="0"/>
              <w:spacing w:line="240" w:lineRule="atLeast"/>
              <w:textAlignment w:val="baseline"/>
              <w:rPr>
                <w:rFonts w:ascii="Verdana" w:hAnsi="Verdana" w:eastAsia="DejaVu Sans" w:cs="Lohit Hindi"/>
                <w:sz w:val="18"/>
                <w:szCs w:val="18"/>
                <w:lang w:eastAsia="nl-NL"/>
                <w14:ligatures w14:val="none"/>
              </w:rPr>
            </w:pPr>
          </w:p>
          <w:p w:rsidR="002E2AA6" w:rsidP="0087456E" w:rsidRDefault="002E2AA6" w14:paraId="16C503B6" w14:textId="77777777">
            <w:pPr>
              <w:autoSpaceDN w:val="0"/>
              <w:spacing w:line="240" w:lineRule="atLeast"/>
              <w:textAlignment w:val="baseline"/>
              <w:rPr>
                <w:rFonts w:ascii="Verdana" w:hAnsi="Verdana" w:eastAsia="DejaVu Sans" w:cs="Lohit Hindi"/>
                <w:sz w:val="18"/>
                <w:szCs w:val="18"/>
                <w:lang w:eastAsia="nl-NL"/>
                <w14:ligatures w14:val="none"/>
              </w:rPr>
            </w:pPr>
          </w:p>
          <w:p w:rsidRPr="0087456E" w:rsidR="002E2AA6" w:rsidP="0087456E" w:rsidRDefault="002E2AA6" w14:paraId="7AD407B3" w14:textId="77777777">
            <w:pPr>
              <w:autoSpaceDN w:val="0"/>
              <w:spacing w:line="240" w:lineRule="atLeast"/>
              <w:textAlignment w:val="baseline"/>
              <w:rPr>
                <w:rFonts w:ascii="Verdana" w:hAnsi="Verdana" w:eastAsia="DejaVu Sans" w:cs="Lohit Hindi"/>
                <w:sz w:val="18"/>
                <w:szCs w:val="18"/>
                <w:lang w:eastAsia="nl-NL"/>
                <w14:ligatures w14:val="none"/>
              </w:rPr>
            </w:pPr>
          </w:p>
        </w:tc>
        <w:tc>
          <w:tcPr>
            <w:tcW w:w="1701" w:type="dxa"/>
            <w:gridSpan w:val="2"/>
            <w:vAlign w:val="bottom"/>
          </w:tcPr>
          <w:p w:rsidR="00A14CDA" w:rsidP="0087456E" w:rsidRDefault="0087456E" w14:paraId="0E53538F" w14:textId="77777777">
            <w:pPr>
              <w:autoSpaceDN w:val="0"/>
              <w:spacing w:line="240" w:lineRule="atLeast"/>
              <w:textAlignment w:val="baseline"/>
              <w:rPr>
                <w:rFonts w:ascii="Verdana" w:hAnsi="Verdana" w:eastAsia="DejaVu Sans" w:cs="Lohit Hindi"/>
                <w:sz w:val="18"/>
                <w:szCs w:val="18"/>
                <w:lang w:eastAsia="nl-NL"/>
                <w14:ligatures w14:val="none"/>
              </w:rPr>
            </w:pPr>
            <w:r w:rsidRPr="0087456E">
              <w:rPr>
                <w:rFonts w:ascii="Verdana" w:hAnsi="Verdana" w:eastAsia="DejaVu Sans" w:cs="Lohit Hindi"/>
                <w:sz w:val="18"/>
                <w:szCs w:val="18"/>
                <w:u w:val="single"/>
                <w:lang w:eastAsia="nl-NL"/>
                <w14:ligatures w14:val="none"/>
              </w:rPr>
              <w:t>Optie 1:</w:t>
            </w:r>
            <w:r w:rsidRPr="0087456E">
              <w:rPr>
                <w:rFonts w:ascii="Verdana" w:hAnsi="Verdana" w:eastAsia="DejaVu Sans" w:cs="Lohit Hindi"/>
                <w:sz w:val="18"/>
                <w:szCs w:val="18"/>
                <w:lang w:eastAsia="nl-NL"/>
                <w14:ligatures w14:val="none"/>
              </w:rPr>
              <w:t xml:space="preserve"> </w:t>
            </w:r>
          </w:p>
          <w:p w:rsidRPr="0087456E" w:rsidR="0087456E" w:rsidP="0087456E" w:rsidRDefault="0087456E" w14:paraId="33384594" w14:textId="42A9FCC8">
            <w:pPr>
              <w:autoSpaceDN w:val="0"/>
              <w:spacing w:line="240" w:lineRule="atLeast"/>
              <w:textAlignment w:val="baseline"/>
              <w:rPr>
                <w:rFonts w:ascii="Verdana" w:hAnsi="Verdana" w:eastAsia="DejaVu Sans" w:cs="Lohit Hindi"/>
                <w:sz w:val="18"/>
                <w:szCs w:val="18"/>
                <w:u w:val="single"/>
                <w:lang w:eastAsia="nl-NL"/>
                <w14:ligatures w14:val="none"/>
              </w:rPr>
            </w:pPr>
            <w:r w:rsidRPr="0087456E">
              <w:rPr>
                <w:rFonts w:ascii="Verdana" w:hAnsi="Verdana" w:eastAsia="DejaVu Sans" w:cs="Lohit Hindi"/>
                <w:sz w:val="18"/>
                <w:szCs w:val="18"/>
                <w:lang w:eastAsia="nl-NL"/>
                <w14:ligatures w14:val="none"/>
              </w:rPr>
              <w:t>Absolute limiet</w:t>
            </w:r>
          </w:p>
        </w:tc>
        <w:tc>
          <w:tcPr>
            <w:tcW w:w="1843" w:type="dxa"/>
            <w:vAlign w:val="bottom"/>
          </w:tcPr>
          <w:p w:rsidRPr="0087456E" w:rsidR="0087456E" w:rsidP="0087456E" w:rsidRDefault="0087456E" w14:paraId="10D219CF" w14:textId="77777777">
            <w:pPr>
              <w:autoSpaceDN w:val="0"/>
              <w:spacing w:line="240" w:lineRule="atLeast"/>
              <w:textAlignment w:val="baseline"/>
              <w:rPr>
                <w:rFonts w:ascii="Verdana" w:hAnsi="Verdana" w:eastAsia="DejaVu Sans" w:cs="Lohit Hindi"/>
                <w:sz w:val="18"/>
                <w:szCs w:val="18"/>
                <w:lang w:eastAsia="nl-NL"/>
                <w14:ligatures w14:val="none"/>
              </w:rPr>
            </w:pPr>
            <w:r w:rsidRPr="0087456E">
              <w:rPr>
                <w:rFonts w:ascii="Verdana" w:hAnsi="Verdana" w:eastAsia="DejaVu Sans" w:cs="Lohit Hindi"/>
                <w:sz w:val="18"/>
                <w:szCs w:val="18"/>
                <w:u w:val="single"/>
                <w:lang w:eastAsia="nl-NL"/>
                <w14:ligatures w14:val="none"/>
              </w:rPr>
              <w:t xml:space="preserve">Optie 2: </w:t>
            </w:r>
            <w:r w:rsidRPr="0087456E">
              <w:rPr>
                <w:rFonts w:ascii="Verdana" w:hAnsi="Verdana" w:eastAsia="DejaVu Sans" w:cs="Lohit Hindi"/>
                <w:sz w:val="18"/>
                <w:szCs w:val="18"/>
                <w:lang w:eastAsia="nl-NL"/>
                <w14:ligatures w14:val="none"/>
              </w:rPr>
              <w:t>Mogelijkheid tot draagkracht-beoordeling</w:t>
            </w:r>
          </w:p>
        </w:tc>
        <w:tc>
          <w:tcPr>
            <w:tcW w:w="1843" w:type="dxa"/>
            <w:vAlign w:val="bottom"/>
          </w:tcPr>
          <w:p w:rsidRPr="0087456E" w:rsidR="0087456E" w:rsidP="0087456E" w:rsidRDefault="0087456E" w14:paraId="6734C1E9" w14:textId="77777777">
            <w:pPr>
              <w:autoSpaceDN w:val="0"/>
              <w:spacing w:line="240" w:lineRule="atLeast"/>
              <w:textAlignment w:val="baseline"/>
              <w:rPr>
                <w:rFonts w:ascii="Verdana" w:hAnsi="Verdana" w:eastAsia="DejaVu Sans" w:cs="Lohit Hindi"/>
                <w:sz w:val="18"/>
                <w:szCs w:val="18"/>
                <w:lang w:eastAsia="nl-NL"/>
                <w14:ligatures w14:val="none"/>
              </w:rPr>
            </w:pPr>
            <w:r w:rsidRPr="0087456E">
              <w:rPr>
                <w:rFonts w:ascii="Verdana" w:hAnsi="Verdana" w:eastAsia="DejaVu Sans" w:cs="Lohit Hindi"/>
                <w:sz w:val="18"/>
                <w:szCs w:val="18"/>
                <w:u w:val="single"/>
                <w:lang w:eastAsia="nl-NL"/>
                <w14:ligatures w14:val="none"/>
              </w:rPr>
              <w:t>Optie 3:</w:t>
            </w:r>
          </w:p>
          <w:p w:rsidRPr="0087456E" w:rsidR="0087456E" w:rsidP="0087456E" w:rsidRDefault="0087456E" w14:paraId="6DFFEBD2" w14:textId="77777777">
            <w:pPr>
              <w:autoSpaceDN w:val="0"/>
              <w:spacing w:line="240" w:lineRule="atLeast"/>
              <w:textAlignment w:val="baseline"/>
              <w:rPr>
                <w:rFonts w:ascii="Verdana" w:hAnsi="Verdana" w:eastAsia="DejaVu Sans" w:cs="Lohit Hindi"/>
                <w:sz w:val="18"/>
                <w:szCs w:val="18"/>
                <w:lang w:eastAsia="nl-NL"/>
                <w14:ligatures w14:val="none"/>
              </w:rPr>
            </w:pPr>
            <w:r w:rsidRPr="0087456E">
              <w:rPr>
                <w:rFonts w:ascii="Verdana" w:hAnsi="Verdana" w:eastAsia="DejaVu Sans" w:cs="Lohit Hindi"/>
                <w:sz w:val="18"/>
                <w:szCs w:val="18"/>
                <w:lang w:eastAsia="nl-NL"/>
                <w14:ligatures w14:val="none"/>
              </w:rPr>
              <w:t>Vrije keuze met contactmoment</w:t>
            </w:r>
          </w:p>
        </w:tc>
      </w:tr>
      <w:tr w:rsidRPr="0087456E" w:rsidR="00100570" w:rsidTr="002E2AA6" w14:paraId="1FA062AD"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9"/>
        </w:trPr>
        <w:tc>
          <w:tcPr>
            <w:tcW w:w="2410" w:type="dxa"/>
            <w:gridSpan w:val="3"/>
            <w:vAlign w:val="center"/>
          </w:tcPr>
          <w:p w:rsidRPr="0087456E" w:rsidR="0087456E" w:rsidP="0087456E" w:rsidRDefault="0087456E" w14:paraId="36AE3825" w14:textId="77777777">
            <w:pPr>
              <w:numPr>
                <w:ilvl w:val="0"/>
                <w:numId w:val="14"/>
              </w:numPr>
              <w:autoSpaceDN w:val="0"/>
              <w:spacing w:line="240" w:lineRule="atLeast"/>
              <w:contextualSpacing/>
              <w:textAlignment w:val="baseline"/>
              <w:rPr>
                <w:rFonts w:ascii="Verdana" w:hAnsi="Verdana" w:eastAsia="DejaVu Sans" w:cs="Lohit Hindi"/>
                <w:i/>
                <w:iCs/>
                <w:sz w:val="18"/>
                <w:szCs w:val="18"/>
                <w:lang w:eastAsia="nl-NL"/>
                <w14:ligatures w14:val="none"/>
              </w:rPr>
            </w:pPr>
            <w:r w:rsidRPr="0087456E">
              <w:rPr>
                <w:rFonts w:ascii="Verdana" w:hAnsi="Verdana" w:eastAsia="DejaVu Sans" w:cs="Lohit Hindi"/>
                <w:i/>
                <w:iCs/>
                <w:sz w:val="18"/>
                <w:szCs w:val="18"/>
                <w:lang w:eastAsia="nl-NL"/>
                <w14:ligatures w14:val="none"/>
              </w:rPr>
              <w:t xml:space="preserve">Bescherming tegen onmatig speelgedrag, financiële schade en verslaving </w:t>
            </w:r>
          </w:p>
        </w:tc>
        <w:tc>
          <w:tcPr>
            <w:tcW w:w="1701" w:type="dxa"/>
            <w:gridSpan w:val="2"/>
            <w:shd w:val="clear" w:color="auto" w:fill="9CC2E5"/>
            <w:vAlign w:val="center"/>
          </w:tcPr>
          <w:p w:rsidRPr="0087456E" w:rsidR="0087456E" w:rsidP="0087456E" w:rsidRDefault="0087456E" w14:paraId="54ACBF01" w14:textId="77777777">
            <w:pPr>
              <w:autoSpaceDN w:val="0"/>
              <w:spacing w:line="240" w:lineRule="atLeast"/>
              <w:jc w:val="center"/>
              <w:textAlignment w:val="baseline"/>
              <w:rPr>
                <w:rFonts w:ascii="Verdana" w:hAnsi="Verdana" w:eastAsia="DejaVu Sans" w:cs="Lohit Hindi"/>
                <w:sz w:val="18"/>
                <w:szCs w:val="18"/>
                <w:lang w:eastAsia="nl-NL"/>
                <w14:ligatures w14:val="none"/>
              </w:rPr>
            </w:pPr>
          </w:p>
        </w:tc>
        <w:tc>
          <w:tcPr>
            <w:tcW w:w="1843" w:type="dxa"/>
            <w:shd w:val="clear" w:color="auto" w:fill="2E74B5"/>
            <w:vAlign w:val="center"/>
          </w:tcPr>
          <w:p w:rsidRPr="0087456E" w:rsidR="0087456E" w:rsidP="0087456E" w:rsidRDefault="0087456E" w14:paraId="022861DC" w14:textId="77777777">
            <w:pPr>
              <w:autoSpaceDN w:val="0"/>
              <w:spacing w:line="240" w:lineRule="atLeast"/>
              <w:jc w:val="center"/>
              <w:textAlignment w:val="baseline"/>
              <w:rPr>
                <w:rFonts w:ascii="Verdana" w:hAnsi="Verdana" w:eastAsia="DejaVu Sans" w:cs="Lohit Hindi"/>
                <w:sz w:val="18"/>
                <w:szCs w:val="18"/>
                <w:lang w:eastAsia="nl-NL"/>
                <w14:ligatures w14:val="none"/>
              </w:rPr>
            </w:pPr>
            <w:r w:rsidRPr="0087456E">
              <w:rPr>
                <w:rFonts w:ascii="Verdana" w:hAnsi="Verdana" w:eastAsia="DejaVu Sans" w:cs="Lohit Hindi"/>
                <w:sz w:val="18"/>
                <w:szCs w:val="18"/>
                <w:lang w:eastAsia="nl-NL"/>
                <w14:ligatures w14:val="none"/>
              </w:rPr>
              <w:t xml:space="preserve">   </w:t>
            </w:r>
          </w:p>
        </w:tc>
        <w:tc>
          <w:tcPr>
            <w:tcW w:w="1843" w:type="dxa"/>
            <w:shd w:val="clear" w:color="auto" w:fill="DEEAF6"/>
            <w:vAlign w:val="center"/>
          </w:tcPr>
          <w:p w:rsidRPr="0087456E" w:rsidR="0087456E" w:rsidP="0087456E" w:rsidRDefault="0087456E" w14:paraId="623ED5E3" w14:textId="77777777">
            <w:pPr>
              <w:autoSpaceDN w:val="0"/>
              <w:spacing w:line="240" w:lineRule="atLeast"/>
              <w:jc w:val="center"/>
              <w:textAlignment w:val="baseline"/>
              <w:rPr>
                <w:rFonts w:ascii="Verdana" w:hAnsi="Verdana" w:eastAsia="DejaVu Sans" w:cs="Lohit Hindi"/>
                <w:sz w:val="18"/>
                <w:szCs w:val="18"/>
                <w:lang w:eastAsia="nl-NL"/>
                <w14:ligatures w14:val="none"/>
              </w:rPr>
            </w:pPr>
          </w:p>
        </w:tc>
      </w:tr>
      <w:tr w:rsidRPr="0087456E" w:rsidR="00100570" w:rsidTr="002E2AA6" w14:paraId="17A57A5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6"/>
        </w:trPr>
        <w:tc>
          <w:tcPr>
            <w:tcW w:w="2410" w:type="dxa"/>
            <w:gridSpan w:val="3"/>
            <w:vAlign w:val="center"/>
          </w:tcPr>
          <w:p w:rsidRPr="0087456E" w:rsidR="0087456E" w:rsidP="0087456E" w:rsidRDefault="0087456E" w14:paraId="66F63EF8" w14:textId="77777777">
            <w:pPr>
              <w:numPr>
                <w:ilvl w:val="0"/>
                <w:numId w:val="14"/>
              </w:numPr>
              <w:autoSpaceDN w:val="0"/>
              <w:spacing w:line="240" w:lineRule="atLeast"/>
              <w:contextualSpacing/>
              <w:textAlignment w:val="baseline"/>
              <w:rPr>
                <w:rFonts w:ascii="Verdana" w:hAnsi="Verdana" w:eastAsia="DejaVu Sans" w:cs="Lohit Hindi"/>
                <w:i/>
                <w:iCs/>
                <w:sz w:val="18"/>
                <w:szCs w:val="18"/>
                <w:lang w:eastAsia="nl-NL"/>
                <w14:ligatures w14:val="none"/>
              </w:rPr>
            </w:pPr>
            <w:r w:rsidRPr="0087456E">
              <w:rPr>
                <w:rFonts w:ascii="Verdana" w:hAnsi="Verdana" w:eastAsia="DejaVu Sans" w:cs="Lohit Hindi"/>
                <w:i/>
                <w:iCs/>
                <w:sz w:val="18"/>
                <w:szCs w:val="18"/>
                <w:lang w:eastAsia="nl-NL"/>
                <w14:ligatures w14:val="none"/>
              </w:rPr>
              <w:t>Ondersteunt speler in begrenzen speelgedrag</w:t>
            </w:r>
          </w:p>
        </w:tc>
        <w:tc>
          <w:tcPr>
            <w:tcW w:w="1701" w:type="dxa"/>
            <w:gridSpan w:val="2"/>
            <w:shd w:val="clear" w:color="auto" w:fill="BDD6EE"/>
            <w:vAlign w:val="center"/>
          </w:tcPr>
          <w:p w:rsidRPr="0087456E" w:rsidR="0087456E" w:rsidP="0087456E" w:rsidRDefault="0087456E" w14:paraId="0FDA8BCF" w14:textId="77777777">
            <w:pPr>
              <w:autoSpaceDN w:val="0"/>
              <w:spacing w:line="240" w:lineRule="atLeast"/>
              <w:jc w:val="center"/>
              <w:textAlignment w:val="baseline"/>
              <w:rPr>
                <w:rFonts w:ascii="Verdana" w:hAnsi="Verdana" w:eastAsia="DejaVu Sans" w:cs="Lohit Hindi"/>
                <w:sz w:val="18"/>
                <w:szCs w:val="18"/>
                <w:lang w:eastAsia="nl-NL"/>
                <w14:ligatures w14:val="none"/>
              </w:rPr>
            </w:pPr>
          </w:p>
        </w:tc>
        <w:tc>
          <w:tcPr>
            <w:tcW w:w="1843" w:type="dxa"/>
            <w:shd w:val="clear" w:color="auto" w:fill="9CC2E5"/>
            <w:vAlign w:val="center"/>
          </w:tcPr>
          <w:p w:rsidRPr="0087456E" w:rsidR="0087456E" w:rsidP="0087456E" w:rsidRDefault="0087456E" w14:paraId="4E324443" w14:textId="77777777">
            <w:pPr>
              <w:autoSpaceDN w:val="0"/>
              <w:spacing w:line="240" w:lineRule="atLeast"/>
              <w:textAlignment w:val="baseline"/>
              <w:rPr>
                <w:rFonts w:ascii="Verdana" w:hAnsi="Verdana" w:eastAsia="DejaVu Sans" w:cs="Lohit Hindi"/>
                <w:sz w:val="18"/>
                <w:szCs w:val="18"/>
                <w:lang w:eastAsia="nl-NL"/>
                <w14:ligatures w14:val="none"/>
              </w:rPr>
            </w:pPr>
          </w:p>
        </w:tc>
        <w:tc>
          <w:tcPr>
            <w:tcW w:w="1843" w:type="dxa"/>
            <w:shd w:val="clear" w:color="auto" w:fill="9CC2E5"/>
            <w:vAlign w:val="center"/>
          </w:tcPr>
          <w:p w:rsidRPr="0087456E" w:rsidR="0087456E" w:rsidP="0087456E" w:rsidRDefault="0087456E" w14:paraId="7971A3CA" w14:textId="77777777">
            <w:pPr>
              <w:autoSpaceDN w:val="0"/>
              <w:spacing w:line="240" w:lineRule="atLeast"/>
              <w:jc w:val="center"/>
              <w:textAlignment w:val="baseline"/>
              <w:rPr>
                <w:rFonts w:ascii="Verdana" w:hAnsi="Verdana" w:eastAsia="DejaVu Sans" w:cs="Lohit Hindi"/>
                <w:sz w:val="18"/>
                <w:szCs w:val="18"/>
                <w:lang w:eastAsia="nl-NL"/>
                <w14:ligatures w14:val="none"/>
              </w:rPr>
            </w:pPr>
          </w:p>
        </w:tc>
      </w:tr>
      <w:tr w:rsidRPr="0087456E" w:rsidR="00100570" w:rsidTr="002E2AA6" w14:paraId="0E1BD12C"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2"/>
        </w:trPr>
        <w:tc>
          <w:tcPr>
            <w:tcW w:w="2410" w:type="dxa"/>
            <w:gridSpan w:val="3"/>
            <w:vAlign w:val="center"/>
          </w:tcPr>
          <w:p w:rsidRPr="0087456E" w:rsidR="0087456E" w:rsidP="0087456E" w:rsidRDefault="0087456E" w14:paraId="096A93CD" w14:textId="7CDFE779">
            <w:pPr>
              <w:numPr>
                <w:ilvl w:val="0"/>
                <w:numId w:val="14"/>
              </w:numPr>
              <w:autoSpaceDN w:val="0"/>
              <w:spacing w:line="240" w:lineRule="atLeast"/>
              <w:contextualSpacing/>
              <w:textAlignment w:val="baseline"/>
              <w:rPr>
                <w:rFonts w:ascii="Verdana" w:hAnsi="Verdana" w:eastAsia="DejaVu Sans" w:cs="Lohit Hindi"/>
                <w:i/>
                <w:iCs/>
                <w:sz w:val="18"/>
                <w:szCs w:val="18"/>
                <w:lang w:eastAsia="nl-NL"/>
                <w14:ligatures w14:val="none"/>
              </w:rPr>
            </w:pPr>
            <w:r w:rsidRPr="0087456E">
              <w:rPr>
                <w:rFonts w:ascii="Verdana" w:hAnsi="Verdana" w:eastAsia="DejaVu Sans" w:cs="Lohit Hindi"/>
                <w:i/>
                <w:iCs/>
                <w:sz w:val="18"/>
                <w:szCs w:val="18"/>
                <w:lang w:eastAsia="nl-NL"/>
                <w14:ligatures w14:val="none"/>
              </w:rPr>
              <w:t>Simpel, begrijpelijk en hanteerbaar</w:t>
            </w:r>
          </w:p>
        </w:tc>
        <w:tc>
          <w:tcPr>
            <w:tcW w:w="1701" w:type="dxa"/>
            <w:gridSpan w:val="2"/>
            <w:shd w:val="clear" w:color="auto" w:fill="1F4E79"/>
            <w:vAlign w:val="center"/>
          </w:tcPr>
          <w:p w:rsidRPr="0087456E" w:rsidR="0087456E" w:rsidP="0087456E" w:rsidRDefault="0087456E" w14:paraId="58B4DE56" w14:textId="77777777">
            <w:pPr>
              <w:autoSpaceDN w:val="0"/>
              <w:spacing w:line="240" w:lineRule="atLeast"/>
              <w:jc w:val="center"/>
              <w:textAlignment w:val="baseline"/>
              <w:rPr>
                <w:rFonts w:ascii="Verdana" w:hAnsi="Verdana" w:eastAsia="DejaVu Sans" w:cs="Lohit Hindi"/>
                <w:sz w:val="18"/>
                <w:szCs w:val="18"/>
                <w:lang w:eastAsia="nl-NL"/>
                <w14:ligatures w14:val="none"/>
              </w:rPr>
            </w:pPr>
          </w:p>
        </w:tc>
        <w:tc>
          <w:tcPr>
            <w:tcW w:w="1843" w:type="dxa"/>
            <w:shd w:val="clear" w:color="auto" w:fill="2E74B5"/>
            <w:vAlign w:val="center"/>
          </w:tcPr>
          <w:p w:rsidRPr="0087456E" w:rsidR="0087456E" w:rsidP="0087456E" w:rsidRDefault="0087456E" w14:paraId="2DC2724B" w14:textId="77777777">
            <w:pPr>
              <w:autoSpaceDN w:val="0"/>
              <w:spacing w:line="240" w:lineRule="atLeast"/>
              <w:jc w:val="center"/>
              <w:textAlignment w:val="baseline"/>
              <w:rPr>
                <w:rFonts w:ascii="Verdana" w:hAnsi="Verdana" w:eastAsia="DejaVu Sans" w:cs="Lohit Hindi"/>
                <w:sz w:val="18"/>
                <w:szCs w:val="18"/>
                <w:lang w:eastAsia="nl-NL"/>
                <w14:ligatures w14:val="none"/>
              </w:rPr>
            </w:pPr>
          </w:p>
        </w:tc>
        <w:tc>
          <w:tcPr>
            <w:tcW w:w="1843" w:type="dxa"/>
            <w:shd w:val="clear" w:color="auto" w:fill="2E74B5"/>
            <w:vAlign w:val="center"/>
          </w:tcPr>
          <w:p w:rsidRPr="0087456E" w:rsidR="0087456E" w:rsidP="0087456E" w:rsidRDefault="0087456E" w14:paraId="17A7740D" w14:textId="77777777">
            <w:pPr>
              <w:autoSpaceDN w:val="0"/>
              <w:spacing w:line="240" w:lineRule="atLeast"/>
              <w:jc w:val="center"/>
              <w:textAlignment w:val="baseline"/>
              <w:rPr>
                <w:rFonts w:ascii="Verdana" w:hAnsi="Verdana" w:eastAsia="DejaVu Sans" w:cs="Lohit Hindi"/>
                <w:sz w:val="18"/>
                <w:szCs w:val="18"/>
                <w:lang w:eastAsia="nl-NL"/>
                <w14:ligatures w14:val="none"/>
              </w:rPr>
            </w:pPr>
          </w:p>
        </w:tc>
      </w:tr>
      <w:tr w:rsidRPr="0087456E" w:rsidR="00100570" w:rsidTr="002E2AA6" w14:paraId="07DC0598"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3"/>
        </w:trPr>
        <w:tc>
          <w:tcPr>
            <w:tcW w:w="2410" w:type="dxa"/>
            <w:gridSpan w:val="3"/>
            <w:tcBorders>
              <w:bottom w:val="single" w:color="auto" w:sz="18" w:space="0"/>
            </w:tcBorders>
            <w:vAlign w:val="center"/>
          </w:tcPr>
          <w:p w:rsidRPr="0087456E" w:rsidR="0087456E" w:rsidP="0087456E" w:rsidRDefault="0087456E" w14:paraId="588F6DBF" w14:textId="3A1E876A">
            <w:pPr>
              <w:numPr>
                <w:ilvl w:val="0"/>
                <w:numId w:val="14"/>
              </w:numPr>
              <w:autoSpaceDN w:val="0"/>
              <w:spacing w:line="240" w:lineRule="atLeast"/>
              <w:contextualSpacing/>
              <w:textAlignment w:val="baseline"/>
              <w:rPr>
                <w:rFonts w:ascii="Verdana" w:hAnsi="Verdana" w:eastAsia="DejaVu Sans" w:cs="Lohit Hindi"/>
                <w:i/>
                <w:iCs/>
                <w:sz w:val="18"/>
                <w:szCs w:val="18"/>
                <w:lang w:eastAsia="nl-NL"/>
                <w14:ligatures w14:val="none"/>
              </w:rPr>
            </w:pPr>
            <w:r w:rsidRPr="0087456E">
              <w:rPr>
                <w:rFonts w:ascii="Verdana" w:hAnsi="Verdana" w:eastAsia="DejaVu Sans" w:cs="Lohit Hindi"/>
                <w:i/>
                <w:iCs/>
                <w:sz w:val="18"/>
                <w:szCs w:val="18"/>
                <w:lang w:eastAsia="nl-NL"/>
                <w14:ligatures w14:val="none"/>
              </w:rPr>
              <w:t>Beperkt uitwijken naar illegale aanbieders</w:t>
            </w:r>
          </w:p>
        </w:tc>
        <w:tc>
          <w:tcPr>
            <w:tcW w:w="1701" w:type="dxa"/>
            <w:gridSpan w:val="2"/>
            <w:tcBorders>
              <w:bottom w:val="single" w:color="auto" w:sz="18" w:space="0"/>
            </w:tcBorders>
            <w:shd w:val="clear" w:color="auto" w:fill="BDD6EE"/>
            <w:vAlign w:val="center"/>
          </w:tcPr>
          <w:p w:rsidRPr="0087456E" w:rsidR="0087456E" w:rsidP="0087456E" w:rsidRDefault="0087456E" w14:paraId="11722975" w14:textId="77777777">
            <w:pPr>
              <w:autoSpaceDN w:val="0"/>
              <w:spacing w:line="240" w:lineRule="atLeast"/>
              <w:jc w:val="center"/>
              <w:textAlignment w:val="baseline"/>
              <w:rPr>
                <w:rFonts w:ascii="Verdana" w:hAnsi="Verdana" w:eastAsia="DejaVu Sans" w:cs="Lohit Hindi"/>
                <w:sz w:val="18"/>
                <w:szCs w:val="18"/>
                <w:lang w:eastAsia="nl-NL"/>
                <w14:ligatures w14:val="none"/>
              </w:rPr>
            </w:pPr>
          </w:p>
        </w:tc>
        <w:tc>
          <w:tcPr>
            <w:tcW w:w="1843" w:type="dxa"/>
            <w:tcBorders>
              <w:bottom w:val="single" w:color="auto" w:sz="18" w:space="0"/>
            </w:tcBorders>
            <w:shd w:val="clear" w:color="auto" w:fill="2E74B5"/>
            <w:vAlign w:val="center"/>
          </w:tcPr>
          <w:p w:rsidRPr="0087456E" w:rsidR="0087456E" w:rsidP="0087456E" w:rsidRDefault="0087456E" w14:paraId="63AD24A6" w14:textId="77777777">
            <w:pPr>
              <w:autoSpaceDN w:val="0"/>
              <w:spacing w:line="240" w:lineRule="atLeast"/>
              <w:jc w:val="center"/>
              <w:textAlignment w:val="baseline"/>
              <w:rPr>
                <w:rFonts w:ascii="Verdana" w:hAnsi="Verdana" w:eastAsia="DejaVu Sans" w:cs="Lohit Hindi"/>
                <w:sz w:val="18"/>
                <w:szCs w:val="18"/>
                <w:lang w:eastAsia="nl-NL"/>
                <w14:ligatures w14:val="none"/>
              </w:rPr>
            </w:pPr>
          </w:p>
        </w:tc>
        <w:tc>
          <w:tcPr>
            <w:tcW w:w="1843" w:type="dxa"/>
            <w:tcBorders>
              <w:bottom w:val="single" w:color="auto" w:sz="18" w:space="0"/>
            </w:tcBorders>
            <w:shd w:val="clear" w:color="auto" w:fill="1F4E79"/>
            <w:vAlign w:val="center"/>
          </w:tcPr>
          <w:p w:rsidRPr="0087456E" w:rsidR="0087456E" w:rsidP="0087456E" w:rsidRDefault="0087456E" w14:paraId="0463E886" w14:textId="77777777">
            <w:pPr>
              <w:autoSpaceDN w:val="0"/>
              <w:spacing w:line="240" w:lineRule="atLeast"/>
              <w:jc w:val="center"/>
              <w:textAlignment w:val="baseline"/>
              <w:rPr>
                <w:rFonts w:ascii="Verdana" w:hAnsi="Verdana" w:eastAsia="DejaVu Sans" w:cs="Lohit Hindi"/>
                <w:sz w:val="18"/>
                <w:szCs w:val="18"/>
                <w:lang w:eastAsia="nl-NL"/>
                <w14:ligatures w14:val="none"/>
              </w:rPr>
            </w:pPr>
          </w:p>
        </w:tc>
      </w:tr>
      <w:tr w:rsidRPr="0087456E" w:rsidR="00100570" w:rsidTr="002E2AA6" w14:paraId="37CB466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trPr>
        <w:tc>
          <w:tcPr>
            <w:tcW w:w="2410" w:type="dxa"/>
            <w:gridSpan w:val="3"/>
            <w:tcBorders>
              <w:top w:val="single" w:color="auto" w:sz="18" w:space="0"/>
            </w:tcBorders>
          </w:tcPr>
          <w:p w:rsidRPr="0087456E" w:rsidR="0087456E" w:rsidP="0087456E" w:rsidRDefault="0087456E" w14:paraId="1ECF5271" w14:textId="77777777">
            <w:pPr>
              <w:rPr>
                <w:rFonts w:ascii="Verdana" w:hAnsi="Verdana" w:eastAsia="DejaVu Sans" w:cs="Lohit Hindi"/>
                <w:i/>
                <w:iCs/>
                <w:sz w:val="18"/>
                <w:szCs w:val="18"/>
                <w:lang w:eastAsia="nl-NL"/>
                <w14:ligatures w14:val="none"/>
              </w:rPr>
            </w:pPr>
          </w:p>
          <w:p w:rsidRPr="0087456E" w:rsidR="0087456E" w:rsidP="0087456E" w:rsidRDefault="0087456E" w14:paraId="129A71B3" w14:textId="77777777">
            <w:pPr>
              <w:rPr>
                <w:rFonts w:ascii="Verdana" w:hAnsi="Verdana" w:eastAsia="DejaVu Sans" w:cs="Lohit Hindi"/>
                <w:i/>
                <w:iCs/>
                <w:sz w:val="18"/>
                <w:szCs w:val="18"/>
                <w:lang w:eastAsia="nl-NL"/>
                <w14:ligatures w14:val="none"/>
              </w:rPr>
            </w:pPr>
            <w:r w:rsidRPr="0087456E">
              <w:rPr>
                <w:rFonts w:ascii="Verdana" w:hAnsi="Verdana" w:eastAsia="DejaVu Sans" w:cs="Lohit Hindi"/>
                <w:i/>
                <w:iCs/>
                <w:sz w:val="18"/>
                <w:szCs w:val="18"/>
                <w:lang w:eastAsia="nl-NL"/>
                <w14:ligatures w14:val="none"/>
              </w:rPr>
              <w:t>Totale bescherming</w:t>
            </w:r>
          </w:p>
        </w:tc>
        <w:tc>
          <w:tcPr>
            <w:tcW w:w="1701" w:type="dxa"/>
            <w:gridSpan w:val="2"/>
            <w:tcBorders>
              <w:top w:val="single" w:color="auto" w:sz="18" w:space="0"/>
            </w:tcBorders>
            <w:shd w:val="clear" w:color="auto" w:fill="9CC2E5"/>
            <w:vAlign w:val="center"/>
          </w:tcPr>
          <w:p w:rsidRPr="0087456E" w:rsidR="0087456E" w:rsidP="0087456E" w:rsidRDefault="0087456E" w14:paraId="4A089FCB" w14:textId="77777777">
            <w:pPr>
              <w:autoSpaceDN w:val="0"/>
              <w:spacing w:line="240" w:lineRule="atLeast"/>
              <w:textAlignment w:val="baseline"/>
              <w:rPr>
                <w:rFonts w:ascii="Verdana" w:hAnsi="Verdana" w:eastAsia="DejaVu Sans" w:cs="Lohit Hindi"/>
                <w:sz w:val="18"/>
                <w:szCs w:val="18"/>
                <w:lang w:eastAsia="nl-NL"/>
                <w14:ligatures w14:val="none"/>
              </w:rPr>
            </w:pPr>
          </w:p>
        </w:tc>
        <w:tc>
          <w:tcPr>
            <w:tcW w:w="1843" w:type="dxa"/>
            <w:tcBorders>
              <w:top w:val="single" w:color="auto" w:sz="18" w:space="0"/>
            </w:tcBorders>
            <w:shd w:val="clear" w:color="auto" w:fill="2E74B5"/>
            <w:vAlign w:val="center"/>
          </w:tcPr>
          <w:p w:rsidRPr="0087456E" w:rsidR="0087456E" w:rsidP="0087456E" w:rsidRDefault="0087456E" w14:paraId="47E6F853" w14:textId="77777777">
            <w:pPr>
              <w:autoSpaceDN w:val="0"/>
              <w:spacing w:line="240" w:lineRule="atLeast"/>
              <w:jc w:val="center"/>
              <w:textAlignment w:val="baseline"/>
              <w:rPr>
                <w:rFonts w:ascii="Verdana" w:hAnsi="Verdana" w:eastAsia="DejaVu Sans" w:cs="Lohit Hindi"/>
                <w:sz w:val="18"/>
                <w:szCs w:val="18"/>
                <w:lang w:eastAsia="nl-NL"/>
                <w14:ligatures w14:val="none"/>
              </w:rPr>
            </w:pPr>
          </w:p>
        </w:tc>
        <w:tc>
          <w:tcPr>
            <w:tcW w:w="1843" w:type="dxa"/>
            <w:tcBorders>
              <w:top w:val="single" w:color="auto" w:sz="18" w:space="0"/>
            </w:tcBorders>
            <w:shd w:val="clear" w:color="auto" w:fill="9CC2E5"/>
            <w:vAlign w:val="center"/>
          </w:tcPr>
          <w:p w:rsidRPr="0087456E" w:rsidR="0087456E" w:rsidP="0087456E" w:rsidRDefault="0087456E" w14:paraId="02D1703B" w14:textId="77777777">
            <w:pPr>
              <w:autoSpaceDN w:val="0"/>
              <w:spacing w:line="240" w:lineRule="atLeast"/>
              <w:textAlignment w:val="baseline"/>
              <w:rPr>
                <w:rFonts w:ascii="Verdana" w:hAnsi="Verdana" w:eastAsia="DejaVu Sans" w:cs="Lohit Hindi"/>
                <w:sz w:val="18"/>
                <w:szCs w:val="18"/>
                <w:lang w:eastAsia="nl-NL"/>
                <w14:ligatures w14:val="none"/>
              </w:rPr>
            </w:pPr>
          </w:p>
        </w:tc>
      </w:tr>
    </w:tbl>
    <w:bookmarkEnd w:id="3"/>
    <w:p w:rsidR="0087456E" w:rsidP="00914BAB" w:rsidRDefault="0087456E" w14:paraId="77506CA6" w14:textId="0C579A89">
      <w:pPr>
        <w:rPr>
          <w:rFonts w:ascii="Verdana" w:hAnsi="Verdana"/>
          <w:sz w:val="18"/>
          <w:szCs w:val="18"/>
        </w:rPr>
      </w:pPr>
      <w:r w:rsidRPr="0087456E">
        <w:rPr>
          <w:rFonts w:ascii="Verdana" w:hAnsi="Verdana" w:eastAsia="DejaVu Sans" w:cs="Lohit Hindi"/>
          <w:color w:val="000000"/>
          <w:sz w:val="18"/>
          <w:szCs w:val="18"/>
          <w:lang w:eastAsia="nl-NL"/>
          <w14:ligatures w14:val="none"/>
        </w:rPr>
        <w:br w:type="textWrapping" w:clear="all"/>
      </w:r>
    </w:p>
    <w:p w:rsidRPr="00BB2AA3" w:rsidR="00BB2AA3" w:rsidP="00BB2AA3" w:rsidRDefault="00BB2AA3" w14:paraId="6346CA93" w14:textId="5CB09515">
      <w:pPr>
        <w:autoSpaceDN w:val="0"/>
        <w:spacing w:line="240" w:lineRule="atLeast"/>
        <w:textAlignment w:val="baseline"/>
        <w:rPr>
          <w:rFonts w:ascii="Verdana" w:hAnsi="Verdana" w:eastAsia="DejaVu Sans" w:cs="Lohit Hindi"/>
          <w:color w:val="000000"/>
          <w:sz w:val="18"/>
          <w:szCs w:val="18"/>
          <w:u w:val="single"/>
          <w:lang w:eastAsia="nl-NL"/>
          <w14:ligatures w14:val="none"/>
        </w:rPr>
      </w:pPr>
      <w:r w:rsidRPr="00BB2AA3">
        <w:rPr>
          <w:rFonts w:ascii="Verdana" w:hAnsi="Verdana" w:eastAsia="DejaVu Sans" w:cs="Lohit Hindi"/>
          <w:color w:val="000000"/>
          <w:sz w:val="18"/>
          <w:szCs w:val="18"/>
          <w:u w:val="single"/>
          <w:lang w:eastAsia="nl-NL"/>
          <w14:ligatures w14:val="none"/>
        </w:rPr>
        <w:t xml:space="preserve">Realiseerbaarheid </w:t>
      </w:r>
      <w:r>
        <w:rPr>
          <w:rFonts w:ascii="Verdana" w:hAnsi="Verdana" w:eastAsia="DejaVu Sans" w:cs="Lohit Hindi"/>
          <w:color w:val="000000"/>
          <w:sz w:val="18"/>
          <w:szCs w:val="18"/>
          <w:u w:val="single"/>
          <w:lang w:eastAsia="nl-NL"/>
          <w14:ligatures w14:val="none"/>
        </w:rPr>
        <w:t xml:space="preserve">en uitvoerbaarheid </w:t>
      </w:r>
    </w:p>
    <w:p w:rsidRPr="00BB2AA3" w:rsidR="00BB2AA3" w:rsidP="00100570" w:rsidRDefault="007E6C0A" w14:paraId="1A8E0573" w14:textId="123E1635">
      <w:pPr>
        <w:autoSpaceDN w:val="0"/>
        <w:textAlignment w:val="baseline"/>
        <w:rPr>
          <w:rFonts w:ascii="Verdana" w:hAnsi="Verdana" w:eastAsia="DejaVu Sans" w:cs="Lohit Hindi"/>
          <w:color w:val="000000"/>
          <w:sz w:val="18"/>
          <w:szCs w:val="18"/>
          <w:lang w:eastAsia="nl-NL"/>
          <w14:ligatures w14:val="none"/>
        </w:rPr>
      </w:pPr>
      <w:r w:rsidRPr="007E6C0A">
        <w:rPr>
          <w:rFonts w:ascii="Verdana" w:hAnsi="Verdana" w:eastAsia="DejaVu Sans" w:cs="Lohit Hindi"/>
          <w:color w:val="000000"/>
          <w:sz w:val="18"/>
          <w:szCs w:val="18"/>
          <w:lang w:eastAsia="nl-NL"/>
          <w14:ligatures w14:val="none"/>
        </w:rPr>
        <w:t>Naast de mate waarin de beleidsopties spelers beschermen, is ook gekeken naar de mate waarin de beleidsopties realiseerbaar en uitvoerbaar zijn. Deze twee punten dienen feitelijk als randvoorwaarde voor het ontwikkelen van een systeem van overkoepelende speellimieten.</w:t>
      </w:r>
      <w:r>
        <w:rPr>
          <w:rFonts w:ascii="Verdana" w:hAnsi="Verdana" w:eastAsia="DejaVu Sans" w:cs="Lohit Hindi"/>
          <w:color w:val="000000"/>
          <w:sz w:val="18"/>
          <w:szCs w:val="18"/>
          <w:lang w:eastAsia="nl-NL"/>
          <w14:ligatures w14:val="none"/>
        </w:rPr>
        <w:t xml:space="preserve"> Bij de realiseerbaarheid zijn verschillende aspecten beoordeeld, zoals de juridisch houdbaarheid, proportionaliteit, relatief snel te realiseren en inbreuk op de persoonlijke levenssfeer. </w:t>
      </w:r>
      <w:r w:rsidRPr="00BB2AA3" w:rsidR="00BB2AA3">
        <w:rPr>
          <w:rFonts w:ascii="Verdana" w:hAnsi="Verdana" w:eastAsia="DejaVu Sans" w:cs="Lohit Hindi"/>
          <w:color w:val="000000"/>
          <w:sz w:val="18"/>
          <w:szCs w:val="18"/>
          <w:lang w:eastAsia="nl-NL"/>
          <w14:ligatures w14:val="none"/>
        </w:rPr>
        <w:t xml:space="preserve">De weging van de verschillende aspecten bij de beleidsopties behoeft toelichting met name op de (juridische) proportionaliteit van de benodigde wet- en regelgeving en heeft daarmee betrekking op de aspecten (a) juridische houdbaarheid en (e) inbreuk op de persoonlijke levenssfeer. </w:t>
      </w:r>
    </w:p>
    <w:p w:rsidRPr="00BB2AA3" w:rsidR="00BB2AA3" w:rsidP="00100570" w:rsidRDefault="00BB2AA3" w14:paraId="5573D695" w14:textId="77777777">
      <w:pPr>
        <w:autoSpaceDN w:val="0"/>
        <w:textAlignment w:val="baseline"/>
        <w:rPr>
          <w:rFonts w:ascii="Verdana" w:hAnsi="Verdana" w:eastAsia="DejaVu Sans" w:cs="Lohit Hindi"/>
          <w:color w:val="000000"/>
          <w:sz w:val="18"/>
          <w:szCs w:val="18"/>
          <w:lang w:eastAsia="nl-NL"/>
          <w14:ligatures w14:val="none"/>
        </w:rPr>
      </w:pPr>
    </w:p>
    <w:p w:rsidR="00BB2AA3" w:rsidP="00100570" w:rsidRDefault="00BB2AA3" w14:paraId="51DC6232" w14:textId="1A3F3FFF">
      <w:pPr>
        <w:autoSpaceDN w:val="0"/>
        <w:textAlignment w:val="baseline"/>
        <w:rPr>
          <w:rFonts w:ascii="Verdana" w:hAnsi="Verdana" w:eastAsia="DejaVu Sans" w:cs="Lohit Hindi"/>
          <w:color w:val="000000"/>
          <w:sz w:val="18"/>
          <w:szCs w:val="18"/>
          <w:lang w:eastAsia="nl-NL"/>
          <w14:ligatures w14:val="none"/>
        </w:rPr>
      </w:pPr>
      <w:r w:rsidRPr="00BB2AA3">
        <w:rPr>
          <w:rFonts w:ascii="Verdana" w:hAnsi="Verdana" w:eastAsia="DejaVu Sans" w:cs="Lohit Hindi"/>
          <w:color w:val="000000"/>
          <w:sz w:val="18"/>
          <w:szCs w:val="18"/>
          <w:lang w:eastAsia="nl-NL"/>
          <w14:ligatures w14:val="none"/>
        </w:rPr>
        <w:t xml:space="preserve">Bij de absolute limiet, bestaat de grootste onzekerheid rondom de (juridische) proportionaliteit van de benodigde wet- en regelgeving. Door het opleggen van een absolute grens worden spelers van de markt uitgesloten die boven een bepaald bedrag willen spelen. Dit grijpt in op de persoonlijke levenssfeer en vrijheid van de speler. Bij de optie met de draagkrachttoets, bestaan de juridische en technische uitdagingen met name rondom het inrichten van een draagkrachttoets die aspecten van privacy en gebruiksvriendelijkheid waarborgt. De optie is (juridisch) meer proportioneel dan de absolute limiet, omdat spelers die meer kunnen verspelen de ruimte wordt geboden om dit binnen het vergunde aanbod te doen. Een draagkrachttoets vraagt echter grote zorgvuldigheid ten aanzien van de verwerking van persoonsgegevens van de speler. </w:t>
      </w:r>
      <w:r w:rsidR="004E3093">
        <w:rPr>
          <w:rFonts w:ascii="Verdana" w:hAnsi="Verdana" w:eastAsia="DejaVu Sans" w:cs="Lohit Hindi"/>
          <w:color w:val="000000"/>
          <w:sz w:val="18"/>
          <w:szCs w:val="18"/>
          <w:lang w:eastAsia="nl-NL"/>
          <w14:ligatures w14:val="none"/>
        </w:rPr>
        <w:t>D</w:t>
      </w:r>
      <w:r w:rsidRPr="00BB2AA3">
        <w:rPr>
          <w:rFonts w:ascii="Verdana" w:hAnsi="Verdana" w:eastAsia="DejaVu Sans" w:cs="Lohit Hindi"/>
          <w:color w:val="000000"/>
          <w:sz w:val="18"/>
          <w:szCs w:val="18"/>
          <w:lang w:eastAsia="nl-NL"/>
          <w14:ligatures w14:val="none"/>
        </w:rPr>
        <w:t>e optie</w:t>
      </w:r>
      <w:r w:rsidRPr="00BB2AA3">
        <w:rPr>
          <w:rFonts w:ascii="Verdana" w:hAnsi="Verdana" w:eastAsia="DejaVu Sans" w:cs="Lohit Hindi"/>
          <w:i/>
          <w:iCs/>
          <w:color w:val="000000"/>
          <w:sz w:val="18"/>
          <w:szCs w:val="18"/>
          <w:lang w:eastAsia="nl-NL"/>
          <w14:ligatures w14:val="none"/>
        </w:rPr>
        <w:t xml:space="preserve"> </w:t>
      </w:r>
      <w:r w:rsidRPr="00BB2AA3">
        <w:rPr>
          <w:rFonts w:ascii="Verdana" w:hAnsi="Verdana" w:eastAsia="DejaVu Sans" w:cs="Lohit Hindi"/>
          <w:color w:val="000000"/>
          <w:sz w:val="18"/>
          <w:szCs w:val="18"/>
          <w:lang w:eastAsia="nl-NL"/>
          <w14:ligatures w14:val="none"/>
        </w:rPr>
        <w:t>waarbij de speler zelf een overkoepelend stortingslimiet instelt, is het best realiseerbaar op korte termijn. Deze optie wijkt namelijk het minste af van de status quo en vraagt de minste juridische en technische aanpassingen. Ook maakt deze optie minder inbreuk op de levenssfeer en vrijheden van de speler en daarmee is de onderbouwing in het kader van proportionaliteit minder complex. Deze optie biedt</w:t>
      </w:r>
      <w:r w:rsidR="004E3093">
        <w:rPr>
          <w:rFonts w:ascii="Verdana" w:hAnsi="Verdana" w:eastAsia="DejaVu Sans" w:cs="Lohit Hindi"/>
          <w:color w:val="000000"/>
          <w:sz w:val="18"/>
          <w:szCs w:val="18"/>
          <w:lang w:eastAsia="nl-NL"/>
          <w14:ligatures w14:val="none"/>
        </w:rPr>
        <w:t xml:space="preserve"> echter</w:t>
      </w:r>
      <w:r w:rsidRPr="00BB2AA3">
        <w:rPr>
          <w:rFonts w:ascii="Verdana" w:hAnsi="Verdana" w:eastAsia="DejaVu Sans" w:cs="Lohit Hindi"/>
          <w:color w:val="000000"/>
          <w:sz w:val="18"/>
          <w:szCs w:val="18"/>
          <w:lang w:eastAsia="nl-NL"/>
          <w14:ligatures w14:val="none"/>
        </w:rPr>
        <w:t xml:space="preserve"> veruit de minste bescherming aan de speler. </w:t>
      </w:r>
    </w:p>
    <w:p w:rsidR="00100570" w:rsidP="00100570" w:rsidRDefault="00100570" w14:paraId="68BA93FE" w14:textId="77777777">
      <w:pPr>
        <w:autoSpaceDN w:val="0"/>
        <w:textAlignment w:val="baseline"/>
        <w:rPr>
          <w:rFonts w:ascii="Verdana" w:hAnsi="Verdana" w:eastAsia="DejaVu Sans" w:cs="Lohit Hindi"/>
          <w:color w:val="000000"/>
          <w:sz w:val="18"/>
          <w:szCs w:val="18"/>
          <w:lang w:eastAsia="nl-NL"/>
          <w14:ligatures w14:val="none"/>
        </w:rPr>
      </w:pPr>
    </w:p>
    <w:p w:rsidR="00100570" w:rsidP="00100570" w:rsidRDefault="00100570" w14:paraId="671BE9CD" w14:textId="0FAB03A8">
      <w:pPr>
        <w:rPr>
          <w:rFonts w:ascii="Verdana" w:hAnsi="Verdana"/>
          <w:sz w:val="18"/>
          <w:szCs w:val="18"/>
        </w:rPr>
      </w:pPr>
      <w:r>
        <w:rPr>
          <w:rFonts w:ascii="Verdana" w:hAnsi="Verdana" w:eastAsia="DejaVu Sans" w:cs="Lohit Hindi"/>
          <w:color w:val="000000"/>
          <w:sz w:val="18"/>
          <w:szCs w:val="18"/>
          <w:lang w:eastAsia="nl-NL"/>
          <w14:ligatures w14:val="none"/>
        </w:rPr>
        <w:t>Daarnaast zijn a</w:t>
      </w:r>
      <w:r w:rsidRPr="00100570">
        <w:rPr>
          <w:rFonts w:ascii="Verdana" w:hAnsi="Verdana" w:eastAsia="DejaVu Sans" w:cs="Lohit Hindi"/>
          <w:color w:val="000000"/>
          <w:sz w:val="18"/>
          <w:szCs w:val="18"/>
          <w:lang w:eastAsia="nl-NL"/>
          <w14:ligatures w14:val="none"/>
        </w:rPr>
        <w:t xml:space="preserve">lle drie </w:t>
      </w:r>
      <w:r>
        <w:rPr>
          <w:rFonts w:ascii="Verdana" w:hAnsi="Verdana" w:eastAsia="DejaVu Sans" w:cs="Lohit Hindi"/>
          <w:color w:val="000000"/>
          <w:sz w:val="18"/>
          <w:szCs w:val="18"/>
          <w:lang w:eastAsia="nl-NL"/>
          <w14:ligatures w14:val="none"/>
        </w:rPr>
        <w:t>de varianten</w:t>
      </w:r>
      <w:r w:rsidRPr="00100570">
        <w:rPr>
          <w:rFonts w:ascii="Verdana" w:hAnsi="Verdana" w:eastAsia="DejaVu Sans" w:cs="Lohit Hindi"/>
          <w:color w:val="000000"/>
          <w:sz w:val="18"/>
          <w:szCs w:val="18"/>
          <w:lang w:eastAsia="nl-NL"/>
          <w14:ligatures w14:val="none"/>
        </w:rPr>
        <w:t xml:space="preserve"> </w:t>
      </w:r>
      <w:r w:rsidR="002745EC">
        <w:rPr>
          <w:rFonts w:ascii="Verdana" w:hAnsi="Verdana" w:eastAsia="DejaVu Sans" w:cs="Lohit Hindi"/>
          <w:color w:val="000000"/>
          <w:sz w:val="18"/>
          <w:szCs w:val="18"/>
          <w:lang w:eastAsia="nl-NL"/>
          <w14:ligatures w14:val="none"/>
        </w:rPr>
        <w:t>naar alle waarschijnlijkheid uitvoerbaar</w:t>
      </w:r>
      <w:r w:rsidRPr="00100570">
        <w:rPr>
          <w:rFonts w:ascii="Verdana" w:hAnsi="Verdana" w:eastAsia="DejaVu Sans" w:cs="Lohit Hindi"/>
          <w:color w:val="000000"/>
          <w:sz w:val="18"/>
          <w:szCs w:val="18"/>
          <w:lang w:eastAsia="nl-NL"/>
          <w14:ligatures w14:val="none"/>
        </w:rPr>
        <w:t xml:space="preserve">. </w:t>
      </w:r>
      <w:r>
        <w:rPr>
          <w:rFonts w:ascii="Verdana" w:hAnsi="Verdana"/>
          <w:sz w:val="18"/>
          <w:szCs w:val="18"/>
        </w:rPr>
        <w:t>Als het gaat om uitvoeringsconsequenties is d</w:t>
      </w:r>
      <w:r w:rsidRPr="002B7113">
        <w:rPr>
          <w:rFonts w:ascii="Verdana" w:hAnsi="Verdana"/>
          <w:sz w:val="18"/>
          <w:szCs w:val="18"/>
        </w:rPr>
        <w:t xml:space="preserve">e tweede variant </w:t>
      </w:r>
      <w:r>
        <w:rPr>
          <w:rFonts w:ascii="Verdana" w:hAnsi="Verdana"/>
          <w:sz w:val="18"/>
          <w:szCs w:val="18"/>
        </w:rPr>
        <w:t>complexer</w:t>
      </w:r>
      <w:r w:rsidRPr="002B7113">
        <w:rPr>
          <w:rFonts w:ascii="Verdana" w:hAnsi="Verdana"/>
          <w:sz w:val="18"/>
          <w:szCs w:val="18"/>
        </w:rPr>
        <w:t xml:space="preserve"> te realiseren</w:t>
      </w:r>
      <w:r w:rsidR="002745EC">
        <w:rPr>
          <w:rFonts w:ascii="Verdana" w:hAnsi="Verdana"/>
          <w:sz w:val="18"/>
          <w:szCs w:val="18"/>
        </w:rPr>
        <w:t xml:space="preserve">, aangezien </w:t>
      </w:r>
      <w:r w:rsidRPr="002B7113">
        <w:rPr>
          <w:rFonts w:ascii="Verdana" w:hAnsi="Verdana"/>
          <w:sz w:val="18"/>
          <w:szCs w:val="18"/>
        </w:rPr>
        <w:t xml:space="preserve">ook een draagkrachttoets </w:t>
      </w:r>
      <w:r w:rsidR="002745EC">
        <w:rPr>
          <w:rFonts w:ascii="Verdana" w:hAnsi="Verdana"/>
          <w:sz w:val="18"/>
          <w:szCs w:val="18"/>
        </w:rPr>
        <w:t>moet worden gefaciliteerd</w:t>
      </w:r>
      <w:r w:rsidRPr="002B7113">
        <w:rPr>
          <w:rFonts w:ascii="Verdana" w:hAnsi="Verdana"/>
          <w:sz w:val="18"/>
          <w:szCs w:val="18"/>
        </w:rPr>
        <w:t xml:space="preserve">. Deze optie kent daarmee meer juridische en technische uitdagingen. </w:t>
      </w:r>
      <w:r>
        <w:rPr>
          <w:rFonts w:ascii="Verdana" w:hAnsi="Verdana"/>
          <w:sz w:val="18"/>
          <w:szCs w:val="18"/>
        </w:rPr>
        <w:t xml:space="preserve">Desondanks wegen deze uitdagingen niet op tegen de verwachte verbetering in de bescherming van spelers die in deze variant geboden kan worden. Absolute belemmeringen in de uitvoering worden op dit moment niet gezien. </w:t>
      </w:r>
    </w:p>
    <w:p w:rsidR="00100570" w:rsidP="00100570" w:rsidRDefault="00100570" w14:paraId="20E0B211" w14:textId="77777777">
      <w:pPr>
        <w:autoSpaceDN w:val="0"/>
        <w:textAlignment w:val="baseline"/>
        <w:rPr>
          <w:rFonts w:ascii="Verdana" w:hAnsi="Verdana" w:eastAsia="DejaVu Sans" w:cs="Lohit Hindi"/>
          <w:color w:val="000000"/>
          <w:sz w:val="18"/>
          <w:szCs w:val="18"/>
          <w:lang w:eastAsia="nl-NL"/>
          <w14:ligatures w14:val="none"/>
        </w:rPr>
      </w:pPr>
    </w:p>
    <w:p w:rsidR="002E2AA6" w:rsidP="00100570" w:rsidRDefault="002E2AA6" w14:paraId="3616D9BD" w14:textId="77777777">
      <w:pPr>
        <w:autoSpaceDN w:val="0"/>
        <w:textAlignment w:val="baseline"/>
        <w:rPr>
          <w:rFonts w:ascii="Verdana" w:hAnsi="Verdana" w:eastAsia="DejaVu Sans" w:cs="Lohit Hindi"/>
          <w:color w:val="000000"/>
          <w:sz w:val="18"/>
          <w:szCs w:val="18"/>
          <w:lang w:eastAsia="nl-NL"/>
          <w14:ligatures w14:val="none"/>
        </w:rPr>
      </w:pPr>
    </w:p>
    <w:p w:rsidRPr="00CF7F04" w:rsidR="00914BAB" w:rsidP="00914BAB" w:rsidRDefault="00914BAB" w14:paraId="21A628EC" w14:textId="77777777">
      <w:pPr>
        <w:rPr>
          <w:rFonts w:ascii="Verdana" w:hAnsi="Verdana"/>
          <w:i/>
          <w:iCs/>
          <w:sz w:val="18"/>
          <w:szCs w:val="18"/>
        </w:rPr>
      </w:pPr>
      <w:r w:rsidRPr="00CF7F04">
        <w:rPr>
          <w:rFonts w:ascii="Verdana" w:hAnsi="Verdana"/>
          <w:i/>
          <w:iCs/>
          <w:sz w:val="18"/>
          <w:szCs w:val="18"/>
        </w:rPr>
        <w:t xml:space="preserve">Verdere invulling van </w:t>
      </w:r>
      <w:r>
        <w:rPr>
          <w:rFonts w:ascii="Verdana" w:hAnsi="Verdana"/>
          <w:i/>
          <w:iCs/>
          <w:sz w:val="18"/>
          <w:szCs w:val="18"/>
        </w:rPr>
        <w:t>het proces</w:t>
      </w:r>
    </w:p>
    <w:p w:rsidRPr="001A2108" w:rsidR="00C70036" w:rsidRDefault="00914BAB" w14:paraId="6B07B05D" w14:textId="4A77840F">
      <w:pPr>
        <w:rPr>
          <w:rFonts w:ascii="Verdana" w:hAnsi="Verdana"/>
          <w:sz w:val="18"/>
          <w:szCs w:val="18"/>
        </w:rPr>
      </w:pPr>
      <w:r w:rsidRPr="002B7113">
        <w:rPr>
          <w:rFonts w:ascii="Verdana" w:hAnsi="Verdana"/>
          <w:sz w:val="18"/>
          <w:szCs w:val="18"/>
        </w:rPr>
        <w:t>De komende tijd wordt de in</w:t>
      </w:r>
      <w:r>
        <w:rPr>
          <w:rFonts w:ascii="Verdana" w:hAnsi="Verdana"/>
          <w:sz w:val="18"/>
          <w:szCs w:val="18"/>
        </w:rPr>
        <w:t>richting</w:t>
      </w:r>
      <w:r w:rsidRPr="002B7113">
        <w:rPr>
          <w:rFonts w:ascii="Verdana" w:hAnsi="Verdana"/>
          <w:sz w:val="18"/>
          <w:szCs w:val="18"/>
        </w:rPr>
        <w:t xml:space="preserve"> van de overkoepelende stortingslimiet </w:t>
      </w:r>
      <w:r>
        <w:rPr>
          <w:rFonts w:ascii="Verdana" w:hAnsi="Verdana"/>
          <w:sz w:val="18"/>
          <w:szCs w:val="18"/>
        </w:rPr>
        <w:t xml:space="preserve">met mogelijkheid tot verhoging na een draagkrachttoets </w:t>
      </w:r>
      <w:r w:rsidRPr="002B7113">
        <w:rPr>
          <w:rFonts w:ascii="Verdana" w:hAnsi="Verdana"/>
          <w:sz w:val="18"/>
          <w:szCs w:val="18"/>
        </w:rPr>
        <w:t xml:space="preserve">verder uitgewerkt, waaronder de invulling van de draagkrachttoets en het bepalen van de hoogte van de overkoepelende limiet. Voor de invulling van de draagkrachttoets wordt onderzocht welke indicatoren </w:t>
      </w:r>
      <w:r w:rsidR="00852C1F">
        <w:rPr>
          <w:rFonts w:ascii="Verdana" w:hAnsi="Verdana"/>
          <w:sz w:val="18"/>
          <w:szCs w:val="18"/>
        </w:rPr>
        <w:t xml:space="preserve">en bronnen </w:t>
      </w:r>
      <w:r w:rsidRPr="002B7113">
        <w:rPr>
          <w:rFonts w:ascii="Verdana" w:hAnsi="Verdana"/>
          <w:sz w:val="18"/>
          <w:szCs w:val="18"/>
        </w:rPr>
        <w:t xml:space="preserve">mogelijk en wenselijk zijn om te betrekken in de toets, zodat de draagkracht van de speler daadwerkelijk kan worden vastgesteld, zonder dat deze een buitenproportionele inbreuk op de </w:t>
      </w:r>
      <w:r>
        <w:rPr>
          <w:rFonts w:ascii="Verdana" w:hAnsi="Verdana"/>
          <w:sz w:val="18"/>
          <w:szCs w:val="18"/>
        </w:rPr>
        <w:t xml:space="preserve">persoonlijke </w:t>
      </w:r>
      <w:r w:rsidRPr="002B7113">
        <w:rPr>
          <w:rFonts w:ascii="Verdana" w:hAnsi="Verdana"/>
          <w:sz w:val="18"/>
          <w:szCs w:val="18"/>
        </w:rPr>
        <w:t xml:space="preserve">levenssfeer van de spelers oplevert. </w:t>
      </w:r>
      <w:r w:rsidR="00852C1F">
        <w:rPr>
          <w:rFonts w:ascii="Verdana" w:hAnsi="Verdana"/>
          <w:sz w:val="18"/>
          <w:szCs w:val="18"/>
        </w:rPr>
        <w:t>Hiertoe is een onderzoek uitg</w:t>
      </w:r>
      <w:r w:rsidR="00E05403">
        <w:rPr>
          <w:rFonts w:ascii="Verdana" w:hAnsi="Verdana"/>
          <w:sz w:val="18"/>
          <w:szCs w:val="18"/>
        </w:rPr>
        <w:t>e</w:t>
      </w:r>
      <w:r w:rsidR="00852C1F">
        <w:rPr>
          <w:rFonts w:ascii="Verdana" w:hAnsi="Verdana"/>
          <w:sz w:val="18"/>
          <w:szCs w:val="18"/>
        </w:rPr>
        <w:t xml:space="preserve">zet. </w:t>
      </w:r>
      <w:r>
        <w:rPr>
          <w:rFonts w:ascii="Verdana" w:hAnsi="Verdana"/>
          <w:sz w:val="18"/>
          <w:szCs w:val="18"/>
        </w:rPr>
        <w:t xml:space="preserve">De verwachting is dat dit onderzoek in het tweede kwartaal van 2025 wordt opgeleverd. Naar aanleiding van </w:t>
      </w:r>
      <w:r w:rsidR="00E05403">
        <w:rPr>
          <w:rFonts w:ascii="Verdana" w:hAnsi="Verdana"/>
          <w:sz w:val="18"/>
          <w:szCs w:val="18"/>
        </w:rPr>
        <w:t>de resultaten</w:t>
      </w:r>
      <w:r>
        <w:rPr>
          <w:rFonts w:ascii="Verdana" w:hAnsi="Verdana"/>
          <w:sz w:val="18"/>
          <w:szCs w:val="18"/>
        </w:rPr>
        <w:t xml:space="preserve"> en door te kijken naar de effecten van de Rsbs en de Beleidsregels verantwoord spelen 2024 </w:t>
      </w:r>
      <w:r w:rsidR="003A651B">
        <w:rPr>
          <w:rFonts w:ascii="Verdana" w:hAnsi="Verdana"/>
          <w:sz w:val="18"/>
          <w:szCs w:val="18"/>
        </w:rPr>
        <w:t xml:space="preserve">van de Ksa </w:t>
      </w:r>
      <w:r>
        <w:rPr>
          <w:rFonts w:ascii="Verdana" w:hAnsi="Verdana"/>
          <w:sz w:val="18"/>
          <w:szCs w:val="18"/>
        </w:rPr>
        <w:t xml:space="preserve">worden de grensbedragen voor de draagkrachttoets bepaald. </w:t>
      </w:r>
      <w:r w:rsidR="00C54B73">
        <w:rPr>
          <w:rFonts w:ascii="Verdana" w:hAnsi="Verdana"/>
          <w:sz w:val="18"/>
          <w:szCs w:val="18"/>
        </w:rPr>
        <w:t>Daarnaast wordt m</w:t>
      </w:r>
      <w:r w:rsidRPr="002B7113">
        <w:rPr>
          <w:rFonts w:ascii="Verdana" w:hAnsi="Verdana"/>
          <w:sz w:val="18"/>
          <w:szCs w:val="18"/>
        </w:rPr>
        <w:t xml:space="preserve">omenteel </w:t>
      </w:r>
      <w:r w:rsidR="00C54B73">
        <w:rPr>
          <w:rFonts w:ascii="Verdana" w:hAnsi="Verdana"/>
          <w:sz w:val="18"/>
          <w:szCs w:val="18"/>
        </w:rPr>
        <w:t>met</w:t>
      </w:r>
      <w:r w:rsidRPr="002B7113">
        <w:rPr>
          <w:rFonts w:ascii="Verdana" w:hAnsi="Verdana"/>
          <w:sz w:val="18"/>
          <w:szCs w:val="18"/>
        </w:rPr>
        <w:t xml:space="preserve"> de Ksa gesproken over haar mogelijke rol in het ontwikkelen en beheren van het benodigde systeem</w:t>
      </w:r>
      <w:r>
        <w:rPr>
          <w:rFonts w:ascii="Verdana" w:hAnsi="Verdana"/>
          <w:sz w:val="18"/>
          <w:szCs w:val="18"/>
        </w:rPr>
        <w:t xml:space="preserve"> voor de overkoepelende speellimieten</w:t>
      </w:r>
      <w:r w:rsidRPr="002B7113">
        <w:rPr>
          <w:rFonts w:ascii="Verdana" w:hAnsi="Verdana"/>
          <w:sz w:val="18"/>
          <w:szCs w:val="18"/>
        </w:rPr>
        <w:t xml:space="preserve">. </w:t>
      </w:r>
    </w:p>
    <w:sectPr w:rsidRPr="001A2108" w:rsidR="00C70036" w:rsidSect="00C54B73">
      <w:headerReference w:type="even" r:id="rId9"/>
      <w:headerReference w:type="default" r:id="rId10"/>
      <w:footerReference w:type="even" r:id="rId11"/>
      <w:footerReference w:type="default" r:id="rId12"/>
      <w:headerReference w:type="first" r:id="rId13"/>
      <w:footerReference w:type="first" r:id="rId14"/>
      <w:pgSz w:w="11905" w:h="16837"/>
      <w:pgMar w:top="1417" w:right="1417" w:bottom="1417" w:left="141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F18AA" w14:textId="77777777" w:rsidR="000754F2" w:rsidRDefault="000754F2">
      <w:r>
        <w:separator/>
      </w:r>
    </w:p>
  </w:endnote>
  <w:endnote w:type="continuationSeparator" w:id="0">
    <w:p w14:paraId="5F1A3670" w14:textId="77777777" w:rsidR="000754F2" w:rsidRDefault="0007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860F7" w14:textId="77777777" w:rsidR="00153802" w:rsidRDefault="001538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477A6" w14:textId="77777777" w:rsidR="00153802" w:rsidRDefault="001538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953A7" w14:textId="77777777" w:rsidR="00153802" w:rsidRDefault="001538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BCBF6" w14:textId="77777777" w:rsidR="000754F2" w:rsidRDefault="000754F2">
      <w:r>
        <w:separator/>
      </w:r>
    </w:p>
  </w:footnote>
  <w:footnote w:type="continuationSeparator" w:id="0">
    <w:p w14:paraId="06DC9BB3" w14:textId="77777777" w:rsidR="000754F2" w:rsidRDefault="000754F2">
      <w:r>
        <w:continuationSeparator/>
      </w:r>
    </w:p>
  </w:footnote>
  <w:footnote w:id="1">
    <w:p w14:paraId="0B39BE3B" w14:textId="4EA3B2C3" w:rsidR="00914BAB" w:rsidRPr="00B47B3E" w:rsidRDefault="00914BAB" w:rsidP="00914BAB">
      <w:pPr>
        <w:pStyle w:val="Voetnoottekst"/>
        <w:rPr>
          <w:rFonts w:ascii="Verdana" w:hAnsi="Verdana"/>
          <w:sz w:val="16"/>
          <w:szCs w:val="16"/>
        </w:rPr>
      </w:pPr>
      <w:r w:rsidRPr="00B47B3E">
        <w:rPr>
          <w:rStyle w:val="Voetnootmarkering"/>
          <w:rFonts w:ascii="Verdana" w:hAnsi="Verdana"/>
          <w:sz w:val="16"/>
          <w:szCs w:val="16"/>
        </w:rPr>
        <w:footnoteRef/>
      </w:r>
      <w:r w:rsidRPr="00B47B3E">
        <w:rPr>
          <w:rFonts w:ascii="Verdana" w:hAnsi="Verdana"/>
          <w:sz w:val="16"/>
          <w:szCs w:val="16"/>
        </w:rPr>
        <w:t xml:space="preserve"> Deelrapportage 2 gedragsinzichten bij het instellen van speellimieten: interventies. Uitgevoerd door D&amp;B in opdracht van het WODC.</w:t>
      </w:r>
    </w:p>
  </w:footnote>
  <w:footnote w:id="2">
    <w:p w14:paraId="414384C5" w14:textId="77777777" w:rsidR="00914BAB" w:rsidRPr="000829FC" w:rsidRDefault="00914BAB" w:rsidP="00914BAB">
      <w:pPr>
        <w:pStyle w:val="Voetnoottekst"/>
        <w:rPr>
          <w:rFonts w:ascii="Verdana" w:hAnsi="Verdana"/>
          <w:sz w:val="16"/>
          <w:szCs w:val="16"/>
        </w:rPr>
      </w:pPr>
      <w:r w:rsidRPr="00B47B3E">
        <w:rPr>
          <w:rStyle w:val="Voetnootmarkering"/>
          <w:rFonts w:ascii="Verdana" w:hAnsi="Verdana"/>
          <w:sz w:val="16"/>
          <w:szCs w:val="16"/>
        </w:rPr>
        <w:footnoteRef/>
      </w:r>
      <w:r w:rsidRPr="00B47B3E">
        <w:rPr>
          <w:rFonts w:ascii="Verdana" w:hAnsi="Verdana"/>
          <w:sz w:val="16"/>
          <w:szCs w:val="16"/>
        </w:rPr>
        <w:t xml:space="preserve"> </w:t>
      </w:r>
      <w:bookmarkStart w:id="1" w:name="_Hlk189500758"/>
      <w:r w:rsidRPr="000829FC">
        <w:rPr>
          <w:rFonts w:ascii="Verdana" w:hAnsi="Verdana"/>
          <w:sz w:val="16"/>
          <w:szCs w:val="16"/>
        </w:rPr>
        <w:t xml:space="preserve">Kamerstukken II 2023/24, 24 557, nr. 218. </w:t>
      </w:r>
      <w:bookmarkEnd w:id="1"/>
    </w:p>
  </w:footnote>
  <w:footnote w:id="3">
    <w:p w14:paraId="56496144" w14:textId="77777777" w:rsidR="00914BAB" w:rsidRPr="00B47B3E" w:rsidRDefault="00914BAB" w:rsidP="00914BAB">
      <w:pPr>
        <w:pStyle w:val="Voetnoottekst"/>
        <w:rPr>
          <w:rFonts w:ascii="Verdana" w:hAnsi="Verdana"/>
          <w:sz w:val="16"/>
          <w:szCs w:val="16"/>
        </w:rPr>
      </w:pPr>
      <w:r w:rsidRPr="00B47B3E">
        <w:rPr>
          <w:rStyle w:val="Voetnootmarkering"/>
          <w:rFonts w:ascii="Verdana" w:hAnsi="Verdana"/>
          <w:sz w:val="16"/>
          <w:szCs w:val="16"/>
        </w:rPr>
        <w:footnoteRef/>
      </w:r>
      <w:r w:rsidRPr="00B47B3E">
        <w:rPr>
          <w:rFonts w:ascii="Verdana" w:hAnsi="Verdana"/>
          <w:sz w:val="16"/>
          <w:szCs w:val="16"/>
        </w:rPr>
        <w:t xml:space="preserve"> </w:t>
      </w:r>
      <w:bookmarkStart w:id="2" w:name="_Hlk189500791"/>
      <w:r w:rsidRPr="00B47B3E">
        <w:rPr>
          <w:rFonts w:ascii="Verdana" w:hAnsi="Verdana"/>
          <w:sz w:val="16"/>
          <w:szCs w:val="16"/>
        </w:rPr>
        <w:t>Regeling van de Minister voor Rechtsbescherming van 12 juni 2024, nr. 5531723, tot wijziging van de Regeling kansspelen op afstand en de Regeling werving, reclame en verslavingspreventie kansspelen inzake speellimieten en aanvullende maatregelen ten behoeve van bewuster speelgedrag, Stcrt. 2024, nr. 19648</w:t>
      </w:r>
    </w:p>
    <w:bookmarkEnd w:id="2"/>
  </w:footnote>
  <w:footnote w:id="4">
    <w:p w14:paraId="58255687" w14:textId="77777777" w:rsidR="00914BAB" w:rsidRPr="00B47B3E" w:rsidRDefault="00914BAB" w:rsidP="00914BAB">
      <w:pPr>
        <w:pStyle w:val="Voetnoottekst"/>
        <w:rPr>
          <w:rFonts w:ascii="Verdana" w:hAnsi="Verdana"/>
          <w:sz w:val="16"/>
          <w:szCs w:val="16"/>
        </w:rPr>
      </w:pPr>
      <w:r w:rsidRPr="00B47B3E">
        <w:rPr>
          <w:rStyle w:val="Voetnootmarkering"/>
          <w:rFonts w:ascii="Verdana" w:hAnsi="Verdana"/>
          <w:sz w:val="16"/>
          <w:szCs w:val="16"/>
        </w:rPr>
        <w:footnoteRef/>
      </w:r>
      <w:r w:rsidRPr="00B47B3E">
        <w:rPr>
          <w:rFonts w:ascii="Verdana" w:hAnsi="Verdana"/>
          <w:sz w:val="16"/>
          <w:szCs w:val="16"/>
        </w:rPr>
        <w:t xml:space="preserve"> </w:t>
      </w:r>
      <w:r>
        <w:rPr>
          <w:rFonts w:ascii="Verdana" w:hAnsi="Verdana"/>
          <w:sz w:val="16"/>
          <w:szCs w:val="16"/>
        </w:rPr>
        <w:t>Artikelen 3.19a-3 van de Regeling speellimieten en bewuster speelgedrag.</w:t>
      </w:r>
    </w:p>
  </w:footnote>
  <w:footnote w:id="5">
    <w:p w14:paraId="2B75574E" w14:textId="77777777" w:rsidR="00914BAB" w:rsidRPr="00B47B3E" w:rsidRDefault="00914BAB" w:rsidP="00914BAB">
      <w:pPr>
        <w:pStyle w:val="Voetnoottekst"/>
        <w:rPr>
          <w:rFonts w:ascii="Verdana" w:hAnsi="Verdana"/>
          <w:sz w:val="16"/>
          <w:szCs w:val="16"/>
        </w:rPr>
      </w:pPr>
      <w:r w:rsidRPr="00B47B3E">
        <w:rPr>
          <w:rStyle w:val="Voetnootmarkering"/>
          <w:rFonts w:ascii="Verdana" w:hAnsi="Verdana"/>
          <w:sz w:val="16"/>
          <w:szCs w:val="16"/>
        </w:rPr>
        <w:footnoteRef/>
      </w:r>
      <w:r w:rsidRPr="00B47B3E">
        <w:rPr>
          <w:rFonts w:ascii="Verdana" w:hAnsi="Verdana"/>
          <w:sz w:val="16"/>
          <w:szCs w:val="16"/>
        </w:rPr>
        <w:t xml:space="preserve"> Beleidsregel van de raad van bestuur van de Kansspelautoriteit van 23 mei 2024 over verantwoord spelen (Beleidsregel verantwoord spelen 2024), Stcrt. 2024, nr. 18177</w:t>
      </w:r>
    </w:p>
  </w:footnote>
  <w:footnote w:id="6">
    <w:p w14:paraId="4FA31224" w14:textId="77777777" w:rsidR="00914BAB" w:rsidRPr="00553BDE" w:rsidRDefault="00914BAB" w:rsidP="00914BAB">
      <w:pPr>
        <w:pStyle w:val="Voetnoottekst"/>
        <w:rPr>
          <w:rFonts w:ascii="Verdana" w:hAnsi="Verdana"/>
        </w:rPr>
      </w:pPr>
      <w:r w:rsidRPr="00B47B3E">
        <w:rPr>
          <w:rStyle w:val="Voetnootmarkering"/>
          <w:rFonts w:ascii="Verdana" w:hAnsi="Verdana"/>
          <w:sz w:val="16"/>
          <w:szCs w:val="16"/>
        </w:rPr>
        <w:footnoteRef/>
      </w:r>
      <w:r w:rsidRPr="00B47B3E">
        <w:rPr>
          <w:rFonts w:ascii="Verdana" w:hAnsi="Verdana"/>
          <w:sz w:val="16"/>
          <w:szCs w:val="16"/>
        </w:rPr>
        <w:t xml:space="preserve"> In de meest effectieve interventieconditie stelden spelers gemiddeld een limiet van 11.471 euro per maand in, in de controleconditie was dit 22.146 euro per maand. Hierbij gaat het om een mediaan van 1000 euro in de meest effectieve interventieconditie en 4500 euro in de controleconditie. (D&amp;B, ‘Deelrapportage 2 gedragsinzichten bij het instellen van speellimieten: interventies’, januari 2025, p.20)</w:t>
      </w:r>
    </w:p>
  </w:footnote>
  <w:footnote w:id="7">
    <w:p w14:paraId="0314E5FB" w14:textId="77777777" w:rsidR="00914BAB" w:rsidRPr="00BE75ED" w:rsidRDefault="00914BAB" w:rsidP="00914BAB">
      <w:pPr>
        <w:pStyle w:val="Voetnoottekst"/>
        <w:rPr>
          <w:rFonts w:ascii="Verdana" w:hAnsi="Verdana"/>
        </w:rPr>
      </w:pPr>
      <w:r w:rsidRPr="00BE75ED">
        <w:rPr>
          <w:rStyle w:val="Voetnootmarkering"/>
          <w:rFonts w:ascii="Verdana" w:hAnsi="Verdana"/>
          <w:sz w:val="16"/>
          <w:szCs w:val="16"/>
        </w:rPr>
        <w:footnoteRef/>
      </w:r>
      <w:r w:rsidRPr="00BE75ED">
        <w:rPr>
          <w:rFonts w:ascii="Verdana" w:hAnsi="Verdana"/>
          <w:sz w:val="16"/>
          <w:szCs w:val="16"/>
        </w:rPr>
        <w:t xml:space="preserve"> Kamerstukken II 2023/24, 36 410 VI, nr. 60</w:t>
      </w:r>
    </w:p>
  </w:footnote>
  <w:footnote w:id="8">
    <w:p w14:paraId="53C789FA" w14:textId="77777777" w:rsidR="00914BAB" w:rsidRPr="00ED52D8" w:rsidRDefault="00914BAB" w:rsidP="00914BAB">
      <w:pPr>
        <w:pStyle w:val="Voetnoottekst"/>
        <w:rPr>
          <w:rFonts w:ascii="Verdana" w:hAnsi="Verdana"/>
        </w:rPr>
      </w:pPr>
      <w:r w:rsidRPr="00ED52D8">
        <w:rPr>
          <w:rStyle w:val="Voetnootmarkering"/>
          <w:rFonts w:ascii="Verdana" w:hAnsi="Verdana"/>
          <w:sz w:val="16"/>
          <w:szCs w:val="16"/>
        </w:rPr>
        <w:footnoteRef/>
      </w:r>
      <w:r w:rsidRPr="00ED52D8">
        <w:rPr>
          <w:rFonts w:ascii="Verdana" w:hAnsi="Verdana"/>
          <w:sz w:val="16"/>
          <w:szCs w:val="16"/>
        </w:rPr>
        <w:t xml:space="preserve"> Dialogic, ‘Drie jaar legaal online gokken. Evaluatie van de Wet Kansspelen op afstand’, oktober 2024, p.51-52</w:t>
      </w:r>
    </w:p>
  </w:footnote>
  <w:footnote w:id="9">
    <w:p w14:paraId="290513B7" w14:textId="77777777" w:rsidR="00914BAB" w:rsidRDefault="00914BAB" w:rsidP="00914BAB">
      <w:pPr>
        <w:pStyle w:val="Voetnoottekst"/>
      </w:pPr>
      <w:r>
        <w:rPr>
          <w:rStyle w:val="Voetnootmarkering"/>
        </w:rPr>
        <w:footnoteRef/>
      </w:r>
      <w:r w:rsidRPr="00967E73">
        <w:rPr>
          <w:rFonts w:ascii="Verdana" w:hAnsi="Verdana"/>
          <w:sz w:val="16"/>
          <w:szCs w:val="16"/>
        </w:rPr>
        <w:t xml:space="preserve"> </w:t>
      </w:r>
      <w:hyperlink r:id="rId1" w:history="1">
        <w:r w:rsidRPr="00967E73">
          <w:rPr>
            <w:rStyle w:val="Hyperlink"/>
            <w:rFonts w:ascii="Verdana" w:hAnsi="Verdana" w:cs="Arial"/>
            <w:sz w:val="16"/>
            <w:szCs w:val="16"/>
            <w:shd w:val="clear" w:color="auto" w:fill="FFFFFF"/>
          </w:rPr>
          <w:t>Artikel 4.14, tweede lid, aanhef en onder b, van het Besluit kansspelen op afstand</w:t>
        </w:r>
      </w:hyperlink>
      <w:r>
        <w:rPr>
          <w:rFonts w:ascii="Verdana" w:hAnsi="Verdana"/>
          <w:sz w:val="16"/>
          <w:szCs w:val="16"/>
        </w:rPr>
        <w:t xml:space="preserve"> en </w:t>
      </w:r>
      <w:hyperlink r:id="rId2" w:history="1">
        <w:r w:rsidRPr="00B47B3E">
          <w:rPr>
            <w:rStyle w:val="Hyperlink"/>
            <w:rFonts w:ascii="Verdana" w:hAnsi="Verdana"/>
            <w:sz w:val="16"/>
            <w:szCs w:val="16"/>
          </w:rPr>
          <w:t>Artikel 3.19</w:t>
        </w:r>
        <w:r>
          <w:rPr>
            <w:rStyle w:val="Hyperlink"/>
            <w:rFonts w:ascii="Verdana" w:hAnsi="Verdana"/>
            <w:sz w:val="16"/>
            <w:szCs w:val="16"/>
          </w:rPr>
          <w:t>d</w:t>
        </w:r>
        <w:r w:rsidRPr="00B47B3E">
          <w:rPr>
            <w:rStyle w:val="Hyperlink"/>
            <w:rFonts w:ascii="Verdana" w:hAnsi="Verdana"/>
            <w:sz w:val="16"/>
            <w:szCs w:val="16"/>
          </w:rPr>
          <w:t xml:space="preserve"> van de Regeling speellimieten en bewuster speelgedrag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1BDB2" w14:textId="77777777" w:rsidR="00153802" w:rsidRDefault="001538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2BA93" w14:textId="15E4A8C2" w:rsidR="00C70036" w:rsidRDefault="002E2AA6">
    <w:r>
      <w:rPr>
        <w:noProof/>
        <w:lang w:eastAsia="nl-NL"/>
      </w:rPr>
      <mc:AlternateContent>
        <mc:Choice Requires="wps">
          <w:drawing>
            <wp:anchor distT="0" distB="0" distL="0" distR="0" simplePos="0" relativeHeight="251653120" behindDoc="0" locked="1" layoutInCell="1" allowOverlap="1" wp14:anchorId="43E2D3DF" wp14:editId="6FE6ED46">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BF9BD4E" w14:textId="77777777" w:rsidR="00381CDB" w:rsidRDefault="00381CDB"/>
                      </w:txbxContent>
                    </wps:txbx>
                    <wps:bodyPr vert="horz" wrap="square" lIns="0" tIns="0" rIns="0" bIns="0" anchor="t" anchorCtr="0"/>
                  </wps:wsp>
                </a:graphicData>
              </a:graphic>
            </wp:anchor>
          </w:drawing>
        </mc:Choice>
        <mc:Fallback>
          <w:pict>
            <v:shapetype w14:anchorId="43E2D3DF" id="_x0000_t202" coordsize="21600,21600" o:spt="202" path="m,l,21600r21600,l21600,xe">
              <v:stroke joinstyle="miter"/>
              <v:path gradientshapeok="t" o:connecttype="rect"/>
            </v:shapetype>
            <v:shape id="46fef06f-aa3c-11ea-a756-beb5f67e67be" o:spid="_x0000_s1026"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" filled="f" stroked="f">
              <v:textbox inset="0,0,0,0">
                <w:txbxContent>
                  <w:p w14:paraId="1BF9BD4E" w14:textId="77777777" w:rsidR="00381CDB" w:rsidRDefault="00381CDB"/>
                </w:txbxContent>
              </v:textbox>
              <w10:wrap anchorx="page" anchory="page"/>
              <w10:anchorlock/>
            </v:shape>
          </w:pict>
        </mc:Fallback>
      </mc:AlternateContent>
    </w:r>
    <w:r>
      <w:rPr>
        <w:noProof/>
        <w:lang w:eastAsia="nl-NL"/>
      </w:rPr>
      <mc:AlternateContent>
        <mc:Choice Requires="wps">
          <w:drawing>
            <wp:anchor distT="0" distB="0" distL="0" distR="0" simplePos="0" relativeHeight="251654144" behindDoc="0" locked="1" layoutInCell="1" allowOverlap="1" wp14:anchorId="0929796A" wp14:editId="1723890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191C14" w14:textId="5F1BFAC2" w:rsidR="00C70036" w:rsidRDefault="002E2AA6">
                          <w:pPr>
                            <w:pStyle w:val="Referentiegegevens"/>
                          </w:pPr>
                          <w:r>
                            <w:t xml:space="preserve">Pagina </w:t>
                          </w:r>
                          <w:r>
                            <w:fldChar w:fldCharType="begin"/>
                          </w:r>
                          <w:r>
                            <w:instrText>PAGE</w:instrText>
                          </w:r>
                          <w:r>
                            <w:fldChar w:fldCharType="separate"/>
                          </w:r>
                          <w:r w:rsidR="00914BAB">
                            <w:rPr>
                              <w:noProof/>
                            </w:rPr>
                            <w:t>2</w:t>
                          </w:r>
                          <w:r>
                            <w:fldChar w:fldCharType="end"/>
                          </w:r>
                          <w:r>
                            <w:t xml:space="preserve"> van </w:t>
                          </w:r>
                          <w:r>
                            <w:fldChar w:fldCharType="begin"/>
                          </w:r>
                          <w:r>
                            <w:instrText>NUMPAGES</w:instrText>
                          </w:r>
                          <w:r>
                            <w:fldChar w:fldCharType="separate"/>
                          </w:r>
                          <w:r w:rsidR="00914BAB">
                            <w:rPr>
                              <w:noProof/>
                            </w:rPr>
                            <w:t>1</w:t>
                          </w:r>
                          <w:r>
                            <w:fldChar w:fldCharType="end"/>
                          </w:r>
                        </w:p>
                      </w:txbxContent>
                    </wps:txbx>
                    <wps:bodyPr vert="horz" wrap="square" lIns="0" tIns="0" rIns="0" bIns="0" anchor="t" anchorCtr="0"/>
                  </wps:wsp>
                </a:graphicData>
              </a:graphic>
            </wp:anchor>
          </w:drawing>
        </mc:Choice>
        <mc:Fallback>
          <w:pict>
            <v:shape w14:anchorId="0929796A" id="46fef0b8-aa3c-11ea-a756-beb5f67e67be" o:spid="_x0000_s1027"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M9uKze+AQAAUwMAAA4AAAAAAAAAAAAAAAAA&#10;LgIAAGRycy9lMm9Eb2MueG1sUEsBAi0AFAAGAAgAAAAhACc+LDXhAAAADgEAAA8AAAAAAAAAAAAA&#10;AAAAGAQAAGRycy9kb3ducmV2LnhtbFBLBQYAAAAABAAEAPMAAAAmBQAAAAA=&#10;" filled="f" stroked="f">
              <v:textbox inset="0,0,0,0">
                <w:txbxContent>
                  <w:p w14:paraId="6C191C14" w14:textId="5F1BFAC2" w:rsidR="00C70036" w:rsidRDefault="002E2AA6">
                    <w:pPr>
                      <w:pStyle w:val="Referentiegegevens"/>
                    </w:pPr>
                    <w:r>
                      <w:t xml:space="preserve">Pagina </w:t>
                    </w:r>
                    <w:r>
                      <w:fldChar w:fldCharType="begin"/>
                    </w:r>
                    <w:r>
                      <w:instrText>PAGE</w:instrText>
                    </w:r>
                    <w:r>
                      <w:fldChar w:fldCharType="separate"/>
                    </w:r>
                    <w:r w:rsidR="00914BAB">
                      <w:rPr>
                        <w:noProof/>
                      </w:rPr>
                      <w:t>2</w:t>
                    </w:r>
                    <w:r>
                      <w:fldChar w:fldCharType="end"/>
                    </w:r>
                    <w:r>
                      <w:t xml:space="preserve"> van </w:t>
                    </w:r>
                    <w:r>
                      <w:fldChar w:fldCharType="begin"/>
                    </w:r>
                    <w:r>
                      <w:instrText>NUMPAGES</w:instrText>
                    </w:r>
                    <w:r>
                      <w:fldChar w:fldCharType="separate"/>
                    </w:r>
                    <w:r w:rsidR="00914BAB">
                      <w:rPr>
                        <w:noProof/>
                      </w:rPr>
                      <w:t>1</w:t>
                    </w:r>
                    <w:r>
                      <w:fldChar w:fldCharType="end"/>
                    </w:r>
                  </w:p>
                </w:txbxContent>
              </v:textbox>
              <w10:wrap anchorx="page" anchory="page"/>
              <w10:anchorlock/>
            </v:shape>
          </w:pict>
        </mc:Fallback>
      </mc:AlternateContent>
    </w:r>
    <w:r>
      <w:rPr>
        <w:noProof/>
        <w:lang w:eastAsia="nl-NL"/>
      </w:rPr>
      <mc:AlternateContent>
        <mc:Choice Requires="wps">
          <w:drawing>
            <wp:anchor distT="0" distB="0" distL="0" distR="0" simplePos="0" relativeHeight="251655168" behindDoc="0" locked="1" layoutInCell="1" allowOverlap="1" wp14:anchorId="494CFA95" wp14:editId="2935F794">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19711748" w14:textId="77777777" w:rsidR="00381CDB" w:rsidRDefault="00381CDB"/>
                      </w:txbxContent>
                    </wps:txbx>
                    <wps:bodyPr vert="horz" wrap="square" lIns="0" tIns="0" rIns="0" bIns="0" anchor="t" anchorCtr="0"/>
                  </wps:wsp>
                </a:graphicData>
              </a:graphic>
            </wp:anchor>
          </w:drawing>
        </mc:Choice>
        <mc:Fallback>
          <w:pict>
            <v:shape w14:anchorId="494CFA95" id="46feee07-aa3c-11ea-a756-beb5f67e67be" o:spid="_x0000_s1028"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" filled="f" stroked="f">
              <v:textbox inset="0,0,0,0">
                <w:txbxContent>
                  <w:p w14:paraId="19711748" w14:textId="77777777" w:rsidR="00381CDB" w:rsidRDefault="00381CD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BDC8" w14:textId="77777777" w:rsidR="00C70036" w:rsidRDefault="002E2AA6">
    <w:pPr>
      <w:spacing w:after="4835" w:line="14" w:lineRule="exact"/>
    </w:pPr>
    <w:r>
      <w:rPr>
        <w:noProof/>
        <w:lang w:eastAsia="nl-NL"/>
      </w:rPr>
      <mc:AlternateContent>
        <mc:Choice Requires="wps">
          <w:drawing>
            <wp:anchor distT="0" distB="0" distL="0" distR="0" simplePos="0" relativeHeight="251656192" behindDoc="0" locked="1" layoutInCell="1" allowOverlap="1" wp14:anchorId="1667AD41" wp14:editId="226E4AD7">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0F0D3B85" w14:textId="77777777" w:rsidR="00381CDB" w:rsidRDefault="00381CDB"/>
                      </w:txbxContent>
                    </wps:txbx>
                    <wps:bodyPr vert="horz" wrap="square" lIns="0" tIns="0" rIns="0" bIns="0" anchor="t" anchorCtr="0"/>
                  </wps:wsp>
                </a:graphicData>
              </a:graphic>
            </wp:anchor>
          </w:drawing>
        </mc:Choice>
        <mc:Fallback>
          <w:pict>
            <v:shapetype w14:anchorId="1667AD41" id="_x0000_t202" coordsize="21600,21600" o:spt="202" path="m,l,21600r21600,l21600,xe">
              <v:stroke joinstyle="miter"/>
              <v:path gradientshapeok="t" o:connecttype="rect"/>
            </v:shapetype>
            <v:shape id="46ff9a2f-aa3c-11ea-a756-beb5f67e67be" o:spid="_x0000_s1029"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" filled="f" stroked="f">
              <v:textbox inset="0,0,0,0">
                <w:txbxContent>
                  <w:p w14:paraId="0F0D3B85" w14:textId="77777777" w:rsidR="00381CDB" w:rsidRDefault="00381CDB"/>
                </w:txbxContent>
              </v:textbox>
              <w10:wrap anchorx="page" anchory="page"/>
              <w10:anchorlock/>
            </v:shape>
          </w:pict>
        </mc:Fallback>
      </mc:AlternateContent>
    </w:r>
    <w:r>
      <w:rPr>
        <w:noProof/>
        <w:lang w:eastAsia="nl-NL"/>
      </w:rPr>
      <mc:AlternateContent>
        <mc:Choice Requires="wps">
          <w:drawing>
            <wp:anchor distT="0" distB="0" distL="0" distR="0" simplePos="0" relativeHeight="251657216" behindDoc="0" locked="1" layoutInCell="1" allowOverlap="1" wp14:anchorId="7C39E4BB" wp14:editId="5F598EFD">
              <wp:simplePos x="0" y="0"/>
              <wp:positionH relativeFrom="page">
                <wp:posOffset>2415540</wp:posOffset>
              </wp:positionH>
              <wp:positionV relativeFrom="page">
                <wp:posOffset>2529840</wp:posOffset>
              </wp:positionV>
              <wp:extent cx="3362325" cy="53721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537210"/>
                      </a:xfrm>
                      <a:prstGeom prst="rect">
                        <a:avLst/>
                      </a:prstGeom>
                      <a:noFill/>
                    </wps:spPr>
                    <wps:txbx>
                      <w:txbxContent>
                        <w:p w14:paraId="3CD78BC7" w14:textId="659CAF59" w:rsidR="00B111B2" w:rsidRPr="00B111B2" w:rsidRDefault="00B111B2" w:rsidP="00B111B2">
                          <w:pPr>
                            <w:rPr>
                              <w:rFonts w:ascii="Verdana" w:hAnsi="Verdana"/>
                              <w:i/>
                              <w:iCs/>
                              <w:sz w:val="14"/>
                              <w:szCs w:val="14"/>
                            </w:rPr>
                          </w:pPr>
                          <w:r w:rsidRPr="00B111B2">
                            <w:rPr>
                              <w:rFonts w:ascii="Verdana" w:hAnsi="Verdana"/>
                              <w:i/>
                              <w:iCs/>
                              <w:sz w:val="20"/>
                              <w:szCs w:val="20"/>
                            </w:rPr>
                            <w:t xml:space="preserve">Contouren </w:t>
                          </w:r>
                          <w:r w:rsidR="00153802">
                            <w:rPr>
                              <w:rFonts w:ascii="Verdana" w:hAnsi="Verdana"/>
                              <w:i/>
                              <w:iCs/>
                              <w:sz w:val="20"/>
                              <w:szCs w:val="20"/>
                            </w:rPr>
                            <w:t xml:space="preserve">voor </w:t>
                          </w:r>
                          <w:r w:rsidRPr="00B111B2">
                            <w:rPr>
                              <w:rFonts w:ascii="Verdana" w:hAnsi="Verdana"/>
                              <w:i/>
                              <w:iCs/>
                              <w:sz w:val="20"/>
                              <w:szCs w:val="20"/>
                            </w:rPr>
                            <w:t>overkoepelende speellimieten en beleidsreactie op het onderzoek “Deelrapportage 2 gedragsinzichten bij het instellen van speellimieten”</w:t>
                          </w:r>
                        </w:p>
                        <w:p w14:paraId="698D6587" w14:textId="77777777" w:rsidR="00381CDB" w:rsidRDefault="00381CD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C39E4BB" id="46feebd0-aa3c-11ea-a756-beb5f67e67be" o:spid="_x0000_s1030" type="#_x0000_t202" style="position:absolute;margin-left:190.2pt;margin-top:199.2pt;width:264.75pt;height:42.3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" filled="f" stroked="f">
              <v:textbox inset="0,0,0,0">
                <w:txbxContent>
                  <w:p w14:paraId="3CD78BC7" w14:textId="659CAF59" w:rsidR="00B111B2" w:rsidRPr="00B111B2" w:rsidRDefault="00B111B2" w:rsidP="00B111B2">
                    <w:pPr>
                      <w:rPr>
                        <w:rFonts w:ascii="Verdana" w:hAnsi="Verdana"/>
                        <w:i/>
                        <w:iCs/>
                        <w:sz w:val="14"/>
                        <w:szCs w:val="14"/>
                      </w:rPr>
                    </w:pPr>
                    <w:r w:rsidRPr="00B111B2">
                      <w:rPr>
                        <w:rFonts w:ascii="Verdana" w:hAnsi="Verdana"/>
                        <w:i/>
                        <w:iCs/>
                        <w:sz w:val="20"/>
                        <w:szCs w:val="20"/>
                      </w:rPr>
                      <w:t xml:space="preserve">Contouren </w:t>
                    </w:r>
                    <w:r w:rsidR="00153802">
                      <w:rPr>
                        <w:rFonts w:ascii="Verdana" w:hAnsi="Verdana"/>
                        <w:i/>
                        <w:iCs/>
                        <w:sz w:val="20"/>
                        <w:szCs w:val="20"/>
                      </w:rPr>
                      <w:t xml:space="preserve">voor </w:t>
                    </w:r>
                    <w:r w:rsidRPr="00B111B2">
                      <w:rPr>
                        <w:rFonts w:ascii="Verdana" w:hAnsi="Verdana"/>
                        <w:i/>
                        <w:iCs/>
                        <w:sz w:val="20"/>
                        <w:szCs w:val="20"/>
                      </w:rPr>
                      <w:t>overkoepelende speellimieten en beleidsreactie op het onderzoek “Deelrapportage 2 gedragsinzichten bij het instellen van speellimieten”</w:t>
                    </w:r>
                  </w:p>
                  <w:p w14:paraId="698D6587" w14:textId="77777777" w:rsidR="00381CDB" w:rsidRDefault="00381CDB"/>
                </w:txbxContent>
              </v:textbox>
              <w10:wrap anchorx="page" anchory="page"/>
              <w10:anchorlock/>
            </v:shape>
          </w:pict>
        </mc:Fallback>
      </mc:AlternateContent>
    </w:r>
    <w:r>
      <w:rPr>
        <w:noProof/>
        <w:lang w:eastAsia="nl-NL"/>
      </w:rPr>
      <mc:AlternateContent>
        <mc:Choice Requires="wps">
          <w:drawing>
            <wp:anchor distT="0" distB="0" distL="0" distR="0" simplePos="0" relativeHeight="251658240" behindDoc="0" locked="1" layoutInCell="1" allowOverlap="1" wp14:anchorId="7226C826" wp14:editId="54D95609">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4143F0" w14:textId="77777777" w:rsidR="00C70036" w:rsidRDefault="002E2AA6">
                          <w:pPr>
                            <w:pStyle w:val="Referentiegegevensbold"/>
                          </w:pPr>
                          <w:r>
                            <w:t>Directoraat-Generaal Straffen en Beschermen</w:t>
                          </w:r>
                        </w:p>
                        <w:p w14:paraId="62D80303" w14:textId="77777777" w:rsidR="00C70036" w:rsidRDefault="002E2AA6">
                          <w:pPr>
                            <w:pStyle w:val="Referentiegegevens"/>
                          </w:pPr>
                          <w:r>
                            <w:t>Directie Sanctie- en Slachtofferbeleid</w:t>
                          </w:r>
                        </w:p>
                        <w:p w14:paraId="40F81D01" w14:textId="77777777" w:rsidR="00C70036" w:rsidRDefault="00C70036">
                          <w:pPr>
                            <w:pStyle w:val="WitregelW2"/>
                          </w:pPr>
                        </w:p>
                        <w:p w14:paraId="097D865C" w14:textId="77777777" w:rsidR="00C70036" w:rsidRDefault="002E2AA6">
                          <w:pPr>
                            <w:pStyle w:val="Referentiegegevensbold"/>
                          </w:pPr>
                          <w:r>
                            <w:t>Onze referentie</w:t>
                          </w:r>
                        </w:p>
                        <w:p w14:paraId="2F98267A" w14:textId="77777777" w:rsidR="00C70036" w:rsidRDefault="002E2AA6">
                          <w:pPr>
                            <w:pStyle w:val="Referentiegegevens"/>
                          </w:pPr>
                          <w:r>
                            <w:t>6168189</w:t>
                          </w:r>
                        </w:p>
                      </w:txbxContent>
                    </wps:txbx>
                    <wps:bodyPr vert="horz" wrap="square" lIns="0" tIns="0" rIns="0" bIns="0" anchor="t" anchorCtr="0"/>
                  </wps:wsp>
                </a:graphicData>
              </a:graphic>
            </wp:anchor>
          </w:drawing>
        </mc:Choice>
        <mc:Fallback>
          <w:pict>
            <v:shape w14:anchorId="7226C826" id="46feec20-aa3c-11ea-a756-beb5f67e67be" o:spid="_x0000_s1031"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bm+agL8BAABUAwAADgAAAAAAAAAAAAAA&#10;AAAuAgAAZHJzL2Uyb0RvYy54bWxQSwECLQAUAAYACAAAACEAJ+nNn+IAAAANAQAADwAAAAAAAAAA&#10;AAAAAAAZBAAAZHJzL2Rvd25yZXYueG1sUEsFBgAAAAAEAAQA8wAAACgFAAAAAA==&#10;" filled="f" stroked="f">
              <v:textbox inset="0,0,0,0">
                <w:txbxContent>
                  <w:p w14:paraId="004143F0" w14:textId="77777777" w:rsidR="00C70036" w:rsidRDefault="002E2AA6">
                    <w:pPr>
                      <w:pStyle w:val="Referentiegegevensbold"/>
                    </w:pPr>
                    <w:r>
                      <w:t>Directoraat-Generaal Straffen en Beschermen</w:t>
                    </w:r>
                  </w:p>
                  <w:p w14:paraId="62D80303" w14:textId="77777777" w:rsidR="00C70036" w:rsidRDefault="002E2AA6">
                    <w:pPr>
                      <w:pStyle w:val="Referentiegegevens"/>
                    </w:pPr>
                    <w:r>
                      <w:t>Directie Sanctie- en Slachtofferbeleid</w:t>
                    </w:r>
                  </w:p>
                  <w:p w14:paraId="40F81D01" w14:textId="77777777" w:rsidR="00C70036" w:rsidRDefault="00C70036">
                    <w:pPr>
                      <w:pStyle w:val="WitregelW2"/>
                    </w:pPr>
                  </w:p>
                  <w:p w14:paraId="097D865C" w14:textId="77777777" w:rsidR="00C70036" w:rsidRDefault="002E2AA6">
                    <w:pPr>
                      <w:pStyle w:val="Referentiegegevensbold"/>
                    </w:pPr>
                    <w:r>
                      <w:t>Onze referentie</w:t>
                    </w:r>
                  </w:p>
                  <w:p w14:paraId="2F98267A" w14:textId="77777777" w:rsidR="00C70036" w:rsidRDefault="002E2AA6">
                    <w:pPr>
                      <w:pStyle w:val="Referentiegegevens"/>
                    </w:pPr>
                    <w:r>
                      <w:t>6168189</w:t>
                    </w:r>
                  </w:p>
                </w:txbxContent>
              </v:textbox>
              <w10:wrap anchorx="page" anchory="page"/>
              <w10:anchorlock/>
            </v:shape>
          </w:pict>
        </mc:Fallback>
      </mc:AlternateContent>
    </w:r>
    <w:r>
      <w:rPr>
        <w:noProof/>
        <w:lang w:eastAsia="nl-NL"/>
      </w:rPr>
      <mc:AlternateContent>
        <mc:Choice Requires="wps">
          <w:drawing>
            <wp:anchor distT="0" distB="0" distL="0" distR="0" simplePos="0" relativeHeight="251659264" behindDoc="0" locked="1" layoutInCell="1" allowOverlap="1" wp14:anchorId="30C67767" wp14:editId="48DF85FB">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159A1EA" w14:textId="77777777" w:rsidR="00381CDB" w:rsidRDefault="00381CDB"/>
                      </w:txbxContent>
                    </wps:txbx>
                    <wps:bodyPr vert="horz" wrap="square" lIns="0" tIns="0" rIns="0" bIns="0" anchor="t" anchorCtr="0"/>
                  </wps:wsp>
                </a:graphicData>
              </a:graphic>
            </wp:anchor>
          </w:drawing>
        </mc:Choice>
        <mc:Fallback>
          <w:pict>
            <v:shape w14:anchorId="30C67767" id="46feec6f-aa3c-11ea-a756-beb5f67e67be" o:spid="_x0000_s1032"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" filled="f" stroked="f">
              <v:textbox inset="0,0,0,0">
                <w:txbxContent>
                  <w:p w14:paraId="2159A1EA" w14:textId="77777777" w:rsidR="00381CDB" w:rsidRDefault="00381CDB"/>
                </w:txbxContent>
              </v:textbox>
              <w10:wrap anchorx="page" anchory="page"/>
              <w10:anchorlock/>
            </v:shape>
          </w:pict>
        </mc:Fallback>
      </mc:AlternateContent>
    </w:r>
    <w:r>
      <w:rPr>
        <w:noProof/>
        <w:lang w:eastAsia="nl-NL"/>
      </w:rPr>
      <mc:AlternateContent>
        <mc:Choice Requires="wps">
          <w:drawing>
            <wp:anchor distT="0" distB="0" distL="0" distR="0" simplePos="0" relativeHeight="251660288" behindDoc="0" locked="1" layoutInCell="1" allowOverlap="1" wp14:anchorId="4223C6AD" wp14:editId="7189A22D">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85FB72" w14:textId="3A78F636" w:rsidR="00C70036" w:rsidRDefault="002E2AA6">
                          <w:pPr>
                            <w:pStyle w:val="Referentiegegevens"/>
                          </w:pPr>
                          <w:r>
                            <w:t xml:space="preserve">Pagina </w:t>
                          </w:r>
                          <w:r>
                            <w:fldChar w:fldCharType="begin"/>
                          </w:r>
                          <w:r>
                            <w:instrText>PAGE</w:instrText>
                          </w:r>
                          <w:r>
                            <w:fldChar w:fldCharType="separate"/>
                          </w:r>
                          <w:r w:rsidR="00DF2476">
                            <w:rPr>
                              <w:noProof/>
                            </w:rPr>
                            <w:t>1</w:t>
                          </w:r>
                          <w:r>
                            <w:fldChar w:fldCharType="end"/>
                          </w:r>
                          <w:r>
                            <w:t xml:space="preserve"> van </w:t>
                          </w:r>
                          <w:r>
                            <w:fldChar w:fldCharType="begin"/>
                          </w:r>
                          <w:r>
                            <w:instrText>NUMPAGES</w:instrText>
                          </w:r>
                          <w:r>
                            <w:fldChar w:fldCharType="separate"/>
                          </w:r>
                          <w:r w:rsidR="00DF2476">
                            <w:rPr>
                              <w:noProof/>
                            </w:rPr>
                            <w:t>1</w:t>
                          </w:r>
                          <w:r>
                            <w:fldChar w:fldCharType="end"/>
                          </w:r>
                        </w:p>
                      </w:txbxContent>
                    </wps:txbx>
                    <wps:bodyPr vert="horz" wrap="square" lIns="0" tIns="0" rIns="0" bIns="0" anchor="t" anchorCtr="0"/>
                  </wps:wsp>
                </a:graphicData>
              </a:graphic>
            </wp:anchor>
          </w:drawing>
        </mc:Choice>
        <mc:Fallback>
          <w:pict>
            <v:shape w14:anchorId="4223C6AD" id="46feecbe-aa3c-11ea-a756-beb5f67e67be" o:spid="_x0000_s1033"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OlvKv2+AQAAUwMAAA4AAAAAAAAAAAAAAAAA&#10;LgIAAGRycy9lMm9Eb2MueG1sUEsBAi0AFAAGAAgAAAAhACc+LDXhAAAADgEAAA8AAAAAAAAAAAAA&#10;AAAAGAQAAGRycy9kb3ducmV2LnhtbFBLBQYAAAAABAAEAPMAAAAmBQAAAAA=&#10;" filled="f" stroked="f">
              <v:textbox inset="0,0,0,0">
                <w:txbxContent>
                  <w:p w14:paraId="0D85FB72" w14:textId="3A78F636" w:rsidR="00C70036" w:rsidRDefault="002E2AA6">
                    <w:pPr>
                      <w:pStyle w:val="Referentiegegevens"/>
                    </w:pPr>
                    <w:r>
                      <w:t xml:space="preserve">Pagina </w:t>
                    </w:r>
                    <w:r>
                      <w:fldChar w:fldCharType="begin"/>
                    </w:r>
                    <w:r>
                      <w:instrText>PAGE</w:instrText>
                    </w:r>
                    <w:r>
                      <w:fldChar w:fldCharType="separate"/>
                    </w:r>
                    <w:r w:rsidR="00DF2476">
                      <w:rPr>
                        <w:noProof/>
                      </w:rPr>
                      <w:t>1</w:t>
                    </w:r>
                    <w:r>
                      <w:fldChar w:fldCharType="end"/>
                    </w:r>
                    <w:r>
                      <w:t xml:space="preserve"> van </w:t>
                    </w:r>
                    <w:r>
                      <w:fldChar w:fldCharType="begin"/>
                    </w:r>
                    <w:r>
                      <w:instrText>NUMPAGES</w:instrText>
                    </w:r>
                    <w:r>
                      <w:fldChar w:fldCharType="separate"/>
                    </w:r>
                    <w:r w:rsidR="00DF2476">
                      <w:rPr>
                        <w:noProof/>
                      </w:rPr>
                      <w:t>1</w:t>
                    </w:r>
                    <w:r>
                      <w:fldChar w:fldCharType="end"/>
                    </w:r>
                  </w:p>
                </w:txbxContent>
              </v:textbox>
              <w10:wrap anchorx="page" anchory="page"/>
              <w10:anchorlock/>
            </v:shape>
          </w:pict>
        </mc:Fallback>
      </mc:AlternateContent>
    </w:r>
    <w:r>
      <w:rPr>
        <w:noProof/>
        <w:lang w:eastAsia="nl-NL"/>
      </w:rPr>
      <mc:AlternateContent>
        <mc:Choice Requires="wps">
          <w:drawing>
            <wp:anchor distT="0" distB="0" distL="0" distR="0" simplePos="0" relativeHeight="251661312" behindDoc="0" locked="1" layoutInCell="1" allowOverlap="1" wp14:anchorId="481F958D" wp14:editId="7EB93024">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D87000" w14:textId="77777777" w:rsidR="00C70036" w:rsidRDefault="002E2AA6">
                          <w:r>
                            <w:rPr>
                              <w:noProof/>
                              <w:lang w:eastAsia="nl-NL"/>
                            </w:rPr>
                            <w:drawing>
                              <wp:inline distT="0" distB="0" distL="0" distR="0" wp14:anchorId="49566B4B" wp14:editId="135EEA1A">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1F958D" id="46feed0e-aa3c-11ea-a756-beb5f67e67be" o:spid="_x0000_s1034"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t50Rdr8BAABUAwAADgAAAAAAAAAAAAAAAAAu&#10;AgAAZHJzL2Uyb0RvYy54bWxQSwECLQAUAAYACAAAACEA7IjYZN8AAAAIAQAADwAAAAAAAAAAAAAA&#10;AAAZBAAAZHJzL2Rvd25yZXYueG1sUEsFBgAAAAAEAAQA8wAAACUFAAAAAA==&#10;" filled="f" stroked="f">
              <v:textbox inset="0,0,0,0">
                <w:txbxContent>
                  <w:p w14:paraId="2ED87000" w14:textId="77777777" w:rsidR="00C70036" w:rsidRDefault="002E2AA6">
                    <w:r>
                      <w:rPr>
                        <w:noProof/>
                        <w:lang w:eastAsia="nl-NL"/>
                      </w:rPr>
                      <w:drawing>
                        <wp:inline distT="0" distB="0" distL="0" distR="0" wp14:anchorId="49566B4B" wp14:editId="135EEA1A">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eastAsia="nl-NL"/>
      </w:rPr>
      <mc:AlternateContent>
        <mc:Choice Requires="wps">
          <w:drawing>
            <wp:anchor distT="0" distB="0" distL="0" distR="0" simplePos="0" relativeHeight="251662336" behindDoc="0" locked="1" layoutInCell="1" allowOverlap="1" wp14:anchorId="2178C0D4" wp14:editId="308A4049">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495ED0" w14:textId="77777777" w:rsidR="00C70036" w:rsidRDefault="002E2AA6">
                          <w:r>
                            <w:rPr>
                              <w:noProof/>
                              <w:lang w:eastAsia="nl-NL"/>
                            </w:rPr>
                            <w:drawing>
                              <wp:inline distT="0" distB="0" distL="0" distR="0" wp14:anchorId="3B47905B" wp14:editId="4379D3A4">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78C0D4" id="46feed67-aa3c-11ea-a756-beb5f67e67be" o:spid="_x0000_s1035"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Pr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1uxZkGRTP6&#10;UErEttxmAGuRFQVCBttNmTXYbGS5xXLbYBRutL6i+kdLCGH6aCYCmeOeglGPSToVv9QpozyN4HyV&#10;HafABAVX6/Vut91wJihXbG7W5S4NJn8tt86Hz2gUi07NHc01yQ2nrz4QFbo6X4mvaXPfD0OMR44X&#10;LtELUzOlZnczz8a0Z6JPG0ywnXG/OBtpG2rufz6DQ86GL5rkjqszO252mtkBLai05oGzi/sppBWb&#10;CdDsEsWXPYvL8ec50Xz9Gw6/A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KdgU+vBAQAAVQMAAA4AAAAAAAAAAAAAAAAA&#10;LgIAAGRycy9lMm9Eb2MueG1sUEsBAi0AFAAGAAgAAAAhAFjDZz/eAAAACAEAAA8AAAAAAAAAAAAA&#10;AAAAGwQAAGRycy9kb3ducmV2LnhtbFBLBQYAAAAABAAEAPMAAAAmBQAAAAA=&#10;" filled="f" stroked="f">
              <v:textbox inset="0,0,0,0">
                <w:txbxContent>
                  <w:p w14:paraId="78495ED0" w14:textId="77777777" w:rsidR="00C70036" w:rsidRDefault="002E2AA6">
                    <w:r>
                      <w:rPr>
                        <w:noProof/>
                        <w:lang w:eastAsia="nl-NL"/>
                      </w:rPr>
                      <w:drawing>
                        <wp:inline distT="0" distB="0" distL="0" distR="0" wp14:anchorId="3B47905B" wp14:editId="4379D3A4">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eastAsia="nl-NL"/>
      </w:rPr>
      <mc:AlternateContent>
        <mc:Choice Requires="wps">
          <w:drawing>
            <wp:anchor distT="0" distB="0" distL="0" distR="0" simplePos="0" relativeHeight="251663360" behindDoc="0" locked="1" layoutInCell="1" allowOverlap="1" wp14:anchorId="42D0FDFF" wp14:editId="741D1C20">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429F0BBB" w14:textId="40EB273D" w:rsidR="00C70036" w:rsidRDefault="00C70036"/>
                        <w:p w14:paraId="63BD5013" w14:textId="76253C3C" w:rsidR="00FA6C40" w:rsidRPr="00FA6C40" w:rsidRDefault="00FA6C40">
                          <w:pPr>
                            <w:rPr>
                              <w:sz w:val="36"/>
                              <w:szCs w:val="36"/>
                            </w:rPr>
                          </w:pPr>
                          <w:r>
                            <w:rPr>
                              <w:sz w:val="36"/>
                              <w:szCs w:val="36"/>
                            </w:rPr>
                            <w:t>Bijlage 5</w:t>
                          </w:r>
                        </w:p>
                      </w:txbxContent>
                    </wps:txbx>
                    <wps:bodyPr vert="horz" wrap="square" lIns="0" tIns="0" rIns="0" bIns="0" anchor="t" anchorCtr="0"/>
                  </wps:wsp>
                </a:graphicData>
              </a:graphic>
            </wp:anchor>
          </w:drawing>
        </mc:Choice>
        <mc:Fallback>
          <w:pict>
            <v:shape w14:anchorId="42D0FDFF" id="46fef31b-aa3c-11ea-a756-beb5f67e67be" o:spid="_x0000_s1036"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" filled="f" stroked="f">
              <v:textbox inset="0,0,0,0">
                <w:txbxContent>
                  <w:p w14:paraId="429F0BBB" w14:textId="40EB273D" w:rsidR="00C70036" w:rsidRDefault="00C70036"/>
                  <w:p w14:paraId="63BD5013" w14:textId="76253C3C" w:rsidR="00FA6C40" w:rsidRPr="00FA6C40" w:rsidRDefault="00FA6C40">
                    <w:pPr>
                      <w:rPr>
                        <w:sz w:val="36"/>
                        <w:szCs w:val="36"/>
                      </w:rPr>
                    </w:pPr>
                    <w:r>
                      <w:rPr>
                        <w:sz w:val="36"/>
                        <w:szCs w:val="36"/>
                      </w:rPr>
                      <w:t>Bijlage 5</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0AE16D"/>
    <w:multiLevelType w:val="multilevel"/>
    <w:tmpl w:val="27070D8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22003B8"/>
    <w:multiLevelType w:val="multilevel"/>
    <w:tmpl w:val="C67B85A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C0A5385"/>
    <w:multiLevelType w:val="multilevel"/>
    <w:tmpl w:val="C03E8F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3F49992"/>
    <w:multiLevelType w:val="multilevel"/>
    <w:tmpl w:val="85991D8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97B9B91"/>
    <w:multiLevelType w:val="multilevel"/>
    <w:tmpl w:val="8A124FF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8C54F72"/>
    <w:multiLevelType w:val="hybridMultilevel"/>
    <w:tmpl w:val="AABC7BF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35D3F1B"/>
    <w:multiLevelType w:val="hybridMultilevel"/>
    <w:tmpl w:val="F1F04AA2"/>
    <w:lvl w:ilvl="0" w:tplc="B6EABE0C">
      <w:start w:val="1"/>
      <w:numFmt w:val="lowerLetter"/>
      <w:lvlText w:val="%1."/>
      <w:lvlJc w:val="left"/>
      <w:pPr>
        <w:ind w:left="720" w:hanging="360"/>
      </w:pPr>
      <w:rPr>
        <w:rFonts w:ascii="Verdana" w:eastAsia="DejaVu Sans" w:hAnsi="Verdana" w:cs="Lohit Hindi"/>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A6199D"/>
    <w:multiLevelType w:val="hybridMultilevel"/>
    <w:tmpl w:val="986AC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7C1048"/>
    <w:multiLevelType w:val="hybridMultilevel"/>
    <w:tmpl w:val="1654EDA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4E012D6"/>
    <w:multiLevelType w:val="hybridMultilevel"/>
    <w:tmpl w:val="4F1C3F6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EC3E41"/>
    <w:multiLevelType w:val="hybridMultilevel"/>
    <w:tmpl w:val="3FDE9EC6"/>
    <w:lvl w:ilvl="0" w:tplc="B6EABE0C">
      <w:start w:val="1"/>
      <w:numFmt w:val="lowerLetter"/>
      <w:lvlText w:val="%1."/>
      <w:lvlJc w:val="left"/>
      <w:pPr>
        <w:ind w:left="360" w:hanging="360"/>
      </w:pPr>
      <w:rPr>
        <w:rFonts w:ascii="Verdana" w:eastAsia="DejaVu Sans" w:hAnsi="Verdana" w:cs="Lohit Hindi"/>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E6176FA"/>
    <w:multiLevelType w:val="hybridMultilevel"/>
    <w:tmpl w:val="25B05D2C"/>
    <w:lvl w:ilvl="0" w:tplc="B6EABE0C">
      <w:start w:val="1"/>
      <w:numFmt w:val="lowerLetter"/>
      <w:lvlText w:val="%1."/>
      <w:lvlJc w:val="left"/>
      <w:pPr>
        <w:ind w:left="720" w:hanging="360"/>
      </w:pPr>
      <w:rPr>
        <w:rFonts w:ascii="Verdana" w:eastAsia="DejaVu Sans" w:hAnsi="Verdana" w:cs="Lohit Hindi"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E40B09"/>
    <w:multiLevelType w:val="hybridMultilevel"/>
    <w:tmpl w:val="B52CF2E6"/>
    <w:lvl w:ilvl="0" w:tplc="FA94CB2C">
      <w:start w:val="1"/>
      <w:numFmt w:val="lowerLetter"/>
      <w:lvlText w:val="%1."/>
      <w:lvlJc w:val="left"/>
      <w:pPr>
        <w:ind w:left="360" w:hanging="360"/>
      </w:pPr>
      <w:rPr>
        <w:rFonts w:hint="default"/>
        <w:i w:val="0"/>
        <w:i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5890F6A"/>
    <w:multiLevelType w:val="hybridMultilevel"/>
    <w:tmpl w:val="E02464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66B1C7F"/>
    <w:multiLevelType w:val="multilevel"/>
    <w:tmpl w:val="5397048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67916DD8"/>
    <w:multiLevelType w:val="hybridMultilevel"/>
    <w:tmpl w:val="23B0656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14"/>
  </w:num>
  <w:num w:numId="3">
    <w:abstractNumId w:val="0"/>
  </w:num>
  <w:num w:numId="4">
    <w:abstractNumId w:val="2"/>
  </w:num>
  <w:num w:numId="5">
    <w:abstractNumId w:val="3"/>
  </w:num>
  <w:num w:numId="6">
    <w:abstractNumId w:val="1"/>
  </w:num>
  <w:num w:numId="7">
    <w:abstractNumId w:val="13"/>
  </w:num>
  <w:num w:numId="8">
    <w:abstractNumId w:val="9"/>
  </w:num>
  <w:num w:numId="9">
    <w:abstractNumId w:val="7"/>
  </w:num>
  <w:num w:numId="10">
    <w:abstractNumId w:val="8"/>
  </w:num>
  <w:num w:numId="11">
    <w:abstractNumId w:val="5"/>
  </w:num>
  <w:num w:numId="12">
    <w:abstractNumId w:val="12"/>
  </w:num>
  <w:num w:numId="13">
    <w:abstractNumId w:val="11"/>
  </w:num>
  <w:num w:numId="14">
    <w:abstractNumId w:val="15"/>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AB"/>
    <w:rsid w:val="000230BC"/>
    <w:rsid w:val="000754F2"/>
    <w:rsid w:val="000A3076"/>
    <w:rsid w:val="00100570"/>
    <w:rsid w:val="0011584B"/>
    <w:rsid w:val="00126409"/>
    <w:rsid w:val="001459ED"/>
    <w:rsid w:val="00146C75"/>
    <w:rsid w:val="00146E14"/>
    <w:rsid w:val="00153802"/>
    <w:rsid w:val="001A2108"/>
    <w:rsid w:val="001A229A"/>
    <w:rsid w:val="0023126F"/>
    <w:rsid w:val="002745EC"/>
    <w:rsid w:val="002E2AA6"/>
    <w:rsid w:val="002F0083"/>
    <w:rsid w:val="00301656"/>
    <w:rsid w:val="00323414"/>
    <w:rsid w:val="00350D78"/>
    <w:rsid w:val="00381CDB"/>
    <w:rsid w:val="003A651B"/>
    <w:rsid w:val="003F42E2"/>
    <w:rsid w:val="00465744"/>
    <w:rsid w:val="00483E3D"/>
    <w:rsid w:val="00485A5C"/>
    <w:rsid w:val="004E3093"/>
    <w:rsid w:val="00502F41"/>
    <w:rsid w:val="005557D8"/>
    <w:rsid w:val="006148FB"/>
    <w:rsid w:val="006158FA"/>
    <w:rsid w:val="0069644C"/>
    <w:rsid w:val="006F1224"/>
    <w:rsid w:val="00762E31"/>
    <w:rsid w:val="007A4377"/>
    <w:rsid w:val="007C3342"/>
    <w:rsid w:val="007E6C0A"/>
    <w:rsid w:val="00820504"/>
    <w:rsid w:val="00833EC0"/>
    <w:rsid w:val="00852C1F"/>
    <w:rsid w:val="0087456E"/>
    <w:rsid w:val="00876D12"/>
    <w:rsid w:val="008B2748"/>
    <w:rsid w:val="00914BAB"/>
    <w:rsid w:val="00952C26"/>
    <w:rsid w:val="00972AEB"/>
    <w:rsid w:val="00A14CDA"/>
    <w:rsid w:val="00AA28BC"/>
    <w:rsid w:val="00B111B2"/>
    <w:rsid w:val="00BB2AA3"/>
    <w:rsid w:val="00C2642D"/>
    <w:rsid w:val="00C32D08"/>
    <w:rsid w:val="00C54B73"/>
    <w:rsid w:val="00C70036"/>
    <w:rsid w:val="00C81C5E"/>
    <w:rsid w:val="00CA59F7"/>
    <w:rsid w:val="00DC6544"/>
    <w:rsid w:val="00DF2476"/>
    <w:rsid w:val="00E05403"/>
    <w:rsid w:val="00EC565B"/>
    <w:rsid w:val="00F02329"/>
    <w:rsid w:val="00F33D47"/>
    <w:rsid w:val="00F43ED7"/>
    <w:rsid w:val="00F52D50"/>
    <w:rsid w:val="00F95B8B"/>
    <w:rsid w:val="00FA6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0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4BAB"/>
    <w:pPr>
      <w:autoSpaceDN/>
      <w:textAlignment w:val="auto"/>
    </w:pPr>
    <w:rPr>
      <w:rFonts w:ascii="Calibri" w:eastAsiaTheme="minorHAnsi" w:hAnsi="Calibri" w:cs="Calibri"/>
      <w:sz w:val="22"/>
      <w:szCs w:val="22"/>
      <w:lang w:eastAsia="en-US"/>
      <w14:ligatures w14:val="standardContextual"/>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rFonts w:ascii="Verdana" w:hAnsi="Verdana"/>
      <w:i/>
      <w:color w:val="000000"/>
      <w:sz w:val="18"/>
      <w:szCs w:val="18"/>
    </w:rPr>
  </w:style>
  <w:style w:type="paragraph" w:styleId="Kop3">
    <w:name w:val="heading 3"/>
    <w:basedOn w:val="Standaard"/>
    <w:next w:val="Standaard"/>
    <w:pPr>
      <w:tabs>
        <w:tab w:val="left" w:pos="0"/>
      </w:tabs>
      <w:spacing w:before="240" w:line="240" w:lineRule="exact"/>
      <w:ind w:left="-1120"/>
      <w:outlineLvl w:val="2"/>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rPr>
      <w:rFonts w:ascii="Verdana" w:hAnsi="Verdana"/>
      <w:color w:val="000000"/>
      <w:sz w:val="18"/>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color w:val="000000"/>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rPr>
      <w:rFonts w:ascii="Verdana" w:hAnsi="Verdana"/>
      <w:color w:val="000000"/>
      <w:sz w:val="18"/>
      <w:szCs w:val="18"/>
    </w:rPr>
  </w:style>
  <w:style w:type="paragraph" w:customStyle="1" w:styleId="Lijstniveau2">
    <w:name w:val="Lijst niveau 2"/>
    <w:basedOn w:val="Standaard"/>
    <w:uiPriority w:val="4"/>
    <w:qFormat/>
    <w:pPr>
      <w:numPr>
        <w:ilvl w:val="1"/>
        <w:numId w:val="5"/>
      </w:numPr>
      <w:spacing w:line="240" w:lineRule="exact"/>
    </w:pPr>
    <w:rPr>
      <w:rFonts w:ascii="Verdana" w:hAnsi="Verdana"/>
      <w:color w:val="000000"/>
      <w:sz w:val="18"/>
      <w:szCs w:val="18"/>
    </w:rPr>
  </w:style>
  <w:style w:type="paragraph" w:customStyle="1" w:styleId="Lijstniveau3">
    <w:name w:val="Lijst niveau 3"/>
    <w:basedOn w:val="Standaard"/>
    <w:uiPriority w:val="5"/>
    <w:qFormat/>
    <w:pPr>
      <w:numPr>
        <w:ilvl w:val="2"/>
        <w:numId w:val="5"/>
      </w:numPr>
      <w:spacing w:line="240" w:lineRule="exact"/>
    </w:pPr>
    <w:rPr>
      <w:rFonts w:ascii="Verdana" w:hAnsi="Verdana"/>
      <w:color w:val="000000"/>
      <w:sz w:val="18"/>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rFonts w:ascii="Verdana" w:hAnsi="Verdana"/>
      <w:color w:val="000000"/>
      <w:sz w:val="24"/>
      <w:szCs w:val="24"/>
    </w:rPr>
  </w:style>
  <w:style w:type="paragraph" w:customStyle="1" w:styleId="Pagina-eindeKop1">
    <w:name w:val="Pagina-einde Kop 1"/>
    <w:basedOn w:val="Standaard"/>
    <w:next w:val="Standaard"/>
    <w:pPr>
      <w:pageBreakBefore/>
      <w:spacing w:line="240" w:lineRule="exact"/>
      <w:outlineLvl w:val="0"/>
    </w:pPr>
    <w:rPr>
      <w:rFonts w:ascii="Verdana" w:hAnsi="Verdana"/>
      <w:b/>
      <w:color w:val="000000"/>
      <w:sz w:val="18"/>
      <w:szCs w:val="18"/>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rFonts w:ascii="Verdana" w:hAnsi="Verdana"/>
      <w:b/>
      <w:color w:val="000000"/>
      <w:sz w:val="13"/>
      <w:szCs w:val="13"/>
    </w:rPr>
  </w:style>
  <w:style w:type="paragraph" w:customStyle="1" w:styleId="Referentiegegevenscursief">
    <w:name w:val="Referentiegegevens cursief"/>
    <w:basedOn w:val="Standaard"/>
    <w:next w:val="Standaard"/>
    <w:pPr>
      <w:spacing w:line="180" w:lineRule="exact"/>
    </w:pPr>
    <w:rPr>
      <w:rFonts w:ascii="Verdana" w:hAnsi="Verdana"/>
      <w:i/>
      <w:color w:val="000000"/>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rFonts w:ascii="Verdana" w:hAnsi="Verdana"/>
      <w:b/>
      <w:caps/>
      <w:color w:val="000000"/>
      <w:sz w:val="13"/>
      <w:szCs w:val="13"/>
    </w:rPr>
  </w:style>
  <w:style w:type="paragraph" w:customStyle="1" w:styleId="Standaardcursief">
    <w:name w:val="Standaard cursief"/>
    <w:basedOn w:val="Standaard"/>
    <w:next w:val="Standaard"/>
    <w:qFormat/>
    <w:pPr>
      <w:spacing w:line="240" w:lineRule="exact"/>
    </w:pPr>
    <w:rPr>
      <w:rFonts w:ascii="Verdana" w:hAnsi="Verdana"/>
      <w:i/>
      <w:color w:val="000000"/>
      <w:sz w:val="18"/>
      <w:szCs w:val="18"/>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rFonts w:ascii="Verdana" w:hAnsi="Verdana"/>
      <w:b/>
      <w:color w:val="000000"/>
      <w:sz w:val="18"/>
      <w:szCs w:val="18"/>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rFonts w:ascii="Verdana" w:hAnsi="Verdana"/>
      <w:b/>
      <w:color w:val="000000"/>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rFonts w:ascii="Verdana" w:hAnsi="Verdana"/>
      <w:color w:val="000000"/>
      <w:sz w:val="9"/>
      <w:szCs w:val="9"/>
    </w:rPr>
  </w:style>
  <w:style w:type="paragraph" w:customStyle="1" w:styleId="WitregelW1bodytekst">
    <w:name w:val="Witregel W1 (bodytekst)"/>
    <w:basedOn w:val="Standaard"/>
    <w:next w:val="Standaard"/>
    <w:pPr>
      <w:spacing w:line="240" w:lineRule="exact"/>
    </w:pPr>
    <w:rPr>
      <w:rFonts w:ascii="Verdana" w:hAnsi="Verdana"/>
      <w:color w:val="000000"/>
      <w:sz w:val="18"/>
      <w:szCs w:val="18"/>
    </w:r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14BAB"/>
    <w:pPr>
      <w:tabs>
        <w:tab w:val="center" w:pos="4536"/>
        <w:tab w:val="right" w:pos="9072"/>
      </w:tabs>
    </w:pPr>
  </w:style>
  <w:style w:type="character" w:customStyle="1" w:styleId="KoptekstChar">
    <w:name w:val="Koptekst Char"/>
    <w:basedOn w:val="Standaardalinea-lettertype"/>
    <w:link w:val="Koptekst"/>
    <w:uiPriority w:val="99"/>
    <w:rsid w:val="00914BAB"/>
    <w:rPr>
      <w:rFonts w:ascii="Verdana" w:hAnsi="Verdana"/>
      <w:color w:val="000000"/>
      <w:sz w:val="18"/>
      <w:szCs w:val="18"/>
    </w:rPr>
  </w:style>
  <w:style w:type="character" w:styleId="Verwijzingopmerking">
    <w:name w:val="annotation reference"/>
    <w:basedOn w:val="Standaardalinea-lettertype"/>
    <w:uiPriority w:val="99"/>
    <w:semiHidden/>
    <w:unhideWhenUsed/>
    <w:rsid w:val="00914BAB"/>
    <w:rPr>
      <w:sz w:val="16"/>
      <w:szCs w:val="16"/>
    </w:rPr>
  </w:style>
  <w:style w:type="paragraph" w:styleId="Tekstopmerking">
    <w:name w:val="annotation text"/>
    <w:basedOn w:val="Standaard"/>
    <w:link w:val="TekstopmerkingChar"/>
    <w:uiPriority w:val="99"/>
    <w:unhideWhenUsed/>
    <w:rsid w:val="00914BAB"/>
    <w:rPr>
      <w:sz w:val="20"/>
      <w:szCs w:val="20"/>
    </w:rPr>
  </w:style>
  <w:style w:type="character" w:customStyle="1" w:styleId="TekstopmerkingChar">
    <w:name w:val="Tekst opmerking Char"/>
    <w:basedOn w:val="Standaardalinea-lettertype"/>
    <w:link w:val="Tekstopmerking"/>
    <w:uiPriority w:val="99"/>
    <w:rsid w:val="00914BAB"/>
    <w:rPr>
      <w:rFonts w:ascii="Calibri" w:eastAsiaTheme="minorHAnsi" w:hAnsi="Calibri" w:cs="Calibri"/>
      <w:lang w:eastAsia="en-US"/>
      <w14:ligatures w14:val="standardContextual"/>
    </w:rPr>
  </w:style>
  <w:style w:type="paragraph" w:styleId="Lijstalinea">
    <w:name w:val="List Paragraph"/>
    <w:basedOn w:val="Standaard"/>
    <w:uiPriority w:val="34"/>
    <w:qFormat/>
    <w:rsid w:val="00914BAB"/>
    <w:pPr>
      <w:ind w:left="720"/>
      <w:contextualSpacing/>
    </w:pPr>
  </w:style>
  <w:style w:type="paragraph" w:styleId="Voetnoottekst">
    <w:name w:val="footnote text"/>
    <w:basedOn w:val="Standaard"/>
    <w:link w:val="VoetnoottekstChar"/>
    <w:uiPriority w:val="99"/>
    <w:unhideWhenUsed/>
    <w:rsid w:val="00914BAB"/>
    <w:rPr>
      <w:sz w:val="20"/>
      <w:szCs w:val="20"/>
    </w:rPr>
  </w:style>
  <w:style w:type="character" w:customStyle="1" w:styleId="VoetnoottekstChar">
    <w:name w:val="Voetnoottekst Char"/>
    <w:basedOn w:val="Standaardalinea-lettertype"/>
    <w:link w:val="Voetnoottekst"/>
    <w:uiPriority w:val="99"/>
    <w:rsid w:val="00914BAB"/>
    <w:rPr>
      <w:rFonts w:ascii="Calibri" w:eastAsiaTheme="minorHAnsi" w:hAnsi="Calibri" w:cs="Calibri"/>
      <w:lang w:eastAsia="en-US"/>
      <w14:ligatures w14:val="standardContextual"/>
    </w:rPr>
  </w:style>
  <w:style w:type="character" w:styleId="Voetnootmarkering">
    <w:name w:val="footnote reference"/>
    <w:basedOn w:val="Standaardalinea-lettertype"/>
    <w:uiPriority w:val="99"/>
    <w:semiHidden/>
    <w:unhideWhenUsed/>
    <w:rsid w:val="00914BAB"/>
    <w:rPr>
      <w:vertAlign w:val="superscript"/>
    </w:rPr>
  </w:style>
  <w:style w:type="paragraph" w:styleId="Revisie">
    <w:name w:val="Revision"/>
    <w:hidden/>
    <w:uiPriority w:val="99"/>
    <w:semiHidden/>
    <w:rsid w:val="006F1224"/>
    <w:pPr>
      <w:autoSpaceDN/>
      <w:textAlignment w:val="auto"/>
    </w:pPr>
    <w:rPr>
      <w:rFonts w:ascii="Calibri" w:eastAsiaTheme="minorHAnsi" w:hAnsi="Calibri" w:cs="Calibri"/>
      <w:sz w:val="22"/>
      <w:szCs w:val="2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6F1224"/>
    <w:rPr>
      <w:b/>
      <w:bCs/>
    </w:rPr>
  </w:style>
  <w:style w:type="character" w:customStyle="1" w:styleId="OnderwerpvanopmerkingChar">
    <w:name w:val="Onderwerp van opmerking Char"/>
    <w:basedOn w:val="TekstopmerkingChar"/>
    <w:link w:val="Onderwerpvanopmerking"/>
    <w:uiPriority w:val="99"/>
    <w:semiHidden/>
    <w:rsid w:val="006F1224"/>
    <w:rPr>
      <w:rFonts w:ascii="Calibri" w:eastAsiaTheme="minorHAnsi" w:hAnsi="Calibri" w:cs="Calibri"/>
      <w:b/>
      <w:bCs/>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24-19648.pdf" TargetMode="External"/><Relationship Id="rId1" Type="http://schemas.openxmlformats.org/officeDocument/2006/relationships/hyperlink" Target="https://wetten.overheid.nl/jci1.3:c:BWBR0044773&amp;artikel=4.14&amp;g=2025-01-15&amp;z=2025-01-1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3023</ap:Words>
  <ap:Characters>16628</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Bijlage  -</vt:lpstr>
    </vt:vector>
  </ap:TitlesOfParts>
  <ap:LinksUpToDate>false</ap:LinksUpToDate>
  <ap:CharactersWithSpaces>19612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2025-02-14T12:45:00.0000000Z</dcterms:created>
  <dcterms:modified xsi:type="dcterms:W3CDTF">2025-02-14T12:45:00.0000000Z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Bijlage staand - </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februari 2025</vt:lpwstr>
  </property>
  <property fmtid="{D5CDD505-2E9C-101B-9397-08002B2CF9AE}" pid="13" name="Opgesteld door, Naam">
    <vt:lpwstr>L. Spoelman</vt:lpwstr>
  </property>
  <property fmtid="{D5CDD505-2E9C-101B-9397-08002B2CF9AE}" pid="14" name="Opgesteld door, Telefoonnummer">
    <vt:lpwstr/>
  </property>
  <property fmtid="{D5CDD505-2E9C-101B-9397-08002B2CF9AE}" pid="15" name="Kenmerk">
    <vt:lpwstr>6168189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