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24BA" w:rsidP="005B72B0" w:rsidRDefault="00414C03" w14:paraId="0430E1F1" w14:textId="3B0DFCFF">
      <w:bookmarkStart w:name="_Hlk189753653" w:id="0"/>
      <w:bookmarkEnd w:id="0"/>
      <w:r>
        <w:t xml:space="preserve"> </w:t>
      </w:r>
      <w:r w:rsidR="00614950">
        <w:t>Geachte Voorzitter,</w:t>
      </w:r>
    </w:p>
    <w:p w:rsidR="00D15779" w:rsidP="005B72B0" w:rsidRDefault="00D15779" w14:paraId="0CE6982C" w14:textId="2788BEB2"/>
    <w:p w:rsidR="00754DB6" w:rsidP="005B72B0" w:rsidRDefault="0063441A" w14:paraId="36D0DA82" w14:textId="2972630E">
      <w:r>
        <w:t>Gasleveringszekerheid is voor dit kabinet een prioriteit. D</w:t>
      </w:r>
      <w:r w:rsidR="00136A3B">
        <w:t>e ontwikkelingen op de gasmarkt hebben daarom de volle</w:t>
      </w:r>
      <w:r w:rsidR="003E5B93">
        <w:t xml:space="preserve"> aandacht.</w:t>
      </w:r>
      <w:r w:rsidR="00B636D4">
        <w:t xml:space="preserve"> </w:t>
      </w:r>
      <w:r w:rsidR="003C5E60">
        <w:t xml:space="preserve">Op 14 januari </w:t>
      </w:r>
      <w:r w:rsidR="002C2888">
        <w:t>jl.</w:t>
      </w:r>
      <w:r w:rsidR="003C5E60">
        <w:t xml:space="preserve"> he</w:t>
      </w:r>
      <w:r w:rsidR="00C20FCE">
        <w:t>eft het kabinet</w:t>
      </w:r>
      <w:r w:rsidR="003C5E60">
        <w:t xml:space="preserve"> </w:t>
      </w:r>
      <w:r w:rsidR="00930260">
        <w:t>de Kamer</w:t>
      </w:r>
      <w:r w:rsidR="00547013">
        <w:t xml:space="preserve"> </w:t>
      </w:r>
      <w:r w:rsidR="00B01212">
        <w:t>bij brief geïnformeerd o</w:t>
      </w:r>
      <w:r w:rsidR="008C0BE0">
        <w:t>v</w:t>
      </w:r>
      <w:r w:rsidR="00B01212">
        <w:t>er de stand van zaken op de gasmarkt en de vulgraden van de gasopslagen</w:t>
      </w:r>
      <w:r w:rsidR="006F25DB">
        <w:t>.</w:t>
      </w:r>
      <w:r w:rsidR="00FD0AC9">
        <w:rPr>
          <w:rStyle w:val="Voetnootmarkering"/>
        </w:rPr>
        <w:footnoteReference w:id="2"/>
      </w:r>
      <w:r w:rsidR="006F25DB">
        <w:t xml:space="preserve"> </w:t>
      </w:r>
      <w:r w:rsidR="0088564B">
        <w:t>In die brief</w:t>
      </w:r>
      <w:r w:rsidR="00070F84">
        <w:t xml:space="preserve"> en tijdens het Commissiedebat Waterstof, </w:t>
      </w:r>
      <w:r w:rsidR="00682A9B">
        <w:t xml:space="preserve">groen gas en </w:t>
      </w:r>
      <w:r w:rsidR="0053196F">
        <w:t xml:space="preserve">andere energiedragers op </w:t>
      </w:r>
      <w:r w:rsidR="006C445B">
        <w:t xml:space="preserve">16 januari jl., </w:t>
      </w:r>
      <w:r w:rsidR="000361D6">
        <w:t xml:space="preserve">is </w:t>
      </w:r>
      <w:r w:rsidR="007F6B07">
        <w:t>toegezegd</w:t>
      </w:r>
      <w:r w:rsidR="00E90AA3">
        <w:t xml:space="preserve"> </w:t>
      </w:r>
      <w:r w:rsidR="00C951CE">
        <w:t xml:space="preserve">dat </w:t>
      </w:r>
      <w:r w:rsidR="008F245E">
        <w:t>het kabinet begin februari</w:t>
      </w:r>
      <w:r w:rsidR="008645F1">
        <w:t xml:space="preserve"> weer een update stuurt</w:t>
      </w:r>
      <w:r w:rsidR="007B407B">
        <w:t xml:space="preserve">, in het bijzonder over de </w:t>
      </w:r>
      <w:r w:rsidR="00F433EA">
        <w:t>vulgraad van de gasopslagen</w:t>
      </w:r>
      <w:r w:rsidR="003402B9">
        <w:t>.</w:t>
      </w:r>
      <w:r w:rsidR="008963AA">
        <w:rPr>
          <w:rStyle w:val="Voetnootmarkering"/>
        </w:rPr>
        <w:footnoteReference w:id="3"/>
      </w:r>
      <w:r w:rsidR="003402B9">
        <w:t xml:space="preserve"> Met deze brief geef</w:t>
      </w:r>
      <w:r w:rsidR="006514D0">
        <w:t xml:space="preserve">t het kabinet </w:t>
      </w:r>
      <w:r w:rsidR="00711975">
        <w:t xml:space="preserve">hier </w:t>
      </w:r>
      <w:r w:rsidR="003402B9">
        <w:t>invulling aan</w:t>
      </w:r>
      <w:r w:rsidR="00C57AE0">
        <w:t>.</w:t>
      </w:r>
      <w:r w:rsidR="00A168B3">
        <w:t xml:space="preserve"> </w:t>
      </w:r>
    </w:p>
    <w:p w:rsidR="00910151" w:rsidP="005B72B0" w:rsidRDefault="00910151" w14:paraId="6FA18A41" w14:textId="77777777"/>
    <w:p w:rsidR="00173519" w:rsidP="005B72B0" w:rsidRDefault="00B42F52" w14:paraId="1ECF20CE" w14:textId="115A0DE7">
      <w:r>
        <w:t xml:space="preserve">Met deze brief </w:t>
      </w:r>
      <w:r w:rsidR="004B71DD">
        <w:t>geef</w:t>
      </w:r>
      <w:r w:rsidR="00AB5694">
        <w:t>t het kabinet</w:t>
      </w:r>
      <w:r w:rsidR="006E1579">
        <w:t xml:space="preserve"> ook in</w:t>
      </w:r>
      <w:r w:rsidR="004B71DD">
        <w:t xml:space="preserve">vulling </w:t>
      </w:r>
      <w:r w:rsidR="0026392E">
        <w:t xml:space="preserve">aan </w:t>
      </w:r>
      <w:r w:rsidR="00D610CB">
        <w:t>de</w:t>
      </w:r>
      <w:r w:rsidR="006E1579">
        <w:t xml:space="preserve"> toezegging</w:t>
      </w:r>
      <w:r w:rsidR="002A7762">
        <w:t>en</w:t>
      </w:r>
      <w:r w:rsidR="00026A1E">
        <w:t xml:space="preserve"> </w:t>
      </w:r>
      <w:r w:rsidR="00DB3756">
        <w:t>aan het lid Bontenbal</w:t>
      </w:r>
      <w:r w:rsidR="00F3677A">
        <w:rPr>
          <w:rStyle w:val="Voetnootmarkering"/>
        </w:rPr>
        <w:footnoteReference w:id="4"/>
      </w:r>
      <w:r w:rsidR="00DB3756">
        <w:t xml:space="preserve"> (CDA) </w:t>
      </w:r>
      <w:r w:rsidR="00D610CB">
        <w:t xml:space="preserve">om </w:t>
      </w:r>
      <w:r w:rsidR="00F65FED">
        <w:t>in het</w:t>
      </w:r>
      <w:r w:rsidR="00E920D4">
        <w:t xml:space="preserve"> eerste kwartaal van 2025</w:t>
      </w:r>
      <w:r w:rsidR="007415DE">
        <w:t xml:space="preserve"> </w:t>
      </w:r>
      <w:r w:rsidR="0087640D">
        <w:t xml:space="preserve">nader in te gaan op de </w:t>
      </w:r>
      <w:r w:rsidR="00BD4F5A">
        <w:t>80% vulambitie van het kabinet voor het gasjaar 2025/26</w:t>
      </w:r>
      <w:r w:rsidR="00425A3F">
        <w:t xml:space="preserve">, </w:t>
      </w:r>
      <w:r w:rsidR="00FC0575">
        <w:t xml:space="preserve">een scenario-analyse </w:t>
      </w:r>
      <w:r w:rsidR="009821CE">
        <w:t>(botsproef)</w:t>
      </w:r>
      <w:r w:rsidR="001E6EC4">
        <w:t xml:space="preserve"> specifiek gericht op het wegvallen van de toevoer uit Noorwegen via de Norpipe leiding </w:t>
      </w:r>
      <w:r w:rsidR="00DB3756">
        <w:t>en</w:t>
      </w:r>
      <w:r w:rsidR="00572783">
        <w:t xml:space="preserve"> </w:t>
      </w:r>
      <w:r w:rsidR="00851066">
        <w:t>de milieu</w:t>
      </w:r>
      <w:r w:rsidR="00B6511E">
        <w:t>-</w:t>
      </w:r>
      <w:r w:rsidR="00851066">
        <w:t>impact van de import van LNG</w:t>
      </w:r>
      <w:r w:rsidR="007F0013">
        <w:t>.</w:t>
      </w:r>
      <w:r w:rsidR="00851066">
        <w:rPr>
          <w:rStyle w:val="Voetnootmarkering"/>
        </w:rPr>
        <w:footnoteReference w:id="5"/>
      </w:r>
      <w:r w:rsidR="00D435B1">
        <w:t xml:space="preserve"> </w:t>
      </w:r>
      <w:r w:rsidR="007A49D3">
        <w:t>Deze informatie is opgenomen in de bijlage bij deze brief.</w:t>
      </w:r>
    </w:p>
    <w:p w:rsidR="00A91869" w:rsidP="005B72B0" w:rsidRDefault="00A91869" w14:paraId="1F0E3979" w14:textId="77777777">
      <w:pPr>
        <w:rPr>
          <w:b/>
          <w:bCs/>
        </w:rPr>
      </w:pPr>
    </w:p>
    <w:p w:rsidRPr="004C7EC3" w:rsidR="0025066F" w:rsidP="005B72B0" w:rsidRDefault="0025066F" w14:paraId="23BCF4FD" w14:textId="77777777">
      <w:pPr>
        <w:rPr>
          <w:b/>
          <w:bCs/>
        </w:rPr>
      </w:pPr>
      <w:r w:rsidRPr="004C7EC3">
        <w:rPr>
          <w:b/>
          <w:bCs/>
        </w:rPr>
        <w:t>Gasopslagen: actuele vulgraden</w:t>
      </w:r>
    </w:p>
    <w:p w:rsidR="0025066F" w:rsidP="005B72B0" w:rsidRDefault="0025066F" w14:paraId="230F6295" w14:textId="77777777">
      <w:pPr>
        <w:rPr>
          <w:u w:val="single"/>
        </w:rPr>
      </w:pPr>
    </w:p>
    <w:p w:rsidR="0025066F" w:rsidP="005B72B0" w:rsidRDefault="0025066F" w14:paraId="7F622C96" w14:textId="335477C6">
      <w:r>
        <w:t xml:space="preserve">Hoewel de vulgraad in Nederland lager is dan in voorgaande twee jaren, geldt nog steeds – ondersteund door analyses van Gasunie Transport Services (GTS) – de verwachting dat de leveringszekerheid de rest van de winter geborgd blijft. In haar persbericht van 9 januari jl. heeft GTS bevestigd dat “er geen sprake is van een verminderde leveringszekerheid”. </w:t>
      </w:r>
      <w:r w:rsidR="00AA1D21">
        <w:t>Bij gelijkblijvende omstandigheden geldt deze</w:t>
      </w:r>
      <w:r>
        <w:t xml:space="preserve"> conclusie nog steeds, ook als er in de komende periode sprake is van een periode van twee weken met extreme kou. </w:t>
      </w:r>
    </w:p>
    <w:p w:rsidRPr="00A97769" w:rsidR="0025066F" w:rsidP="005B72B0" w:rsidRDefault="0025066F" w14:paraId="5E5F70ED" w14:textId="77777777"/>
    <w:p w:rsidR="005B72B0" w:rsidP="005B72B0" w:rsidRDefault="0025066F" w14:paraId="5AA2F777" w14:textId="3E497DB6">
      <w:r>
        <w:t>Op 1 februari 2025 (peildatum van de EU-opslagbepalingen) waren de gasopslagen in Nederland voor 37,09% gevuld. Dit komt overeen met 53 TWh.</w:t>
      </w:r>
      <w:r w:rsidR="00FD3E93">
        <w:t xml:space="preserve"> </w:t>
      </w:r>
      <w:r>
        <w:t>Dit is iets minder dan het niveau van 39% op 1 februari 2025 dat op grond van de EU-verordening gasleveringszekerheid is voorgeschreven. D</w:t>
      </w:r>
      <w:r w:rsidRPr="007E3326">
        <w:t>aarbij</w:t>
      </w:r>
      <w:r>
        <w:t xml:space="preserve"> moet worden </w:t>
      </w:r>
      <w:r>
        <w:lastRenderedPageBreak/>
        <w:t xml:space="preserve">opgemerkt dat een lidstaat op grond van deze verordening een marge heeft, waarmee van de verplichte vulgraad mag worden afgeweken. Een lidstaat moet maatregelen treffen, indien de vulgraad op 1 februari meer dan 5 procentpunt lager is dan het voorgeschreven percentage. Voor Nederland betekent dit, dat Nederland maatregelen zou hebben moeten treffen indien de vulgraad op </w:t>
      </w:r>
    </w:p>
    <w:p w:rsidRPr="0049325C" w:rsidR="0025066F" w:rsidP="005B72B0" w:rsidRDefault="0025066F" w14:paraId="2045AB59" w14:textId="24D00029">
      <w:r>
        <w:t xml:space="preserve">1 februari minder dan 34% zou zijn geweest. </w:t>
      </w:r>
    </w:p>
    <w:p w:rsidR="0025066F" w:rsidP="005B72B0" w:rsidRDefault="0025066F" w14:paraId="2BCB382B" w14:textId="77777777"/>
    <w:p w:rsidR="0025066F" w:rsidP="005B72B0" w:rsidRDefault="0025066F" w14:paraId="63BFF935" w14:textId="68A38E98">
      <w:r>
        <w:t>De vulgraad van de opslagen zal waarschijnlijk in de komende maanden verder dalen. Dat is een normale ontwikkeling die past bij de functie die opslagen hebben: het voorzien in de (hogere) wintervraag. Daarbij is het goed om aan te geven dat het ook met een lage vulgraad op 1 april technisch mogelijk is om de opslagen weer adequaat gevuld te krijgen op 1 november. De capaciteit van de gasinfrastructuur – zoal</w:t>
      </w:r>
      <w:r w:rsidR="00B6511E">
        <w:t>s</w:t>
      </w:r>
      <w:r>
        <w:t xml:space="preserve"> de LNG-importterminals en de pijpleidingverbindingen met buurlanden – is groot genoeg om voldoende gas in het vulseizoen te kunnen importeren om de gasopslagen gemiddeld tot minimaal 80% te vullen. Dit </w:t>
      </w:r>
      <w:r w:rsidR="009949E1">
        <w:t xml:space="preserve">blijkt ook uit onderstaande tabel waarin over de afgelopen tien jaar de vulgraden per 1 april en 1 november zijn weergegeven: </w:t>
      </w:r>
    </w:p>
    <w:p w:rsidR="0025066F" w:rsidP="005B72B0" w:rsidRDefault="0025066F" w14:paraId="56C85F57" w14:textId="77777777"/>
    <w:tbl>
      <w:tblPr>
        <w:tblStyle w:val="Tabelraster"/>
        <w:tblW w:w="0" w:type="auto"/>
        <w:tblLook w:val="04A0" w:firstRow="1" w:lastRow="0" w:firstColumn="1" w:lastColumn="0" w:noHBand="0" w:noVBand="1"/>
      </w:tblPr>
      <w:tblGrid>
        <w:gridCol w:w="675"/>
        <w:gridCol w:w="1701"/>
        <w:gridCol w:w="2268"/>
      </w:tblGrid>
      <w:tr w:rsidR="0025066F" w:rsidTr="00056D0A" w14:paraId="1F350A30" w14:textId="77777777">
        <w:tc>
          <w:tcPr>
            <w:tcW w:w="675" w:type="dxa"/>
          </w:tcPr>
          <w:p w:rsidR="0025066F" w:rsidP="005B72B0" w:rsidRDefault="0025066F" w14:paraId="5FFE5FED" w14:textId="77777777">
            <w:r>
              <w:t xml:space="preserve">Jaar </w:t>
            </w:r>
          </w:p>
        </w:tc>
        <w:tc>
          <w:tcPr>
            <w:tcW w:w="1701" w:type="dxa"/>
          </w:tcPr>
          <w:p w:rsidR="0025066F" w:rsidP="005B72B0" w:rsidRDefault="0025066F" w14:paraId="3CB2E056" w14:textId="77777777">
            <w:r>
              <w:t>Vulgraad 1 april</w:t>
            </w:r>
          </w:p>
        </w:tc>
        <w:tc>
          <w:tcPr>
            <w:tcW w:w="2268" w:type="dxa"/>
          </w:tcPr>
          <w:p w:rsidR="0025066F" w:rsidP="005B72B0" w:rsidRDefault="0025066F" w14:paraId="355529E5" w14:textId="77777777">
            <w:r>
              <w:t>Vulgraad 1 november</w:t>
            </w:r>
          </w:p>
        </w:tc>
      </w:tr>
      <w:tr w:rsidR="0025066F" w:rsidTr="00056D0A" w14:paraId="3417FE73" w14:textId="77777777">
        <w:tc>
          <w:tcPr>
            <w:tcW w:w="675" w:type="dxa"/>
          </w:tcPr>
          <w:p w:rsidR="0025066F" w:rsidP="005B72B0" w:rsidRDefault="0025066F" w14:paraId="50D49EAA" w14:textId="77777777">
            <w:r>
              <w:t>2015</w:t>
            </w:r>
          </w:p>
        </w:tc>
        <w:tc>
          <w:tcPr>
            <w:tcW w:w="1701" w:type="dxa"/>
          </w:tcPr>
          <w:p w:rsidR="0025066F" w:rsidP="005B72B0" w:rsidRDefault="0025066F" w14:paraId="07D7C7B0" w14:textId="77777777">
            <w:pPr>
              <w:jc w:val="right"/>
            </w:pPr>
            <w:r>
              <w:t>23,44%</w:t>
            </w:r>
          </w:p>
        </w:tc>
        <w:tc>
          <w:tcPr>
            <w:tcW w:w="2268" w:type="dxa"/>
          </w:tcPr>
          <w:p w:rsidR="0025066F" w:rsidP="005B72B0" w:rsidRDefault="0025066F" w14:paraId="7C145BF0" w14:textId="77777777">
            <w:pPr>
              <w:jc w:val="right"/>
            </w:pPr>
            <w:r>
              <w:t>92,98%</w:t>
            </w:r>
          </w:p>
        </w:tc>
      </w:tr>
      <w:tr w:rsidR="0025066F" w:rsidTr="00056D0A" w14:paraId="75B6E56D" w14:textId="77777777">
        <w:tc>
          <w:tcPr>
            <w:tcW w:w="675" w:type="dxa"/>
          </w:tcPr>
          <w:p w:rsidR="0025066F" w:rsidP="005B72B0" w:rsidRDefault="0025066F" w14:paraId="178949C9" w14:textId="77777777">
            <w:r>
              <w:t>2016</w:t>
            </w:r>
          </w:p>
        </w:tc>
        <w:tc>
          <w:tcPr>
            <w:tcW w:w="1701" w:type="dxa"/>
          </w:tcPr>
          <w:p w:rsidR="0025066F" w:rsidP="005B72B0" w:rsidRDefault="0025066F" w14:paraId="08E06CDB" w14:textId="77777777">
            <w:pPr>
              <w:jc w:val="right"/>
            </w:pPr>
            <w:r>
              <w:t>30,13%</w:t>
            </w:r>
          </w:p>
        </w:tc>
        <w:tc>
          <w:tcPr>
            <w:tcW w:w="2268" w:type="dxa"/>
          </w:tcPr>
          <w:p w:rsidR="0025066F" w:rsidP="005B72B0" w:rsidRDefault="0025066F" w14:paraId="24BCAFF4" w14:textId="77777777">
            <w:pPr>
              <w:jc w:val="right"/>
            </w:pPr>
            <w:r>
              <w:t>94,88%</w:t>
            </w:r>
          </w:p>
        </w:tc>
      </w:tr>
      <w:tr w:rsidR="0025066F" w:rsidTr="00056D0A" w14:paraId="6E2E198E" w14:textId="77777777">
        <w:tc>
          <w:tcPr>
            <w:tcW w:w="675" w:type="dxa"/>
          </w:tcPr>
          <w:p w:rsidR="0025066F" w:rsidP="005B72B0" w:rsidRDefault="0025066F" w14:paraId="048C72DF" w14:textId="77777777">
            <w:r>
              <w:t>2017</w:t>
            </w:r>
          </w:p>
        </w:tc>
        <w:tc>
          <w:tcPr>
            <w:tcW w:w="1701" w:type="dxa"/>
          </w:tcPr>
          <w:p w:rsidR="0025066F" w:rsidP="005B72B0" w:rsidRDefault="0025066F" w14:paraId="1B1F9A9F" w14:textId="77777777">
            <w:pPr>
              <w:jc w:val="right"/>
            </w:pPr>
            <w:r>
              <w:t>17,66%</w:t>
            </w:r>
          </w:p>
        </w:tc>
        <w:tc>
          <w:tcPr>
            <w:tcW w:w="2268" w:type="dxa"/>
          </w:tcPr>
          <w:p w:rsidR="0025066F" w:rsidP="005B72B0" w:rsidRDefault="0025066F" w14:paraId="267B95C9" w14:textId="77777777">
            <w:pPr>
              <w:jc w:val="right"/>
            </w:pPr>
            <w:r>
              <w:t>95,83%</w:t>
            </w:r>
          </w:p>
        </w:tc>
      </w:tr>
      <w:tr w:rsidR="0025066F" w:rsidTr="00056D0A" w14:paraId="2BEB457C" w14:textId="77777777">
        <w:tc>
          <w:tcPr>
            <w:tcW w:w="675" w:type="dxa"/>
          </w:tcPr>
          <w:p w:rsidR="0025066F" w:rsidP="005B72B0" w:rsidRDefault="0025066F" w14:paraId="79975F1C" w14:textId="77777777">
            <w:r>
              <w:t>2018</w:t>
            </w:r>
          </w:p>
        </w:tc>
        <w:tc>
          <w:tcPr>
            <w:tcW w:w="1701" w:type="dxa"/>
          </w:tcPr>
          <w:p w:rsidR="0025066F" w:rsidP="005B72B0" w:rsidRDefault="0025066F" w14:paraId="3F289F32" w14:textId="77777777">
            <w:pPr>
              <w:jc w:val="right"/>
            </w:pPr>
            <w:r>
              <w:t>6,29%</w:t>
            </w:r>
          </w:p>
        </w:tc>
        <w:tc>
          <w:tcPr>
            <w:tcW w:w="2268" w:type="dxa"/>
          </w:tcPr>
          <w:p w:rsidR="0025066F" w:rsidP="005B72B0" w:rsidRDefault="0025066F" w14:paraId="14701BE8" w14:textId="77777777">
            <w:pPr>
              <w:jc w:val="right"/>
            </w:pPr>
            <w:r>
              <w:t>95,87%</w:t>
            </w:r>
          </w:p>
        </w:tc>
      </w:tr>
      <w:tr w:rsidR="0025066F" w:rsidTr="00056D0A" w14:paraId="1D72D3CF" w14:textId="77777777">
        <w:tc>
          <w:tcPr>
            <w:tcW w:w="675" w:type="dxa"/>
          </w:tcPr>
          <w:p w:rsidR="0025066F" w:rsidP="005B72B0" w:rsidRDefault="0025066F" w14:paraId="7BD57458" w14:textId="77777777">
            <w:r>
              <w:t>2019</w:t>
            </w:r>
          </w:p>
        </w:tc>
        <w:tc>
          <w:tcPr>
            <w:tcW w:w="1701" w:type="dxa"/>
          </w:tcPr>
          <w:p w:rsidR="0025066F" w:rsidP="005B72B0" w:rsidRDefault="0025066F" w14:paraId="46DD4D0E" w14:textId="77777777">
            <w:pPr>
              <w:jc w:val="right"/>
            </w:pPr>
            <w:r>
              <w:t>49,38%</w:t>
            </w:r>
          </w:p>
        </w:tc>
        <w:tc>
          <w:tcPr>
            <w:tcW w:w="2268" w:type="dxa"/>
          </w:tcPr>
          <w:p w:rsidR="0025066F" w:rsidP="005B72B0" w:rsidRDefault="0025066F" w14:paraId="32E1D9F1" w14:textId="77777777">
            <w:pPr>
              <w:jc w:val="right"/>
            </w:pPr>
            <w:r>
              <w:t>95,03%</w:t>
            </w:r>
          </w:p>
        </w:tc>
      </w:tr>
      <w:tr w:rsidR="0025066F" w:rsidTr="00056D0A" w14:paraId="09FCB1DF" w14:textId="77777777">
        <w:tc>
          <w:tcPr>
            <w:tcW w:w="675" w:type="dxa"/>
          </w:tcPr>
          <w:p w:rsidR="0025066F" w:rsidP="005B72B0" w:rsidRDefault="0025066F" w14:paraId="59347D32" w14:textId="77777777">
            <w:r>
              <w:t>2020</w:t>
            </w:r>
          </w:p>
        </w:tc>
        <w:tc>
          <w:tcPr>
            <w:tcW w:w="1701" w:type="dxa"/>
          </w:tcPr>
          <w:p w:rsidR="0025066F" w:rsidP="005B72B0" w:rsidRDefault="0025066F" w14:paraId="4DB3CE91" w14:textId="77777777">
            <w:pPr>
              <w:jc w:val="right"/>
            </w:pPr>
            <w:r>
              <w:t>44,09%</w:t>
            </w:r>
          </w:p>
        </w:tc>
        <w:tc>
          <w:tcPr>
            <w:tcW w:w="2268" w:type="dxa"/>
          </w:tcPr>
          <w:p w:rsidR="0025066F" w:rsidP="005B72B0" w:rsidRDefault="0025066F" w14:paraId="06085DA2" w14:textId="77777777">
            <w:pPr>
              <w:jc w:val="right"/>
            </w:pPr>
            <w:r>
              <w:t>86,62%</w:t>
            </w:r>
          </w:p>
        </w:tc>
      </w:tr>
      <w:tr w:rsidR="0025066F" w:rsidTr="00056D0A" w14:paraId="66628D4C" w14:textId="77777777">
        <w:tc>
          <w:tcPr>
            <w:tcW w:w="675" w:type="dxa"/>
          </w:tcPr>
          <w:p w:rsidR="0025066F" w:rsidP="005B72B0" w:rsidRDefault="0025066F" w14:paraId="3E407D52" w14:textId="77777777">
            <w:r>
              <w:t>2021</w:t>
            </w:r>
          </w:p>
        </w:tc>
        <w:tc>
          <w:tcPr>
            <w:tcW w:w="1701" w:type="dxa"/>
          </w:tcPr>
          <w:p w:rsidR="0025066F" w:rsidP="005B72B0" w:rsidRDefault="0025066F" w14:paraId="4B148D4D" w14:textId="77777777">
            <w:pPr>
              <w:jc w:val="right"/>
            </w:pPr>
            <w:r>
              <w:t>23,00%</w:t>
            </w:r>
          </w:p>
        </w:tc>
        <w:tc>
          <w:tcPr>
            <w:tcW w:w="2268" w:type="dxa"/>
          </w:tcPr>
          <w:p w:rsidR="0025066F" w:rsidP="005B72B0" w:rsidRDefault="0025066F" w14:paraId="6E7DACFE" w14:textId="77777777">
            <w:pPr>
              <w:jc w:val="right"/>
            </w:pPr>
            <w:r>
              <w:t>61,84%</w:t>
            </w:r>
          </w:p>
        </w:tc>
      </w:tr>
      <w:tr w:rsidR="0025066F" w:rsidTr="00056D0A" w14:paraId="6915B581" w14:textId="77777777">
        <w:tc>
          <w:tcPr>
            <w:tcW w:w="675" w:type="dxa"/>
          </w:tcPr>
          <w:p w:rsidR="0025066F" w:rsidP="005B72B0" w:rsidRDefault="0025066F" w14:paraId="6DD394B8" w14:textId="77777777">
            <w:r>
              <w:t>2022</w:t>
            </w:r>
          </w:p>
        </w:tc>
        <w:tc>
          <w:tcPr>
            <w:tcW w:w="1701" w:type="dxa"/>
          </w:tcPr>
          <w:p w:rsidR="0025066F" w:rsidP="005B72B0" w:rsidRDefault="0025066F" w14:paraId="68FD3733" w14:textId="77777777">
            <w:pPr>
              <w:jc w:val="right"/>
            </w:pPr>
            <w:r>
              <w:t>21,26%</w:t>
            </w:r>
          </w:p>
        </w:tc>
        <w:tc>
          <w:tcPr>
            <w:tcW w:w="2268" w:type="dxa"/>
          </w:tcPr>
          <w:p w:rsidR="0025066F" w:rsidP="005B72B0" w:rsidRDefault="0025066F" w14:paraId="553B9025" w14:textId="77777777">
            <w:pPr>
              <w:jc w:val="right"/>
            </w:pPr>
            <w:r>
              <w:t>91,81%</w:t>
            </w:r>
          </w:p>
        </w:tc>
      </w:tr>
      <w:tr w:rsidR="0025066F" w:rsidTr="00056D0A" w14:paraId="47DFD80D" w14:textId="77777777">
        <w:tc>
          <w:tcPr>
            <w:tcW w:w="675" w:type="dxa"/>
          </w:tcPr>
          <w:p w:rsidR="0025066F" w:rsidP="005B72B0" w:rsidRDefault="0025066F" w14:paraId="00E0FC72" w14:textId="77777777">
            <w:r>
              <w:t>2023</w:t>
            </w:r>
          </w:p>
        </w:tc>
        <w:tc>
          <w:tcPr>
            <w:tcW w:w="1701" w:type="dxa"/>
          </w:tcPr>
          <w:p w:rsidR="0025066F" w:rsidP="005B72B0" w:rsidRDefault="0025066F" w14:paraId="52414814" w14:textId="77777777">
            <w:pPr>
              <w:jc w:val="right"/>
            </w:pPr>
            <w:r>
              <w:t>58,22%</w:t>
            </w:r>
          </w:p>
        </w:tc>
        <w:tc>
          <w:tcPr>
            <w:tcW w:w="2268" w:type="dxa"/>
          </w:tcPr>
          <w:p w:rsidR="0025066F" w:rsidP="005B72B0" w:rsidRDefault="0025066F" w14:paraId="2D76F69E" w14:textId="77777777">
            <w:pPr>
              <w:jc w:val="right"/>
            </w:pPr>
            <w:r>
              <w:t>99,62%</w:t>
            </w:r>
          </w:p>
        </w:tc>
      </w:tr>
      <w:tr w:rsidR="0025066F" w:rsidTr="00056D0A" w14:paraId="52E8CF80" w14:textId="77777777">
        <w:tc>
          <w:tcPr>
            <w:tcW w:w="675" w:type="dxa"/>
          </w:tcPr>
          <w:p w:rsidR="0025066F" w:rsidP="005B72B0" w:rsidRDefault="0025066F" w14:paraId="71703D97" w14:textId="77777777">
            <w:r>
              <w:t>2024</w:t>
            </w:r>
          </w:p>
        </w:tc>
        <w:tc>
          <w:tcPr>
            <w:tcW w:w="1701" w:type="dxa"/>
          </w:tcPr>
          <w:p w:rsidR="0025066F" w:rsidP="005B72B0" w:rsidRDefault="0025066F" w14:paraId="79F7C602" w14:textId="77777777">
            <w:pPr>
              <w:jc w:val="right"/>
            </w:pPr>
            <w:r>
              <w:t>52,88%</w:t>
            </w:r>
          </w:p>
        </w:tc>
        <w:tc>
          <w:tcPr>
            <w:tcW w:w="2268" w:type="dxa"/>
          </w:tcPr>
          <w:p w:rsidR="0025066F" w:rsidP="005B72B0" w:rsidRDefault="0025066F" w14:paraId="31743A2E" w14:textId="77777777">
            <w:pPr>
              <w:jc w:val="right"/>
            </w:pPr>
            <w:r>
              <w:t>88,88%</w:t>
            </w:r>
          </w:p>
        </w:tc>
      </w:tr>
    </w:tbl>
    <w:p w:rsidRPr="00EF0890" w:rsidR="0025066F" w:rsidP="005B72B0" w:rsidRDefault="0025066F" w14:paraId="486D44B4" w14:textId="77777777">
      <w:pPr>
        <w:rPr>
          <w:i/>
        </w:rPr>
      </w:pPr>
      <w:r>
        <w:rPr>
          <w:i/>
          <w:iCs/>
        </w:rPr>
        <w:t xml:space="preserve">Bron: </w:t>
      </w:r>
      <w:r w:rsidRPr="00EF0890">
        <w:rPr>
          <w:i/>
          <w:iCs/>
        </w:rPr>
        <w:t>https://agsi.gie.eu/data-overview/NL</w:t>
      </w:r>
    </w:p>
    <w:p w:rsidR="0025066F" w:rsidP="005B72B0" w:rsidRDefault="0025066F" w14:paraId="22F19A1D" w14:textId="77777777"/>
    <w:p w:rsidR="0025066F" w:rsidP="005B72B0" w:rsidRDefault="009949E1" w14:paraId="29B21384" w14:textId="0CDA44E2">
      <w:r>
        <w:t xml:space="preserve">Deze tabel laat zien dat er in meerdere jaren, bijvoorbeeld in 2018, op 1 april sprake was van een vulgraad (ruim) lager dan 30% of zelfs 20% en dat het daarna mogelijk was om de gasopslagen weer nagenoeg volledig te vullen. </w:t>
      </w:r>
      <w:r w:rsidR="0025066F">
        <w:t xml:space="preserve">Deze tabel laat </w:t>
      </w:r>
      <w:r>
        <w:t xml:space="preserve">ook </w:t>
      </w:r>
      <w:r w:rsidR="0025066F">
        <w:t xml:space="preserve">zien dat er in de afgelopen twee jaar sprake was van een uitzonderlijk hoge vulgraad aan het einde van de winter. Verder laat alleen 2021 op 1 november een substantieel lagere vulgraad zien dan andere jaren. Dit kwam omdat Gazprom in dat jaar, in tegenstelling tot </w:t>
      </w:r>
      <w:r w:rsidR="00A00E0A">
        <w:t xml:space="preserve">de </w:t>
      </w:r>
      <w:r w:rsidR="0025066F">
        <w:t>jaren</w:t>
      </w:r>
      <w:r w:rsidR="00A00E0A">
        <w:t xml:space="preserve"> daarvoor</w:t>
      </w:r>
      <w:r w:rsidR="0025066F">
        <w:t xml:space="preserve">, geen gas opsloeg in gasopslag Bergermeer. </w:t>
      </w:r>
      <w:r w:rsidR="00884121">
        <w:t>In al deze jaren gold verder ook, dat het verschil tussen de zomer- en winterprijs</w:t>
      </w:r>
      <w:r w:rsidR="00995291">
        <w:t xml:space="preserve">, </w:t>
      </w:r>
      <w:r w:rsidR="00884121">
        <w:t>de zogenoemde ‘spread’</w:t>
      </w:r>
      <w:r w:rsidR="00995291">
        <w:t xml:space="preserve">, </w:t>
      </w:r>
      <w:r w:rsidR="00884121">
        <w:t>tijdens het vulseizoen positief is geweest of geworden</w:t>
      </w:r>
      <w:r w:rsidR="00995291">
        <w:t xml:space="preserve">. Ook als die spread negatief was voor of aan het begin van het vulseizoen, zoals nu het geval is. Dit wordt hierna  </w:t>
      </w:r>
      <w:r w:rsidR="00884121">
        <w:t xml:space="preserve">toegelicht. </w:t>
      </w:r>
    </w:p>
    <w:p w:rsidR="0025066F" w:rsidP="005B72B0" w:rsidRDefault="0025066F" w14:paraId="3B9CB0D5" w14:textId="77777777">
      <w:pPr>
        <w:rPr>
          <w:b/>
          <w:bCs/>
        </w:rPr>
      </w:pPr>
    </w:p>
    <w:p w:rsidR="00995291" w:rsidRDefault="00995291" w14:paraId="3AA1E755" w14:textId="77777777">
      <w:pPr>
        <w:spacing w:line="240" w:lineRule="auto"/>
        <w:rPr>
          <w:b/>
          <w:bCs/>
        </w:rPr>
      </w:pPr>
      <w:r>
        <w:rPr>
          <w:b/>
          <w:bCs/>
        </w:rPr>
        <w:br w:type="page"/>
      </w:r>
    </w:p>
    <w:p w:rsidRPr="00CC5961" w:rsidR="00173519" w:rsidP="005B72B0" w:rsidRDefault="00173519" w14:paraId="2FCA8345" w14:textId="4611F99D">
      <w:pPr>
        <w:rPr>
          <w:b/>
          <w:bCs/>
        </w:rPr>
      </w:pPr>
      <w:r w:rsidRPr="00CC5961">
        <w:rPr>
          <w:b/>
          <w:bCs/>
        </w:rPr>
        <w:t>Ontwikkeling van gasprijzen op de groothandelsmarkt</w:t>
      </w:r>
    </w:p>
    <w:p w:rsidR="00173519" w:rsidP="005B72B0" w:rsidRDefault="00173519" w14:paraId="200AEB2A" w14:textId="77777777"/>
    <w:p w:rsidR="00B301E0" w:rsidP="005B72B0" w:rsidRDefault="00F83C2C" w14:paraId="402F8824" w14:textId="690CA838">
      <w:r>
        <w:t>Zoals</w:t>
      </w:r>
      <w:r w:rsidR="00704F12">
        <w:t xml:space="preserve"> toegelicht in de brief van 14 januari jl., </w:t>
      </w:r>
      <w:r w:rsidR="006D738E">
        <w:t xml:space="preserve">laten analyses zien dat de </w:t>
      </w:r>
      <w:r w:rsidR="00CB618C">
        <w:t xml:space="preserve">lange termijn gasprijs op de groothandelsmarkt betrekkelijk stabiel is, maar </w:t>
      </w:r>
      <w:r w:rsidR="0048199A">
        <w:t xml:space="preserve">op de korte termijn </w:t>
      </w:r>
      <w:r w:rsidR="00CB618C">
        <w:t>relatief sterke reacties laat zien bij</w:t>
      </w:r>
      <w:r w:rsidR="00535635">
        <w:t xml:space="preserve"> ontwikkelingen die van invloed kunnen zijn op de gasvraag of </w:t>
      </w:r>
      <w:r w:rsidR="009669AD">
        <w:t>-</w:t>
      </w:r>
      <w:r w:rsidR="00535635">
        <w:t>aanbod</w:t>
      </w:r>
      <w:r w:rsidR="001570B0">
        <w:t xml:space="preserve"> en </w:t>
      </w:r>
      <w:r w:rsidR="009669AD">
        <w:t xml:space="preserve">het </w:t>
      </w:r>
      <w:r w:rsidR="001570B0">
        <w:t xml:space="preserve">transport van gas. </w:t>
      </w:r>
    </w:p>
    <w:p w:rsidR="00B301E0" w:rsidP="005B72B0" w:rsidRDefault="00B301E0" w14:paraId="27528E0B" w14:textId="77777777"/>
    <w:p w:rsidR="005B72B0" w:rsidP="005B72B0" w:rsidRDefault="006540FF" w14:paraId="17C8A5F1" w14:textId="3DCA72F6">
      <w:r>
        <w:t>Op dit moment (</w:t>
      </w:r>
      <w:r w:rsidR="00212D3C">
        <w:t xml:space="preserve">peildatum </w:t>
      </w:r>
      <w:r w:rsidR="00836777">
        <w:t>1</w:t>
      </w:r>
      <w:r>
        <w:t>3 februari</w:t>
      </w:r>
      <w:r w:rsidR="006F42E1">
        <w:t xml:space="preserve">) </w:t>
      </w:r>
      <w:r w:rsidR="000013DB">
        <w:t>s</w:t>
      </w:r>
      <w:r w:rsidR="00253C2A">
        <w:t>taat de gasprijs op de</w:t>
      </w:r>
      <w:r w:rsidR="00534181">
        <w:t xml:space="preserve"> </w:t>
      </w:r>
      <w:r w:rsidR="00253C2A">
        <w:t>T</w:t>
      </w:r>
      <w:r w:rsidR="00534181">
        <w:t>i</w:t>
      </w:r>
      <w:r w:rsidR="00253C2A">
        <w:t xml:space="preserve">tle Transfer Facility (TTF) </w:t>
      </w:r>
      <w:r w:rsidR="00534181">
        <w:t xml:space="preserve">op € </w:t>
      </w:r>
      <w:r w:rsidR="00531A6B">
        <w:t>5</w:t>
      </w:r>
      <w:r w:rsidR="00836777">
        <w:t>1</w:t>
      </w:r>
      <w:r w:rsidR="008A60EC">
        <w:t>,</w:t>
      </w:r>
      <w:r w:rsidR="00836777">
        <w:t>38</w:t>
      </w:r>
      <w:r w:rsidR="00531A6B">
        <w:t>/</w:t>
      </w:r>
      <w:r w:rsidR="003716AE">
        <w:t>M</w:t>
      </w:r>
      <w:r w:rsidR="00531A6B">
        <w:t>Wh</w:t>
      </w:r>
      <w:r w:rsidR="003716AE">
        <w:t xml:space="preserve">, dat is € </w:t>
      </w:r>
      <w:r w:rsidR="00836777">
        <w:t>6,47</w:t>
      </w:r>
      <w:r w:rsidR="003716AE">
        <w:t xml:space="preserve">/MWh </w:t>
      </w:r>
      <w:r w:rsidR="00262C4A">
        <w:t xml:space="preserve">hoger dan op </w:t>
      </w:r>
    </w:p>
    <w:p w:rsidR="00B51006" w:rsidP="005B72B0" w:rsidRDefault="00EE51A0" w14:paraId="454CB9D0" w14:textId="685BF3A5">
      <w:r>
        <w:t>9 januari</w:t>
      </w:r>
      <w:r w:rsidR="00262C4A">
        <w:t xml:space="preserve"> </w:t>
      </w:r>
      <w:r>
        <w:t>2025</w:t>
      </w:r>
      <w:r w:rsidR="00330C0B">
        <w:t xml:space="preserve"> </w:t>
      </w:r>
      <w:r w:rsidR="00262C4A">
        <w:t>het geval was</w:t>
      </w:r>
      <w:r>
        <w:t xml:space="preserve"> (de peildatum in de kamerbrief van 14 januari jl.)</w:t>
      </w:r>
      <w:r w:rsidR="00262C4A">
        <w:t>.</w:t>
      </w:r>
      <w:r>
        <w:t xml:space="preserve"> Toen stond de gasprijs op € 44,91/MWh</w:t>
      </w:r>
      <w:r w:rsidR="007571B0">
        <w:t>.</w:t>
      </w:r>
      <w:r w:rsidR="00262C4A">
        <w:t xml:space="preserve"> Een </w:t>
      </w:r>
      <w:r w:rsidR="00085C1B">
        <w:t xml:space="preserve">belangrijke </w:t>
      </w:r>
      <w:r w:rsidR="00262C4A">
        <w:t xml:space="preserve">oorzaak </w:t>
      </w:r>
      <w:r w:rsidR="007571B0">
        <w:t>voor de prijsstijging</w:t>
      </w:r>
      <w:r w:rsidR="00262C4A">
        <w:t xml:space="preserve"> is dat</w:t>
      </w:r>
      <w:r w:rsidR="007571B0">
        <w:t xml:space="preserve"> de vraag relatief hoog is. Het was</w:t>
      </w:r>
      <w:r w:rsidR="00262C4A">
        <w:t xml:space="preserve"> in</w:t>
      </w:r>
      <w:r w:rsidR="00637330">
        <w:t xml:space="preserve"> </w:t>
      </w:r>
      <w:r w:rsidR="00262C4A">
        <w:t xml:space="preserve">de afgelopen periode </w:t>
      </w:r>
      <w:r w:rsidR="002D7598">
        <w:t>koud, kouder dan de afgelopen twee jaren toen we te maken hadd</w:t>
      </w:r>
      <w:r w:rsidR="00CD7AA5">
        <w:t>e</w:t>
      </w:r>
      <w:r w:rsidR="002D7598">
        <w:t xml:space="preserve">n </w:t>
      </w:r>
      <w:r w:rsidR="00CD7AA5">
        <w:t xml:space="preserve">met </w:t>
      </w:r>
      <w:r w:rsidR="00A00E0A">
        <w:t xml:space="preserve">relatief </w:t>
      </w:r>
      <w:r w:rsidR="00CD7AA5">
        <w:t xml:space="preserve">warmere winters. </w:t>
      </w:r>
      <w:r w:rsidR="00552382">
        <w:t>Daarnaast</w:t>
      </w:r>
      <w:r w:rsidR="00A402E3">
        <w:t xml:space="preserve"> was er de afgelopen</w:t>
      </w:r>
      <w:r w:rsidR="00A527AE">
        <w:t xml:space="preserve"> periode </w:t>
      </w:r>
      <w:r w:rsidR="007571B0">
        <w:t>opnieuw</w:t>
      </w:r>
      <w:r w:rsidR="007A5B73">
        <w:t xml:space="preserve"> </w:t>
      </w:r>
      <w:r w:rsidR="00A527AE">
        <w:t>maar weinig windenergie beschikbaar</w:t>
      </w:r>
      <w:r w:rsidR="00A00E0A">
        <w:t>,</w:t>
      </w:r>
      <w:r w:rsidR="00A527AE">
        <w:t xml:space="preserve"> met als gevolg dat </w:t>
      </w:r>
      <w:r w:rsidR="004739A3">
        <w:t>wederom</w:t>
      </w:r>
      <w:r w:rsidR="007A5B73">
        <w:t xml:space="preserve"> een groter </w:t>
      </w:r>
      <w:r w:rsidR="00494D21">
        <w:t>b</w:t>
      </w:r>
      <w:r w:rsidR="007A5B73">
        <w:t xml:space="preserve">eroep is gedaan op de gasgestookte </w:t>
      </w:r>
      <w:r w:rsidR="004739A3">
        <w:t>elektriciteits</w:t>
      </w:r>
      <w:r w:rsidR="007A5B73">
        <w:t xml:space="preserve">centrales. </w:t>
      </w:r>
      <w:r w:rsidR="00B51006">
        <w:t xml:space="preserve">Tegelijkertijd </w:t>
      </w:r>
      <w:r w:rsidR="00433540">
        <w:t>melden diverse media</w:t>
      </w:r>
      <w:r w:rsidR="00433540">
        <w:rPr>
          <w:rStyle w:val="Voetnootmarkering"/>
        </w:rPr>
        <w:footnoteReference w:id="6"/>
      </w:r>
      <w:r w:rsidR="00433540">
        <w:t xml:space="preserve"> en marktanalisten</w:t>
      </w:r>
      <w:r w:rsidR="00E83698">
        <w:rPr>
          <w:rStyle w:val="Voetnootmarkering"/>
        </w:rPr>
        <w:footnoteReference w:id="7"/>
      </w:r>
      <w:r w:rsidR="00433540">
        <w:t xml:space="preserve"> dat</w:t>
      </w:r>
      <w:r w:rsidR="008C341E">
        <w:t>, mede</w:t>
      </w:r>
      <w:r w:rsidR="00B51006">
        <w:t xml:space="preserve"> vanwege de actuele prijzen, er meer LNG onderweg is naar de EU. Dit kan weer een dempend effect hebben op de prijzen op de korte termijn. </w:t>
      </w:r>
    </w:p>
    <w:p w:rsidR="00330C0B" w:rsidP="005B72B0" w:rsidRDefault="00330C0B" w14:paraId="3E99C650" w14:textId="77777777"/>
    <w:p w:rsidR="0097643C" w:rsidP="005B72B0" w:rsidRDefault="002A73AA" w14:paraId="5EE8EB19" w14:textId="559B5ACA">
      <w:r>
        <w:t xml:space="preserve">Voor de rest van 2025 </w:t>
      </w:r>
      <w:r w:rsidR="0097643C">
        <w:t xml:space="preserve">en de periode daarna zien we op dit moment een aantal belangrijke </w:t>
      </w:r>
      <w:r w:rsidR="004B458B">
        <w:t>ontwikkelingen die van invloed zijn op de prijzen op de groothandelsmarkt</w:t>
      </w:r>
      <w:r w:rsidR="0097643C">
        <w:t xml:space="preserve">. </w:t>
      </w:r>
    </w:p>
    <w:p w:rsidR="0097643C" w:rsidP="005B72B0" w:rsidRDefault="0097643C" w14:paraId="6F16BA78" w14:textId="77777777"/>
    <w:p w:rsidR="0097643C" w:rsidP="005B72B0" w:rsidRDefault="00836777" w14:paraId="107C6550" w14:textId="3D13C057">
      <w:r>
        <w:t>Een belangrijk gegeven is dat er</w:t>
      </w:r>
      <w:r w:rsidR="0097643C">
        <w:t xml:space="preserve"> pas in de loop van de winter 2025/26 nieuw aanbod bij komt op de wereldmarkt, met name door uitbreiding van LNG-productie. Daardoor zien</w:t>
      </w:r>
      <w:r w:rsidR="004B458B">
        <w:t xml:space="preserve"> we</w:t>
      </w:r>
      <w:r w:rsidR="0097643C">
        <w:t xml:space="preserve">, op basis van de huidige prijsnoteringen, dat de prijzen na de winter van 2025/26 </w:t>
      </w:r>
      <w:r w:rsidR="004B458B">
        <w:t>dalen en ook b</w:t>
      </w:r>
      <w:r w:rsidR="0097643C">
        <w:t xml:space="preserve">lijven dalen in de jaren daarna. </w:t>
      </w:r>
    </w:p>
    <w:p w:rsidR="0097643C" w:rsidP="005B72B0" w:rsidRDefault="0097643C" w14:paraId="4E36303B" w14:textId="77777777"/>
    <w:p w:rsidR="004B458B" w:rsidP="005B72B0" w:rsidRDefault="0097643C" w14:paraId="7EB22877" w14:textId="52587144">
      <w:r>
        <w:t>Echter, voordat het zover is, geldt voor de rest van 2025 dat de mondiale gasmarkt weliswaar in balans is, maar nog wel krap is met relatief hoge prijzen als gevolg. Dit blijkt onder meer uit het ‘Gas Market Report Q1-2025’ van 21 januari 2025 van het Internationaal Energie Agentschap (IEA).</w:t>
      </w:r>
      <w:r>
        <w:rPr>
          <w:rStyle w:val="Voetnootmarkering"/>
        </w:rPr>
        <w:footnoteReference w:id="8"/>
      </w:r>
      <w:r w:rsidR="004B458B">
        <w:t xml:space="preserve"> </w:t>
      </w:r>
      <w:r>
        <w:t>Deze krapte</w:t>
      </w:r>
      <w:r w:rsidR="004B458B">
        <w:t xml:space="preserve"> op de wereldmarkt komt door de toenemende vraag in de loop van 2025, onder andere door de toenemende LNG-vraag in Azië. </w:t>
      </w:r>
    </w:p>
    <w:p w:rsidR="004B458B" w:rsidP="005B72B0" w:rsidRDefault="004B458B" w14:paraId="0C85411A" w14:textId="77777777"/>
    <w:p w:rsidRPr="006E1A60" w:rsidR="005A03C3" w:rsidP="005B72B0" w:rsidRDefault="00193533" w14:paraId="0205618B" w14:textId="46ED3D9F">
      <w:r>
        <w:t>In de EU</w:t>
      </w:r>
      <w:r w:rsidR="004B458B">
        <w:t xml:space="preserve"> speelt bovendien mee dat de vulverplichtingen aankomend vulseizoen leiden tot een hoge gasvraag in de zomer en daardoor op dit moment tot een hoge zomerprijs: hoger dan de prijs in de winter, wanneer er weer nieuw aanbod op de markt komt. Dat kan als volgt worden toegelicht: </w:t>
      </w:r>
      <w:r w:rsidR="00DA4B4B">
        <w:t>de vulverplichtingen die volgen uit Verordening (EU) 2017/1938</w:t>
      </w:r>
      <w:r w:rsidR="005B3E73">
        <w:t xml:space="preserve"> </w:t>
      </w:r>
      <w:r w:rsidR="007B472F">
        <w:t>leiden tot een naar verwachting hoge</w:t>
      </w:r>
      <w:r w:rsidR="0025066F">
        <w:t>re</w:t>
      </w:r>
      <w:r w:rsidR="007B472F">
        <w:t xml:space="preserve"> vraag </w:t>
      </w:r>
      <w:r w:rsidR="002D6E94">
        <w:t>in de periode april tot en met oktober</w:t>
      </w:r>
      <w:r w:rsidR="0025066F">
        <w:t xml:space="preserve"> dan </w:t>
      </w:r>
      <w:r w:rsidR="00A00E0A">
        <w:t xml:space="preserve">in </w:t>
      </w:r>
      <w:r w:rsidR="0025066F">
        <w:t>de afgelopen twee jaren</w:t>
      </w:r>
      <w:r w:rsidR="00163474">
        <w:t xml:space="preserve">. Er moet dan </w:t>
      </w:r>
      <w:r w:rsidR="00F863B8">
        <w:t xml:space="preserve">immers </w:t>
      </w:r>
      <w:r w:rsidR="00163474">
        <w:t xml:space="preserve">gas worden ingekocht om de gasopslagen te vullen. </w:t>
      </w:r>
      <w:r w:rsidR="00096B56">
        <w:t xml:space="preserve">Dat gaat </w:t>
      </w:r>
      <w:r w:rsidR="00E36031">
        <w:t>om een significante hoeveelheid, mede omdat</w:t>
      </w:r>
      <w:r w:rsidR="001E35EC">
        <w:t xml:space="preserve"> er deze winter</w:t>
      </w:r>
      <w:r w:rsidR="00627436">
        <w:t>, als gevolg van de hiervoor genoemde omstandigheden</w:t>
      </w:r>
      <w:r w:rsidR="00477B0F">
        <w:t>, een grote</w:t>
      </w:r>
      <w:r w:rsidR="00C21EB6">
        <w:t>r</w:t>
      </w:r>
      <w:r w:rsidR="00477B0F">
        <w:t xml:space="preserve"> beroep is en wordt gedaan op de gasopslagen dan</w:t>
      </w:r>
      <w:r w:rsidR="00A52B45">
        <w:t xml:space="preserve"> in</w:t>
      </w:r>
      <w:r w:rsidR="00477B0F">
        <w:t xml:space="preserve"> </w:t>
      </w:r>
      <w:r w:rsidR="00CF1199">
        <w:t>de twee</w:t>
      </w:r>
      <w:r w:rsidR="00477B0F">
        <w:t xml:space="preserve"> voorgaande jare</w:t>
      </w:r>
      <w:r w:rsidR="003956C2">
        <w:t>n</w:t>
      </w:r>
      <w:r w:rsidR="000362CE">
        <w:t xml:space="preserve">. </w:t>
      </w:r>
    </w:p>
    <w:p w:rsidR="005A03C3" w:rsidP="005B72B0" w:rsidRDefault="005A03C3" w14:paraId="7D65D59C" w14:textId="77777777"/>
    <w:p w:rsidR="004F68CD" w:rsidP="005B72B0" w:rsidRDefault="004F68CD" w14:paraId="10E6B0F5" w14:textId="14514AA7">
      <w:r>
        <w:t>Dit leidt ertoe, zoals ook aa</w:t>
      </w:r>
      <w:r w:rsidR="00F1054E">
        <w:t xml:space="preserve">ngegeven in </w:t>
      </w:r>
      <w:r w:rsidR="00E96C39">
        <w:t xml:space="preserve">de antwoorden van 4 februari </w:t>
      </w:r>
      <w:r w:rsidR="007F3D9C">
        <w:t xml:space="preserve">jl. </w:t>
      </w:r>
      <w:r w:rsidR="00E96C39">
        <w:t xml:space="preserve">op </w:t>
      </w:r>
      <w:r w:rsidR="00F1054E">
        <w:t>de vragen van het lid Erkens (VVD)</w:t>
      </w:r>
      <w:r w:rsidR="00131CA9">
        <w:rPr>
          <w:rStyle w:val="Voetnootmarkering"/>
        </w:rPr>
        <w:footnoteReference w:id="9"/>
      </w:r>
      <w:r w:rsidR="00F1054E">
        <w:t xml:space="preserve">, </w:t>
      </w:r>
      <w:r w:rsidR="007A0084">
        <w:t>dat in tegenstelling tot w</w:t>
      </w:r>
      <w:r w:rsidR="004312C1">
        <w:t>at</w:t>
      </w:r>
      <w:r w:rsidR="007A0084">
        <w:t xml:space="preserve"> normaal gesproken het ge</w:t>
      </w:r>
      <w:r w:rsidR="005F34DD">
        <w:t>val is op de groothandelsmarkt</w:t>
      </w:r>
      <w:r w:rsidR="00CE3550">
        <w:t>,</w:t>
      </w:r>
      <w:r w:rsidR="005F34DD">
        <w:t xml:space="preserve"> de prijzen voor gas in het aankomende vulseizoen </w:t>
      </w:r>
      <w:r w:rsidR="00A52B45">
        <w:t xml:space="preserve">op dit moment </w:t>
      </w:r>
      <w:r w:rsidR="005F34DD">
        <w:t xml:space="preserve">hoger </w:t>
      </w:r>
      <w:r w:rsidR="004312C1">
        <w:t xml:space="preserve">zijn </w:t>
      </w:r>
      <w:r w:rsidR="005F34DD">
        <w:t>dan de gasprijzen voor de daaropvolgende winter (2025/</w:t>
      </w:r>
      <w:r w:rsidR="00A53376">
        <w:t>2</w:t>
      </w:r>
      <w:r w:rsidR="005F34DD">
        <w:t>6).</w:t>
      </w:r>
      <w:r w:rsidRPr="008A6B29" w:rsidR="008A6B29">
        <w:t xml:space="preserve"> </w:t>
      </w:r>
      <w:r w:rsidR="007D7397">
        <w:t xml:space="preserve">Dit noemen we een negatieve spread. </w:t>
      </w:r>
      <w:r w:rsidR="008A6B29">
        <w:t>Dit maakt het voor</w:t>
      </w:r>
      <w:r w:rsidR="007F3D9C">
        <w:t xml:space="preserve"> </w:t>
      </w:r>
      <w:r w:rsidR="008A6B29">
        <w:t>marktpartijen vooralsnog verlies</w:t>
      </w:r>
      <w:r w:rsidR="00B65422">
        <w:t>latend</w:t>
      </w:r>
      <w:r w:rsidR="008A6B29">
        <w:t xml:space="preserve"> om gas op te slaan of om gas in de opslag te houden</w:t>
      </w:r>
      <w:r w:rsidR="002417D9">
        <w:t xml:space="preserve">. </w:t>
      </w:r>
      <w:r w:rsidR="00D60611">
        <w:t xml:space="preserve">Dit effect </w:t>
      </w:r>
      <w:r w:rsidR="008D1D0E">
        <w:t>dreigt</w:t>
      </w:r>
      <w:r w:rsidR="00600A9C">
        <w:t xml:space="preserve"> </w:t>
      </w:r>
      <w:r w:rsidR="00075148">
        <w:t>verste</w:t>
      </w:r>
      <w:r w:rsidR="00600A9C">
        <w:t xml:space="preserve">rkt </w:t>
      </w:r>
      <w:r w:rsidR="00443529">
        <w:t>te w</w:t>
      </w:r>
      <w:r w:rsidR="000C4E0F">
        <w:t>orden</w:t>
      </w:r>
      <w:r w:rsidR="00D50718">
        <w:t xml:space="preserve"> als lidstaten nationale en niet onderling afgestemde </w:t>
      </w:r>
      <w:r w:rsidR="008928E8">
        <w:t>maatregelen</w:t>
      </w:r>
      <w:r w:rsidR="00FF3C9C">
        <w:t xml:space="preserve"> gaan nemen om opslagen tijdig en tot een adequaat </w:t>
      </w:r>
      <w:r w:rsidR="006E7986">
        <w:t xml:space="preserve">niveau gevuld </w:t>
      </w:r>
      <w:r w:rsidR="00FF3C9C">
        <w:t>te</w:t>
      </w:r>
      <w:r w:rsidR="006E7986">
        <w:t xml:space="preserve"> krijgen</w:t>
      </w:r>
      <w:r w:rsidR="00825DE9">
        <w:t xml:space="preserve">: </w:t>
      </w:r>
      <w:r w:rsidR="00255C62">
        <w:t xml:space="preserve">dat </w:t>
      </w:r>
      <w:r w:rsidR="007155CE">
        <w:t>zet namelijk extra druk op de zomervra</w:t>
      </w:r>
      <w:r w:rsidR="006D4D9C">
        <w:t xml:space="preserve">ag waardoor (zomer)prijzen </w:t>
      </w:r>
      <w:r w:rsidR="004739A3">
        <w:t xml:space="preserve">nog verder </w:t>
      </w:r>
      <w:r w:rsidR="006D4D9C">
        <w:t xml:space="preserve">stijgen en het verschil met de lagere winterprijs nog groter wordt. </w:t>
      </w:r>
      <w:r w:rsidR="009472B0">
        <w:t xml:space="preserve">In januari was dit zichtbaar toen </w:t>
      </w:r>
      <w:r w:rsidR="0066786D">
        <w:t xml:space="preserve">het Duitse </w:t>
      </w:r>
      <w:r w:rsidR="006B6BBC">
        <w:t xml:space="preserve">samenwerkingsverband van </w:t>
      </w:r>
      <w:r w:rsidR="00B84187">
        <w:t>transmissiesysteembeheerders</w:t>
      </w:r>
      <w:r w:rsidR="00D22CFA">
        <w:t>, T</w:t>
      </w:r>
      <w:r w:rsidR="00BE567D">
        <w:t xml:space="preserve">rading Hub Europe, </w:t>
      </w:r>
      <w:r w:rsidR="000711A1">
        <w:t>een consultatie</w:t>
      </w:r>
      <w:r w:rsidR="00DB1F46">
        <w:t xml:space="preserve"> startte voor </w:t>
      </w:r>
      <w:r w:rsidR="00694D7A">
        <w:t>concept-vulmaatregelen</w:t>
      </w:r>
      <w:r w:rsidR="006D3C5B">
        <w:rPr>
          <w:rStyle w:val="Voetnootmarkering"/>
        </w:rPr>
        <w:footnoteReference w:id="10"/>
      </w:r>
      <w:r w:rsidR="00551DD6">
        <w:t xml:space="preserve">, met een stijging van de </w:t>
      </w:r>
      <w:r w:rsidR="004D3C96">
        <w:t>huidige prijzen en zomer</w:t>
      </w:r>
      <w:r w:rsidR="00551DD6">
        <w:t xml:space="preserve">prijzen als gevolg. </w:t>
      </w:r>
      <w:r w:rsidR="00375255">
        <w:t>Overheidsbeleid kan dus een tegengesteld effect hebben: het kan de negatieve spread tussen de zomer- en de winterprijs van gas</w:t>
      </w:r>
      <w:r w:rsidRPr="00375255" w:rsidR="00375255">
        <w:t xml:space="preserve"> </w:t>
      </w:r>
      <w:r w:rsidR="00375255">
        <w:t xml:space="preserve">versterken, waardoor gasopslag steeds </w:t>
      </w:r>
      <w:r w:rsidR="00A00E0A">
        <w:t xml:space="preserve">duurder en </w:t>
      </w:r>
      <w:r w:rsidR="00375255">
        <w:t>minder aantrekkelijk</w:t>
      </w:r>
      <w:r w:rsidR="007D7397">
        <w:t xml:space="preserve"> wordt</w:t>
      </w:r>
      <w:r w:rsidR="004739A3">
        <w:t>.</w:t>
      </w:r>
    </w:p>
    <w:p w:rsidR="007E1047" w:rsidP="005B72B0" w:rsidRDefault="007E1047" w14:paraId="6D6DE012" w14:textId="77777777"/>
    <w:p w:rsidR="00995E67" w:rsidP="00995E67" w:rsidRDefault="00995E67" w14:paraId="2FFFB6DA" w14:textId="055FC725">
      <w:r>
        <w:t>Meer concreet is het gevolg dat de zomerprijs voor gas op dit moment (</w:t>
      </w:r>
      <w:r w:rsidR="00AA74A8">
        <w:t>1</w:t>
      </w:r>
      <w:r>
        <w:t xml:space="preserve">3 februari 2025) € </w:t>
      </w:r>
      <w:r w:rsidR="00AA74A8">
        <w:t>49</w:t>
      </w:r>
      <w:r>
        <w:t>,6</w:t>
      </w:r>
      <w:r w:rsidR="00AA74A8">
        <w:t>1</w:t>
      </w:r>
      <w:r>
        <w:t>/MWh bedraagt, om vervolgens in de tweede helft van dit jaar, als er dus meer LNG wordt verwacht, te dalen naar een winterprijs van € 4</w:t>
      </w:r>
      <w:r w:rsidR="00AA74A8">
        <w:t>7</w:t>
      </w:r>
      <w:r>
        <w:t>,</w:t>
      </w:r>
      <w:r w:rsidR="00AA74A8">
        <w:t>37</w:t>
      </w:r>
      <w:r>
        <w:t>/MWh. Ook daarna laten de prijzen een dalende lijn zien.</w:t>
      </w:r>
    </w:p>
    <w:p w:rsidR="007571B0" w:rsidP="005B72B0" w:rsidRDefault="007571B0" w14:paraId="25EBCC02" w14:textId="77777777">
      <w:pPr>
        <w:rPr>
          <w:b/>
          <w:bCs/>
        </w:rPr>
      </w:pPr>
    </w:p>
    <w:p w:rsidRPr="007B4D43" w:rsidR="002D3676" w:rsidP="005B72B0" w:rsidRDefault="002D3676" w14:paraId="29E9A3A5" w14:textId="666759C5">
      <w:pPr>
        <w:rPr>
          <w:b/>
          <w:bCs/>
        </w:rPr>
      </w:pPr>
      <w:r w:rsidRPr="007B4D43">
        <w:rPr>
          <w:b/>
          <w:bCs/>
        </w:rPr>
        <w:t>Wat doet het kabinet?</w:t>
      </w:r>
    </w:p>
    <w:p w:rsidR="002D3676" w:rsidP="005B72B0" w:rsidRDefault="002D3676" w14:paraId="35FE2D37" w14:textId="77777777"/>
    <w:p w:rsidR="006E31DC" w:rsidP="005B72B0" w:rsidRDefault="006E31DC" w14:paraId="7B6A3471" w14:textId="4221CE26">
      <w:r>
        <w:t xml:space="preserve">Met het oog op de gasleveringszekerheid blijft het kabinet de rest van de winter waakzaam en houdt </w:t>
      </w:r>
      <w:r w:rsidRPr="00E541EA">
        <w:t>de situatie op de gasmarkt goed in de gaten</w:t>
      </w:r>
      <w:r>
        <w:t>. Daarbij houdt het kabinet oog voor de robuustheid van het gehele gassysteem, zoals het op peil houden van de in Nederland benodigde LNG-importcapaciteit. In 2026 zal de importcapaciteit van de GATE-terminal worden uitgebreid met een additionele doorvoercapaciteit van vier miljard m</w:t>
      </w:r>
      <w:r w:rsidRPr="00F13FA1">
        <w:rPr>
          <w:vertAlign w:val="superscript"/>
        </w:rPr>
        <w:t>3</w:t>
      </w:r>
      <w:r>
        <w:t>/jaar</w:t>
      </w:r>
      <w:r w:rsidR="005269EE">
        <w:t xml:space="preserve"> (bovenop de </w:t>
      </w:r>
      <w:r w:rsidR="000546CB">
        <w:t xml:space="preserve">huidige </w:t>
      </w:r>
      <w:r w:rsidR="0030239D">
        <w:t>capaciteit van 16 miljard m</w:t>
      </w:r>
      <w:r w:rsidRPr="00F13FA1" w:rsidR="0030239D">
        <w:rPr>
          <w:vertAlign w:val="superscript"/>
        </w:rPr>
        <w:t>3</w:t>
      </w:r>
      <w:r w:rsidR="0030239D">
        <w:t>/jaar)</w:t>
      </w:r>
      <w:r>
        <w:t xml:space="preserve">. Daarnaast wordt onderzocht of de LNG-terminal in de Eemshaven, die is aangelegd als tijdelijke terminal tot 2027, tijdelijk kan worden verlengd. Op 3 februari jl. is EemsEnergyTerminal een zogenoemde </w:t>
      </w:r>
      <w:r>
        <w:rPr>
          <w:i/>
          <w:iCs/>
        </w:rPr>
        <w:t xml:space="preserve">open season </w:t>
      </w:r>
      <w:r>
        <w:t>gestart om te peilen of er in de markt interesse bestaat voor de verlenging.</w:t>
      </w:r>
      <w:r>
        <w:rPr>
          <w:rStyle w:val="Voetnootmarkering"/>
        </w:rPr>
        <w:footnoteReference w:id="11"/>
      </w:r>
      <w:r>
        <w:t xml:space="preserve"> </w:t>
      </w:r>
      <w:r w:rsidR="00AE7673">
        <w:t>Uiteraard is het kabinet zich bewust van de broeikasgasemisssies die vrijkomen als gevolg van productie en transport van LNG. In de bijlage bij deze brief gaat het kabinet hier nader op in. Daarbij wordt toegelicht met welke instrumenten het kabinet zich inzet voor het terugdringen van deze emissies, binnen de EU en ook daarbuiten.</w:t>
      </w:r>
    </w:p>
    <w:p w:rsidR="006E31DC" w:rsidP="005B72B0" w:rsidRDefault="006E31DC" w14:paraId="261A6D72" w14:textId="77777777"/>
    <w:p w:rsidR="001F6339" w:rsidP="005B72B0" w:rsidRDefault="006E31DC" w14:paraId="787A419D" w14:textId="77777777">
      <w:r>
        <w:t>Het kabinet heeft ook de volle aandacht voor het aankomende vulseizoen. H</w:t>
      </w:r>
      <w:r w:rsidRPr="00E541EA">
        <w:t>et kabinet</w:t>
      </w:r>
      <w:r>
        <w:t xml:space="preserve"> volgt daarbij niet alleen</w:t>
      </w:r>
      <w:r w:rsidRPr="00E541EA">
        <w:t xml:space="preserve"> de vulgraad</w:t>
      </w:r>
      <w:r>
        <w:t>, maar ook de marktprijzen en daarmee de spread,</w:t>
      </w:r>
      <w:r w:rsidRPr="00E541EA">
        <w:t xml:space="preserve"> op de voet</w:t>
      </w:r>
      <w:r>
        <w:t xml:space="preserve">. Het </w:t>
      </w:r>
      <w:r w:rsidRPr="00E541EA">
        <w:t>kabinet</w:t>
      </w:r>
      <w:r>
        <w:t xml:space="preserve"> kan</w:t>
      </w:r>
      <w:r w:rsidRPr="00E541EA">
        <w:t xml:space="preserve"> – net als eerdere jaren – </w:t>
      </w:r>
      <w:r>
        <w:t xml:space="preserve">indien nodig </w:t>
      </w:r>
      <w:r w:rsidRPr="00E541EA">
        <w:t>via de vultaak van EBN bijspringen als gasopslagen onvoldoende gevuld worden door marktpartijen. Op basis van deze vultaak kan EBN er ook voor kiezen om gas dat EBN al heeft opgeslagen in de opslag te houden (doorrollen).</w:t>
      </w:r>
      <w:r>
        <w:t xml:space="preserve"> Deze vultaak van EBN is echter beperkt in omvang. Eventuele aanvullende maatregelen gaan gepaard met flinke eenmalige kosten als de spreads negatief blijven. </w:t>
      </w:r>
    </w:p>
    <w:p w:rsidR="001F6339" w:rsidP="005B72B0" w:rsidRDefault="001F6339" w14:paraId="6AD1FF60" w14:textId="77777777"/>
    <w:p w:rsidR="007E3EEE" w:rsidP="005B72B0" w:rsidRDefault="001F6339" w14:paraId="2C33852A" w14:textId="47962F2E">
      <w:r>
        <w:t>De afgelopen maanden is door diverse Kamerleden gevraagd of het kabinet niet meer moet doen om gasopslag te stimuleren of bijvoorbeeld de vulambitie moet verhogen. In de bijlage heeft het kabinet</w:t>
      </w:r>
      <w:r w:rsidR="00995994">
        <w:t>, conform de toezegging aan het lid Bontenbal,</w:t>
      </w:r>
      <w:r>
        <w:t xml:space="preserve"> uiteengezet hoe het tot de vulambitie van 80% is gekomen.</w:t>
      </w:r>
      <w:r w:rsidR="00367C3F">
        <w:t xml:space="preserve"> Alvast samengevat: met een vulgraad van 80% gecombineerd met gebruik van de andere bronnen van toevoer (LNG, pijpleidingen en gaswinning in Nederland) is Nederland voorbereid op een gasjaar met een winter zo koud als de koudste winter van de afgelopen dertig jaar, waarbij het ook beperkt</w:t>
      </w:r>
      <w:r w:rsidR="00AA74A8">
        <w:t>e</w:t>
      </w:r>
      <w:r w:rsidR="00367C3F">
        <w:t xml:space="preserve"> uitval van toevoer kan opvangen (gasleveringsnorm) én uitval van technische capaciteit ter grootte van de grootste bron (infrastructuurnorm). </w:t>
      </w:r>
      <w:r w:rsidR="007E3EEE">
        <w:t>Uit de tweede analyse in de bijlage blijkt bovendien dat indien de aanvoer van Noors gas via de zogenoemde Norpipe zou wegvallen, dit in belangrijke mate kan worden opgevangen</w:t>
      </w:r>
      <w:r w:rsidR="00AE7673">
        <w:t xml:space="preserve">. </w:t>
      </w:r>
    </w:p>
    <w:p w:rsidR="007E3EEE" w:rsidP="005B72B0" w:rsidRDefault="007E3EEE" w14:paraId="44904EC9" w14:textId="77777777"/>
    <w:p w:rsidR="001F6339" w:rsidP="005B72B0" w:rsidRDefault="00BA3116" w14:paraId="3A6E5223" w14:textId="2A532542">
      <w:r>
        <w:t>Een hogere vulambitie is in princi</w:t>
      </w:r>
      <w:r w:rsidR="00367C3F">
        <w:t>p</w:t>
      </w:r>
      <w:r>
        <w:t>e mogelijk</w:t>
      </w:r>
      <w:r w:rsidR="001F6339">
        <w:t xml:space="preserve">. Het is hierbij </w:t>
      </w:r>
      <w:r>
        <w:t xml:space="preserve">echter </w:t>
      </w:r>
      <w:r w:rsidR="001F6339">
        <w:t xml:space="preserve">goed om te benoemen dat dit mogelijk averechtse effecten kan hebben en dat hier waarschijnlijk aanvullende maatregelen voor nodig zijn, die geld kosten. We zien deze winter – zoals in deze brief geschetst – dat dergelijke maatregelen en hoge vuldoelen- en ambities, juist een tegengesteld effect kunnen hebben: ze versterken de negatieve spread tussen de zomer- en de winterprijs van gas, waardoor gasopslag steeds </w:t>
      </w:r>
      <w:r w:rsidR="00995994">
        <w:t xml:space="preserve">duurder en </w:t>
      </w:r>
      <w:r w:rsidR="001F6339">
        <w:t>minder aantrekkelijk wordt. Ook in 2022 zagen we hoge gasprijzen in de zomer in reactie op de EU-vuldoelstellingen en na enkele interventies van lidstaten. Ook deze winter zien we dat de gasprijzen sterk reageren op overheidsbeleid: zo had het vastleggen van de verplichte EU-vuldoelstellingen door de Europese Commissie in november een versterkend effect op de negatieve spread tussen de zomerprijzen van 2025 en de winterprijzen van 2026. En</w:t>
      </w:r>
      <w:r w:rsidR="006E1A60">
        <w:t xml:space="preserve"> zoals in hiervoor toegelicht had</w:t>
      </w:r>
      <w:r w:rsidR="001F6339">
        <w:t xml:space="preserve">, meer recent, het aankondigen van een subsidiemaatregel in Duitsland ook een vergelijkbaar effect. Mede om deze redenen, en vanwege de additionele kosten, is het kabinet terughoudend met het verhogen van de vulambitie of om aanvullende vulmaatregelen te nemen. </w:t>
      </w:r>
    </w:p>
    <w:p w:rsidR="001F6339" w:rsidP="005B72B0" w:rsidRDefault="001F6339" w14:paraId="3551CD0D" w14:textId="77777777"/>
    <w:p w:rsidRPr="005F6A53" w:rsidR="001F6339" w:rsidP="005B72B0" w:rsidRDefault="001F6339" w14:paraId="1E343860" w14:textId="77777777">
      <w:pPr>
        <w:rPr>
          <w:b/>
          <w:bCs/>
        </w:rPr>
      </w:pPr>
      <w:r>
        <w:t>Daarnaast kosten vulmaatregelen geld. In opdracht van het ministerie is onderzoek gedaan naar mogelijke vulmaatregelen en de kosten en effectiviteit daarvan.</w:t>
      </w:r>
      <w:r>
        <w:rPr>
          <w:rStyle w:val="Voetnootmarkering"/>
        </w:rPr>
        <w:footnoteReference w:id="12"/>
      </w:r>
      <w:r>
        <w:t xml:space="preserve"> Dit onderzoek laat zien dat iedere maatregel negatieve effecten heeft wat betreft kosten, uitvoerbaarheid, invloed op de gasmarkt en op de economische waarde van gasopslag. Geen enkele maatregel is dus gratis en deze structurele kosten komen waarschijnlijk terecht bij de Nederlandse gasgebruikers. Dit geldt ook voor het aanhouden van een strategische reserve of een noodvoorraad.</w:t>
      </w:r>
      <w:r>
        <w:rPr>
          <w:rStyle w:val="Voetnootmarkering"/>
        </w:rPr>
        <w:footnoteReference w:id="13"/>
      </w:r>
      <w:r>
        <w:t xml:space="preserve"> Daarbij moet bovendien goed gekeken worden onder welke voorwaarden deze voorraad ingezet kan worden. Het is dus belangrijk om te wegen wat extra maatregelen structureel kosten en wat deze maatregelen opbrengen voor de gasleveringszekerheid en stabiliteit op de gasmarkt. De uitkomsten van het onderzoek naar vulmaatregelen worden meegenomen in het wetsvoorstel bestrijden energieleveringscrisis dat op korte termijn in internetconsultatie gaat.</w:t>
      </w:r>
    </w:p>
    <w:p w:rsidR="001F6339" w:rsidP="005B72B0" w:rsidRDefault="001F6339" w14:paraId="21A447FF" w14:textId="77777777"/>
    <w:p w:rsidR="006E31DC" w:rsidP="005B72B0" w:rsidRDefault="001F6339" w14:paraId="33D4B553" w14:textId="280E380D">
      <w:r w:rsidRPr="00B65422">
        <w:t>Kortom,</w:t>
      </w:r>
      <w:r>
        <w:rPr>
          <w:b/>
          <w:bCs/>
        </w:rPr>
        <w:t xml:space="preserve"> </w:t>
      </w:r>
      <w:r w:rsidR="00AA631A">
        <w:t>deze winter</w:t>
      </w:r>
      <w:r>
        <w:t xml:space="preserve"> hebben we</w:t>
      </w:r>
      <w:r w:rsidR="00AA631A">
        <w:t xml:space="preserve"> – mede op basis van informatie uit de sector en uit andere lidstaten –</w:t>
      </w:r>
      <w:r>
        <w:t xml:space="preserve"> </w:t>
      </w:r>
      <w:r w:rsidR="00AA631A">
        <w:t xml:space="preserve">gezien dat overheidsingrijpen een negatief effect kan hebben, het probleem waarvoor de maatregel als oplossing bedoeld is groter kan maken en tot hogere kosten kan leiden voor Nederlandse gasgebruikers. Bij deze realiteit past een zorgvuldige afweging voordat </w:t>
      </w:r>
      <w:r w:rsidR="00DF0F69">
        <w:t>maatregelen worden getroffen</w:t>
      </w:r>
      <w:r w:rsidR="00AA631A">
        <w:t>.</w:t>
      </w:r>
    </w:p>
    <w:p w:rsidR="00DF0F69" w:rsidP="005B72B0" w:rsidRDefault="00DF0F69" w14:paraId="4BDDEA04" w14:textId="77777777"/>
    <w:p w:rsidR="004C6446" w:rsidP="005B72B0" w:rsidRDefault="00DF0F69" w14:paraId="435599C9" w14:textId="4489167A">
      <w:r>
        <w:t xml:space="preserve">Alles overziend blijft het </w:t>
      </w:r>
      <w:r w:rsidR="00E24DCD">
        <w:t xml:space="preserve">voor </w:t>
      </w:r>
      <w:r>
        <w:t xml:space="preserve">de </w:t>
      </w:r>
      <w:r w:rsidR="00AA631A">
        <w:t xml:space="preserve">gasleveringszekerheid </w:t>
      </w:r>
      <w:r w:rsidR="006E31DC">
        <w:t>belangrijk, zoals ook in de vorige update over de stand van zaken op de gasmarkt aangegeven, dat marktpartijen zeker stellen dat ze in hun leveringsverplichtingen kunnen voldoen.</w:t>
      </w:r>
      <w:r w:rsidR="00AA631A">
        <w:t xml:space="preserve"> Hierbij wijst het kabinet erop dat in de Energiewet regels worden gesteld voor leveranciers met</w:t>
      </w:r>
      <w:r w:rsidR="00E24DCD">
        <w:t xml:space="preserve"> een</w:t>
      </w:r>
      <w:r w:rsidR="00AA631A">
        <w:t xml:space="preserve"> vergunning voor de levering aan kleinverbruikers, waaronder dat zij moeten voorzien in een betrouwbare levering. ACM houdt toezicht op de naleving van deze wettelijke verplichtingen. </w:t>
      </w:r>
    </w:p>
    <w:p w:rsidR="00836777" w:rsidP="005B72B0" w:rsidRDefault="00836777" w14:paraId="1BD18E8D" w14:textId="77777777"/>
    <w:p w:rsidR="00322935" w:rsidP="005B72B0" w:rsidRDefault="00322935" w14:paraId="1571C9B8" w14:textId="3B5A8C9F">
      <w:r>
        <w:t>Gezien de ontwikkelingen</w:t>
      </w:r>
      <w:r w:rsidR="007D3DEC">
        <w:t>, zal het kabinet de Kamer na afloop van het winterseizoen (</w:t>
      </w:r>
      <w:r w:rsidR="003B5BFB">
        <w:t xml:space="preserve">in </w:t>
      </w:r>
      <w:r w:rsidR="001F7BED">
        <w:t xml:space="preserve">april 2025) een volgende update over de gasmarkt </w:t>
      </w:r>
      <w:r w:rsidR="006A0986">
        <w:t xml:space="preserve">en gasleveringszekerheid </w:t>
      </w:r>
      <w:r w:rsidR="001F7BED">
        <w:t xml:space="preserve">sturen. </w:t>
      </w:r>
    </w:p>
    <w:p w:rsidR="001F7BED" w:rsidP="005B72B0" w:rsidRDefault="001F7BED" w14:paraId="0AA2C4C4" w14:textId="77777777"/>
    <w:p w:rsidR="001F7BED" w:rsidP="005B72B0" w:rsidRDefault="001F7BED" w14:paraId="3020969C" w14:textId="77777777"/>
    <w:p w:rsidR="001F7BED" w:rsidP="005B72B0" w:rsidRDefault="001F7BED" w14:paraId="5BB4F70E" w14:textId="77777777"/>
    <w:p w:rsidR="00AA631A" w:rsidP="005B72B0" w:rsidRDefault="00AA631A" w14:paraId="13F31958" w14:textId="77777777">
      <w:pPr>
        <w:rPr>
          <w:szCs w:val="18"/>
        </w:rPr>
      </w:pPr>
    </w:p>
    <w:p w:rsidR="00AA631A" w:rsidP="005B72B0" w:rsidRDefault="00AA631A" w14:paraId="5C8F13EE" w14:textId="77777777">
      <w:pPr>
        <w:rPr>
          <w:szCs w:val="18"/>
        </w:rPr>
      </w:pPr>
    </w:p>
    <w:p w:rsidR="00DF0F69" w:rsidP="005B72B0" w:rsidRDefault="00DF0F69" w14:paraId="7BB2314E" w14:textId="77777777">
      <w:pPr>
        <w:rPr>
          <w:szCs w:val="18"/>
        </w:rPr>
      </w:pPr>
    </w:p>
    <w:p w:rsidRPr="00230238" w:rsidR="001F7BED" w:rsidP="005B72B0" w:rsidRDefault="001F7BED" w14:paraId="24BA9E80" w14:textId="251D9A39">
      <w:pPr>
        <w:rPr>
          <w:szCs w:val="18"/>
        </w:rPr>
      </w:pPr>
      <w:r w:rsidRPr="005461DA">
        <w:rPr>
          <w:szCs w:val="18"/>
        </w:rPr>
        <w:t>Sophie Hermans</w:t>
      </w:r>
    </w:p>
    <w:p w:rsidR="0091304D" w:rsidP="005B72B0" w:rsidRDefault="001F7BED" w14:paraId="73133D39" w14:textId="483F0236">
      <w:pPr>
        <w:rPr>
          <w:b/>
          <w:bCs/>
        </w:rPr>
      </w:pPr>
      <w:r>
        <w:rPr>
          <w:szCs w:val="18"/>
        </w:rPr>
        <w:t>Minister van Klimaat en Groene Groei</w:t>
      </w:r>
      <w:r w:rsidR="0091304D">
        <w:rPr>
          <w:b/>
          <w:bCs/>
        </w:rPr>
        <w:br w:type="page"/>
      </w:r>
    </w:p>
    <w:p w:rsidR="001F7BED" w:rsidP="005B72B0" w:rsidRDefault="001F7BED" w14:paraId="227DD20A" w14:textId="0175D79E">
      <w:pPr>
        <w:rPr>
          <w:b/>
        </w:rPr>
      </w:pPr>
      <w:r>
        <w:rPr>
          <w:b/>
          <w:bCs/>
        </w:rPr>
        <w:t xml:space="preserve">Bijlage bij Kamerbrief </w:t>
      </w:r>
      <w:r w:rsidR="001B44DB">
        <w:rPr>
          <w:b/>
          <w:bCs/>
        </w:rPr>
        <w:t xml:space="preserve">Stand van Zaken gasmarkt: toezeggingen aan het lid Bontenbal </w:t>
      </w:r>
    </w:p>
    <w:p w:rsidRPr="0093294A" w:rsidR="001B44DB" w:rsidP="005B72B0" w:rsidRDefault="001B44DB" w14:paraId="4943BAFF" w14:textId="77777777">
      <w:pPr>
        <w:rPr>
          <w:b/>
          <w:bCs/>
        </w:rPr>
      </w:pPr>
    </w:p>
    <w:p w:rsidRPr="00AA5664" w:rsidR="00AA5664" w:rsidP="005B72B0" w:rsidRDefault="002B4431" w14:paraId="718528AF" w14:textId="4AE32A56">
      <w:pPr>
        <w:pStyle w:val="Lijstalinea"/>
        <w:numPr>
          <w:ilvl w:val="0"/>
          <w:numId w:val="24"/>
        </w:numPr>
        <w:rPr>
          <w:b/>
          <w:bCs/>
        </w:rPr>
      </w:pPr>
      <w:r>
        <w:rPr>
          <w:b/>
          <w:bCs/>
        </w:rPr>
        <w:t xml:space="preserve">Onderbouwing </w:t>
      </w:r>
      <w:r w:rsidR="001B44DB">
        <w:rPr>
          <w:b/>
          <w:bCs/>
        </w:rPr>
        <w:t>80%-</w:t>
      </w:r>
      <w:r>
        <w:rPr>
          <w:b/>
          <w:bCs/>
        </w:rPr>
        <w:t xml:space="preserve">vulambitie voor gasopslagen in Nederland van het kabinet </w:t>
      </w:r>
      <w:r w:rsidRPr="00057B91" w:rsidR="00F22FFC">
        <w:rPr>
          <w:b/>
          <w:bCs/>
        </w:rPr>
        <w:t xml:space="preserve"> </w:t>
      </w:r>
    </w:p>
    <w:p w:rsidR="00F331EF" w:rsidP="005B72B0" w:rsidRDefault="00F331EF" w14:paraId="3853F07C" w14:textId="77777777"/>
    <w:p w:rsidR="00AB02CD" w:rsidP="005B72B0" w:rsidRDefault="007D09E2" w14:paraId="4B147529" w14:textId="4C53C2CF">
      <w:r>
        <w:t>In de update ga</w:t>
      </w:r>
      <w:r w:rsidR="00411786">
        <w:t xml:space="preserve">sleveringszekerheid van </w:t>
      </w:r>
      <w:r w:rsidR="001D1A1D">
        <w:t>30 september jl.</w:t>
      </w:r>
      <w:r w:rsidR="001D1A1D">
        <w:rPr>
          <w:rStyle w:val="Voetnootmarkering"/>
        </w:rPr>
        <w:footnoteReference w:id="14"/>
      </w:r>
      <w:r w:rsidR="00CC56EC">
        <w:t xml:space="preserve"> heeft het kabinet </w:t>
      </w:r>
      <w:r w:rsidR="005569DD">
        <w:t xml:space="preserve">de Nederlandse vulambitie voor </w:t>
      </w:r>
      <w:r w:rsidR="00E833AD">
        <w:t>1 november 2025 uiteengezet, conform de toezegging aan de Eerste Kamer</w:t>
      </w:r>
      <w:r w:rsidR="000D758A">
        <w:t>.</w:t>
      </w:r>
      <w:r w:rsidR="00E833AD">
        <w:rPr>
          <w:rStyle w:val="Voetnootmarkering"/>
        </w:rPr>
        <w:footnoteReference w:id="15"/>
      </w:r>
      <w:r w:rsidR="00E833AD">
        <w:t xml:space="preserve"> </w:t>
      </w:r>
      <w:r w:rsidR="008A591E">
        <w:t xml:space="preserve">Op basis </w:t>
      </w:r>
      <w:r w:rsidR="00F52EEE">
        <w:t>van het GTS overzicht gasleveringszekerheid</w:t>
      </w:r>
      <w:r w:rsidR="00F52EEE">
        <w:rPr>
          <w:rStyle w:val="Voetnootmarkering"/>
        </w:rPr>
        <w:footnoteReference w:id="16"/>
      </w:r>
      <w:r w:rsidR="000D756A">
        <w:t xml:space="preserve"> </w:t>
      </w:r>
      <w:r w:rsidR="00BB49D5">
        <w:t xml:space="preserve">is de vulambitie van het kabinet dat </w:t>
      </w:r>
      <w:r w:rsidR="00D64E6C">
        <w:t>er in</w:t>
      </w:r>
      <w:r w:rsidR="00BB49D5">
        <w:t xml:space="preserve"> de drie seizoensopslagen in Nederland (Norg, Grijpskerk en Bergermeer) en de </w:t>
      </w:r>
      <w:r w:rsidR="000F7B8D">
        <w:t xml:space="preserve">Piekgasinstallatie Alkmaar op 1 november 2025 </w:t>
      </w:r>
      <w:r w:rsidR="008565B0">
        <w:t>minimaal</w:t>
      </w:r>
      <w:r w:rsidR="00D64E6C">
        <w:t xml:space="preserve"> 110 TWh aan gas is opgeslagen. Dit komt overeen met 80% van het opslagvolume van deze vier </w:t>
      </w:r>
      <w:r w:rsidR="00A52B45">
        <w:t>gasopslagen.</w:t>
      </w:r>
    </w:p>
    <w:p w:rsidR="007D09E2" w:rsidP="005B72B0" w:rsidRDefault="007D09E2" w14:paraId="37B85D32" w14:textId="77777777"/>
    <w:p w:rsidRPr="00E44C12" w:rsidR="00E44C12" w:rsidP="005B72B0" w:rsidRDefault="00727CDB" w14:paraId="7AA50680" w14:textId="0CC08549">
      <w:pPr>
        <w:rPr>
          <w:i/>
          <w:iCs/>
        </w:rPr>
      </w:pPr>
      <w:r>
        <w:rPr>
          <w:i/>
          <w:iCs/>
        </w:rPr>
        <w:t>Uitgangspunten vulambitie</w:t>
      </w:r>
    </w:p>
    <w:p w:rsidR="00725897" w:rsidP="005B72B0" w:rsidRDefault="00840A81" w14:paraId="7CA80073" w14:textId="5E2E002A">
      <w:r>
        <w:t>Om tot een gedegen vulambitie te komen heeft GTS de wettelijke taak gekregen om jaarlijks te komen met een overzicht gasleveringszekerheid, waarin GTS vooruitkijkt naar het volgende gasjaar</w:t>
      </w:r>
      <w:r w:rsidR="00FD2683">
        <w:t xml:space="preserve">. </w:t>
      </w:r>
      <w:r w:rsidR="00D84CB1">
        <w:t xml:space="preserve">Dit overzicht is leidend geweest voor het kabinet om tot de vulambitie te komen. Daarbij </w:t>
      </w:r>
      <w:r w:rsidR="0094033C">
        <w:t>is</w:t>
      </w:r>
      <w:r w:rsidR="001C3EC9">
        <w:t xml:space="preserve"> voor het kabinet</w:t>
      </w:r>
      <w:r w:rsidR="00021E81">
        <w:t xml:space="preserve"> een aantal uitgangspunten belangrijk. </w:t>
      </w:r>
    </w:p>
    <w:p w:rsidR="00AA7AE8" w:rsidP="005B72B0" w:rsidRDefault="00AA7AE8" w14:paraId="19B332DE" w14:textId="5E94C210">
      <w:pPr>
        <w:rPr>
          <w:i/>
          <w:iCs/>
        </w:rPr>
      </w:pPr>
    </w:p>
    <w:p w:rsidR="00725897" w:rsidP="005B72B0" w:rsidRDefault="00021E81" w14:paraId="0EF5DC0C" w14:textId="1AA7B6E8">
      <w:r>
        <w:t xml:space="preserve">Ten eerste </w:t>
      </w:r>
      <w:r w:rsidR="008A3749">
        <w:t xml:space="preserve">moet de vulambitie </w:t>
      </w:r>
      <w:r w:rsidR="00AA7A5B">
        <w:t>aansluiten bij de verwachte gasvraag. Dit ziet zowel op de gasvraag in Nederland als op de export van gas vanuit Nederland</w:t>
      </w:r>
      <w:r w:rsidR="00903C66">
        <w:t xml:space="preserve"> en de doorvoer van gas via Nederland</w:t>
      </w:r>
      <w:r w:rsidR="00AA7A5B">
        <w:t>.</w:t>
      </w:r>
      <w:r w:rsidR="008A3749">
        <w:t xml:space="preserve"> </w:t>
      </w:r>
      <w:r w:rsidR="003C2625">
        <w:t xml:space="preserve">Gezien de dalende gasvraag in Nederland en buurlanden, met name de vraag naar laagcalorisch gas, </w:t>
      </w:r>
      <w:r w:rsidR="00367C3F">
        <w:t xml:space="preserve">kan de </w:t>
      </w:r>
      <w:r w:rsidR="003C2625">
        <w:t xml:space="preserve"> vulambitie van het kabinet </w:t>
      </w:r>
      <w:r w:rsidR="00B12008">
        <w:t xml:space="preserve">steeds iets lager  worden. </w:t>
      </w:r>
      <w:r w:rsidR="008C2CC3">
        <w:t xml:space="preserve">GTS kijkt voor de benodigde </w:t>
      </w:r>
      <w:r w:rsidR="00CB45DE">
        <w:t xml:space="preserve">vraag naar twee scenario’s: een </w:t>
      </w:r>
      <w:r w:rsidR="004B586A">
        <w:t>gas</w:t>
      </w:r>
      <w:r w:rsidR="00CB45DE">
        <w:t xml:space="preserve">jaar met een gemiddeld temperatuurverloop (2004/05) </w:t>
      </w:r>
      <w:r w:rsidR="00DB489C">
        <w:t xml:space="preserve">en </w:t>
      </w:r>
      <w:r w:rsidR="00873DAC">
        <w:t>h</w:t>
      </w:r>
      <w:r w:rsidR="00EB165D">
        <w:t xml:space="preserve">et </w:t>
      </w:r>
      <w:r w:rsidR="00873DAC">
        <w:t>koudste gasjaar van de afgelopen dertig jaar (1995/9</w:t>
      </w:r>
      <w:r w:rsidR="00A37D88">
        <w:t>6</w:t>
      </w:r>
      <w:r w:rsidR="00873DAC">
        <w:t xml:space="preserve">). </w:t>
      </w:r>
      <w:r w:rsidR="00CA3021">
        <w:t xml:space="preserve">GTS kijkt hierbij </w:t>
      </w:r>
      <w:r w:rsidRPr="00BE4A0D" w:rsidR="00CA3021">
        <w:t>naar graaddagen en de temperatuurafhankelijke gasvraag. Hiermee is impliciet ook rekening gehouden met periodes met minder aanbod uit wind en zon</w:t>
      </w:r>
      <w:r w:rsidR="00CA3021">
        <w:t xml:space="preserve"> (zogenoemde ‘dunkelflautes’)</w:t>
      </w:r>
      <w:r w:rsidRPr="00BE4A0D" w:rsidR="00CA3021">
        <w:t>.</w:t>
      </w:r>
      <w:r w:rsidR="00967188">
        <w:t xml:space="preserve"> </w:t>
      </w:r>
      <w:r w:rsidR="00615248">
        <w:t xml:space="preserve">Hiermee </w:t>
      </w:r>
      <w:r w:rsidR="00967188">
        <w:t xml:space="preserve">wordt </w:t>
      </w:r>
      <w:r w:rsidR="00615248">
        <w:t xml:space="preserve">ook </w:t>
      </w:r>
      <w:r w:rsidR="00967188">
        <w:t xml:space="preserve">invulling gegeven aan de motie van het lid Postma (NSC) </w:t>
      </w:r>
      <w:r w:rsidR="0065309D">
        <w:t xml:space="preserve">en het lid Flach (SGP) </w:t>
      </w:r>
      <w:r w:rsidR="00967188">
        <w:t>van</w:t>
      </w:r>
      <w:r w:rsidR="0065309D">
        <w:t xml:space="preserve"> 6</w:t>
      </w:r>
      <w:r w:rsidR="00967188">
        <w:t xml:space="preserve"> februari 2025</w:t>
      </w:r>
      <w:r w:rsidR="0065309D">
        <w:t>.</w:t>
      </w:r>
      <w:r w:rsidR="0065309D">
        <w:rPr>
          <w:rStyle w:val="Voetnootmarkering"/>
        </w:rPr>
        <w:footnoteReference w:id="17"/>
      </w:r>
      <w:r w:rsidR="00967188">
        <w:t xml:space="preserve"> </w:t>
      </w:r>
      <w:r w:rsidR="006436CF">
        <w:t>Daarbij onderscheidt GTS drie varianten: een basisvariant, een variant met een verhoogd aanbod en een variant met een verlaagd aanbod</w:t>
      </w:r>
      <w:r w:rsidR="00FF1E47">
        <w:t xml:space="preserve"> (dit kan allerlei oorzaken hebben, bijvoorbeeld een verstoring of geopolitieke ontwikkeling)</w:t>
      </w:r>
      <w:r w:rsidR="006436CF">
        <w:t>.</w:t>
      </w:r>
      <w:r w:rsidR="00BE4A0D">
        <w:t xml:space="preserve"> </w:t>
      </w:r>
      <w:r w:rsidR="009F26C1">
        <w:t xml:space="preserve">Op basis hiervan komt GTS tot de </w:t>
      </w:r>
      <w:r w:rsidR="00706B7F">
        <w:t xml:space="preserve">conclusie dat de volgende </w:t>
      </w:r>
      <w:r w:rsidR="002855D3">
        <w:t xml:space="preserve">volumes </w:t>
      </w:r>
      <w:r w:rsidR="00A37D88">
        <w:t>aan gas opgeslagen dienen te worden.</w:t>
      </w:r>
      <w:r w:rsidR="001F6339">
        <w:rPr>
          <w:rStyle w:val="Voetnootmarkering"/>
        </w:rPr>
        <w:footnoteReference w:id="18"/>
      </w:r>
      <w:r w:rsidR="00A37D88">
        <w:t xml:space="preserve"> </w:t>
      </w:r>
    </w:p>
    <w:p w:rsidR="00C77942" w:rsidP="005B72B0" w:rsidRDefault="00C77942" w14:paraId="7531F509" w14:textId="77777777"/>
    <w:p w:rsidR="00725897" w:rsidP="005B72B0" w:rsidRDefault="00AA7424" w14:paraId="35C7B3BA" w14:textId="4EB0A18A">
      <w:r w:rsidRPr="00AA7424">
        <w:rPr>
          <w:noProof/>
        </w:rPr>
        <w:drawing>
          <wp:inline distT="0" distB="0" distL="0" distR="0" wp14:anchorId="69320E1C" wp14:editId="7B71DA73">
            <wp:extent cx="4780915" cy="694327"/>
            <wp:effectExtent l="0" t="0" r="635" b="0"/>
            <wp:docPr id="125952092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20929" name="Afbeelding 1" descr="Afbeelding met tekst, schermopname, Lettertype, nummer&#10;&#10;Automatisch gegenereerde beschrijving"/>
                    <pic:cNvPicPr/>
                  </pic:nvPicPr>
                  <pic:blipFill rotWithShape="1">
                    <a:blip r:embed="rId11"/>
                    <a:srcRect t="3408"/>
                    <a:stretch/>
                  </pic:blipFill>
                  <pic:spPr bwMode="auto">
                    <a:xfrm>
                      <a:off x="0" y="0"/>
                      <a:ext cx="4780915" cy="694327"/>
                    </a:xfrm>
                    <a:prstGeom prst="rect">
                      <a:avLst/>
                    </a:prstGeom>
                    <a:ln>
                      <a:noFill/>
                    </a:ln>
                    <a:extLst>
                      <a:ext uri="{53640926-AAD7-44D8-BBD7-CCE9431645EC}">
                        <a14:shadowObscured xmlns:a14="http://schemas.microsoft.com/office/drawing/2010/main"/>
                      </a:ext>
                    </a:extLst>
                  </pic:spPr>
                </pic:pic>
              </a:graphicData>
            </a:graphic>
          </wp:inline>
        </w:drawing>
      </w:r>
    </w:p>
    <w:p w:rsidR="00A37D88" w:rsidP="005B72B0" w:rsidRDefault="00A37D88" w14:paraId="6C764987" w14:textId="77777777"/>
    <w:p w:rsidR="003878C4" w:rsidP="005B72B0" w:rsidRDefault="00AA7A5B" w14:paraId="387541C3" w14:textId="1AABF78B">
      <w:r>
        <w:t>Ten tweede</w:t>
      </w:r>
      <w:r w:rsidR="00200B7F">
        <w:t xml:space="preserve"> moet de vulambitie rekening houden met het hele gassysteem: gasopslagen zijn een belangrijk middel om te voorzien in seizoensflexibliteit</w:t>
      </w:r>
      <w:r w:rsidR="007B2326">
        <w:t>,</w:t>
      </w:r>
      <w:r w:rsidR="00200B7F">
        <w:rPr>
          <w:rStyle w:val="Voetnootmarkering"/>
        </w:rPr>
        <w:footnoteReference w:id="19"/>
      </w:r>
      <w:r w:rsidR="00200B7F">
        <w:t xml:space="preserve"> maar niet het enige middel. Daarom is het zo belangrijk dat GTS i</w:t>
      </w:r>
      <w:r w:rsidR="00375255">
        <w:t>n</w:t>
      </w:r>
      <w:r w:rsidR="00200B7F">
        <w:t xml:space="preserve"> haar overzicht gasleveringszekerheid van afgelopen september naar het </w:t>
      </w:r>
      <w:r w:rsidR="002D142D">
        <w:t xml:space="preserve">gehele gassysteem kijkt, inclusief </w:t>
      </w:r>
      <w:r w:rsidR="00AC0844">
        <w:t>LNG-importcapaciteit, toevoer</w:t>
      </w:r>
      <w:r w:rsidR="00E23A0D">
        <w:t>, doorvoer</w:t>
      </w:r>
      <w:r w:rsidR="00AC0844">
        <w:t xml:space="preserve"> en export van gas via pijpleidingen</w:t>
      </w:r>
      <w:r w:rsidR="00B828FE">
        <w:t xml:space="preserve"> en gaswinning in Nederland. </w:t>
      </w:r>
      <w:r w:rsidR="00DD053E">
        <w:t xml:space="preserve">Onderstaande afbeelding van GTS is hiervan een goede illustratie. </w:t>
      </w:r>
    </w:p>
    <w:p w:rsidR="00057A05" w:rsidP="005B72B0" w:rsidRDefault="00057A05" w14:paraId="6F5DCABF" w14:textId="77777777"/>
    <w:p w:rsidR="00057A05" w:rsidP="005B72B0" w:rsidRDefault="00D30164" w14:paraId="033FFCC4" w14:textId="37699F11">
      <w:r>
        <w:rPr>
          <w:noProof/>
        </w:rPr>
        <w:drawing>
          <wp:inline distT="0" distB="0" distL="0" distR="0" wp14:anchorId="6A081502" wp14:editId="689CA837">
            <wp:extent cx="4915814" cy="2917886"/>
            <wp:effectExtent l="0" t="0" r="0" b="0"/>
            <wp:docPr id="121634756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47563" name="Graphic 1216347563"/>
                    <pic:cNvPicPr/>
                  </pic:nvPicPr>
                  <pic:blipFill>
                    <a:blip r:embed="rId12">
                      <a:extLst>
                        <a:ext uri="{96DAC541-7B7A-43D3-8B79-37D633B846F1}">
                          <asvg:svgBlip xmlns:asvg="http://schemas.microsoft.com/office/drawing/2016/SVG/main" r:embed="rId13"/>
                        </a:ext>
                      </a:extLst>
                    </a:blip>
                    <a:stretch>
                      <a:fillRect/>
                    </a:stretch>
                  </pic:blipFill>
                  <pic:spPr>
                    <a:xfrm>
                      <a:off x="0" y="0"/>
                      <a:ext cx="4926940" cy="2924490"/>
                    </a:xfrm>
                    <a:prstGeom prst="rect">
                      <a:avLst/>
                    </a:prstGeom>
                  </pic:spPr>
                </pic:pic>
              </a:graphicData>
            </a:graphic>
          </wp:inline>
        </w:drawing>
      </w:r>
    </w:p>
    <w:p w:rsidRPr="007110C0" w:rsidR="00354EF7" w:rsidP="005B72B0" w:rsidRDefault="00354EF7" w14:paraId="71F3AC5A" w14:textId="07BBFD70">
      <w:pPr>
        <w:rPr>
          <w:i/>
          <w:iCs/>
        </w:rPr>
      </w:pPr>
    </w:p>
    <w:p w:rsidR="000468A5" w:rsidP="005B72B0" w:rsidRDefault="00B828FE" w14:paraId="57708BC5" w14:textId="46C933B5">
      <w:r>
        <w:t>Tot slot,</w:t>
      </w:r>
      <w:r w:rsidR="00DF72A3">
        <w:t xml:space="preserve"> in de combinatie van dit alles, moet Nederland kunnen voldoen aan twee belangrijke Europese normen die zijn vastgelegd in de EU-verordening gasleveringszekerheid</w:t>
      </w:r>
      <w:r w:rsidR="00DF72A3">
        <w:rPr>
          <w:rStyle w:val="Voetnootmarkering"/>
        </w:rPr>
        <w:footnoteReference w:id="20"/>
      </w:r>
      <w:r w:rsidR="00BA084D">
        <w:t>,</w:t>
      </w:r>
      <w:r w:rsidR="00DF72A3">
        <w:t xml:space="preserve"> namelijk de infrastructuurnorm en de gasleveringszekerheidsnorm. </w:t>
      </w:r>
    </w:p>
    <w:p w:rsidR="000468A5" w:rsidP="005B72B0" w:rsidRDefault="000468A5" w14:paraId="2815EAA8" w14:textId="77777777"/>
    <w:p w:rsidR="00876DC5" w:rsidP="005B72B0" w:rsidRDefault="000A7581" w14:paraId="54E5ECF5" w14:textId="1B288A33">
      <w:r>
        <w:t>De infrastructuurnorm be</w:t>
      </w:r>
      <w:r w:rsidR="000616DF">
        <w:t xml:space="preserve">paalt dat lidstaten </w:t>
      </w:r>
      <w:r w:rsidR="003878E5">
        <w:t xml:space="preserve">moeten waarborgen dat de technische capaciteit van de infrastructuur </w:t>
      </w:r>
      <w:r w:rsidR="00454967">
        <w:t>–</w:t>
      </w:r>
      <w:r w:rsidR="000616DF">
        <w:t xml:space="preserve"> ook</w:t>
      </w:r>
      <w:r w:rsidR="00454967">
        <w:t xml:space="preserve"> </w:t>
      </w:r>
      <w:r w:rsidR="000616DF">
        <w:t xml:space="preserve">in geval van </w:t>
      </w:r>
      <w:r w:rsidR="003878E5">
        <w:t>versto</w:t>
      </w:r>
      <w:r w:rsidR="009E5CC2">
        <w:t>r</w:t>
      </w:r>
      <w:r w:rsidR="003878E5">
        <w:t>ing</w:t>
      </w:r>
      <w:r w:rsidR="000616DF">
        <w:t xml:space="preserve"> van de grootste afzonderlijke gasinfrastr</w:t>
      </w:r>
      <w:r w:rsidR="00AC7405">
        <w:t>uctuur (in N</w:t>
      </w:r>
      <w:r w:rsidR="006D60AD">
        <w:t>e</w:t>
      </w:r>
      <w:r w:rsidR="00AC7405">
        <w:t>derland is dat gasopslag Norg)</w:t>
      </w:r>
      <w:r w:rsidR="00C30D41">
        <w:t xml:space="preserve"> </w:t>
      </w:r>
      <w:r w:rsidR="00757BD8">
        <w:t xml:space="preserve">– in staat is </w:t>
      </w:r>
      <w:r w:rsidR="00493DE7">
        <w:t xml:space="preserve">om </w:t>
      </w:r>
      <w:r w:rsidR="00420688">
        <w:t xml:space="preserve">te voldoen aan de totale gasvraag </w:t>
      </w:r>
      <w:r w:rsidR="007E5FE9">
        <w:t>gedurende een dag van uitzonderlijke hoge gasvraag</w:t>
      </w:r>
      <w:r w:rsidR="00A573FF">
        <w:t xml:space="preserve"> die met een statistische waarschijnlijkheid van eens in de twintig jaar voorkomt.</w:t>
      </w:r>
      <w:r w:rsidR="00A573FF">
        <w:rPr>
          <w:rStyle w:val="Voetnootmarkering"/>
        </w:rPr>
        <w:footnoteReference w:id="21"/>
      </w:r>
      <w:r w:rsidR="00727E51">
        <w:t xml:space="preserve"> </w:t>
      </w:r>
      <w:r w:rsidR="009733D9">
        <w:t xml:space="preserve">Deze norm ziet op capaciteit: hoe snel de benodigde hoeveelheid gas op het gasnet </w:t>
      </w:r>
      <w:r w:rsidR="002001E5">
        <w:t xml:space="preserve">kan worden gebracht om te voorzien </w:t>
      </w:r>
      <w:r w:rsidR="003D6527">
        <w:t>in de gasvraag</w:t>
      </w:r>
      <w:r w:rsidR="000B4BF2">
        <w:t xml:space="preserve"> (de hoeveelheid gas </w:t>
      </w:r>
      <w:r w:rsidR="007429FE">
        <w:t>die per tijdseenheid op het net gebracht kan worden)</w:t>
      </w:r>
      <w:r w:rsidR="003D6527">
        <w:t xml:space="preserve">. </w:t>
      </w:r>
      <w:r w:rsidR="00057453">
        <w:t xml:space="preserve">In haar berekeningen in het overzicht gasleveringszekerheid houdt GTS niet alleen rekening met de benodigde capaciteit om te voorzien in de gasvraag in Nederland, maar ook om te kunnen voorzien in de </w:t>
      </w:r>
      <w:r w:rsidR="00CC765D">
        <w:t xml:space="preserve">verwachte export van gas naar buurlanden op </w:t>
      </w:r>
      <w:r w:rsidR="00876DC5">
        <w:t xml:space="preserve">een dag met een uitzonderlijk hoge gasvraag. </w:t>
      </w:r>
    </w:p>
    <w:p w:rsidR="00FD2683" w:rsidP="005B72B0" w:rsidRDefault="00FD2683" w14:paraId="303BFDEC" w14:textId="77777777"/>
    <w:p w:rsidR="00FD2683" w:rsidP="005B72B0" w:rsidRDefault="00FD2683" w14:paraId="2B0C25B0" w14:textId="77777777"/>
    <w:p w:rsidR="00FD2683" w:rsidP="005B72B0" w:rsidRDefault="00FD2683" w14:paraId="133CAAFC" w14:textId="60A63B35">
      <w:r>
        <w:rPr>
          <w:noProof/>
          <w:szCs w:val="18"/>
        </w:rPr>
        <w:drawing>
          <wp:inline distT="0" distB="0" distL="0" distR="0" wp14:anchorId="643A3AB1" wp14:editId="58B802C2">
            <wp:extent cx="2931274" cy="2724150"/>
            <wp:effectExtent l="0" t="0" r="2540" b="0"/>
            <wp:docPr id="69868939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89399" name="Afbeelding 1" descr="Afbeelding met tekst, schermopname, Lettertype, nummer&#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946615" cy="2738407"/>
                    </a:xfrm>
                    <a:prstGeom prst="rect">
                      <a:avLst/>
                    </a:prstGeom>
                    <a:noFill/>
                    <a:ln>
                      <a:noFill/>
                    </a:ln>
                  </pic:spPr>
                </pic:pic>
              </a:graphicData>
            </a:graphic>
          </wp:inline>
        </w:drawing>
      </w:r>
    </w:p>
    <w:p w:rsidR="00FD2683" w:rsidP="005B72B0" w:rsidRDefault="00FD2683" w14:paraId="37F8A172" w14:textId="77777777"/>
    <w:p w:rsidR="00FD2683" w:rsidP="005B72B0" w:rsidRDefault="00FD2683" w14:paraId="5B910F3A" w14:textId="77777777"/>
    <w:p w:rsidR="000F0FDD" w:rsidP="005B72B0" w:rsidRDefault="00876DC5" w14:paraId="514E3B86" w14:textId="693C6162">
      <w:r>
        <w:t xml:space="preserve">De </w:t>
      </w:r>
      <w:r w:rsidR="000F0FDD">
        <w:t xml:space="preserve">analyse van GTS laat zien dat Nederland een capaciteitsuitval ter grootte van gasopslag Norg kan opvangen op een </w:t>
      </w:r>
      <w:r w:rsidR="00E45071">
        <w:t>uitzonderlijke koude dag (-14</w:t>
      </w:r>
      <w:r w:rsidR="008F5BE7">
        <w:t xml:space="preserve"> graden Celsius)</w:t>
      </w:r>
      <w:r w:rsidR="003D311B">
        <w:t>. Er is dan</w:t>
      </w:r>
      <w:r w:rsidR="00375255">
        <w:t xml:space="preserve"> nog </w:t>
      </w:r>
      <w:r w:rsidR="003D311B">
        <w:t xml:space="preserve">een risico op een </w:t>
      </w:r>
      <w:r w:rsidR="000D7FFC">
        <w:t xml:space="preserve">zeer klein </w:t>
      </w:r>
      <w:r w:rsidR="003D311B">
        <w:t>capaciteitstekort</w:t>
      </w:r>
      <w:r w:rsidR="00FD2683">
        <w:t xml:space="preserve"> </w:t>
      </w:r>
      <w:r w:rsidR="008445A8">
        <w:t>op de momenten dat de vraag naar gas hoog is (</w:t>
      </w:r>
      <w:r w:rsidR="000D7FFC">
        <w:t>’</w:t>
      </w:r>
      <w:r w:rsidR="008445A8">
        <w:t>s ochtends</w:t>
      </w:r>
      <w:r w:rsidR="000D7FFC">
        <w:t xml:space="preserve">). </w:t>
      </w:r>
      <w:r w:rsidR="00D25E21">
        <w:t xml:space="preserve">Door de Nederlandse gasvraag op deze momenten te spreiden over een ruimere tijdspanne, of door deze </w:t>
      </w:r>
      <w:r w:rsidR="00FD2683">
        <w:t xml:space="preserve">gasvraag </w:t>
      </w:r>
      <w:r w:rsidR="00D25E21">
        <w:t>te verlagen, kan een daadwerkelijk capaciteitstekort in (delen) van Nederland worden voorkomen. Daarom is</w:t>
      </w:r>
      <w:r w:rsidR="00AE7910">
        <w:t>,</w:t>
      </w:r>
      <w:r w:rsidR="00964FBA">
        <w:t xml:space="preserve"> in samenspraak met GTS</w:t>
      </w:r>
      <w:r w:rsidR="00AE7910">
        <w:t>,</w:t>
      </w:r>
      <w:r w:rsidR="00964FBA">
        <w:t xml:space="preserve"> een draaiboek inclusief mogelijke </w:t>
      </w:r>
      <w:r w:rsidR="00AE7910">
        <w:t>communicatiemiddelen</w:t>
      </w:r>
      <w:r w:rsidR="00964FBA">
        <w:t xml:space="preserve"> voorbereid voor het </w:t>
      </w:r>
      <w:r w:rsidR="00375255">
        <w:t xml:space="preserve">zeer uitzonderlijke </w:t>
      </w:r>
      <w:r w:rsidR="00964FBA">
        <w:t>geval dat het genoemde capaciteitstekort zich dreigt te materialiseren</w:t>
      </w:r>
      <w:r w:rsidR="00964FBA">
        <w:rPr>
          <w:rStyle w:val="Voetnootmarkering"/>
        </w:rPr>
        <w:footnoteReference w:id="22"/>
      </w:r>
      <w:r w:rsidR="00964FBA">
        <w:t>.</w:t>
      </w:r>
      <w:r w:rsidR="00D25E21">
        <w:t xml:space="preserve"> </w:t>
      </w:r>
      <w:r w:rsidR="000D0DD6">
        <w:t xml:space="preserve">Een hogere vulgraad helpt niet om dit mogelijke tekort op te lossen, omdat </w:t>
      </w:r>
      <w:r w:rsidR="00DA75DA">
        <w:t xml:space="preserve">dit een capaciteitstekort </w:t>
      </w:r>
      <w:r w:rsidR="00FD2683">
        <w:t xml:space="preserve">is (dus hoe snel het gas op de juiste plek kan zijn) </w:t>
      </w:r>
      <w:r w:rsidR="00DA75DA">
        <w:t>en geen volumetekort</w:t>
      </w:r>
      <w:r w:rsidR="00FD2683">
        <w:t xml:space="preserve"> (dus een tekort dat ziet op de hoeveelheid gas)</w:t>
      </w:r>
      <w:r w:rsidR="00DA75DA">
        <w:t xml:space="preserve">. </w:t>
      </w:r>
    </w:p>
    <w:p w:rsidR="00BF49F8" w:rsidP="005B72B0" w:rsidRDefault="00BF49F8" w14:paraId="418C3405" w14:textId="77777777"/>
    <w:p w:rsidR="009E67DA" w:rsidP="005B72B0" w:rsidRDefault="00876DC5" w14:paraId="5AE2B1C0" w14:textId="157C56F8">
      <w:r>
        <w:t>De</w:t>
      </w:r>
      <w:r w:rsidR="00DA75DA">
        <w:t xml:space="preserve"> tweede norm, de</w:t>
      </w:r>
      <w:r>
        <w:t xml:space="preserve"> gasleveringszekerheidsnorm</w:t>
      </w:r>
      <w:r w:rsidR="00DB28B1">
        <w:t>,</w:t>
      </w:r>
      <w:r>
        <w:t xml:space="preserve"> bepaalt </w:t>
      </w:r>
      <w:r w:rsidR="00BB6BF1">
        <w:t xml:space="preserve">dat </w:t>
      </w:r>
      <w:r w:rsidR="007F4D13">
        <w:t>de gaslevering aan beschermde afnemers in elk van de volgende gevallen is gewaarborgd</w:t>
      </w:r>
      <w:r w:rsidR="00A5410D">
        <w:rPr>
          <w:rStyle w:val="Voetnootmarkering"/>
        </w:rPr>
        <w:footnoteReference w:id="23"/>
      </w:r>
      <w:r w:rsidR="007F4D13">
        <w:t xml:space="preserve">: </w:t>
      </w:r>
    </w:p>
    <w:p w:rsidR="00B74FBE" w:rsidP="005B72B0" w:rsidRDefault="009E67DA" w14:paraId="29F3BD4D" w14:textId="40C151B6">
      <w:pPr>
        <w:pStyle w:val="Lijstalinea"/>
        <w:numPr>
          <w:ilvl w:val="0"/>
          <w:numId w:val="28"/>
        </w:numPr>
      </w:pPr>
      <w:r>
        <w:t>Extreme temperaturen gedurende een zeven dagen durende piekperiode die voorkomt met een statistische waarschijnlijkheid van eens in de twinti</w:t>
      </w:r>
      <w:r w:rsidR="00B74FBE">
        <w:t>g jaar;</w:t>
      </w:r>
    </w:p>
    <w:p w:rsidR="00DF7178" w:rsidP="005B72B0" w:rsidRDefault="00B74FBE" w14:paraId="3D4E59C6" w14:textId="28C88173">
      <w:pPr>
        <w:pStyle w:val="Lijstalinea"/>
        <w:numPr>
          <w:ilvl w:val="0"/>
          <w:numId w:val="28"/>
        </w:numPr>
      </w:pPr>
      <w:r>
        <w:t>een periode van</w:t>
      </w:r>
      <w:r w:rsidR="00BA299C">
        <w:t xml:space="preserve"> </w:t>
      </w:r>
      <w:r>
        <w:t>dertig dagen met een</w:t>
      </w:r>
      <w:r w:rsidR="00BA299C">
        <w:t xml:space="preserve"> </w:t>
      </w:r>
      <w:r>
        <w:t>uitzonderlijk hoge gasvraag die voorkom</w:t>
      </w:r>
      <w:r w:rsidR="00DF7178">
        <w:t>t met een statistische waarschijnlijkheid van eens in de twintig jaar;</w:t>
      </w:r>
    </w:p>
    <w:p w:rsidR="006A0CA8" w:rsidP="005B72B0" w:rsidRDefault="00DF7178" w14:paraId="1C6BF62B" w14:textId="1208F09C">
      <w:pPr>
        <w:pStyle w:val="Lijstalinea"/>
        <w:numPr>
          <w:ilvl w:val="0"/>
          <w:numId w:val="28"/>
        </w:numPr>
      </w:pPr>
      <w:r>
        <w:t>een periode van dertig dagen in het geval van verstoring van de grootste afzonderlijke gasinfrastru</w:t>
      </w:r>
      <w:r w:rsidR="00D76333">
        <w:t>c</w:t>
      </w:r>
      <w:r>
        <w:t xml:space="preserve">tuur onder gemiddelde winterse omstandigheden </w:t>
      </w:r>
      <w:r w:rsidR="00D76333">
        <w:t>(</w:t>
      </w:r>
      <w:r w:rsidR="00D4763E">
        <w:t>GTS rekent hiervoor met</w:t>
      </w:r>
      <w:r w:rsidR="00B74FBE">
        <w:t xml:space="preserve"> </w:t>
      </w:r>
      <w:r w:rsidR="00E20464">
        <w:t>uitval van de GATE-terminal, omdat via deze terminal in de winter het meeste volume kan worden geleverd</w:t>
      </w:r>
      <w:r w:rsidR="00D76333">
        <w:t>).</w:t>
      </w:r>
      <w:r w:rsidR="00CC765D">
        <w:t xml:space="preserve"> </w:t>
      </w:r>
      <w:r w:rsidR="00057453">
        <w:t xml:space="preserve"> </w:t>
      </w:r>
    </w:p>
    <w:p w:rsidR="00323308" w:rsidP="005B72B0" w:rsidRDefault="00323308" w14:paraId="5DECEBD7" w14:textId="7B6BAA5F">
      <w:r>
        <w:t xml:space="preserve">Voor elk van deze gevallen heeft GTS berekend hoeveel gas er nog in de opslagen moet zitten om </w:t>
      </w:r>
      <w:r w:rsidR="003D5A66">
        <w:t xml:space="preserve">samen </w:t>
      </w:r>
      <w:r w:rsidR="00D65F37">
        <w:t xml:space="preserve">met </w:t>
      </w:r>
      <w:r w:rsidR="003D5A66">
        <w:t xml:space="preserve">andere bronnen van gastoevoer te kunnen voorzien in de gasvraag. GTS concludeert dat er </w:t>
      </w:r>
      <w:r w:rsidR="009D4D62">
        <w:t xml:space="preserve">een </w:t>
      </w:r>
      <w:r w:rsidR="003E4A92">
        <w:t xml:space="preserve">in totaal </w:t>
      </w:r>
      <w:r w:rsidR="009D4D62">
        <w:t xml:space="preserve">volume van tenminste 19 TWh </w:t>
      </w:r>
      <w:r w:rsidR="003E4A92">
        <w:t xml:space="preserve">(14% van opslagvolume van de drie seizoensopslagen en de piekgasinstallatie Alkmaar) </w:t>
      </w:r>
      <w:r w:rsidR="009D4D62">
        <w:t>in de gasopslagen beschikbaar moet zijn om eindafnemers in deze</w:t>
      </w:r>
      <w:r w:rsidR="003E4A92">
        <w:t xml:space="preserve"> drie</w:t>
      </w:r>
      <w:r w:rsidR="009D4D62">
        <w:t xml:space="preserve"> situaties van voldoende gas te voorzien. </w:t>
      </w:r>
    </w:p>
    <w:p w:rsidR="009733D9" w:rsidP="005B72B0" w:rsidRDefault="009733D9" w14:paraId="1F5EF662" w14:textId="77777777"/>
    <w:p w:rsidR="00725897" w:rsidP="005B72B0" w:rsidRDefault="00725897" w14:paraId="34F1B9B8" w14:textId="7D4A7820">
      <w:r>
        <w:t xml:space="preserve">Kortom, waar is Nederland op voorbereid met een vulgraad van </w:t>
      </w:r>
      <w:r w:rsidR="002E2981">
        <w:t xml:space="preserve">gemiddeld minimaal </w:t>
      </w:r>
      <w:r>
        <w:t>80%</w:t>
      </w:r>
      <w:r w:rsidR="002E2981">
        <w:t xml:space="preserve"> van de seizoensopslagen en PGI Alkmaar</w:t>
      </w:r>
      <w:r w:rsidR="00454967">
        <w:t>.</w:t>
      </w:r>
      <w:r w:rsidR="000144CA">
        <w:t xml:space="preserve"> Met een vulgraad van 80% gecombineerd met gebruik van de andere bronnen van toevoer (LNG, pijpleidingen en gaswinning in Nederland) is </w:t>
      </w:r>
      <w:r w:rsidR="002E2981">
        <w:t xml:space="preserve">Nederland </w:t>
      </w:r>
      <w:r w:rsidR="000144CA">
        <w:t>v</w:t>
      </w:r>
      <w:r w:rsidR="002E2981">
        <w:t xml:space="preserve">oorbereid op </w:t>
      </w:r>
      <w:r w:rsidR="00B36316">
        <w:t>een gasjaar met een winter zo koud als de koudste winter van de afgelopen dertig jaar</w:t>
      </w:r>
      <w:r w:rsidR="000144CA">
        <w:t xml:space="preserve">, </w:t>
      </w:r>
      <w:r w:rsidR="005628B9">
        <w:t xml:space="preserve">waarbij </w:t>
      </w:r>
      <w:r w:rsidR="00E46374">
        <w:t>het ook beperkt uitval van toevoer kan opvangen</w:t>
      </w:r>
      <w:r w:rsidR="003E4A92">
        <w:t xml:space="preserve"> (gasleveringsnorm)</w:t>
      </w:r>
      <w:r w:rsidR="00E46374">
        <w:t xml:space="preserve"> </w:t>
      </w:r>
      <w:r w:rsidR="005A7C99">
        <w:t>én uitval van technische capaciteit ter grootte van de grootste bron</w:t>
      </w:r>
      <w:r w:rsidR="003E4A92">
        <w:t xml:space="preserve"> (infrastructuurnorm)</w:t>
      </w:r>
      <w:r w:rsidR="005A7C99">
        <w:t xml:space="preserve">. </w:t>
      </w:r>
      <w:r w:rsidR="00473F10">
        <w:t xml:space="preserve">GTS geeft aan dat in het scenario van de koudste </w:t>
      </w:r>
      <w:r w:rsidR="004C04CF">
        <w:t>winter gecombineerd met een verlaag</w:t>
      </w:r>
      <w:r w:rsidR="00A6376C">
        <w:t>d aanbod (</w:t>
      </w:r>
      <w:r w:rsidR="00D95416">
        <w:t>ter grootte van 75 TWh)</w:t>
      </w:r>
      <w:r w:rsidR="00FE6C30">
        <w:t xml:space="preserve"> er een volumetekort </w:t>
      </w:r>
      <w:r w:rsidR="007E6104">
        <w:t xml:space="preserve">ontstaat. </w:t>
      </w:r>
      <w:r w:rsidR="00B61AAD">
        <w:t xml:space="preserve">Dit tekort </w:t>
      </w:r>
      <w:r w:rsidR="002A48FA">
        <w:t xml:space="preserve">ontstaat dan waarschijnlijk na </w:t>
      </w:r>
      <w:r w:rsidR="00BA2D92">
        <w:t xml:space="preserve">de winter, omdat er dan niet voldoende gas kan worden aangevoerd om de gasopslagen weer voldoende te vullen. </w:t>
      </w:r>
    </w:p>
    <w:p w:rsidR="00921DD5" w:rsidP="005B72B0" w:rsidRDefault="00921DD5" w14:paraId="7EE318C5" w14:textId="77777777"/>
    <w:p w:rsidR="005F6A53" w:rsidP="005B72B0" w:rsidRDefault="005F6A53" w14:paraId="05F0E9AD" w14:textId="77777777">
      <w:pPr>
        <w:rPr>
          <w:b/>
          <w:bCs/>
        </w:rPr>
      </w:pPr>
      <w:r>
        <w:rPr>
          <w:b/>
          <w:bCs/>
        </w:rPr>
        <w:br w:type="page"/>
      </w:r>
    </w:p>
    <w:p w:rsidR="001E4780" w:rsidP="005B72B0" w:rsidRDefault="001E4780" w14:paraId="128D5BBE" w14:textId="0DEADB6F">
      <w:pPr>
        <w:pStyle w:val="Lijstalinea"/>
        <w:numPr>
          <w:ilvl w:val="0"/>
          <w:numId w:val="24"/>
        </w:numPr>
        <w:rPr>
          <w:b/>
          <w:bCs/>
        </w:rPr>
      </w:pPr>
      <w:r w:rsidRPr="005F6A53">
        <w:rPr>
          <w:b/>
          <w:bCs/>
        </w:rPr>
        <w:t>Scenario analyse</w:t>
      </w:r>
      <w:r w:rsidRPr="005F6A53" w:rsidR="00045853">
        <w:rPr>
          <w:b/>
          <w:bCs/>
        </w:rPr>
        <w:t xml:space="preserve"> (botsproef)</w:t>
      </w:r>
    </w:p>
    <w:p w:rsidRPr="005F6A53" w:rsidR="005F6A53" w:rsidP="005B72B0" w:rsidRDefault="005F6A53" w14:paraId="35A3517D" w14:textId="77777777">
      <w:pPr>
        <w:pStyle w:val="Lijstalinea"/>
        <w:rPr>
          <w:b/>
          <w:bCs/>
        </w:rPr>
      </w:pPr>
    </w:p>
    <w:p w:rsidR="00045853" w:rsidP="005B72B0" w:rsidRDefault="007973F3" w14:paraId="2FAFE695" w14:textId="24A5316C">
      <w:r>
        <w:t>H</w:t>
      </w:r>
      <w:r w:rsidR="00045853">
        <w:t xml:space="preserve">et kabinet </w:t>
      </w:r>
      <w:r>
        <w:t xml:space="preserve">is </w:t>
      </w:r>
      <w:r w:rsidR="005A1658">
        <w:t xml:space="preserve">door het lid Bontenbal </w:t>
      </w:r>
      <w:r>
        <w:t xml:space="preserve">gevraagd een </w:t>
      </w:r>
      <w:r w:rsidR="00045853">
        <w:t>zogenaamde botsproef uit te voeren naar het wegvallen van de aanvoer van Noors gas als gevolg van het onverhoopt in ongerede raken van de Norpipe. Voordat het kabinet hierop ingaat</w:t>
      </w:r>
      <w:r w:rsidR="00671358">
        <w:t>,</w:t>
      </w:r>
      <w:r w:rsidR="00045853">
        <w:t xml:space="preserve"> is het goed te benadrukken dat de Norpipe slechts één van de vele pijpleidingen is waarmee Noors gas naar de EU en het Verenigd Koninkrijk wordt aangevoerd</w:t>
      </w:r>
      <w:r w:rsidR="00C11BC5">
        <w:rPr>
          <w:rStyle w:val="Voetnootmarkering"/>
        </w:rPr>
        <w:footnoteReference w:id="24"/>
      </w:r>
      <w:r w:rsidR="00045853">
        <w:t xml:space="preserve">: </w:t>
      </w:r>
    </w:p>
    <w:p w:rsidR="00045853" w:rsidP="005B72B0" w:rsidRDefault="00045853" w14:paraId="0A2DB53A" w14:textId="77777777"/>
    <w:p w:rsidR="00A20BAA" w:rsidP="005B72B0" w:rsidRDefault="00C11BC5" w14:paraId="31A31601" w14:textId="158E3D60">
      <w:r w:rsidRPr="00A20BAA">
        <w:rPr>
          <w:noProof/>
        </w:rPr>
        <w:drawing>
          <wp:inline distT="0" distB="0" distL="0" distR="0" wp14:anchorId="0CD54799" wp14:editId="3C48F30C">
            <wp:extent cx="2755810" cy="5162550"/>
            <wp:effectExtent l="0" t="0" r="6985" b="0"/>
            <wp:docPr id="450998176" name="Afbeelding 1" descr="Afbeelding met tekst, kaart, Lettertype,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98176" name="Afbeelding 1" descr="Afbeelding met tekst, kaart, Lettertype, atlas&#10;&#10;Automatisch gegenereerde beschrijving"/>
                    <pic:cNvPicPr/>
                  </pic:nvPicPr>
                  <pic:blipFill>
                    <a:blip r:embed="rId16"/>
                    <a:stretch>
                      <a:fillRect/>
                    </a:stretch>
                  </pic:blipFill>
                  <pic:spPr>
                    <a:xfrm>
                      <a:off x="0" y="0"/>
                      <a:ext cx="2759345" cy="5169172"/>
                    </a:xfrm>
                    <a:prstGeom prst="rect">
                      <a:avLst/>
                    </a:prstGeom>
                  </pic:spPr>
                </pic:pic>
              </a:graphicData>
            </a:graphic>
          </wp:inline>
        </w:drawing>
      </w:r>
    </w:p>
    <w:p w:rsidR="00A20BAA" w:rsidP="005B72B0" w:rsidRDefault="00A20BAA" w14:paraId="4A770A1D" w14:textId="25492791"/>
    <w:p w:rsidRPr="00A20BAA" w:rsidR="00A20BAA" w:rsidP="005B72B0" w:rsidRDefault="00A20BAA" w14:paraId="0117C6E5" w14:textId="23BBB8E0">
      <w:pPr>
        <w:rPr>
          <w:i/>
          <w:iCs/>
          <w:lang w:val="de-DE"/>
        </w:rPr>
      </w:pPr>
      <w:r w:rsidRPr="00A20BAA">
        <w:rPr>
          <w:i/>
          <w:iCs/>
          <w:lang w:val="de-DE"/>
        </w:rPr>
        <w:t>Bron: Niedersächsiches Ministerium für U</w:t>
      </w:r>
      <w:r>
        <w:rPr>
          <w:i/>
          <w:iCs/>
          <w:lang w:val="de-DE"/>
        </w:rPr>
        <w:t>mwelt, Energie und Klima</w:t>
      </w:r>
      <w:r w:rsidR="00C11BC5">
        <w:rPr>
          <w:i/>
          <w:iCs/>
          <w:lang w:val="de-DE"/>
        </w:rPr>
        <w:t>schutz</w:t>
      </w:r>
    </w:p>
    <w:p w:rsidRPr="00A20BAA" w:rsidR="00A20BAA" w:rsidP="005B72B0" w:rsidRDefault="00A20BAA" w14:paraId="511578EE" w14:textId="77777777">
      <w:pPr>
        <w:rPr>
          <w:lang w:val="de-DE"/>
        </w:rPr>
      </w:pPr>
    </w:p>
    <w:p w:rsidRPr="00A20BAA" w:rsidR="00A20BAA" w:rsidP="005B72B0" w:rsidRDefault="00A20BAA" w14:paraId="1B8BADB7" w14:textId="77777777">
      <w:pPr>
        <w:rPr>
          <w:lang w:val="de-DE"/>
        </w:rPr>
      </w:pPr>
    </w:p>
    <w:p w:rsidRPr="00A20BAA" w:rsidR="00A20BAA" w:rsidP="005B72B0" w:rsidRDefault="00A20BAA" w14:paraId="2E4175E5" w14:textId="77777777">
      <w:pPr>
        <w:rPr>
          <w:lang w:val="de-DE"/>
        </w:rPr>
      </w:pPr>
    </w:p>
    <w:p w:rsidR="00C11BC5" w:rsidP="005B72B0" w:rsidRDefault="00045853" w14:paraId="1E2C93DE" w14:textId="77777777">
      <w:r w:rsidRPr="001B16DE">
        <w:t xml:space="preserve">Dit stelsel aan pijpleidingen </w:t>
      </w:r>
      <w:r>
        <w:t xml:space="preserve">kan het </w:t>
      </w:r>
      <w:r w:rsidRPr="001B16DE">
        <w:t xml:space="preserve">mogelijk </w:t>
      </w:r>
      <w:r>
        <w:t xml:space="preserve">maken </w:t>
      </w:r>
      <w:r w:rsidRPr="001B16DE">
        <w:t>dat uitval van één van deze leidingen deels kan worden opgevangen door het gas via één of meer van de andere leidingen te transporteren</w:t>
      </w:r>
      <w:r>
        <w:t>. Dit ook omdat de diverse leidingen vanuit verschillende Noorse gasvelden worden gevoed. Zo wordt de Norpipe gevoed vanuit het Ekofisk veld, terwijl de andere pijpleidingen naar Duitsland, de Europipe I en II, worden gevoed vanuit respectievelijk het productieplatform Draupner E en de onshore productielocatie Karsto. Of dit uiteindelijk mogelijk is</w:t>
      </w:r>
      <w:r w:rsidR="00375255">
        <w:t>, is</w:t>
      </w:r>
      <w:r>
        <w:t xml:space="preserve"> afhankelijk van waar de verstoring zich voordoet en hoe omvangrijk die is.</w:t>
      </w:r>
    </w:p>
    <w:p w:rsidR="00C11BC5" w:rsidP="005B72B0" w:rsidRDefault="00C11BC5" w14:paraId="109F2995" w14:textId="77777777"/>
    <w:p w:rsidRPr="00045853" w:rsidR="00045853" w:rsidP="005B72B0" w:rsidRDefault="00045853" w14:paraId="1D2F55AC" w14:textId="3B002BDA">
      <w:pPr>
        <w:rPr>
          <w:i/>
          <w:iCs/>
        </w:rPr>
      </w:pPr>
      <w:r w:rsidRPr="00045853">
        <w:rPr>
          <w:i/>
          <w:iCs/>
        </w:rPr>
        <w:t>Norpipe</w:t>
      </w:r>
    </w:p>
    <w:p w:rsidR="00045853" w:rsidP="005B72B0" w:rsidRDefault="00045853" w14:paraId="3BF67197" w14:textId="77777777">
      <w:r>
        <w:t xml:space="preserve">De Norpipe voert gas aan naar het Duitse Emden en van daar wordt dit gas ingevoed in zowel het Duitse als het Nederlandse gastransmissienetwerk. De maximale hoeveelheid gas die per jaar via deze pijpleiding kan worden aangevoerd bedraagt </w:t>
      </w:r>
      <w:r w:rsidRPr="004929A0">
        <w:t>1</w:t>
      </w:r>
      <w:r>
        <w:t>8</w:t>
      </w:r>
      <w:r w:rsidRPr="004929A0">
        <w:t>6</w:t>
      </w:r>
      <w:r>
        <w:t xml:space="preserve"> TWh. </w:t>
      </w:r>
      <w:r w:rsidRPr="004929A0">
        <w:t>Sinds het wegvallen van Nord Stream I is de aanvoer van Noors gas naar Nederland gedaald van gemiddeld 205 TWh per jaar over de jaren 2019-2021 naar ca. 120 TWh</w:t>
      </w:r>
      <w:r>
        <w:t xml:space="preserve"> per jaar, waarbij aanvoer alleen via de Norpipe plaatsvindt. Er heeft een “herverdeling” van het Noorse gas plaatsgevonden waardoor er meer gas naar Duitsland gaat om daar het weggevallen Russische gas te vervangen, dit onder meer doordat het gas dat via de Europipe I via Dornum en Emden naar Nederland kwam nu uitsluitend naar Duitsland gaat. </w:t>
      </w:r>
    </w:p>
    <w:p w:rsidR="00045853" w:rsidP="005B72B0" w:rsidRDefault="00045853" w14:paraId="787079FB" w14:textId="77777777">
      <w:r>
        <w:t>Verder geldt het volgende voor het gas dat thans via de Norpipe naar Nederland wordt aangevoerd:</w:t>
      </w:r>
    </w:p>
    <w:p w:rsidR="00045853" w:rsidP="005B72B0" w:rsidRDefault="00045853" w14:paraId="0E048102" w14:textId="77777777">
      <w:pPr>
        <w:pStyle w:val="Lijstalinea"/>
        <w:numPr>
          <w:ilvl w:val="0"/>
          <w:numId w:val="29"/>
        </w:numPr>
      </w:pPr>
      <w:r>
        <w:t>Met ca. 120 TWh heeft het Noorse gas een aandeel van 20% in de hoeveelheid gas die momenteel op jaarbasis aan het Nederlandse gastransportnet wordt onttrokken (binnenlands verbruik: 297 TWh, export Duitsland: 304 TWh, export België: 38 TWh). Er is geen rechtstreeks verband tussen het geïmporteerde Noors gas en binnenlands verbruik, het Noorse gas mengt in het Nederlandse gastransportnet met gas uit andere bronnen en vindt zo zijn weg in het binnenland maar ook naar het buitenland.</w:t>
      </w:r>
    </w:p>
    <w:p w:rsidR="00045853" w:rsidP="005B72B0" w:rsidRDefault="00045853" w14:paraId="5DD5CFB7" w14:textId="77777777">
      <w:pPr>
        <w:pStyle w:val="Lijstalinea"/>
        <w:numPr>
          <w:ilvl w:val="0"/>
          <w:numId w:val="29"/>
        </w:numPr>
      </w:pPr>
      <w:r>
        <w:t xml:space="preserve">Dit Noorse gas komt als een redelijke vlakke stroom naar Nederland waarbij er gemiddeld ca. 300 GWh/dag Nederland binnen komt. Daarbij ligt de aanvoer in zomer met ca. 350 GWh/dag wel hoger dan in de winter wanneer er ca. 250 GWh/dag wordt aangevoerd. </w:t>
      </w:r>
    </w:p>
    <w:p w:rsidR="00045853" w:rsidP="005B72B0" w:rsidRDefault="00045853" w14:paraId="6E8E7CD7" w14:textId="77777777"/>
    <w:p w:rsidR="00045853" w:rsidP="005B72B0" w:rsidRDefault="00045853" w14:paraId="6B582A61" w14:textId="77777777">
      <w:r>
        <w:t xml:space="preserve">Wat de gevolgen zijn als deze Noorse aanvoer wegvalt is van een aantal factoren afhankelijk. Daarbij gaat het vooral om de duur van de verstoring en ook om de periode waarin de verstoring plaatsvindt. Indien de verstoring plaatsvindt in de winter, als de Noorse aanvoer toch al een redelijk laag niveau kent, en beperkt blijft tot enkele dagen of enkele weken, dan kan dit worden opgevangen door de inzet van gasopslagen. Zo heeft alleen de gasopslag Norg al een capaciteit van 470 GWh/dag hetgeen ruim boven het niveau van de Noorse aanvoer ligt. Mocht deze kort durende verstoring zich in de zomer voordoen dan kan dit worden opgevangen door het vullen van de opslagen tijdelijk te beperken. </w:t>
      </w:r>
    </w:p>
    <w:p w:rsidR="00045853" w:rsidP="005B72B0" w:rsidRDefault="00045853" w14:paraId="346B5D45" w14:textId="77777777"/>
    <w:p w:rsidR="00045853" w:rsidP="005B72B0" w:rsidRDefault="00045853" w14:paraId="305EC932" w14:textId="7306E370">
      <w:r>
        <w:t>In beide gevallen is het overigens niet uit te sluiten dat het Noorse gas via andere pijpleidingen naar dit deel van Europa komt. Zoals hiervoor aangegeven kent de Noordzee een zeer uitgebreid stelsel aan pijpleidingen waarmee Noors gas wordt aangevoerd en deze worden niet altijd voor 100% van de beschikbare capaciteit benut. Zo zou</w:t>
      </w:r>
      <w:r w:rsidR="3C52305D">
        <w:t xml:space="preserve">, indien er nog capaciteit beschikbaar is, </w:t>
      </w:r>
      <w:r>
        <w:t>het gas via de Europipe I en/of de Europipe II naar Duitsland kunnen worden aangevoerd en van daar naar Nederland</w:t>
      </w:r>
      <w:r w:rsidR="007F087D">
        <w:t>;</w:t>
      </w:r>
      <w:r>
        <w:t xml:space="preserve"> daarnaast zijn routes via zowel het Verenigd Koninkrijk als via België mogelijk. Verder kan het kopen van LNG op de spotmarkt een alternatief zijn, dit dan onder de voorwaarde dat dit LNG op zeer korte termijn leverbaar is en er nog LNG-importcapaciteit beschikbaar is, bijvoorbeeld op de secundaire markt of in een LNG-terminal in een buurland.</w:t>
      </w:r>
    </w:p>
    <w:p w:rsidR="00045853" w:rsidP="005B72B0" w:rsidRDefault="00045853" w14:paraId="3F5943AD" w14:textId="77777777"/>
    <w:p w:rsidR="00045853" w:rsidP="005B72B0" w:rsidRDefault="00045853" w14:paraId="5E862CBF" w14:textId="4D92AD6E">
      <w:r>
        <w:t xml:space="preserve">Wat de gevolgen zijn als de Norpipe meerdere maanden niet beschikbaar is, is moeilijker aan te geven en mede afhankelijk van hoe de markt op dit wegvallen reageert. </w:t>
      </w:r>
      <w:r w:rsidR="002504CB">
        <w:t xml:space="preserve">Er kan bijvoorbeeld sprake zijn van hogere prijzen en </w:t>
      </w:r>
      <w:r w:rsidR="003034C2">
        <w:t xml:space="preserve">een daardoor dalende vraag, </w:t>
      </w:r>
      <w:r>
        <w:t xml:space="preserve">waarmee tenminste een deel van het wegvallen van de Noorse aanvoer wordt ondervangen. Daarnaast is het, net als in 2022, niet uit te sluiten dat opnieuw een “herverdeling” van het Noorse gas plaatsvindt door het gas dat door de Norpipe zou worden aangevoerd via andere leidingen aan te voeren. Dit voor zover de bronnen waarmee die pijpleidingen zijn gekoppeld dat gas kunnen leveren en er nog capaciteit beschikbaar is. Verder kan ook in dit geval het kopen van LNG op de spotmarkt een alternatief zijn. De gasopslagen spelen bij deze langdurige verstoring een minder grote rol. Zij kunnen uiteraard wel worden ingezet, maar eenmaal leeg zullen zij minder snel en goed te vullen zijn als er geen vervangende aanvoer is. </w:t>
      </w:r>
    </w:p>
    <w:p w:rsidR="00045853" w:rsidP="005B72B0" w:rsidRDefault="00045853" w14:paraId="44F848CB" w14:textId="77777777"/>
    <w:p w:rsidRPr="00045853" w:rsidR="00045853" w:rsidP="005B72B0" w:rsidRDefault="00045853" w14:paraId="040D748F" w14:textId="77777777">
      <w:pPr>
        <w:rPr>
          <w:i/>
          <w:iCs/>
        </w:rPr>
      </w:pPr>
      <w:r w:rsidRPr="00045853">
        <w:rPr>
          <w:i/>
          <w:iCs/>
        </w:rPr>
        <w:t>Analyse ENTSOG</w:t>
      </w:r>
    </w:p>
    <w:p w:rsidR="00045853" w:rsidP="005B72B0" w:rsidRDefault="00045853" w14:paraId="133D3924" w14:textId="31B4C396">
      <w:r>
        <w:t>Op grond van Verordening (EU) 2017/1938 betreffende maatregelen tot veiligstelling van de gasleveringszekerheid dient ENTSOG o</w:t>
      </w:r>
      <w:r w:rsidR="6B494BA5">
        <w:t>m</w:t>
      </w:r>
      <w:r>
        <w:t xml:space="preserve"> de vier jaar een Uniebrede simulatie van gasleverings- en -infrastructuurverstoringsscenario's, met inbegrip van scenario's van een langdurige verstoring van één leveringsbron, op te stellen. De meest recent</w:t>
      </w:r>
      <w:r w:rsidR="007F087D">
        <w:t>e</w:t>
      </w:r>
      <w:r>
        <w:t xml:space="preserve"> simulatie van ENTSO</w:t>
      </w:r>
      <w:r w:rsidR="005D777B">
        <w:t>G</w:t>
      </w:r>
      <w:r>
        <w:t xml:space="preserve"> dateert van eind januari</w:t>
      </w:r>
      <w:r w:rsidR="00C32E73">
        <w:t xml:space="preserve"> 2025</w:t>
      </w:r>
      <w:r w:rsidRPr="4E71DEB8">
        <w:rPr>
          <w:rStyle w:val="Voetnootmarkering"/>
        </w:rPr>
        <w:footnoteReference w:id="25"/>
      </w:r>
      <w:r>
        <w:t>. Voor Nederland zijn daarbij de volgende twee scenario’s relevant:</w:t>
      </w:r>
    </w:p>
    <w:p w:rsidR="00045853" w:rsidP="005B72B0" w:rsidRDefault="00045853" w14:paraId="2EC5CD7B" w14:textId="77777777">
      <w:pPr>
        <w:pStyle w:val="Lijstalinea"/>
        <w:numPr>
          <w:ilvl w:val="0"/>
          <w:numId w:val="31"/>
        </w:numPr>
      </w:pPr>
      <w:r>
        <w:t>Verstoring van de Europipe II, de grootste offshore infrastructuur voor de aanvoer van Noors gas naar continentaal Europa.</w:t>
      </w:r>
    </w:p>
    <w:p w:rsidR="00045853" w:rsidP="005B72B0" w:rsidRDefault="00045853" w14:paraId="7568B262" w14:textId="71A09211">
      <w:pPr>
        <w:pStyle w:val="Lijstalinea"/>
        <w:numPr>
          <w:ilvl w:val="0"/>
          <w:numId w:val="31"/>
        </w:numPr>
      </w:pPr>
      <w:r>
        <w:t>Verstoring van het gas</w:t>
      </w:r>
      <w:r w:rsidR="284A820A">
        <w:t>import</w:t>
      </w:r>
      <w:r>
        <w:t>station Emden, de grootse onshore infrastructuur voor de aanvoer van Noors gas</w:t>
      </w:r>
      <w:r w:rsidR="00330185">
        <w:t>.</w:t>
      </w:r>
    </w:p>
    <w:p w:rsidR="00045853" w:rsidP="005B72B0" w:rsidRDefault="00045853" w14:paraId="4C905D7A" w14:textId="77777777"/>
    <w:p w:rsidR="00045853" w:rsidP="005B72B0" w:rsidRDefault="00045853" w14:paraId="595EDF2B" w14:textId="203DBD1D">
      <w:r>
        <w:t xml:space="preserve">In haar simulatie gaat ENTSOG voor offshore infrastructuur uit van </w:t>
      </w:r>
      <w:r w:rsidR="001E64C5">
        <w:t xml:space="preserve">een </w:t>
      </w:r>
      <w:r>
        <w:t xml:space="preserve">verstoring die plaatsvindt in een koude winter en zes maanden duurt (periode: 1 oktober t/m 31 maart) en voor onshore van een verstoring die plaatsvindt in een periode van twee weken met zeer hoge vraag gedurende koude winter (periode: 1 februari t/m 14 februari). Dit vanuit de aanname dat een verstoring onshore veel </w:t>
      </w:r>
      <w:r w:rsidR="007F087D">
        <w:t>ge</w:t>
      </w:r>
      <w:r>
        <w:t xml:space="preserve">makkelijker en sneller is te herstellen dan een verstoring offshore. </w:t>
      </w:r>
    </w:p>
    <w:p w:rsidR="00045853" w:rsidP="005B72B0" w:rsidRDefault="00045853" w14:paraId="698D468F" w14:textId="746B9A70">
      <w:r>
        <w:t xml:space="preserve">Daarnaast is voor offshore ook de verstoring van twee weken onderzocht en is zowel voor onshore als voor offshore een verstoring op een dag </w:t>
      </w:r>
      <w:r w:rsidR="0076678C">
        <w:t xml:space="preserve">in februari </w:t>
      </w:r>
      <w:r>
        <w:t xml:space="preserve">met zeer hoge vraag onderzocht (piekdag: een dag met zeer hoge vraag die zich met een statistische waarschijnlijkheid van eens in de twintig jaar voordoet ten tijde van een koude winter). Verder gaat ENTSOG er in haar simulatie vanuit dat elke verstoring zal leiden tot een vraagreductie van 10% </w:t>
      </w:r>
      <w:r w:rsidR="7C085632">
        <w:t xml:space="preserve">als gevolg van </w:t>
      </w:r>
      <w:r>
        <w:t xml:space="preserve">reactie </w:t>
      </w:r>
      <w:r w:rsidR="007F087D">
        <w:t xml:space="preserve">van </w:t>
      </w:r>
      <w:r>
        <w:t>de markt</w:t>
      </w:r>
      <w:r w:rsidR="22C00E11">
        <w:t xml:space="preserve"> op stijgende prijzen</w:t>
      </w:r>
      <w:r>
        <w:t xml:space="preserve"> en dat de opslagen de winter zouden moeten uitkomen met een vulniveau van 30% om in de pas te blijven met de EU-opslagbepalingen. </w:t>
      </w:r>
    </w:p>
    <w:p w:rsidR="00045853" w:rsidP="005B72B0" w:rsidRDefault="00045853" w14:paraId="74892F21" w14:textId="6AA2D1A1">
      <w:r>
        <w:rPr>
          <w:i/>
          <w:iCs/>
        </w:rPr>
        <w:t>Verstoring Europipe II</w:t>
      </w:r>
    </w:p>
    <w:p w:rsidR="00045853" w:rsidP="005B72B0" w:rsidRDefault="00045853" w14:paraId="234854D6" w14:textId="09847C86">
      <w:r>
        <w:t xml:space="preserve">De Europipe </w:t>
      </w:r>
      <w:r w:rsidR="1C8333F4">
        <w:t>II</w:t>
      </w:r>
      <w:r>
        <w:t xml:space="preserve"> heeft een maximale capaciteit van 819 GWh/dag. ENTSOG doet de aanname dat er op </w:t>
      </w:r>
      <w:r w:rsidR="0024443A">
        <w:t>éé</w:t>
      </w:r>
      <w:r>
        <w:t>n dag 665 GWh/dag door de Europipe II naar Duitsland wordt aangevoerd (de dan nog resterende capaciteit wordt gebruikt voor invoeding op de Baltic Pipe</w:t>
      </w:r>
      <w:r w:rsidR="002D17B2">
        <w:t>, die Noorwegen met Denemarken en Polen verbindt</w:t>
      </w:r>
      <w:r>
        <w:t xml:space="preserve">). </w:t>
      </w:r>
      <w:r w:rsidR="0099620E">
        <w:t>Als</w:t>
      </w:r>
      <w:r>
        <w:t xml:space="preserve"> deze aanvoer naar Duitsland gedurende zes maanden wegvalt</w:t>
      </w:r>
      <w:r w:rsidR="00D57C43">
        <w:t>,</w:t>
      </w:r>
      <w:r>
        <w:t xml:space="preserve"> kan dit worden gecompenseerd door extra inzet van de Noordwest-Europese opslagen. Gevolg is wel dat de opslagen voor minder dan 30% gevuld de winter uitkomen. Om dit niveau alsnog te halen is een extra vraagreductie van 3%-punt nodig. Een verstoring van de Europipe II gedurende zowel de periode van twee weken als op een piekdag kan worden opgevangen door de opslagen, die ook dan voor tenminste 30% gevuld de winter</w:t>
      </w:r>
      <w:r w:rsidR="0076678C">
        <w:t xml:space="preserve"> </w:t>
      </w:r>
      <w:r>
        <w:t>uitkomen</w:t>
      </w:r>
      <w:r w:rsidR="0076678C">
        <w:t xml:space="preserve"> (op 1 april)</w:t>
      </w:r>
      <w:r>
        <w:t xml:space="preserve">. </w:t>
      </w:r>
    </w:p>
    <w:p w:rsidR="00045853" w:rsidP="005B72B0" w:rsidRDefault="00045853" w14:paraId="28EB5BA7" w14:textId="77777777"/>
    <w:p w:rsidR="00045853" w:rsidP="005B72B0" w:rsidRDefault="00045853" w14:paraId="6827DB33" w14:textId="77777777">
      <w:r>
        <w:rPr>
          <w:i/>
          <w:iCs/>
        </w:rPr>
        <w:t>Verstoring Emden</w:t>
      </w:r>
    </w:p>
    <w:p w:rsidR="00E55374" w:rsidP="005B72B0" w:rsidRDefault="00045853" w14:paraId="0FBA895D" w14:textId="5223FC50">
      <w:r>
        <w:t>Een verstoring van het gas</w:t>
      </w:r>
      <w:r w:rsidR="126B6C82">
        <w:t>import</w:t>
      </w:r>
      <w:r>
        <w:t>station Emden leidt tot een verminderde aanvoer van 546 GWh/dag. Deze verstoring kan gedurende zowel de periode van twee weken als op een piekdag worden opgevangen door de opslagen, die ook dan voor tenminste 30% gevuld de winter uitkomen.</w:t>
      </w:r>
    </w:p>
    <w:p w:rsidR="00AA5664" w:rsidP="005B72B0" w:rsidRDefault="00AA5664" w14:paraId="3613EC91" w14:textId="77777777"/>
    <w:p w:rsidRPr="006319E6" w:rsidR="00AA5664" w:rsidP="005B72B0" w:rsidRDefault="00572CDE" w14:paraId="44A42A65" w14:textId="5685BC7B">
      <w:pPr>
        <w:pStyle w:val="Lijstalinea"/>
        <w:numPr>
          <w:ilvl w:val="0"/>
          <w:numId w:val="24"/>
        </w:numPr>
        <w:rPr>
          <w:b/>
          <w:bCs/>
        </w:rPr>
      </w:pPr>
      <w:r w:rsidRPr="006319E6">
        <w:rPr>
          <w:b/>
          <w:bCs/>
        </w:rPr>
        <w:t>Milieu</w:t>
      </w:r>
      <w:r w:rsidR="00D57C43">
        <w:rPr>
          <w:b/>
          <w:bCs/>
        </w:rPr>
        <w:t>-</w:t>
      </w:r>
      <w:r w:rsidRPr="006319E6">
        <w:rPr>
          <w:b/>
          <w:bCs/>
        </w:rPr>
        <w:t>impact LNG</w:t>
      </w:r>
    </w:p>
    <w:p w:rsidR="0056181E" w:rsidP="005B72B0" w:rsidRDefault="0056181E" w14:paraId="3732DCAF" w14:textId="200E5F3C"/>
    <w:p w:rsidR="00CE357A" w:rsidP="005B72B0" w:rsidRDefault="00E571C2" w14:paraId="4D3A26EA" w14:textId="363C3CC4">
      <w:r w:rsidRPr="4E71DEB8">
        <w:t xml:space="preserve">In de afgelopen jaren </w:t>
      </w:r>
      <w:r w:rsidR="00CE357A">
        <w:t xml:space="preserve">is </w:t>
      </w:r>
      <w:r w:rsidR="00CF7E9D">
        <w:t xml:space="preserve">LNG steeds belangrijker geworden als middel om te voorzien in de </w:t>
      </w:r>
      <w:r w:rsidR="00FE67A2">
        <w:t xml:space="preserve">Europese </w:t>
      </w:r>
      <w:r w:rsidR="00CF7E9D">
        <w:t>gasvraag.</w:t>
      </w:r>
      <w:r w:rsidR="00FE67A2">
        <w:t xml:space="preserve"> </w:t>
      </w:r>
      <w:r w:rsidR="004E0634">
        <w:t xml:space="preserve">In 2024 </w:t>
      </w:r>
      <w:r w:rsidR="00F56956">
        <w:t>werd</w:t>
      </w:r>
      <w:r w:rsidR="003121A8">
        <w:t xml:space="preserve"> in</w:t>
      </w:r>
      <w:r w:rsidR="00F56956">
        <w:t xml:space="preserve"> </w:t>
      </w:r>
      <w:r w:rsidR="00C232D8">
        <w:t xml:space="preserve">33,5% van de </w:t>
      </w:r>
      <w:r w:rsidR="00D46CE4">
        <w:t xml:space="preserve">gasvraag in de </w:t>
      </w:r>
      <w:r w:rsidR="00C232D8">
        <w:t>EU</w:t>
      </w:r>
      <w:r w:rsidR="00D46CE4">
        <w:t xml:space="preserve"> voorzien door middel van LNG</w:t>
      </w:r>
      <w:r w:rsidR="00245A08">
        <w:t xml:space="preserve"> (ter vergelijking: in 2021 was dat nog 19,5%)</w:t>
      </w:r>
      <w:r w:rsidR="00D46CE4">
        <w:t>.</w:t>
      </w:r>
      <w:r w:rsidR="00245A08">
        <w:rPr>
          <w:rStyle w:val="Voetnootmarkering"/>
        </w:rPr>
        <w:footnoteReference w:id="26"/>
      </w:r>
      <w:r w:rsidR="004E0634">
        <w:t xml:space="preserve"> </w:t>
      </w:r>
      <w:r w:rsidR="00D46CE4">
        <w:t xml:space="preserve">De toename van dit aandeel </w:t>
      </w:r>
      <w:r w:rsidR="00D233D9">
        <w:t xml:space="preserve">LNG </w:t>
      </w:r>
      <w:r w:rsidR="005D35E5">
        <w:t xml:space="preserve">komt door </w:t>
      </w:r>
      <w:r w:rsidR="008974C6">
        <w:t xml:space="preserve">het wegvallen van het overgrote deel van de gastoevoer </w:t>
      </w:r>
      <w:r w:rsidR="00A6054D">
        <w:t>via pijpleidingen uit Rusland naar de EU</w:t>
      </w:r>
      <w:r w:rsidR="00D233D9">
        <w:t xml:space="preserve"> en door de gestage afname van eigen productie</w:t>
      </w:r>
      <w:r w:rsidR="009A32AE">
        <w:t xml:space="preserve">. </w:t>
      </w:r>
    </w:p>
    <w:p w:rsidR="009A32AE" w:rsidP="005B72B0" w:rsidRDefault="009A32AE" w14:paraId="6023FA4F" w14:textId="77777777"/>
    <w:p w:rsidR="00B2127C" w:rsidP="005B72B0" w:rsidRDefault="009A32AE" w14:paraId="69A68283" w14:textId="05D0C40E">
      <w:r>
        <w:t>Ook in Nederland</w:t>
      </w:r>
      <w:r w:rsidR="001B7AFE">
        <w:t xml:space="preserve"> is het aandeel LNG toegenomen. </w:t>
      </w:r>
      <w:r w:rsidR="000365A8">
        <w:t xml:space="preserve">Het wegvallen van de gasstromen uit Rusland in 2022 is onder meer opgevangen door een verdubbeling van de LNG-importcapaciteit </w:t>
      </w:r>
      <w:r w:rsidR="0006726B">
        <w:t>en</w:t>
      </w:r>
      <w:r w:rsidR="00C26794">
        <w:t xml:space="preserve"> daardoor mogelijke</w:t>
      </w:r>
      <w:r w:rsidR="00C21558">
        <w:t xml:space="preserve"> to</w:t>
      </w:r>
      <w:r w:rsidR="00C26794">
        <w:t>ename van de LNG-import.</w:t>
      </w:r>
    </w:p>
    <w:p w:rsidR="00640E9B" w:rsidP="005B72B0" w:rsidRDefault="00640E9B" w14:paraId="5E58B4B2" w14:textId="77777777"/>
    <w:p w:rsidRPr="007A2C21" w:rsidR="009C0349" w:rsidP="005B72B0" w:rsidRDefault="00B2127C" w14:paraId="08BE3182" w14:textId="2CEF6D45">
      <w:r>
        <w:t>Ver</w:t>
      </w:r>
      <w:r w:rsidR="0061797D">
        <w:t xml:space="preserve">uit het grootste deel van de LNG-import </w:t>
      </w:r>
      <w:r w:rsidR="009B07DB">
        <w:t xml:space="preserve">in Nederland is afkomstig uit de VS (meer dan 70%). </w:t>
      </w:r>
      <w:r w:rsidR="00336BF3">
        <w:t xml:space="preserve">Als we dit vertalen naar het aandeel van </w:t>
      </w:r>
      <w:r w:rsidR="007A2C21">
        <w:t>dit LNG op de totale gasvraag in Nederland, blijkt uit r</w:t>
      </w:r>
      <w:r w:rsidRPr="4E71DEB8" w:rsidR="009C0349">
        <w:t>ecente cijfers van Energie Beheer Nederland (EBN), die op 14 januari 2025 werden gepresenteerd, dat 27 procent van het gas dat we in Nederland gebruiken afkomstig is uit de VS.</w:t>
      </w:r>
      <w:r w:rsidRPr="4E71DEB8" w:rsidR="00C57D1A">
        <w:rPr>
          <w:rStyle w:val="Voetnootmarkering"/>
        </w:rPr>
        <w:footnoteReference w:id="27"/>
      </w:r>
      <w:r w:rsidRPr="4E71DEB8" w:rsidR="009C0349">
        <w:t xml:space="preserve"> Dit aandeel veroorzaakt 66 procent van de totale broeikasgasemissies die vrijkomen als gevolg van winning en transport. Dit laat zien dat de klimaatimpact van dit Amerikaanse LNG aanzienlijk is als aandeel in het gasverbruik in Nederland.</w:t>
      </w:r>
    </w:p>
    <w:p w:rsidR="004E0EBE" w:rsidP="005B72B0" w:rsidRDefault="004E0EBE" w14:paraId="31DC49F9" w14:textId="77777777">
      <w:pPr>
        <w:rPr>
          <w:szCs w:val="18"/>
        </w:rPr>
      </w:pPr>
    </w:p>
    <w:p w:rsidR="00C248BD" w:rsidP="005B72B0" w:rsidRDefault="009C0349" w14:paraId="0FD9F57F" w14:textId="64268191">
      <w:pPr>
        <w:rPr>
          <w:szCs w:val="18"/>
        </w:rPr>
      </w:pPr>
      <w:r w:rsidRPr="4E71DEB8">
        <w:t>Dit beeld komt overeen met eerdere studies, waaronder een studie van The Oxford Institute for Energy Studies waaruit blijkt dat de milieu-impact van LNG hoger is dan die van de gasproductie in Nederland.</w:t>
      </w:r>
      <w:r w:rsidRPr="4E71DEB8" w:rsidR="00C57D1A">
        <w:rPr>
          <w:rStyle w:val="Voetnootmarkering"/>
        </w:rPr>
        <w:footnoteReference w:id="28"/>
      </w:r>
      <w:r w:rsidRPr="4E71DEB8">
        <w:t xml:space="preserve"> Vergelijkingen tonen aan dat de gaswinning in Nederland een lagere broeikasgasemissie-intensiteit heeft dan vrijwel alle geïmporteerde bronnen</w:t>
      </w:r>
      <w:r w:rsidR="002A03BA">
        <w:rPr>
          <w:szCs w:val="18"/>
        </w:rPr>
        <w:t xml:space="preserve">. </w:t>
      </w:r>
      <w:r w:rsidRPr="4E71DEB8" w:rsidR="00F84904">
        <w:t>Het pijpleidin</w:t>
      </w:r>
      <w:r w:rsidR="00A52B45">
        <w:t>g</w:t>
      </w:r>
      <w:r w:rsidRPr="4E71DEB8" w:rsidR="00F84904">
        <w:t>gas uit Noorwegen is hierop een uitzonder</w:t>
      </w:r>
      <w:r w:rsidRPr="4E71DEB8" w:rsidR="00D75774">
        <w:t>ing</w:t>
      </w:r>
      <w:r w:rsidR="00D57C43">
        <w:t>,</w:t>
      </w:r>
      <w:r w:rsidRPr="4E71DEB8" w:rsidR="00D75774">
        <w:t xml:space="preserve"> want Noorwegen stelt ook hoge milieueisen aan haar gasnetwerk en de winning van gas. </w:t>
      </w:r>
      <w:r w:rsidRPr="4E71DEB8">
        <w:t>LNG, en mogelijk gas uit Rusland, verto</w:t>
      </w:r>
      <w:r w:rsidR="00D57C43">
        <w:t>o</w:t>
      </w:r>
      <w:r w:rsidRPr="4E71DEB8">
        <w:t>n</w:t>
      </w:r>
      <w:r w:rsidR="00D57C43">
        <w:t>t</w:t>
      </w:r>
      <w:r w:rsidRPr="4E71DEB8">
        <w:t xml:space="preserve"> veel hogere emissie-intensiteiten. </w:t>
      </w:r>
    </w:p>
    <w:p w:rsidR="00C248BD" w:rsidP="005B72B0" w:rsidRDefault="00C248BD" w14:paraId="6E6084E2" w14:textId="77777777">
      <w:pPr>
        <w:rPr>
          <w:szCs w:val="18"/>
        </w:rPr>
      </w:pPr>
    </w:p>
    <w:p w:rsidR="009C0349" w:rsidP="005B72B0" w:rsidRDefault="00C248BD" w14:paraId="037DF989" w14:textId="34458A51">
      <w:pPr>
        <w:rPr>
          <w:szCs w:val="18"/>
        </w:rPr>
      </w:pPr>
      <w:r w:rsidRPr="4E71DEB8">
        <w:t>Niet alleen het vloeibaar maken van ga</w:t>
      </w:r>
      <w:r w:rsidRPr="4E71DEB8" w:rsidR="008A1FC1">
        <w:t>s</w:t>
      </w:r>
      <w:r w:rsidRPr="4E71DEB8">
        <w:t xml:space="preserve"> tot LNG</w:t>
      </w:r>
      <w:r w:rsidRPr="4E71DEB8" w:rsidR="008A1FC1">
        <w:t xml:space="preserve"> draagt bij aan een hogere uitstoot van broeikasgassen</w:t>
      </w:r>
      <w:r w:rsidRPr="4E71DEB8" w:rsidR="00B53B46">
        <w:t xml:space="preserve">, met name methaan. Ook het gekoeld </w:t>
      </w:r>
      <w:r w:rsidRPr="4E71DEB8" w:rsidR="00956061">
        <w:t>transport</w:t>
      </w:r>
      <w:r w:rsidRPr="4E71DEB8" w:rsidR="00B53B46">
        <w:t xml:space="preserve"> van LNG over zee en de </w:t>
      </w:r>
      <w:r w:rsidRPr="4E71DEB8" w:rsidR="00956061">
        <w:t xml:space="preserve">winning van schaliegas dragen aanzienlijk bij aan de hogere uitstoot. </w:t>
      </w:r>
      <w:r w:rsidRPr="4E71DEB8" w:rsidR="009C0349">
        <w:t>Dit maakt duidelijk dat LNG-import uit de VS bijdraagt aan een aanzienlijke verhoging van de uitstoot van broeikasgassen in vergelijking met binnenlandse winning.</w:t>
      </w:r>
      <w:r w:rsidRPr="4E71DEB8" w:rsidR="00C57D1A">
        <w:rPr>
          <w:rStyle w:val="Voetnootmarkering"/>
        </w:rPr>
        <w:footnoteReference w:id="29"/>
      </w:r>
      <w:r w:rsidRPr="4DDD71D8" w:rsidR="009C0349">
        <w:rPr>
          <w:szCs w:val="18"/>
        </w:rPr>
        <w:t xml:space="preserve"> </w:t>
      </w:r>
      <w:r w:rsidRPr="4E71DEB8" w:rsidR="009C0349">
        <w:t>Volgens het IEA behoort de VS tot de grootste uitstoter van methaan uit olie- en gasactiviteiten</w:t>
      </w:r>
      <w:r w:rsidRPr="4E71DEB8" w:rsidR="00CF6627">
        <w:t>. Dit komt met mede door schaliegas.</w:t>
      </w:r>
      <w:r w:rsidR="009C0349">
        <w:rPr>
          <w:szCs w:val="18"/>
        </w:rPr>
        <w:t xml:space="preserve"> </w:t>
      </w:r>
      <w:r w:rsidRPr="4E71DEB8" w:rsidR="00F34EE8">
        <w:t>Daarna volgt</w:t>
      </w:r>
      <w:r w:rsidRPr="4E71DEB8" w:rsidR="009C0349">
        <w:t xml:space="preserve"> de Russische </w:t>
      </w:r>
      <w:r w:rsidR="00D57C43">
        <w:t>F</w:t>
      </w:r>
      <w:r w:rsidRPr="4E71DEB8" w:rsidR="009C0349">
        <w:t>ederatie</w:t>
      </w:r>
      <w:r w:rsidR="00F34EE8">
        <w:rPr>
          <w:szCs w:val="18"/>
        </w:rPr>
        <w:t>,</w:t>
      </w:r>
      <w:r w:rsidRPr="4E71DEB8" w:rsidR="009C0349">
        <w:t xml:space="preserve"> waar </w:t>
      </w:r>
      <w:r w:rsidRPr="4E71DEB8" w:rsidR="00BF3BFA">
        <w:t>ook eerder in 2020</w:t>
      </w:r>
      <w:r w:rsidRPr="4E71DEB8" w:rsidR="009C0349">
        <w:t xml:space="preserve"> hoge emissiewaarden </w:t>
      </w:r>
      <w:r w:rsidRPr="4E71DEB8" w:rsidR="00BF3BFA">
        <w:t>rondom</w:t>
      </w:r>
      <w:r w:rsidR="009C0349">
        <w:rPr>
          <w:szCs w:val="18"/>
        </w:rPr>
        <w:t xml:space="preserve"> </w:t>
      </w:r>
      <w:r w:rsidRPr="4E71DEB8" w:rsidR="004F62BE">
        <w:t>olie en</w:t>
      </w:r>
      <w:r w:rsidR="00770875">
        <w:rPr>
          <w:szCs w:val="18"/>
        </w:rPr>
        <w:t xml:space="preserve"> </w:t>
      </w:r>
      <w:r w:rsidRPr="4E71DEB8" w:rsidR="009E11ED">
        <w:t>gasactiviteiten</w:t>
      </w:r>
      <w:r w:rsidR="00770875">
        <w:rPr>
          <w:szCs w:val="18"/>
        </w:rPr>
        <w:t xml:space="preserve"> </w:t>
      </w:r>
      <w:r w:rsidRPr="4E71DEB8" w:rsidR="009C0349">
        <w:t>zijn vastgesteld</w:t>
      </w:r>
      <w:r>
        <w:rPr>
          <w:szCs w:val="18"/>
        </w:rPr>
        <w:t>.</w:t>
      </w:r>
      <w:r w:rsidRPr="4E71DEB8" w:rsidR="00770875">
        <w:rPr>
          <w:rStyle w:val="Voetnootmarkering"/>
        </w:rPr>
        <w:footnoteReference w:id="30"/>
      </w:r>
      <w:r w:rsidR="009C0349">
        <w:rPr>
          <w:szCs w:val="18"/>
        </w:rPr>
        <w:t xml:space="preserve"> </w:t>
      </w:r>
    </w:p>
    <w:p w:rsidRPr="005C2B85" w:rsidR="003B4A22" w:rsidP="005B72B0" w:rsidRDefault="003B4A22" w14:paraId="3565F5A7" w14:textId="77777777">
      <w:pPr>
        <w:rPr>
          <w:szCs w:val="18"/>
        </w:rPr>
      </w:pPr>
    </w:p>
    <w:p w:rsidRPr="004A4928" w:rsidR="00756729" w:rsidP="005B72B0" w:rsidRDefault="004A4928" w14:paraId="039F4A12" w14:textId="40830642">
      <w:r>
        <w:t xml:space="preserve">Een belangrijk instrument om de methaanemissies </w:t>
      </w:r>
      <w:r w:rsidRPr="4E71DEB8" w:rsidR="009C0349">
        <w:t>die vrijkomen bij</w:t>
      </w:r>
      <w:r w:rsidRPr="008849B3" w:rsidR="009C0349">
        <w:rPr>
          <w:szCs w:val="18"/>
        </w:rPr>
        <w:t xml:space="preserve"> </w:t>
      </w:r>
      <w:r w:rsidRPr="4E71DEB8" w:rsidR="009C0349">
        <w:t>de winning</w:t>
      </w:r>
      <w:r w:rsidRPr="4E71DEB8" w:rsidR="00296DC0">
        <w:t xml:space="preserve"> buiten de EU</w:t>
      </w:r>
      <w:r w:rsidRPr="4E71DEB8" w:rsidR="009C0349">
        <w:t xml:space="preserve"> van aardgas, maar ook van ruwe olie en steenkool</w:t>
      </w:r>
      <w:r w:rsidR="00296DC0">
        <w:t>,</w:t>
      </w:r>
      <w:r w:rsidRPr="4E71DEB8" w:rsidR="009C0349">
        <w:t xml:space="preserve"> beter te monitoren en uiteindelijk te reduceren </w:t>
      </w:r>
      <w:r w:rsidR="00300DC4">
        <w:t xml:space="preserve">is </w:t>
      </w:r>
      <w:r w:rsidRPr="4E71DEB8" w:rsidR="00300DC4">
        <w:t>Verordening (EU) 2024/1787</w:t>
      </w:r>
      <w:r w:rsidR="00300DC4">
        <w:t xml:space="preserve"> </w:t>
      </w:r>
      <w:r w:rsidRPr="4E71DEB8" w:rsidR="00300DC4">
        <w:t>(hierna: methaanverordening)</w:t>
      </w:r>
      <w:r w:rsidR="00300DC4">
        <w:t xml:space="preserve">. </w:t>
      </w:r>
      <w:r w:rsidRPr="4E71DEB8" w:rsidR="00300DC4">
        <w:t xml:space="preserve">De methaanverordening biedt de Europese Commissie </w:t>
      </w:r>
      <w:r w:rsidR="00300DC4">
        <w:t xml:space="preserve">onder meer </w:t>
      </w:r>
      <w:r w:rsidRPr="4E71DEB8" w:rsidR="00300DC4">
        <w:t>de mogelijkheid om een maximale methaanintensiteitswaarde vast te stellen. Die waarde gaat gelden voor aardgas, ruwe olie en steenkool die in de EU word</w:t>
      </w:r>
      <w:r w:rsidR="00A52B45">
        <w:t>t</w:t>
      </w:r>
      <w:r w:rsidRPr="4E71DEB8" w:rsidR="00300DC4">
        <w:t xml:space="preserve"> verhandeld. Dit moet leiden tot emissiereducties van methaan</w:t>
      </w:r>
      <w:r w:rsidR="008D4E7F">
        <w:t>,</w:t>
      </w:r>
      <w:r w:rsidRPr="4E71DEB8" w:rsidR="00300DC4">
        <w:t xml:space="preserve"> ook buiten de EU.</w:t>
      </w:r>
      <w:r w:rsidR="004B7B68">
        <w:t xml:space="preserve"> Immers, partijen die aardgas (incl. LNG) in de EU willen importeren en verhandelen zullen moeten aantonen dat aan de door de Europese Commissie gestelde eisen wordt voldaan.</w:t>
      </w:r>
      <w:r w:rsidR="00914D43">
        <w:t xml:space="preserve"> </w:t>
      </w:r>
      <w:r w:rsidR="008D4E7F">
        <w:t>Het kabinet werkt</w:t>
      </w:r>
      <w:r w:rsidRPr="4E71DEB8" w:rsidR="009C0349">
        <w:t xml:space="preserve"> momenteel aan </w:t>
      </w:r>
      <w:r w:rsidR="008D4E7F">
        <w:t xml:space="preserve">een </w:t>
      </w:r>
      <w:r w:rsidR="00967D58">
        <w:t>wet</w:t>
      </w:r>
      <w:r w:rsidR="00A52B45">
        <w:t>svoorstel</w:t>
      </w:r>
      <w:r w:rsidR="00967D58">
        <w:t xml:space="preserve"> waarmee uitvoering wordt gegeven aan de </w:t>
      </w:r>
      <w:r w:rsidRPr="4E71DEB8" w:rsidR="00967D58">
        <w:t>methaanverordening</w:t>
      </w:r>
      <w:r w:rsidR="001E6F89">
        <w:t xml:space="preserve">. </w:t>
      </w:r>
      <w:r w:rsidRPr="4E71DEB8" w:rsidR="009C0349">
        <w:t>Vooruitlopend op de</w:t>
      </w:r>
      <w:r w:rsidR="00E414AB">
        <w:t>ze</w:t>
      </w:r>
      <w:r w:rsidRPr="4E71DEB8" w:rsidR="009C0349">
        <w:t xml:space="preserve"> Uitvoeringswet</w:t>
      </w:r>
      <w:r w:rsidR="004A2F86">
        <w:rPr>
          <w:szCs w:val="18"/>
        </w:rPr>
        <w:t xml:space="preserve"> </w:t>
      </w:r>
      <w:r w:rsidRPr="4E71DEB8" w:rsidR="009C0349">
        <w:t xml:space="preserve">methaanverordening </w:t>
      </w:r>
      <w:r w:rsidR="00A52B45">
        <w:t>volgt binnenkort de publicatie van het voorlopig</w:t>
      </w:r>
      <w:r w:rsidRPr="4E71DEB8" w:rsidR="009C0349">
        <w:t xml:space="preserve"> aanwij</w:t>
      </w:r>
      <w:r w:rsidR="00A52B45">
        <w:t>zings</w:t>
      </w:r>
      <w:r w:rsidRPr="4E71DEB8" w:rsidR="009C0349">
        <w:t>besluit</w:t>
      </w:r>
      <w:r w:rsidR="00A52B45">
        <w:t>.</w:t>
      </w:r>
      <w:r w:rsidR="009D7F32">
        <w:rPr>
          <w:szCs w:val="18"/>
        </w:rPr>
        <w:t xml:space="preserve"> </w:t>
      </w:r>
      <w:r w:rsidRPr="4E71DEB8" w:rsidR="009D7F32">
        <w:t xml:space="preserve">Hiermee </w:t>
      </w:r>
      <w:r w:rsidR="00A52B45">
        <w:t>worden enkele instanties</w:t>
      </w:r>
      <w:r w:rsidRPr="4E71DEB8" w:rsidR="00075836">
        <w:t xml:space="preserve"> voorlop</w:t>
      </w:r>
      <w:r w:rsidRPr="4E71DEB8" w:rsidR="00164FDD">
        <w:t>ig aangewezen</w:t>
      </w:r>
      <w:r w:rsidR="00A52B45">
        <w:t xml:space="preserve"> als</w:t>
      </w:r>
      <w:r w:rsidRPr="4E71DEB8" w:rsidR="00164FDD">
        <w:t xml:space="preserve"> bevoegde instanties </w:t>
      </w:r>
      <w:r w:rsidR="00A52B45">
        <w:t>zodat zij f</w:t>
      </w:r>
      <w:r w:rsidR="007568BF">
        <w:t>eitelijke</w:t>
      </w:r>
      <w:r w:rsidR="0016619C">
        <w:t xml:space="preserve"> uitvoeringshandelingen kunnen verrichten tot de Uitvoeringswet methaanverordening in werking treedt</w:t>
      </w:r>
      <w:r w:rsidR="0022691E">
        <w:t>.</w:t>
      </w:r>
      <w:r w:rsidRPr="4E71DEB8" w:rsidR="009D7F32">
        <w:t xml:space="preserve"> </w:t>
      </w:r>
    </w:p>
    <w:p w:rsidR="009C0349" w:rsidP="005B72B0" w:rsidRDefault="009C0349" w14:paraId="67E5125F" w14:textId="77777777">
      <w:pPr>
        <w:rPr>
          <w:szCs w:val="18"/>
        </w:rPr>
      </w:pPr>
    </w:p>
    <w:p w:rsidRPr="004213FB" w:rsidR="00D85189" w:rsidP="005B72B0" w:rsidRDefault="00D85189" w14:paraId="38C013ED" w14:textId="008EEA8F">
      <w:pPr>
        <w:rPr>
          <w:szCs w:val="18"/>
        </w:rPr>
      </w:pPr>
      <w:r w:rsidRPr="4E71DEB8">
        <w:t xml:space="preserve">Met de methaanverordening en de Uitvoeringswet methaanverordening geeft Nederland invulling aan </w:t>
      </w:r>
      <w:r w:rsidR="00A52B45">
        <w:t>de</w:t>
      </w:r>
      <w:r w:rsidRPr="00CF51D1">
        <w:rPr>
          <w:szCs w:val="18"/>
        </w:rPr>
        <w:t xml:space="preserve"> </w:t>
      </w:r>
      <w:r w:rsidRPr="4E71DEB8" w:rsidR="00426190">
        <w:t xml:space="preserve">Methaan </w:t>
      </w:r>
      <w:r w:rsidRPr="4E71DEB8" w:rsidR="00B332E0">
        <w:t>B</w:t>
      </w:r>
      <w:r w:rsidRPr="4E71DEB8" w:rsidR="00426190">
        <w:t>elofte</w:t>
      </w:r>
      <w:r w:rsidR="00CB61AB">
        <w:rPr>
          <w:szCs w:val="18"/>
        </w:rPr>
        <w:t xml:space="preserve"> </w:t>
      </w:r>
      <w:r w:rsidRPr="4E71DEB8">
        <w:t>(Global Methane Pledge)</w:t>
      </w:r>
      <w:r w:rsidRPr="4E71DEB8" w:rsidR="00792485">
        <w:rPr>
          <w:rStyle w:val="Voetnootmarkering"/>
        </w:rPr>
        <w:footnoteReference w:id="31"/>
      </w:r>
      <w:r w:rsidRPr="4E71DEB8">
        <w:t xml:space="preserve">, die op mondiaal niveau met </w:t>
      </w:r>
      <w:r w:rsidR="008D4E7F">
        <w:t xml:space="preserve">een groot aantal </w:t>
      </w:r>
      <w:r w:rsidRPr="4E71DEB8">
        <w:t>partnerlanden op 2 november 2021 overeen is gekomen. Dit initiatief streeft ernaar de uitstoot van methaan terug te dringen met 30% in 2030 ten opzichte van 2020. Daarnaast heeft het Ministerie van E</w:t>
      </w:r>
      <w:r w:rsidRPr="4E71DEB8" w:rsidR="00876020">
        <w:t xml:space="preserve">conomische </w:t>
      </w:r>
      <w:r w:rsidRPr="4E71DEB8">
        <w:t>Z</w:t>
      </w:r>
      <w:r w:rsidRPr="4E71DEB8" w:rsidR="00876020">
        <w:t xml:space="preserve">aken en </w:t>
      </w:r>
      <w:r w:rsidRPr="4E71DEB8">
        <w:t>K</w:t>
      </w:r>
      <w:r w:rsidRPr="4E71DEB8" w:rsidR="00876020">
        <w:t>limaat</w:t>
      </w:r>
      <w:r w:rsidRPr="4E71DEB8">
        <w:t xml:space="preserve"> in 2019 ook met de offshore sector in Nederland een convenant afgesloten om de methaanemissies in Nederland </w:t>
      </w:r>
      <w:r w:rsidRPr="4E71DEB8" w:rsidR="00F53B49">
        <w:t>die vrijkomen bij</w:t>
      </w:r>
      <w:r w:rsidRPr="4E71DEB8">
        <w:t xml:space="preserve"> de productie van olie en gas te reduceren met minimaal 50% ten opzichte van 2017 voor het einde van 2021. Inmiddels is een reductie van</w:t>
      </w:r>
      <w:r>
        <w:rPr>
          <w:szCs w:val="18"/>
        </w:rPr>
        <w:t xml:space="preserve"> </w:t>
      </w:r>
      <w:r w:rsidRPr="4E71DEB8">
        <w:t>70% gerealiseerd.</w:t>
      </w:r>
    </w:p>
    <w:sectPr w:rsidRPr="004213FB" w:rsidR="00D85189" w:rsidSect="00D604B3">
      <w:headerReference w:type="even" r:id="rId17"/>
      <w:headerReference w:type="default" r:id="rId18"/>
      <w:footerReference w:type="even" r:id="rId19"/>
      <w:footerReference w:type="default" r:id="rId20"/>
      <w:headerReference w:type="first" r:id="rId21"/>
      <w:footerReference w:type="first" r:id="rId22"/>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075D" w14:textId="77777777" w:rsidR="00C628C8" w:rsidRDefault="00C628C8">
      <w:r>
        <w:separator/>
      </w:r>
    </w:p>
    <w:p w14:paraId="2B0561F7" w14:textId="77777777" w:rsidR="00C628C8" w:rsidRDefault="00C628C8"/>
  </w:endnote>
  <w:endnote w:type="continuationSeparator" w:id="0">
    <w:p w14:paraId="7CD3BF09" w14:textId="77777777" w:rsidR="00C628C8" w:rsidRDefault="00C628C8">
      <w:r>
        <w:continuationSeparator/>
      </w:r>
    </w:p>
    <w:p w14:paraId="6254A6D1" w14:textId="77777777" w:rsidR="00C628C8" w:rsidRDefault="00C628C8"/>
  </w:endnote>
  <w:endnote w:type="continuationNotice" w:id="1">
    <w:p w14:paraId="17511238" w14:textId="77777777" w:rsidR="00C628C8" w:rsidRDefault="00C628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0893" w14:textId="77777777" w:rsidR="004C6446" w:rsidRDefault="004C6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7AE6" w14:textId="675273ED" w:rsidR="00527BD4" w:rsidRPr="00BC3B53" w:rsidRDefault="00527BD4" w:rsidP="008C356D">
    <w:pPr>
      <w:pStyle w:val="Voettekst"/>
      <w:spacing w:line="240" w:lineRule="auto"/>
      <w:rPr>
        <w:sz w:val="2"/>
        <w:szCs w:val="2"/>
      </w:rPr>
    </w:pPr>
  </w:p>
  <w:tbl>
    <w:tblPr>
      <w:tblW w:w="11913" w:type="dxa"/>
      <w:tblLayout w:type="fixed"/>
      <w:tblCellMar>
        <w:left w:w="0" w:type="dxa"/>
        <w:right w:w="0" w:type="dxa"/>
      </w:tblCellMar>
      <w:tblLook w:val="0000" w:firstRow="0" w:lastRow="0" w:firstColumn="0" w:lastColumn="0" w:noHBand="0" w:noVBand="0"/>
    </w:tblPr>
    <w:tblGrid>
      <w:gridCol w:w="7601"/>
      <w:gridCol w:w="2156"/>
      <w:gridCol w:w="2156"/>
    </w:tblGrid>
    <w:tr w:rsidR="0052166F" w14:paraId="3416FC05" w14:textId="77777777" w:rsidTr="006D1737">
      <w:trPr>
        <w:trHeight w:hRule="exact" w:val="240"/>
      </w:trPr>
      <w:tc>
        <w:tcPr>
          <w:tcW w:w="7601" w:type="dxa"/>
          <w:shd w:val="clear" w:color="auto" w:fill="auto"/>
        </w:tcPr>
        <w:p w14:paraId="7158A7A9" w14:textId="77777777" w:rsidR="006D1737" w:rsidRDefault="006D1737" w:rsidP="006D1737">
          <w:pPr>
            <w:pStyle w:val="Huisstijl-Rubricering"/>
          </w:pPr>
        </w:p>
      </w:tc>
      <w:tc>
        <w:tcPr>
          <w:tcW w:w="2156" w:type="dxa"/>
        </w:tcPr>
        <w:p w14:paraId="528D74FC" w14:textId="3E7F6E04" w:rsidR="006D1737" w:rsidRPr="00645414" w:rsidRDefault="00614950" w:rsidP="006D1737">
          <w:pPr>
            <w:pStyle w:val="Huisstijl-Paginanummering"/>
          </w:pPr>
          <w:r>
            <w:t xml:space="preserve">Pagina </w:t>
          </w:r>
          <w:r w:rsidR="00B04649" w:rsidRPr="00645414">
            <w:fldChar w:fldCharType="begin"/>
          </w:r>
          <w:r w:rsidR="00B04649" w:rsidRPr="00645414">
            <w:instrText xml:space="preserve"> PAGE   \* MERGEFORMAT </w:instrText>
          </w:r>
          <w:r w:rsidR="00B04649" w:rsidRPr="00645414">
            <w:fldChar w:fldCharType="separate"/>
          </w:r>
          <w:r w:rsidR="00B04649">
            <w:t>2</w:t>
          </w:r>
          <w:r w:rsidR="00B04649" w:rsidRPr="00645414">
            <w:fldChar w:fldCharType="end"/>
          </w:r>
          <w:r>
            <w:t xml:space="preserve"> van </w:t>
          </w:r>
          <w:fldSimple w:instr="SECTIONPAGES   \* MERGEFORMAT">
            <w:r w:rsidR="003B4F6E">
              <w:t>15</w:t>
            </w:r>
          </w:fldSimple>
          <w:r w:rsidRPr="00ED539E">
            <w:rPr>
              <w:rStyle w:val="Huisstijl-GegevenCharChar"/>
            </w:rPr>
            <w:t xml:space="preserve"> </w:t>
          </w:r>
          <w:r w:rsidRPr="00ED539E">
            <w:t xml:space="preserve"> </w:t>
          </w:r>
        </w:p>
      </w:tc>
      <w:tc>
        <w:tcPr>
          <w:tcW w:w="2156" w:type="dxa"/>
        </w:tcPr>
        <w:p w14:paraId="712503FD" w14:textId="78904AAB" w:rsidR="006D1737" w:rsidRPr="00645414" w:rsidRDefault="00614950" w:rsidP="006D1737">
          <w:pPr>
            <w:pStyle w:val="Huisstijl-Paginanummering"/>
          </w:pPr>
          <w:r w:rsidRPr="00645414">
            <w:t xml:space="preserve"> </w:t>
          </w:r>
        </w:p>
      </w:tc>
    </w:tr>
  </w:tbl>
  <w:p w14:paraId="70CF1013" w14:textId="77777777" w:rsidR="00527BD4" w:rsidRPr="00BC3B53" w:rsidRDefault="00527BD4" w:rsidP="00BC3B53">
    <w:pPr>
      <w:pStyle w:val="Voettekst"/>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1" w:type="dxa"/>
      <w:tblLayout w:type="fixed"/>
      <w:tblCellMar>
        <w:left w:w="0" w:type="dxa"/>
        <w:right w:w="0" w:type="dxa"/>
      </w:tblCellMar>
      <w:tblLook w:val="0000" w:firstRow="0" w:lastRow="0" w:firstColumn="0" w:lastColumn="0" w:noHBand="0" w:noVBand="0"/>
    </w:tblPr>
    <w:tblGrid>
      <w:gridCol w:w="7601"/>
      <w:gridCol w:w="2170"/>
    </w:tblGrid>
    <w:tr w:rsidR="0052166F" w14:paraId="7943CD49" w14:textId="77777777" w:rsidTr="00CA6A25">
      <w:trPr>
        <w:trHeight w:hRule="exact" w:val="240"/>
      </w:trPr>
      <w:tc>
        <w:tcPr>
          <w:tcW w:w="7601" w:type="dxa"/>
          <w:shd w:val="clear" w:color="auto" w:fill="auto"/>
        </w:tcPr>
        <w:p w14:paraId="1D3A63A6" w14:textId="5A4A169D" w:rsidR="00527BD4" w:rsidRDefault="00527BD4" w:rsidP="008C356D">
          <w:pPr>
            <w:pStyle w:val="Huisstijl-Rubricering"/>
          </w:pPr>
        </w:p>
      </w:tc>
      <w:tc>
        <w:tcPr>
          <w:tcW w:w="2170" w:type="dxa"/>
        </w:tcPr>
        <w:p w14:paraId="640D9CC3" w14:textId="0DE391A5" w:rsidR="00527BD4" w:rsidRPr="00ED539E" w:rsidRDefault="00614950" w:rsidP="00ED539E">
          <w:pPr>
            <w:pStyle w:val="Huisstijl-Paginanummering"/>
          </w:pPr>
          <w:r>
            <w:t xml:space="preserve">Pagina </w:t>
          </w:r>
          <w:r w:rsidRPr="00645414">
            <w:fldChar w:fldCharType="begin"/>
          </w:r>
          <w:r w:rsidRPr="00645414">
            <w:instrText xml:space="preserve"> PAGE   \* MERGEFORMAT </w:instrText>
          </w:r>
          <w:r w:rsidRPr="00645414">
            <w:fldChar w:fldCharType="separate"/>
          </w:r>
          <w:r>
            <w:t>1</w:t>
          </w:r>
          <w:r w:rsidRPr="00645414">
            <w:fldChar w:fldCharType="end"/>
          </w:r>
          <w:r>
            <w:t xml:space="preserve"> van </w:t>
          </w:r>
          <w:fldSimple w:instr="SECTIONPAGES   \* MERGEFORMAT">
            <w:r w:rsidR="00C628C8">
              <w:t>1</w:t>
            </w:r>
          </w:fldSimple>
        </w:p>
      </w:tc>
    </w:tr>
  </w:tbl>
  <w:p w14:paraId="392771AA" w14:textId="77777777" w:rsidR="00527BD4" w:rsidRPr="00BC3B53" w:rsidRDefault="00527BD4" w:rsidP="008C356D">
    <w:pPr>
      <w:pStyle w:val="Voettekst"/>
      <w:spacing w:line="240" w:lineRule="auto"/>
      <w:rPr>
        <w:sz w:val="2"/>
        <w:szCs w:val="2"/>
      </w:rPr>
    </w:pPr>
  </w:p>
  <w:p w14:paraId="3940623F" w14:textId="77777777" w:rsidR="00527BD4" w:rsidRPr="00BC3B53" w:rsidRDefault="00527BD4" w:rsidP="00023E9A">
    <w:pPr>
      <w:pStyle w:val="Voetteks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915FC" w14:textId="77777777" w:rsidR="00C628C8" w:rsidRDefault="00C628C8">
      <w:r>
        <w:separator/>
      </w:r>
    </w:p>
    <w:p w14:paraId="1F2D2C1B" w14:textId="77777777" w:rsidR="00C628C8" w:rsidRDefault="00C628C8"/>
  </w:footnote>
  <w:footnote w:type="continuationSeparator" w:id="0">
    <w:p w14:paraId="1729B249" w14:textId="77777777" w:rsidR="00C628C8" w:rsidRDefault="00C628C8">
      <w:r>
        <w:continuationSeparator/>
      </w:r>
    </w:p>
    <w:p w14:paraId="35A95A0F" w14:textId="77777777" w:rsidR="00C628C8" w:rsidRDefault="00C628C8"/>
  </w:footnote>
  <w:footnote w:type="continuationNotice" w:id="1">
    <w:p w14:paraId="7CE1A57B" w14:textId="77777777" w:rsidR="00C628C8" w:rsidRDefault="00C628C8">
      <w:pPr>
        <w:spacing w:line="240" w:lineRule="auto"/>
      </w:pPr>
    </w:p>
  </w:footnote>
  <w:footnote w:id="2">
    <w:p w14:paraId="0F61BA48" w14:textId="6CA42362" w:rsidR="00FD0AC9" w:rsidRPr="00FD0AC9" w:rsidRDefault="00FD0AC9">
      <w:pPr>
        <w:pStyle w:val="Voetnoottekst"/>
      </w:pPr>
      <w:r>
        <w:rPr>
          <w:rStyle w:val="Voetnootmarkering"/>
        </w:rPr>
        <w:footnoteRef/>
      </w:r>
      <w:r>
        <w:t xml:space="preserve"> </w:t>
      </w:r>
      <w:r w:rsidRPr="00FD0AC9">
        <w:t>Kamerstuk</w:t>
      </w:r>
      <w:r w:rsidR="00070F84">
        <w:t>ken II 2024-2025, nr.</w:t>
      </w:r>
      <w:r w:rsidRPr="00FD0AC9">
        <w:t xml:space="preserve"> </w:t>
      </w:r>
      <w:r>
        <w:t>29023</w:t>
      </w:r>
      <w:r w:rsidR="00E839C1">
        <w:t>, nr.</w:t>
      </w:r>
      <w:r w:rsidR="00070F84">
        <w:t xml:space="preserve"> </w:t>
      </w:r>
      <w:r w:rsidR="0032202D">
        <w:t>531</w:t>
      </w:r>
      <w:r w:rsidR="00070F84">
        <w:t>.</w:t>
      </w:r>
    </w:p>
  </w:footnote>
  <w:footnote w:id="3">
    <w:p w14:paraId="010E533F" w14:textId="5035B9F0" w:rsidR="008963AA" w:rsidRDefault="008963AA">
      <w:pPr>
        <w:pStyle w:val="Voetnoottekst"/>
      </w:pPr>
      <w:r>
        <w:rPr>
          <w:rStyle w:val="Voetnootmarkering"/>
        </w:rPr>
        <w:footnoteRef/>
      </w:r>
      <w:r>
        <w:t xml:space="preserve"> </w:t>
      </w:r>
      <w:r w:rsidR="00682A9B">
        <w:t xml:space="preserve">Conform toezegging </w:t>
      </w:r>
      <w:r w:rsidR="00682A9B" w:rsidRPr="00682A9B">
        <w:t>TZ202501-089</w:t>
      </w:r>
      <w:r w:rsidR="00682A9B">
        <w:t>.</w:t>
      </w:r>
      <w:r w:rsidR="00682A9B" w:rsidRPr="00682A9B">
        <w:t> </w:t>
      </w:r>
    </w:p>
  </w:footnote>
  <w:footnote w:id="4">
    <w:p w14:paraId="544B13B5" w14:textId="17853AA6" w:rsidR="00F3677A" w:rsidRDefault="00F3677A">
      <w:pPr>
        <w:pStyle w:val="Voetnoottekst"/>
      </w:pPr>
      <w:r>
        <w:rPr>
          <w:rStyle w:val="Voetnootmarkering"/>
        </w:rPr>
        <w:footnoteRef/>
      </w:r>
      <w:r>
        <w:t xml:space="preserve"> Gedaan tijdens het Commissiedebat Mijnbouw op </w:t>
      </w:r>
      <w:r w:rsidR="007A49D3">
        <w:t xml:space="preserve">2 oktober 2024. </w:t>
      </w:r>
    </w:p>
  </w:footnote>
  <w:footnote w:id="5">
    <w:p w14:paraId="63F158AB" w14:textId="27A11F9C" w:rsidR="00851066" w:rsidRPr="006E31DC" w:rsidRDefault="00851066">
      <w:pPr>
        <w:pStyle w:val="Voetnoottekst"/>
      </w:pPr>
      <w:r>
        <w:rPr>
          <w:rStyle w:val="Voetnootmarkering"/>
        </w:rPr>
        <w:footnoteRef/>
      </w:r>
      <w:r w:rsidRPr="006E31DC">
        <w:t xml:space="preserve"> </w:t>
      </w:r>
      <w:r w:rsidR="00A665B0" w:rsidRPr="006E31DC">
        <w:t>Conform toezegging</w:t>
      </w:r>
      <w:r w:rsidRPr="006E31DC">
        <w:t>TZ</w:t>
      </w:r>
      <w:r w:rsidR="00F33152" w:rsidRPr="006E31DC">
        <w:t>202410-023</w:t>
      </w:r>
      <w:r w:rsidR="00491E02" w:rsidRPr="006E31DC">
        <w:t>.</w:t>
      </w:r>
    </w:p>
  </w:footnote>
  <w:footnote w:id="6">
    <w:p w14:paraId="7C240AFE" w14:textId="687788AD" w:rsidR="00433540" w:rsidRPr="00E83698" w:rsidRDefault="00433540">
      <w:pPr>
        <w:pStyle w:val="Voetnoottekst"/>
      </w:pPr>
      <w:r>
        <w:rPr>
          <w:rStyle w:val="Voetnootmarkering"/>
        </w:rPr>
        <w:footnoteRef/>
      </w:r>
      <w:r w:rsidRPr="00E83698">
        <w:t xml:space="preserve"> Bijvoorbeeld: </w:t>
      </w:r>
      <w:hyperlink r:id="rId1" w:history="1">
        <w:r w:rsidR="00E83698" w:rsidRPr="00E83698">
          <w:rPr>
            <w:rStyle w:val="Hyperlink"/>
          </w:rPr>
          <w:t>Schepen met vloeibaar gas verleggen hun koers naar lucratief Europa</w:t>
        </w:r>
      </w:hyperlink>
      <w:r w:rsidR="00E83698" w:rsidRPr="00E83698">
        <w:t xml:space="preserve">. </w:t>
      </w:r>
    </w:p>
  </w:footnote>
  <w:footnote w:id="7">
    <w:p w14:paraId="1A19963E" w14:textId="724342FA" w:rsidR="00E83698" w:rsidRPr="00E83698" w:rsidRDefault="00E83698">
      <w:pPr>
        <w:pStyle w:val="Voetnoottekst"/>
      </w:pPr>
      <w:r>
        <w:rPr>
          <w:rStyle w:val="Voetnootmarkering"/>
        </w:rPr>
        <w:footnoteRef/>
      </w:r>
      <w:r w:rsidRPr="00E83698">
        <w:t xml:space="preserve"> Bijvoorbeeld:</w:t>
      </w:r>
      <w:r>
        <w:t xml:space="preserve"> </w:t>
      </w:r>
      <w:hyperlink r:id="rId2" w:history="1">
        <w:r w:rsidRPr="00720863">
          <w:rPr>
            <w:rStyle w:val="Hyperlink"/>
          </w:rPr>
          <w:t>www.icis.com</w:t>
        </w:r>
      </w:hyperlink>
      <w:r>
        <w:t xml:space="preserve">. </w:t>
      </w:r>
    </w:p>
  </w:footnote>
  <w:footnote w:id="8">
    <w:p w14:paraId="5F00E984" w14:textId="77777777" w:rsidR="0097643C" w:rsidRPr="00AA74A8" w:rsidRDefault="0097643C" w:rsidP="0097643C">
      <w:pPr>
        <w:pStyle w:val="Voetnoottekst"/>
      </w:pPr>
      <w:r>
        <w:rPr>
          <w:rStyle w:val="Voetnootmarkering"/>
        </w:rPr>
        <w:footnoteRef/>
      </w:r>
      <w:r w:rsidRPr="00AA74A8">
        <w:t xml:space="preserve"> </w:t>
      </w:r>
      <w:hyperlink r:id="rId3" w:history="1">
        <w:r w:rsidRPr="00AA74A8">
          <w:rPr>
            <w:rStyle w:val="Hyperlink"/>
          </w:rPr>
          <w:t>Gas Market Report, Q1-2025 – Analysis - IEA</w:t>
        </w:r>
      </w:hyperlink>
      <w:r w:rsidRPr="00AA74A8">
        <w:t xml:space="preserve">. </w:t>
      </w:r>
    </w:p>
  </w:footnote>
  <w:footnote w:id="9">
    <w:p w14:paraId="590E4CA0" w14:textId="27E165C0" w:rsidR="00131CA9" w:rsidRDefault="00131CA9">
      <w:pPr>
        <w:pStyle w:val="Voetnoottekst"/>
      </w:pPr>
      <w:r>
        <w:rPr>
          <w:rStyle w:val="Voetnootmarkering"/>
        </w:rPr>
        <w:footnoteRef/>
      </w:r>
      <w:r>
        <w:t xml:space="preserve"> </w:t>
      </w:r>
      <w:r w:rsidR="00A52B45" w:rsidRPr="006B5544">
        <w:t xml:space="preserve">Verordening (EU) 2017/1938 van </w:t>
      </w:r>
      <w:r w:rsidR="00A52B45">
        <w:t xml:space="preserve">het Europees Parlement en de Raad </w:t>
      </w:r>
      <w:r w:rsidR="00A52B45" w:rsidRPr="006B5544">
        <w:t>van 25 oktober 2017 betreffende maatregelen tot veiligstelling van de gasleveringszekerheid en houdende intrekking van Verordening (EU) nr. 994/2010</w:t>
      </w:r>
      <w:r w:rsidR="00A52B45">
        <w:t xml:space="preserve">. </w:t>
      </w:r>
    </w:p>
  </w:footnote>
  <w:footnote w:id="10">
    <w:p w14:paraId="008A51AA" w14:textId="7E8084C3" w:rsidR="006D3C5B" w:rsidRDefault="006D3C5B">
      <w:pPr>
        <w:pStyle w:val="Voetnoottekst"/>
      </w:pPr>
      <w:r>
        <w:rPr>
          <w:rStyle w:val="Voetnootmarkering"/>
        </w:rPr>
        <w:footnoteRef/>
      </w:r>
      <w:r>
        <w:t xml:space="preserve"> </w:t>
      </w:r>
      <w:hyperlink r:id="rId4" w:history="1">
        <w:r w:rsidRPr="00EF03DF">
          <w:rPr>
            <w:rStyle w:val="Hyperlink"/>
          </w:rPr>
          <w:t>www.tradinghub.eu/en-gb/About-us/Newsroom/News/Details-en-GB/ArtMID/1412/ArticleID/231/Presentation-Slides</w:t>
        </w:r>
      </w:hyperlink>
      <w:r>
        <w:t xml:space="preserve">. </w:t>
      </w:r>
    </w:p>
  </w:footnote>
  <w:footnote w:id="11">
    <w:p w14:paraId="346ABE46" w14:textId="77777777" w:rsidR="006E31DC" w:rsidRDefault="006E31DC" w:rsidP="006E31DC">
      <w:pPr>
        <w:pStyle w:val="Voetnoottekst"/>
      </w:pPr>
      <w:r>
        <w:rPr>
          <w:rStyle w:val="Voetnootmarkering"/>
        </w:rPr>
        <w:footnoteRef/>
      </w:r>
      <w:r>
        <w:t xml:space="preserve"> </w:t>
      </w:r>
      <w:hyperlink r:id="rId5" w:history="1">
        <w:r w:rsidRPr="00360E06">
          <w:rPr>
            <w:rStyle w:val="Hyperlink"/>
          </w:rPr>
          <w:t>www.eemsenergyterminal.nl/en/open-season</w:t>
        </w:r>
      </w:hyperlink>
      <w:r>
        <w:t xml:space="preserve">. </w:t>
      </w:r>
    </w:p>
  </w:footnote>
  <w:footnote w:id="12">
    <w:p w14:paraId="0A41AE2F" w14:textId="77777777" w:rsidR="001F6339" w:rsidRDefault="001F6339" w:rsidP="001F6339">
      <w:pPr>
        <w:pStyle w:val="Voetnoottekst"/>
      </w:pPr>
      <w:r>
        <w:rPr>
          <w:rStyle w:val="Voetnootmarkering"/>
        </w:rPr>
        <w:footnoteRef/>
      </w:r>
      <w:r>
        <w:t xml:space="preserve"> Kamerstukken II 2023/24, 29023, nr.494. </w:t>
      </w:r>
    </w:p>
  </w:footnote>
  <w:footnote w:id="13">
    <w:p w14:paraId="14C3F3BB" w14:textId="77777777" w:rsidR="001F6339" w:rsidRDefault="001F6339" w:rsidP="001F6339">
      <w:pPr>
        <w:pStyle w:val="Voetnoottekst"/>
      </w:pPr>
      <w:r>
        <w:rPr>
          <w:rStyle w:val="Voetnootmarkering"/>
        </w:rPr>
        <w:footnoteRef/>
      </w:r>
      <w:r>
        <w:t xml:space="preserve"> In antwoord op de toezegging aan het lid Van den Berg, T03877, Handelingen I 2023/24, nr. 29, item 9. </w:t>
      </w:r>
    </w:p>
  </w:footnote>
  <w:footnote w:id="14">
    <w:p w14:paraId="05CE95D4" w14:textId="374B0239" w:rsidR="001D1A1D" w:rsidRDefault="001D1A1D">
      <w:pPr>
        <w:pStyle w:val="Voetnoottekst"/>
      </w:pPr>
      <w:r>
        <w:rPr>
          <w:rStyle w:val="Voetnootmarkering"/>
        </w:rPr>
        <w:footnoteRef/>
      </w:r>
      <w:r>
        <w:t xml:space="preserve"> </w:t>
      </w:r>
      <w:r w:rsidR="00392674">
        <w:t xml:space="preserve">Kamerstukken II </w:t>
      </w:r>
      <w:r w:rsidR="008B5CA2">
        <w:t>2024/25, 29023, nr.</w:t>
      </w:r>
      <w:r w:rsidR="0065309D">
        <w:t xml:space="preserve"> </w:t>
      </w:r>
      <w:r w:rsidR="008B5CA2">
        <w:t>519</w:t>
      </w:r>
      <w:r w:rsidR="0065309D">
        <w:t>.</w:t>
      </w:r>
    </w:p>
  </w:footnote>
  <w:footnote w:id="15">
    <w:p w14:paraId="04D8C54D" w14:textId="25B5CD5F" w:rsidR="00E833AD" w:rsidRDefault="00E833AD">
      <w:pPr>
        <w:pStyle w:val="Voetnoottekst"/>
      </w:pPr>
      <w:r>
        <w:rPr>
          <w:rStyle w:val="Voetnootmarkering"/>
        </w:rPr>
        <w:footnoteRef/>
      </w:r>
      <w:r>
        <w:t xml:space="preserve"> </w:t>
      </w:r>
      <w:r w:rsidR="00221BA9">
        <w:t>T</w:t>
      </w:r>
      <w:r w:rsidR="007755BA">
        <w:t xml:space="preserve">03871, garantie vuldoelstelling aankomende twee jaar, 16 april 2024. </w:t>
      </w:r>
    </w:p>
  </w:footnote>
  <w:footnote w:id="16">
    <w:p w14:paraId="0AE8C70A" w14:textId="1AD5E4B4" w:rsidR="00F52EEE" w:rsidRDefault="00F52EEE">
      <w:pPr>
        <w:pStyle w:val="Voetnoottekst"/>
      </w:pPr>
      <w:r>
        <w:rPr>
          <w:rStyle w:val="Voetnootmarkering"/>
        </w:rPr>
        <w:footnoteRef/>
      </w:r>
      <w:r>
        <w:t xml:space="preserve"> Bijlage bij Kamerstukken II 2024/25, 29023, nr.</w:t>
      </w:r>
      <w:r w:rsidR="00642AD1">
        <w:t xml:space="preserve"> </w:t>
      </w:r>
      <w:r>
        <w:t>519</w:t>
      </w:r>
      <w:r w:rsidR="00642AD1">
        <w:t>.</w:t>
      </w:r>
    </w:p>
  </w:footnote>
  <w:footnote w:id="17">
    <w:p w14:paraId="0CA72DDD" w14:textId="198BEA39" w:rsidR="0065309D" w:rsidRDefault="0065309D">
      <w:pPr>
        <w:pStyle w:val="Voetnoottekst"/>
      </w:pPr>
      <w:r>
        <w:rPr>
          <w:rStyle w:val="Voetnootmarkering"/>
        </w:rPr>
        <w:footnoteRef/>
      </w:r>
      <w:r>
        <w:t xml:space="preserve"> Kamerstukken II 2024/25, 31239, nr. 411.</w:t>
      </w:r>
    </w:p>
  </w:footnote>
  <w:footnote w:id="18">
    <w:p w14:paraId="4C725A22" w14:textId="61F3341C" w:rsidR="001F6339" w:rsidRDefault="001F6339">
      <w:pPr>
        <w:pStyle w:val="Voetnoottekst"/>
      </w:pPr>
      <w:r>
        <w:rPr>
          <w:rStyle w:val="Voetnootmarkering"/>
        </w:rPr>
        <w:footnoteRef/>
      </w:r>
      <w:r>
        <w:t xml:space="preserve"> </w:t>
      </w:r>
      <w:r w:rsidR="00995994">
        <w:t>V</w:t>
      </w:r>
      <w:r w:rsidRPr="00F13FA1">
        <w:t>olgens de visie gasleveringszekerheid van GTS</w:t>
      </w:r>
      <w:r>
        <w:rPr>
          <w:rStyle w:val="Voetnootmarkering"/>
        </w:rPr>
        <w:footnoteRef/>
      </w:r>
      <w:r w:rsidRPr="00F13FA1">
        <w:t xml:space="preserve"> was op 1 november 2023 een volume nodig van ca. 134 TWh en op 1 november 2024 van ca. 125</w:t>
      </w:r>
      <w:r>
        <w:t xml:space="preserve"> TWh</w:t>
      </w:r>
      <w:r w:rsidRPr="00F13FA1">
        <w:t xml:space="preserve"> om te kunnen voorzien in de gasvraag (inclusief export en doorvoer) in een koude winter (winter van 1995/9</w:t>
      </w:r>
      <w:r>
        <w:t>6</w:t>
      </w:r>
      <w:r w:rsidRPr="00F13FA1">
        <w:t xml:space="preserve">). </w:t>
      </w:r>
      <w:r w:rsidR="00995994">
        <w:t xml:space="preserve">Zie </w:t>
      </w:r>
      <w:r w:rsidR="00995994" w:rsidRPr="00FE6A00">
        <w:t>Bijlage bij Kamerstukken II 2023/24, 29023, nr.494</w:t>
      </w:r>
      <w:r w:rsidR="00995994">
        <w:t xml:space="preserve">. </w:t>
      </w:r>
      <w:r>
        <w:t>O</w:t>
      </w:r>
      <w:r w:rsidRPr="00F13FA1">
        <w:t>p 1 november 2025 is volgens GTS nog 110 TWh nodig om te kunnen voorzien in de gasvraag (inclusief export en doorvoer) van een dergelijke winter.</w:t>
      </w:r>
    </w:p>
  </w:footnote>
  <w:footnote w:id="19">
    <w:p w14:paraId="65F96EC4" w14:textId="2371CB1A" w:rsidR="00200B7F" w:rsidRDefault="00200B7F">
      <w:pPr>
        <w:pStyle w:val="Voetnoottekst"/>
      </w:pPr>
      <w:r>
        <w:rPr>
          <w:rStyle w:val="Voetnootmarkering"/>
        </w:rPr>
        <w:footnoteRef/>
      </w:r>
      <w:r>
        <w:t xml:space="preserve"> </w:t>
      </w:r>
      <w:r w:rsidR="00BD67F7">
        <w:t>Door GTS gedefinieerd als het verschil tussen de gasvraag in de wintermaanden (oktober t/m maart) ten opzichte van een vlak aanbod gedurende het jaar.</w:t>
      </w:r>
    </w:p>
  </w:footnote>
  <w:footnote w:id="20">
    <w:p w14:paraId="18942E96" w14:textId="3C052A1E" w:rsidR="00DF72A3" w:rsidRDefault="00DF72A3">
      <w:pPr>
        <w:pStyle w:val="Voetnoottekst"/>
      </w:pPr>
      <w:r>
        <w:rPr>
          <w:rStyle w:val="Voetnootmarkering"/>
        </w:rPr>
        <w:footnoteRef/>
      </w:r>
      <w:r>
        <w:t xml:space="preserve"> </w:t>
      </w:r>
      <w:r w:rsidR="00D072F8">
        <w:t>Verordening (EU) 2017/1938</w:t>
      </w:r>
    </w:p>
  </w:footnote>
  <w:footnote w:id="21">
    <w:p w14:paraId="381C2072" w14:textId="35D2E9E3" w:rsidR="00A573FF" w:rsidRDefault="00A573FF">
      <w:pPr>
        <w:pStyle w:val="Voetnoottekst"/>
      </w:pPr>
      <w:r>
        <w:rPr>
          <w:rStyle w:val="Voetnootmarkering"/>
        </w:rPr>
        <w:footnoteRef/>
      </w:r>
      <w:r>
        <w:t xml:space="preserve"> Artikel 5, EU-gasleveringsz</w:t>
      </w:r>
      <w:r w:rsidR="00727E51">
        <w:t>ekerheidsverordening.</w:t>
      </w:r>
    </w:p>
  </w:footnote>
  <w:footnote w:id="22">
    <w:p w14:paraId="0D871413" w14:textId="21988ADA" w:rsidR="00964FBA" w:rsidRDefault="00964FBA">
      <w:pPr>
        <w:pStyle w:val="Voetnoottekst"/>
      </w:pPr>
      <w:r>
        <w:rPr>
          <w:rStyle w:val="Voetnootmarkering"/>
        </w:rPr>
        <w:footnoteRef/>
      </w:r>
      <w:r>
        <w:t xml:space="preserve"> </w:t>
      </w:r>
      <w:r w:rsidR="009F190C">
        <w:t xml:space="preserve">Zie voor uitgebreidere toelichting ook Kamerstukken II 2024/25, </w:t>
      </w:r>
      <w:r w:rsidR="00AE7910">
        <w:t xml:space="preserve">29023, nr. 519 en Kamerstukken II 2023/24, 33 529, nr. 1238. </w:t>
      </w:r>
    </w:p>
  </w:footnote>
  <w:footnote w:id="23">
    <w:p w14:paraId="73F90259" w14:textId="77777777" w:rsidR="00A5410D" w:rsidRDefault="00A5410D" w:rsidP="00A5410D">
      <w:pPr>
        <w:pStyle w:val="Voetnoottekst"/>
      </w:pPr>
      <w:r>
        <w:rPr>
          <w:rStyle w:val="Voetnootmarkering"/>
        </w:rPr>
        <w:footnoteRef/>
      </w:r>
      <w:r>
        <w:t xml:space="preserve"> Artikel 6, EU-gasleveringszekerheidsverordening.</w:t>
      </w:r>
    </w:p>
  </w:footnote>
  <w:footnote w:id="24">
    <w:p w14:paraId="72AF4CB5" w14:textId="317F956C" w:rsidR="00C11BC5" w:rsidRPr="00C11BC5" w:rsidRDefault="00C11BC5">
      <w:pPr>
        <w:pStyle w:val="Voetnoottekst"/>
      </w:pPr>
      <w:r>
        <w:rPr>
          <w:rStyle w:val="Voetnootmarkering"/>
        </w:rPr>
        <w:footnoteRef/>
      </w:r>
      <w:r w:rsidRPr="00C11BC5">
        <w:t xml:space="preserve"> Zie tevens ENTSOG – System Capacity Map 2025.</w:t>
      </w:r>
      <w:r>
        <w:rPr>
          <w:i/>
          <w:iCs/>
        </w:rPr>
        <w:t xml:space="preserve"> </w:t>
      </w:r>
    </w:p>
  </w:footnote>
  <w:footnote w:id="25">
    <w:p w14:paraId="4C6A515B" w14:textId="347BF08D" w:rsidR="4E71DEB8" w:rsidRDefault="4E71DEB8" w:rsidP="4E71DEB8">
      <w:pPr>
        <w:pStyle w:val="Voetnoottekst"/>
        <w:rPr>
          <w:lang w:val="en-US"/>
        </w:rPr>
      </w:pPr>
      <w:r w:rsidRPr="4E71DEB8">
        <w:rPr>
          <w:rStyle w:val="Voetnootmarkering"/>
          <w:lang w:val="en-US"/>
        </w:rPr>
        <w:footnoteRef/>
      </w:r>
      <w:r w:rsidRPr="4E71DEB8">
        <w:rPr>
          <w:lang w:val="en-US"/>
        </w:rPr>
        <w:t xml:space="preserve"> ENTSOG Union-wide Security of Supply Simulation Report, January 2025</w:t>
      </w:r>
      <w:r w:rsidR="0076678C">
        <w:rPr>
          <w:lang w:val="en-US"/>
        </w:rPr>
        <w:t>.</w:t>
      </w:r>
    </w:p>
  </w:footnote>
  <w:footnote w:id="26">
    <w:p w14:paraId="3FF3F455" w14:textId="07F833BE" w:rsidR="00245A08" w:rsidRDefault="00245A08">
      <w:pPr>
        <w:pStyle w:val="Voetnoottekst"/>
      </w:pPr>
      <w:r>
        <w:rPr>
          <w:rStyle w:val="Voetnootmarkering"/>
        </w:rPr>
        <w:footnoteRef/>
      </w:r>
      <w:r>
        <w:t xml:space="preserve"> Bron: Europese Commissie. </w:t>
      </w:r>
    </w:p>
  </w:footnote>
  <w:footnote w:id="27">
    <w:p w14:paraId="173D1D54" w14:textId="4E3D2C93" w:rsidR="00C57D1A" w:rsidRPr="00B65422" w:rsidRDefault="00C57D1A" w:rsidP="00C57D1A">
      <w:pPr>
        <w:pStyle w:val="Voetnoottekst"/>
      </w:pPr>
      <w:r>
        <w:rPr>
          <w:rStyle w:val="Voetnootmarkering"/>
        </w:rPr>
        <w:footnoteRef/>
      </w:r>
      <w:r w:rsidRPr="00B65422">
        <w:t xml:space="preserve"> EBN – Infographic 2025 – Energie in cijfers, 14 januari 2025</w:t>
      </w:r>
      <w:r w:rsidR="007D7397" w:rsidRPr="00B65422">
        <w:t>.</w:t>
      </w:r>
    </w:p>
  </w:footnote>
  <w:footnote w:id="28">
    <w:p w14:paraId="5492636E" w14:textId="77777777" w:rsidR="00C57D1A" w:rsidRPr="008B7EDE" w:rsidRDefault="00C57D1A" w:rsidP="00C57D1A">
      <w:pPr>
        <w:pStyle w:val="Voetnoottekst"/>
        <w:rPr>
          <w:lang w:val="en-US"/>
        </w:rPr>
      </w:pPr>
      <w:r>
        <w:rPr>
          <w:rStyle w:val="Voetnootmarkering"/>
        </w:rPr>
        <w:footnoteRef/>
      </w:r>
      <w:r w:rsidRPr="008B7EDE">
        <w:rPr>
          <w:lang w:val="en-US"/>
        </w:rPr>
        <w:t xml:space="preserve"> Oxford Institute for Energy Studies, </w:t>
      </w:r>
      <w:r>
        <w:rPr>
          <w:lang w:val="en-US"/>
        </w:rPr>
        <w:t>J</w:t>
      </w:r>
      <w:r w:rsidRPr="008B7EDE">
        <w:rPr>
          <w:lang w:val="en-US"/>
        </w:rPr>
        <w:t>uly 2021 - Dutch Gas Production from the Small Fields:</w:t>
      </w:r>
    </w:p>
    <w:p w14:paraId="0EFD4A08" w14:textId="77777777" w:rsidR="00C57D1A" w:rsidRPr="008B7EDE" w:rsidRDefault="00C57D1A" w:rsidP="00C57D1A">
      <w:pPr>
        <w:pStyle w:val="Voetnoottekst"/>
        <w:rPr>
          <w:lang w:val="en-US"/>
        </w:rPr>
      </w:pPr>
      <w:r w:rsidRPr="008B7EDE">
        <w:rPr>
          <w:lang w:val="en-US"/>
        </w:rPr>
        <w:t>Why extending their life contributes to the energy transition</w:t>
      </w:r>
      <w:r>
        <w:rPr>
          <w:lang w:val="en-US"/>
        </w:rPr>
        <w:t>.</w:t>
      </w:r>
      <w:r w:rsidRPr="008B7EDE">
        <w:rPr>
          <w:lang w:val="en-US"/>
        </w:rPr>
        <w:t xml:space="preserve"> </w:t>
      </w:r>
    </w:p>
  </w:footnote>
  <w:footnote w:id="29">
    <w:p w14:paraId="5B1DB075" w14:textId="77777777" w:rsidR="00C57D1A" w:rsidRPr="00C57D1A" w:rsidRDefault="00C57D1A" w:rsidP="00C57D1A">
      <w:pPr>
        <w:pStyle w:val="Voetnoottekst"/>
        <w:rPr>
          <w:lang w:val="en-US"/>
        </w:rPr>
      </w:pPr>
      <w:r w:rsidRPr="4DDD71D8">
        <w:rPr>
          <w:rStyle w:val="Voetnootmarkering"/>
        </w:rPr>
        <w:footnoteRef/>
      </w:r>
      <w:r w:rsidRPr="00C57D1A">
        <w:rPr>
          <w:lang w:val="en-US"/>
        </w:rPr>
        <w:t xml:space="preserve"> U.S. Energy Information Administration (EIA): In 2023 betrof circa 78% schaliegas van de totale gas productie in de V.S: </w:t>
      </w:r>
      <w:hyperlink r:id="rId6" w:history="1">
        <w:r w:rsidRPr="00C57D1A">
          <w:rPr>
            <w:rStyle w:val="Hyperlink"/>
            <w:lang w:val="en-US"/>
          </w:rPr>
          <w:t>https://www.eia.gov/tools/faqs/faq.php?id=907&amp;t=8</w:t>
        </w:r>
      </w:hyperlink>
      <w:r w:rsidRPr="00C57D1A">
        <w:rPr>
          <w:lang w:val="en-US"/>
        </w:rPr>
        <w:t xml:space="preserve"> </w:t>
      </w:r>
    </w:p>
  </w:footnote>
  <w:footnote w:id="30">
    <w:p w14:paraId="5F5181A2" w14:textId="7F4FA8C3" w:rsidR="00770875" w:rsidRPr="00A95CA5" w:rsidRDefault="00770875">
      <w:pPr>
        <w:pStyle w:val="Voetnoottekst"/>
      </w:pPr>
      <w:r>
        <w:rPr>
          <w:rStyle w:val="Voetnootmarkering"/>
        </w:rPr>
        <w:footnoteRef/>
      </w:r>
      <w:r w:rsidRPr="00A95CA5">
        <w:t xml:space="preserve"> </w:t>
      </w:r>
      <w:r w:rsidR="000C402E" w:rsidRPr="00A95CA5">
        <w:t xml:space="preserve">IEA: </w:t>
      </w:r>
      <w:hyperlink r:id="rId7" w:history="1">
        <w:r w:rsidR="00A95CA5" w:rsidRPr="00A95CA5">
          <w:rPr>
            <w:rStyle w:val="Hyperlink"/>
          </w:rPr>
          <w:t>https://www.iea.org/reports/global-methane-tracker-2024/key-findings</w:t>
        </w:r>
      </w:hyperlink>
      <w:r w:rsidR="00A95CA5" w:rsidRPr="00A95CA5">
        <w:t xml:space="preserve"> e</w:t>
      </w:r>
      <w:r w:rsidR="00A95CA5">
        <w:t xml:space="preserve">n </w:t>
      </w:r>
      <w:hyperlink r:id="rId8" w:history="1">
        <w:r w:rsidR="002947DE" w:rsidRPr="00B3698C">
          <w:rPr>
            <w:rStyle w:val="Hyperlink"/>
          </w:rPr>
          <w:t>https://www.iea.org/reports/methane-tracker-2021</w:t>
        </w:r>
      </w:hyperlink>
      <w:r w:rsidR="002947DE">
        <w:t xml:space="preserve"> </w:t>
      </w:r>
    </w:p>
  </w:footnote>
  <w:footnote w:id="31">
    <w:p w14:paraId="136707FD" w14:textId="6137F6B2" w:rsidR="00792485" w:rsidRPr="00A52B45" w:rsidRDefault="00792485">
      <w:pPr>
        <w:pStyle w:val="Voetnoottekst"/>
      </w:pPr>
      <w:r>
        <w:rPr>
          <w:rStyle w:val="Voetnootmarkering"/>
        </w:rPr>
        <w:footnoteRef/>
      </w:r>
      <w:r w:rsidRPr="00A52B45">
        <w:t xml:space="preserve"> </w:t>
      </w:r>
      <w:hyperlink r:id="rId9" w:history="1">
        <w:r w:rsidR="001614EF" w:rsidRPr="00A52B45">
          <w:rPr>
            <w:rStyle w:val="Hyperlink"/>
          </w:rPr>
          <w:t>https://ec.europa.eu/commission/presscorner/detail/en/statement_21_5766</w:t>
        </w:r>
      </w:hyperlink>
      <w:r w:rsidR="001614EF" w:rsidRPr="00A52B4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D75D" w14:textId="77777777" w:rsidR="004C6446" w:rsidRDefault="004C6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page" w:tblpX="7628" w:tblpY="2978"/>
      <w:tblOverlap w:val="never"/>
      <w:tblW w:w="2156" w:type="dxa"/>
      <w:tblLayout w:type="fixed"/>
      <w:tblCellMar>
        <w:left w:w="0" w:type="dxa"/>
        <w:right w:w="0" w:type="dxa"/>
      </w:tblCellMar>
      <w:tblLook w:val="0000" w:firstRow="0" w:lastRow="0" w:firstColumn="0" w:lastColumn="0" w:noHBand="0" w:noVBand="0"/>
    </w:tblPr>
    <w:tblGrid>
      <w:gridCol w:w="2156"/>
    </w:tblGrid>
    <w:tr w:rsidR="0052166F" w14:paraId="02B05E6B" w14:textId="77777777" w:rsidTr="00A50CF6">
      <w:tc>
        <w:tcPr>
          <w:tcW w:w="2156" w:type="dxa"/>
          <w:shd w:val="clear" w:color="auto" w:fill="auto"/>
        </w:tcPr>
        <w:p w14:paraId="6965D52F" w14:textId="66064019" w:rsidR="00527BD4" w:rsidRPr="00624D22" w:rsidRDefault="00614950" w:rsidP="00A50CF6">
          <w:pPr>
            <w:pStyle w:val="Huisstijl-Adres"/>
            <w:rPr>
              <w:b/>
            </w:rPr>
          </w:pPr>
          <w:r>
            <w:rPr>
              <w:b/>
            </w:rPr>
            <w:t>Klimaat en groene Groei</w:t>
          </w:r>
        </w:p>
      </w:tc>
    </w:tr>
    <w:tr w:rsidR="0052166F" w14:paraId="2D6075DA" w14:textId="77777777" w:rsidTr="00A50CF6">
      <w:trPr>
        <w:trHeight w:hRule="exact" w:val="200"/>
      </w:trPr>
      <w:tc>
        <w:tcPr>
          <w:tcW w:w="2156" w:type="dxa"/>
          <w:shd w:val="clear" w:color="auto" w:fill="auto"/>
        </w:tcPr>
        <w:p w14:paraId="4322E964" w14:textId="77777777" w:rsidR="00527BD4" w:rsidRPr="005819CE" w:rsidRDefault="00527BD4" w:rsidP="00A50CF6"/>
      </w:tc>
    </w:tr>
    <w:tr w:rsidR="0052166F" w14:paraId="1E6F9CDB" w14:textId="77777777" w:rsidTr="00502512">
      <w:trPr>
        <w:trHeight w:hRule="exact" w:val="774"/>
      </w:trPr>
      <w:tc>
        <w:tcPr>
          <w:tcW w:w="2156" w:type="dxa"/>
          <w:shd w:val="clear" w:color="auto" w:fill="auto"/>
        </w:tcPr>
        <w:p w14:paraId="6895F27A" w14:textId="42642873" w:rsidR="00527BD4" w:rsidRDefault="00527BD4" w:rsidP="003A5290">
          <w:pPr>
            <w:pStyle w:val="Huisstijl-Kopje"/>
          </w:pPr>
        </w:p>
        <w:p w14:paraId="5B841AB2" w14:textId="1285E95B" w:rsidR="00502512" w:rsidRPr="00502512" w:rsidRDefault="00614950" w:rsidP="003A5290">
          <w:pPr>
            <w:pStyle w:val="Huisstijl-Kopje"/>
            <w:rPr>
              <w:b w:val="0"/>
            </w:rPr>
          </w:pPr>
          <w:r>
            <w:rPr>
              <w:b w:val="0"/>
            </w:rPr>
            <w:t>KGG</w:t>
          </w:r>
          <w:r w:rsidRPr="00502512">
            <w:rPr>
              <w:b w:val="0"/>
            </w:rPr>
            <w:t xml:space="preserve"> / </w:t>
          </w:r>
          <w:r>
            <w:rPr>
              <w:b w:val="0"/>
            </w:rPr>
            <w:t>96751662</w:t>
          </w:r>
        </w:p>
        <w:p w14:paraId="7600F979" w14:textId="77777777" w:rsidR="00527BD4" w:rsidRPr="005819CE" w:rsidRDefault="00527BD4" w:rsidP="00361A56">
          <w:pPr>
            <w:pStyle w:val="Huisstijl-Kopje"/>
          </w:pPr>
        </w:p>
      </w:tc>
    </w:tr>
  </w:tbl>
  <w:p w14:paraId="05EA95E4" w14:textId="13A63BE1" w:rsidR="00624D22" w:rsidRDefault="00624D22" w:rsidP="004F44C2"/>
  <w:p w14:paraId="72643D84" w14:textId="77777777" w:rsidR="004C6446" w:rsidRDefault="004C6446" w:rsidP="004F44C2"/>
  <w:p w14:paraId="58F56DB2" w14:textId="77777777" w:rsidR="004C6446" w:rsidRDefault="004C6446" w:rsidP="004F44C2"/>
  <w:p w14:paraId="6B53DD95" w14:textId="77777777" w:rsidR="00624D22" w:rsidRDefault="00624D22" w:rsidP="004F44C2"/>
  <w:p w14:paraId="3545A148" w14:textId="77777777" w:rsidR="00527BD4" w:rsidRPr="00740712" w:rsidRDefault="00527BD4" w:rsidP="004F44C2"/>
  <w:p w14:paraId="4B492A23" w14:textId="77777777" w:rsidR="00527BD4" w:rsidRPr="00217880" w:rsidRDefault="00527BD4" w:rsidP="004F44C2">
    <w:pPr>
      <w:spacing w:line="0" w:lineRule="atLea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52166F" w14:paraId="42332E5D" w14:textId="77777777" w:rsidTr="00751A6A">
      <w:trPr>
        <w:trHeight w:val="2636"/>
      </w:trPr>
      <w:tc>
        <w:tcPr>
          <w:tcW w:w="737" w:type="dxa"/>
          <w:shd w:val="clear" w:color="auto" w:fill="auto"/>
        </w:tcPr>
        <w:p w14:paraId="2867056C" w14:textId="77777777" w:rsidR="00527BD4" w:rsidRDefault="00527BD4" w:rsidP="00D0609E">
          <w:pPr>
            <w:framePr w:w="6340" w:h="2750" w:hRule="exact" w:hSpace="180" w:wrap="around" w:vAnchor="page" w:hAnchor="text" w:x="3873" w:y="-140"/>
            <w:spacing w:line="240" w:lineRule="auto"/>
          </w:pPr>
        </w:p>
      </w:tc>
      <w:tc>
        <w:tcPr>
          <w:tcW w:w="5156" w:type="dxa"/>
          <w:shd w:val="clear" w:color="auto" w:fill="auto"/>
        </w:tcPr>
        <w:p w14:paraId="1347BD3B" w14:textId="43DD7F50" w:rsidR="00527BD4" w:rsidRDefault="00614950" w:rsidP="00651CEE">
          <w:pPr>
            <w:framePr w:w="6340" w:h="2750" w:hRule="exact" w:hSpace="180" w:wrap="around" w:vAnchor="page" w:hAnchor="text" w:x="3873" w:y="-140"/>
            <w:spacing w:line="240" w:lineRule="auto"/>
          </w:pPr>
          <w:r>
            <w:t xml:space="preserve">   </w:t>
          </w:r>
          <w:r w:rsidRPr="009D0B5A">
            <w:rPr>
              <w:sz w:val="2"/>
              <w:szCs w:val="2"/>
            </w:rPr>
            <w:t xml:space="preserve"> </w:t>
          </w:r>
          <w:r>
            <w:rPr>
              <w:noProof/>
            </w:rPr>
            <w:drawing>
              <wp:inline distT="0" distB="0" distL="0" distR="0" wp14:anchorId="1D2698D0" wp14:editId="6CC11443">
                <wp:extent cx="2343150" cy="1581150"/>
                <wp:effectExtent l="0" t="0" r="0" b="0"/>
                <wp:docPr id="1" name="Afbeelding 1"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wit&#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43150" cy="1581150"/>
                        </a:xfrm>
                        <a:prstGeom prst="rect">
                          <a:avLst/>
                        </a:prstGeom>
                        <a:noFill/>
                        <a:ln>
                          <a:noFill/>
                        </a:ln>
                      </pic:spPr>
                    </pic:pic>
                  </a:graphicData>
                </a:graphic>
              </wp:inline>
            </w:drawing>
          </w:r>
        </w:p>
      </w:tc>
    </w:tr>
  </w:tbl>
  <w:p w14:paraId="40868CE3" w14:textId="77777777" w:rsidR="00527BD4" w:rsidRDefault="00527BD4" w:rsidP="00D0609E">
    <w:pPr>
      <w:framePr w:w="6340" w:h="2750" w:hRule="exact" w:hSpace="180" w:wrap="around" w:vAnchor="page" w:hAnchor="text" w:x="3873" w:y="-140"/>
    </w:pPr>
  </w:p>
  <w:p w14:paraId="04D7B7E9" w14:textId="77777777" w:rsidR="00527BD4" w:rsidRDefault="00527BD4" w:rsidP="000049FB">
    <w:pPr>
      <w:pStyle w:val="Koptekst"/>
      <w:tabs>
        <w:tab w:val="clear" w:pos="4536"/>
        <w:tab w:val="clear" w:pos="9072"/>
      </w:tabs>
    </w:pPr>
  </w:p>
  <w:tbl>
    <w:tblPr>
      <w:tblpPr w:leftFromText="142" w:rightFromText="142" w:vertAnchor="page" w:tblpX="7616" w:tblpY="2978"/>
      <w:tblOverlap w:val="never"/>
      <w:tblW w:w="2160" w:type="dxa"/>
      <w:tblLayout w:type="fixed"/>
      <w:tblCellMar>
        <w:left w:w="0" w:type="dxa"/>
        <w:right w:w="0" w:type="dxa"/>
      </w:tblCellMar>
      <w:tblLook w:val="0000" w:firstRow="0" w:lastRow="0" w:firstColumn="0" w:lastColumn="0" w:noHBand="0" w:noVBand="0"/>
    </w:tblPr>
    <w:tblGrid>
      <w:gridCol w:w="2160"/>
    </w:tblGrid>
    <w:tr w:rsidR="0052166F" w:rsidRPr="002A7762" w14:paraId="28205A36" w14:textId="77777777" w:rsidTr="00A50CF6">
      <w:tc>
        <w:tcPr>
          <w:tcW w:w="2160" w:type="dxa"/>
          <w:shd w:val="clear" w:color="auto" w:fill="auto"/>
        </w:tcPr>
        <w:p w14:paraId="62B71825" w14:textId="091C80EB" w:rsidR="00527BD4" w:rsidRPr="00781DCA" w:rsidRDefault="00614950" w:rsidP="00A50CF6">
          <w:pPr>
            <w:pStyle w:val="Huisstijl-Adres"/>
            <w:rPr>
              <w:b/>
            </w:rPr>
          </w:pPr>
          <w:r>
            <w:rPr>
              <w:b/>
            </w:rPr>
            <w:t>Klimaat en groene Groei</w:t>
          </w:r>
          <w:r w:rsidRPr="005819CE">
            <w:rPr>
              <w:b/>
            </w:rPr>
            <w:br/>
          </w:r>
        </w:p>
        <w:p w14:paraId="25262D9E" w14:textId="0C6D22CD" w:rsidR="00527BD4" w:rsidRPr="00BE5ED9" w:rsidRDefault="00614950" w:rsidP="00A50CF6">
          <w:pPr>
            <w:pStyle w:val="Huisstijl-Adres"/>
          </w:pPr>
          <w:r>
            <w:rPr>
              <w:b/>
            </w:rPr>
            <w:t>Bezoekadres</w:t>
          </w:r>
          <w:r>
            <w:rPr>
              <w:b/>
            </w:rPr>
            <w:br/>
          </w:r>
          <w:r>
            <w:t>Bezuidenhoutseweg 73</w:t>
          </w:r>
          <w:r w:rsidRPr="005819CE">
            <w:br/>
          </w:r>
          <w:r>
            <w:t>2594 AC Den Haag</w:t>
          </w:r>
        </w:p>
        <w:p w14:paraId="3385D13B" w14:textId="77777777" w:rsidR="00EF495B" w:rsidRDefault="00614950" w:rsidP="0098788A">
          <w:pPr>
            <w:pStyle w:val="Huisstijl-Adres"/>
          </w:pPr>
          <w:r>
            <w:rPr>
              <w:b/>
            </w:rPr>
            <w:t>Postadres</w:t>
          </w:r>
          <w:r>
            <w:rPr>
              <w:b/>
            </w:rPr>
            <w:br/>
          </w:r>
          <w:r>
            <w:t>Postbus 20401</w:t>
          </w:r>
          <w:r w:rsidRPr="005819CE">
            <w:br/>
            <w:t>2500 E</w:t>
          </w:r>
          <w:r>
            <w:t>K</w:t>
          </w:r>
          <w:r w:rsidRPr="005819CE">
            <w:t xml:space="preserve"> Den Haag</w:t>
          </w:r>
        </w:p>
        <w:p w14:paraId="2FB88E3D" w14:textId="340705BF" w:rsidR="00EF495B" w:rsidRPr="005B3814" w:rsidRDefault="00614950" w:rsidP="0098788A">
          <w:pPr>
            <w:pStyle w:val="Huisstijl-Adres"/>
          </w:pPr>
          <w:r>
            <w:rPr>
              <w:b/>
            </w:rPr>
            <w:t>Overheidsidentificatienr</w:t>
          </w:r>
          <w:r>
            <w:rPr>
              <w:b/>
            </w:rPr>
            <w:br/>
          </w:r>
          <w:r w:rsidR="00F323ED" w:rsidRPr="00F323ED">
            <w:t>00000001003214369000</w:t>
          </w:r>
        </w:p>
        <w:p w14:paraId="4D0DDE92" w14:textId="554E4240" w:rsidR="005875A4" w:rsidRPr="005B72B0" w:rsidRDefault="00614950" w:rsidP="00F748E6">
          <w:pPr>
            <w:pStyle w:val="Huisstijl-Adres"/>
            <w:rPr>
              <w:u w:val="single"/>
            </w:rPr>
          </w:pPr>
          <w:r>
            <w:t>T</w:t>
          </w:r>
          <w:r>
            <w:tab/>
            <w:t>070 379 8911 (algemeen)</w:t>
          </w:r>
          <w:r w:rsidRPr="005819CE">
            <w:br/>
          </w:r>
          <w:r w:rsidR="006F751F">
            <w:t>F</w:t>
          </w:r>
          <w:r w:rsidR="006F751F">
            <w:tab/>
            <w:t>0</w:t>
          </w:r>
          <w:r>
            <w:t>70 378 6100</w:t>
          </w:r>
          <w:r w:rsidR="006F751F">
            <w:t xml:space="preserve"> (algemeen)</w:t>
          </w:r>
          <w:r w:rsidR="006F751F" w:rsidRPr="005819CE">
            <w:br/>
          </w:r>
          <w:r w:rsidRPr="007C53DC">
            <w:t>www.rijksoverheid.nl/kgg</w:t>
          </w:r>
          <w:r w:rsidR="002A7762" w:rsidRPr="002A7762">
            <w:t xml:space="preserve"> </w:t>
          </w:r>
        </w:p>
      </w:tc>
    </w:tr>
    <w:tr w:rsidR="0052166F" w:rsidRPr="002A7762" w14:paraId="152AEA45" w14:textId="77777777" w:rsidTr="00A50CF6">
      <w:trPr>
        <w:trHeight w:hRule="exact" w:val="200"/>
      </w:trPr>
      <w:tc>
        <w:tcPr>
          <w:tcW w:w="2160" w:type="dxa"/>
          <w:shd w:val="clear" w:color="auto" w:fill="auto"/>
        </w:tcPr>
        <w:p w14:paraId="7C3194EB" w14:textId="77777777" w:rsidR="00527BD4" w:rsidRPr="00D71182" w:rsidRDefault="00527BD4" w:rsidP="00A50CF6">
          <w:pPr>
            <w:rPr>
              <w:lang w:val="fr-FR"/>
            </w:rPr>
          </w:pPr>
        </w:p>
      </w:tc>
    </w:tr>
    <w:tr w:rsidR="0052166F" w14:paraId="7374243A" w14:textId="77777777" w:rsidTr="00A50CF6">
      <w:tc>
        <w:tcPr>
          <w:tcW w:w="2160" w:type="dxa"/>
          <w:shd w:val="clear" w:color="auto" w:fill="auto"/>
        </w:tcPr>
        <w:p w14:paraId="2A6A05F3" w14:textId="473319C5" w:rsidR="000C0163" w:rsidRPr="005819CE" w:rsidRDefault="00614950" w:rsidP="000C0163">
          <w:pPr>
            <w:pStyle w:val="Huisstijl-Kopje"/>
          </w:pPr>
          <w:r>
            <w:t>Ons kenmerk</w:t>
          </w:r>
        </w:p>
        <w:p w14:paraId="7112A5EB" w14:textId="6EE37B02" w:rsidR="00527BD4" w:rsidRPr="005819CE" w:rsidRDefault="00614950" w:rsidP="005B72B0">
          <w:pPr>
            <w:pStyle w:val="Huisstijl-Gegeven"/>
          </w:pPr>
          <w:r>
            <w:t>KGG</w:t>
          </w:r>
          <w:r w:rsidR="00926AE2">
            <w:t xml:space="preserve"> / </w:t>
          </w:r>
          <w:r>
            <w:t>96751662</w:t>
          </w:r>
        </w:p>
      </w:tc>
    </w:tr>
  </w:tbl>
  <w:p w14:paraId="499EA8A6" w14:textId="77777777" w:rsidR="00121BF0" w:rsidRPr="00121BF0" w:rsidRDefault="00121BF0" w:rsidP="00121BF0">
    <w:pPr>
      <w:rPr>
        <w:vanish/>
      </w:rPr>
    </w:pPr>
  </w:p>
  <w:tbl>
    <w:tblPr>
      <w:tblW w:w="7371" w:type="dxa"/>
      <w:tblLayout w:type="fixed"/>
      <w:tblCellMar>
        <w:left w:w="0" w:type="dxa"/>
        <w:right w:w="0" w:type="dxa"/>
      </w:tblCellMar>
      <w:tblLook w:val="0000" w:firstRow="0" w:lastRow="0" w:firstColumn="0" w:lastColumn="0" w:noHBand="0" w:noVBand="0"/>
    </w:tblPr>
    <w:tblGrid>
      <w:gridCol w:w="709"/>
      <w:gridCol w:w="6662"/>
    </w:tblGrid>
    <w:tr w:rsidR="0052166F" w:rsidRPr="00AA74A8" w14:paraId="5B4CFC79" w14:textId="77777777" w:rsidTr="00C37826">
      <w:trPr>
        <w:trHeight w:val="400"/>
      </w:trPr>
      <w:tc>
        <w:tcPr>
          <w:tcW w:w="7371" w:type="dxa"/>
          <w:gridSpan w:val="2"/>
          <w:shd w:val="clear" w:color="auto" w:fill="auto"/>
        </w:tcPr>
        <w:p w14:paraId="66B8D194" w14:textId="4BC79608" w:rsidR="00527BD4" w:rsidRPr="00D347F7" w:rsidRDefault="00614950" w:rsidP="00A50CF6">
          <w:pPr>
            <w:pStyle w:val="Huisstijl-Retouradres"/>
            <w:rPr>
              <w:lang w:val="de-DE"/>
            </w:rPr>
          </w:pPr>
          <w:r w:rsidRPr="00D347F7">
            <w:rPr>
              <w:lang w:val="de-DE"/>
            </w:rPr>
            <w:t xml:space="preserve">&gt; </w:t>
          </w:r>
          <w:r w:rsidR="00C37826" w:rsidRPr="00D347F7">
            <w:rPr>
              <w:lang w:val="de-DE"/>
            </w:rPr>
            <w:t xml:space="preserve">Retouradres Postbus </w:t>
          </w:r>
          <w:r w:rsidRPr="00D347F7">
            <w:rPr>
              <w:lang w:val="de-DE"/>
            </w:rPr>
            <w:t>20401</w:t>
          </w:r>
          <w:r w:rsidR="00C37826" w:rsidRPr="00D347F7">
            <w:rPr>
              <w:lang w:val="de-DE"/>
            </w:rPr>
            <w:t xml:space="preserve"> </w:t>
          </w:r>
          <w:r w:rsidRPr="00D347F7">
            <w:rPr>
              <w:lang w:val="de-DE"/>
            </w:rPr>
            <w:t>2500 EK</w:t>
          </w:r>
          <w:r w:rsidR="00C37826" w:rsidRPr="00D347F7">
            <w:rPr>
              <w:lang w:val="de-DE"/>
            </w:rPr>
            <w:t xml:space="preserve"> </w:t>
          </w:r>
          <w:r w:rsidRPr="00D347F7">
            <w:rPr>
              <w:lang w:val="de-DE"/>
            </w:rPr>
            <w:t>Den Haag</w:t>
          </w:r>
        </w:p>
      </w:tc>
    </w:tr>
    <w:tr w:rsidR="0052166F" w:rsidRPr="00AA74A8" w14:paraId="175D7818" w14:textId="77777777" w:rsidTr="00C37826">
      <w:tc>
        <w:tcPr>
          <w:tcW w:w="7371" w:type="dxa"/>
          <w:gridSpan w:val="2"/>
          <w:shd w:val="clear" w:color="auto" w:fill="auto"/>
        </w:tcPr>
        <w:p w14:paraId="337E8267" w14:textId="05BFD091" w:rsidR="00527BD4" w:rsidRPr="00D347F7" w:rsidRDefault="00527BD4" w:rsidP="00A50CF6">
          <w:pPr>
            <w:pStyle w:val="Huisstijl-Rubricering"/>
            <w:rPr>
              <w:lang w:val="de-DE"/>
            </w:rPr>
          </w:pPr>
        </w:p>
      </w:tc>
    </w:tr>
    <w:tr w:rsidR="0052166F" w14:paraId="416AB3FC" w14:textId="77777777" w:rsidTr="00C37826">
      <w:trPr>
        <w:trHeight w:hRule="exact" w:val="2440"/>
      </w:trPr>
      <w:tc>
        <w:tcPr>
          <w:tcW w:w="7371" w:type="dxa"/>
          <w:gridSpan w:val="2"/>
          <w:shd w:val="clear" w:color="auto" w:fill="auto"/>
        </w:tcPr>
        <w:p w14:paraId="77D4FFEA" w14:textId="5DE4964D" w:rsidR="00527BD4" w:rsidRDefault="00614950" w:rsidP="00A50CF6">
          <w:pPr>
            <w:pStyle w:val="Huisstijl-NAW"/>
          </w:pPr>
          <w:r>
            <w:t xml:space="preserve">De Voorzitter van de Tweede Kamer </w:t>
          </w:r>
        </w:p>
        <w:p w14:paraId="6151D705" w14:textId="77777777" w:rsidR="00D87195" w:rsidRDefault="00614950" w:rsidP="00D87195">
          <w:pPr>
            <w:pStyle w:val="Huisstijl-NAW"/>
          </w:pPr>
          <w:r>
            <w:t>der Staten-Generaal</w:t>
          </w:r>
        </w:p>
        <w:p w14:paraId="78C68B87" w14:textId="77777777" w:rsidR="00EA0F13" w:rsidRDefault="00614950" w:rsidP="00EA0F13">
          <w:pPr>
            <w:rPr>
              <w:szCs w:val="18"/>
            </w:rPr>
          </w:pPr>
          <w:r>
            <w:rPr>
              <w:szCs w:val="18"/>
            </w:rPr>
            <w:t>Prinses Irenestraat 6</w:t>
          </w:r>
        </w:p>
        <w:p w14:paraId="35373C24" w14:textId="73E3B872" w:rsidR="00985E56" w:rsidRDefault="00614950" w:rsidP="00EA0F13">
          <w:r>
            <w:rPr>
              <w:szCs w:val="18"/>
            </w:rPr>
            <w:t>2595 BD  DEN HAAG</w:t>
          </w:r>
        </w:p>
      </w:tc>
    </w:tr>
    <w:tr w:rsidR="0052166F" w14:paraId="311EAB9A" w14:textId="77777777" w:rsidTr="00C37826">
      <w:trPr>
        <w:trHeight w:hRule="exact" w:val="400"/>
      </w:trPr>
      <w:tc>
        <w:tcPr>
          <w:tcW w:w="7371" w:type="dxa"/>
          <w:gridSpan w:val="2"/>
          <w:shd w:val="clear" w:color="auto" w:fill="auto"/>
        </w:tcPr>
        <w:p w14:paraId="3587ADAE" w14:textId="77777777" w:rsidR="00527BD4" w:rsidRPr="00035E67" w:rsidRDefault="00527BD4" w:rsidP="00A50CF6">
          <w:pPr>
            <w:tabs>
              <w:tab w:val="left" w:pos="740"/>
            </w:tabs>
            <w:autoSpaceDE w:val="0"/>
            <w:autoSpaceDN w:val="0"/>
            <w:adjustRightInd w:val="0"/>
            <w:ind w:left="743" w:hanging="743"/>
            <w:rPr>
              <w:rFonts w:cs="Verdana"/>
              <w:szCs w:val="18"/>
            </w:rPr>
          </w:pPr>
        </w:p>
      </w:tc>
    </w:tr>
    <w:tr w:rsidR="0052166F" w14:paraId="22FDAA48" w14:textId="77777777" w:rsidTr="00C37826">
      <w:trPr>
        <w:trHeight w:val="240"/>
      </w:trPr>
      <w:tc>
        <w:tcPr>
          <w:tcW w:w="709" w:type="dxa"/>
          <w:shd w:val="clear" w:color="auto" w:fill="auto"/>
        </w:tcPr>
        <w:p w14:paraId="00AA000D" w14:textId="7FD1E373" w:rsidR="00527BD4" w:rsidRPr="00C37826" w:rsidRDefault="00614950" w:rsidP="00A50CF6">
          <w:pPr>
            <w:rPr>
              <w:szCs w:val="18"/>
            </w:rPr>
          </w:pPr>
          <w:r>
            <w:rPr>
              <w:szCs w:val="18"/>
            </w:rPr>
            <w:t>Datum</w:t>
          </w:r>
        </w:p>
      </w:tc>
      <w:tc>
        <w:tcPr>
          <w:tcW w:w="6662" w:type="dxa"/>
          <w:shd w:val="clear" w:color="auto" w:fill="auto"/>
        </w:tcPr>
        <w:p w14:paraId="14D0A2AE" w14:textId="6CAE243F" w:rsidR="00527BD4" w:rsidRPr="007709EF" w:rsidRDefault="00F35C9D" w:rsidP="00A50CF6">
          <w:r>
            <w:t>14 februari 2024</w:t>
          </w:r>
        </w:p>
      </w:tc>
    </w:tr>
    <w:tr w:rsidR="0052166F" w14:paraId="211B7753" w14:textId="77777777" w:rsidTr="00C37826">
      <w:trPr>
        <w:trHeight w:val="240"/>
      </w:trPr>
      <w:tc>
        <w:tcPr>
          <w:tcW w:w="709" w:type="dxa"/>
          <w:shd w:val="clear" w:color="auto" w:fill="auto"/>
        </w:tcPr>
        <w:p w14:paraId="787A4C8E" w14:textId="6B87EADD" w:rsidR="00527BD4" w:rsidRPr="00C37826" w:rsidRDefault="00614950" w:rsidP="00A50CF6">
          <w:pPr>
            <w:rPr>
              <w:szCs w:val="18"/>
            </w:rPr>
          </w:pPr>
          <w:r>
            <w:rPr>
              <w:szCs w:val="18"/>
            </w:rPr>
            <w:t>Betreft</w:t>
          </w:r>
        </w:p>
      </w:tc>
      <w:tc>
        <w:tcPr>
          <w:tcW w:w="6662" w:type="dxa"/>
          <w:shd w:val="clear" w:color="auto" w:fill="auto"/>
        </w:tcPr>
        <w:p w14:paraId="06D7D538" w14:textId="5AD4B25A" w:rsidR="00527BD4" w:rsidRPr="007709EF" w:rsidRDefault="00614950" w:rsidP="00A50CF6">
          <w:r>
            <w:t>Stand van zaken gasmarkt</w:t>
          </w:r>
          <w:r w:rsidR="006E31DC">
            <w:t xml:space="preserve"> en vulgraden gasopslagen</w:t>
          </w:r>
        </w:p>
      </w:tc>
    </w:tr>
  </w:tbl>
  <w:p w14:paraId="35BD648C" w14:textId="77777777" w:rsidR="00527BD4" w:rsidRPr="00BC4AE3" w:rsidRDefault="00527BD4"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8A1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D0F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C69A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442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2AF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F279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C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8" w15:restartNumberingAfterBreak="0">
    <w:nsid w:val="FFFFFF88"/>
    <w:multiLevelType w:val="singleLevel"/>
    <w:tmpl w:val="36F23DCA"/>
    <w:lvl w:ilvl="0">
      <w:start w:val="1"/>
      <w:numFmt w:val="decimal"/>
      <w:lvlText w:val="%1."/>
      <w:lvlJc w:val="left"/>
      <w:pPr>
        <w:tabs>
          <w:tab w:val="num" w:pos="360"/>
        </w:tabs>
        <w:ind w:left="360" w:hanging="360"/>
      </w:pPr>
    </w:lvl>
  </w:abstractNum>
  <w:abstractNum w:abstractNumId="9"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2"/>
    <w:multiLevelType w:val="hybridMultilevel"/>
    <w:tmpl w:val="FFFFFFFF"/>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3"/>
    <w:multiLevelType w:val="hybridMultilevel"/>
    <w:tmpl w:val="FFFFFFFF"/>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4"/>
    <w:multiLevelType w:val="hybridMultilevel"/>
    <w:tmpl w:val="FFFFFFFF"/>
    <w:lvl w:ilvl="0" w:tplc="0000012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5"/>
    <w:multiLevelType w:val="hybridMultilevel"/>
    <w:tmpl w:val="FFFFFFFF"/>
    <w:lvl w:ilvl="0" w:tplc="00000191">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6"/>
    <w:multiLevelType w:val="hybridMultilevel"/>
    <w:tmpl w:val="FFFFFFFF"/>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7"/>
    <w:multiLevelType w:val="hybridMultilevel"/>
    <w:tmpl w:val="FFFFFFFF"/>
    <w:lvl w:ilvl="0" w:tplc="00000259">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08"/>
    <w:multiLevelType w:val="hybridMultilevel"/>
    <w:tmpl w:val="FFFFFFFF"/>
    <w:lvl w:ilvl="0" w:tplc="000002B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63266AD"/>
    <w:multiLevelType w:val="hybridMultilevel"/>
    <w:tmpl w:val="9412DA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083F7C2F"/>
    <w:multiLevelType w:val="multilevel"/>
    <w:tmpl w:val="0DE44C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4120A4"/>
    <w:multiLevelType w:val="hybridMultilevel"/>
    <w:tmpl w:val="1D8E1FCE"/>
    <w:lvl w:ilvl="0" w:tplc="0BBC71F2">
      <w:start w:val="1"/>
      <w:numFmt w:val="bullet"/>
      <w:pStyle w:val="Lijstopsomteken"/>
      <w:lvlText w:val="•"/>
      <w:lvlJc w:val="left"/>
      <w:pPr>
        <w:tabs>
          <w:tab w:val="num" w:pos="227"/>
        </w:tabs>
        <w:ind w:left="227" w:hanging="227"/>
      </w:pPr>
      <w:rPr>
        <w:rFonts w:ascii="Verdana" w:hAnsi="Verdana" w:hint="default"/>
        <w:sz w:val="18"/>
        <w:szCs w:val="18"/>
      </w:rPr>
    </w:lvl>
    <w:lvl w:ilvl="1" w:tplc="EF9611B2" w:tentative="1">
      <w:start w:val="1"/>
      <w:numFmt w:val="bullet"/>
      <w:lvlText w:val="o"/>
      <w:lvlJc w:val="left"/>
      <w:pPr>
        <w:tabs>
          <w:tab w:val="num" w:pos="1440"/>
        </w:tabs>
        <w:ind w:left="1440" w:hanging="360"/>
      </w:pPr>
      <w:rPr>
        <w:rFonts w:ascii="Courier New" w:hAnsi="Courier New" w:cs="Courier New" w:hint="default"/>
      </w:rPr>
    </w:lvl>
    <w:lvl w:ilvl="2" w:tplc="5080C376" w:tentative="1">
      <w:start w:val="1"/>
      <w:numFmt w:val="bullet"/>
      <w:lvlText w:val=""/>
      <w:lvlJc w:val="left"/>
      <w:pPr>
        <w:tabs>
          <w:tab w:val="num" w:pos="2160"/>
        </w:tabs>
        <w:ind w:left="2160" w:hanging="360"/>
      </w:pPr>
      <w:rPr>
        <w:rFonts w:ascii="Wingdings" w:hAnsi="Wingdings" w:hint="default"/>
      </w:rPr>
    </w:lvl>
    <w:lvl w:ilvl="3" w:tplc="419429F2" w:tentative="1">
      <w:start w:val="1"/>
      <w:numFmt w:val="bullet"/>
      <w:lvlText w:val=""/>
      <w:lvlJc w:val="left"/>
      <w:pPr>
        <w:tabs>
          <w:tab w:val="num" w:pos="2880"/>
        </w:tabs>
        <w:ind w:left="2880" w:hanging="360"/>
      </w:pPr>
      <w:rPr>
        <w:rFonts w:ascii="Symbol" w:hAnsi="Symbol" w:hint="default"/>
      </w:rPr>
    </w:lvl>
    <w:lvl w:ilvl="4" w:tplc="A92EF5A6" w:tentative="1">
      <w:start w:val="1"/>
      <w:numFmt w:val="bullet"/>
      <w:lvlText w:val="o"/>
      <w:lvlJc w:val="left"/>
      <w:pPr>
        <w:tabs>
          <w:tab w:val="num" w:pos="3600"/>
        </w:tabs>
        <w:ind w:left="3600" w:hanging="360"/>
      </w:pPr>
      <w:rPr>
        <w:rFonts w:ascii="Courier New" w:hAnsi="Courier New" w:cs="Courier New" w:hint="default"/>
      </w:rPr>
    </w:lvl>
    <w:lvl w:ilvl="5" w:tplc="6AE8D64C" w:tentative="1">
      <w:start w:val="1"/>
      <w:numFmt w:val="bullet"/>
      <w:lvlText w:val=""/>
      <w:lvlJc w:val="left"/>
      <w:pPr>
        <w:tabs>
          <w:tab w:val="num" w:pos="4320"/>
        </w:tabs>
        <w:ind w:left="4320" w:hanging="360"/>
      </w:pPr>
      <w:rPr>
        <w:rFonts w:ascii="Wingdings" w:hAnsi="Wingdings" w:hint="default"/>
      </w:rPr>
    </w:lvl>
    <w:lvl w:ilvl="6" w:tplc="9CF26552" w:tentative="1">
      <w:start w:val="1"/>
      <w:numFmt w:val="bullet"/>
      <w:lvlText w:val=""/>
      <w:lvlJc w:val="left"/>
      <w:pPr>
        <w:tabs>
          <w:tab w:val="num" w:pos="5040"/>
        </w:tabs>
        <w:ind w:left="5040" w:hanging="360"/>
      </w:pPr>
      <w:rPr>
        <w:rFonts w:ascii="Symbol" w:hAnsi="Symbol" w:hint="default"/>
      </w:rPr>
    </w:lvl>
    <w:lvl w:ilvl="7" w:tplc="941A10B8" w:tentative="1">
      <w:start w:val="1"/>
      <w:numFmt w:val="bullet"/>
      <w:lvlText w:val="o"/>
      <w:lvlJc w:val="left"/>
      <w:pPr>
        <w:tabs>
          <w:tab w:val="num" w:pos="5760"/>
        </w:tabs>
        <w:ind w:left="5760" w:hanging="360"/>
      </w:pPr>
      <w:rPr>
        <w:rFonts w:ascii="Courier New" w:hAnsi="Courier New" w:cs="Courier New" w:hint="default"/>
      </w:rPr>
    </w:lvl>
    <w:lvl w:ilvl="8" w:tplc="CFF47CF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477E4B"/>
    <w:multiLevelType w:val="multilevel"/>
    <w:tmpl w:val="A36CED00"/>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555FEF"/>
    <w:multiLevelType w:val="hybridMultilevel"/>
    <w:tmpl w:val="50F0923E"/>
    <w:lvl w:ilvl="0" w:tplc="FA621000">
      <w:start w:val="1"/>
      <w:numFmt w:val="bullet"/>
      <w:pStyle w:val="Lijstopsomteken2"/>
      <w:lvlText w:val="–"/>
      <w:lvlJc w:val="left"/>
      <w:pPr>
        <w:tabs>
          <w:tab w:val="num" w:pos="227"/>
        </w:tabs>
        <w:ind w:left="227" w:firstLine="0"/>
      </w:pPr>
      <w:rPr>
        <w:rFonts w:ascii="Verdana" w:hAnsi="Verdana" w:hint="default"/>
      </w:rPr>
    </w:lvl>
    <w:lvl w:ilvl="1" w:tplc="21647FFE" w:tentative="1">
      <w:start w:val="1"/>
      <w:numFmt w:val="bullet"/>
      <w:lvlText w:val="o"/>
      <w:lvlJc w:val="left"/>
      <w:pPr>
        <w:tabs>
          <w:tab w:val="num" w:pos="1440"/>
        </w:tabs>
        <w:ind w:left="1440" w:hanging="360"/>
      </w:pPr>
      <w:rPr>
        <w:rFonts w:ascii="Courier New" w:hAnsi="Courier New" w:cs="Courier New" w:hint="default"/>
      </w:rPr>
    </w:lvl>
    <w:lvl w:ilvl="2" w:tplc="9B26A2A4" w:tentative="1">
      <w:start w:val="1"/>
      <w:numFmt w:val="bullet"/>
      <w:lvlText w:val=""/>
      <w:lvlJc w:val="left"/>
      <w:pPr>
        <w:tabs>
          <w:tab w:val="num" w:pos="2160"/>
        </w:tabs>
        <w:ind w:left="2160" w:hanging="360"/>
      </w:pPr>
      <w:rPr>
        <w:rFonts w:ascii="Wingdings" w:hAnsi="Wingdings" w:hint="default"/>
      </w:rPr>
    </w:lvl>
    <w:lvl w:ilvl="3" w:tplc="0D04CD0A" w:tentative="1">
      <w:start w:val="1"/>
      <w:numFmt w:val="bullet"/>
      <w:lvlText w:val=""/>
      <w:lvlJc w:val="left"/>
      <w:pPr>
        <w:tabs>
          <w:tab w:val="num" w:pos="2880"/>
        </w:tabs>
        <w:ind w:left="2880" w:hanging="360"/>
      </w:pPr>
      <w:rPr>
        <w:rFonts w:ascii="Symbol" w:hAnsi="Symbol" w:hint="default"/>
      </w:rPr>
    </w:lvl>
    <w:lvl w:ilvl="4" w:tplc="B33EF57A" w:tentative="1">
      <w:start w:val="1"/>
      <w:numFmt w:val="bullet"/>
      <w:lvlText w:val="o"/>
      <w:lvlJc w:val="left"/>
      <w:pPr>
        <w:tabs>
          <w:tab w:val="num" w:pos="3600"/>
        </w:tabs>
        <w:ind w:left="3600" w:hanging="360"/>
      </w:pPr>
      <w:rPr>
        <w:rFonts w:ascii="Courier New" w:hAnsi="Courier New" w:cs="Courier New" w:hint="default"/>
      </w:rPr>
    </w:lvl>
    <w:lvl w:ilvl="5" w:tplc="F52E84CE" w:tentative="1">
      <w:start w:val="1"/>
      <w:numFmt w:val="bullet"/>
      <w:lvlText w:val=""/>
      <w:lvlJc w:val="left"/>
      <w:pPr>
        <w:tabs>
          <w:tab w:val="num" w:pos="4320"/>
        </w:tabs>
        <w:ind w:left="4320" w:hanging="360"/>
      </w:pPr>
      <w:rPr>
        <w:rFonts w:ascii="Wingdings" w:hAnsi="Wingdings" w:hint="default"/>
      </w:rPr>
    </w:lvl>
    <w:lvl w:ilvl="6" w:tplc="5B52AA6A" w:tentative="1">
      <w:start w:val="1"/>
      <w:numFmt w:val="bullet"/>
      <w:lvlText w:val=""/>
      <w:lvlJc w:val="left"/>
      <w:pPr>
        <w:tabs>
          <w:tab w:val="num" w:pos="5040"/>
        </w:tabs>
        <w:ind w:left="5040" w:hanging="360"/>
      </w:pPr>
      <w:rPr>
        <w:rFonts w:ascii="Symbol" w:hAnsi="Symbol" w:hint="default"/>
      </w:rPr>
    </w:lvl>
    <w:lvl w:ilvl="7" w:tplc="30C4218E" w:tentative="1">
      <w:start w:val="1"/>
      <w:numFmt w:val="bullet"/>
      <w:lvlText w:val="o"/>
      <w:lvlJc w:val="left"/>
      <w:pPr>
        <w:tabs>
          <w:tab w:val="num" w:pos="5760"/>
        </w:tabs>
        <w:ind w:left="5760" w:hanging="360"/>
      </w:pPr>
      <w:rPr>
        <w:rFonts w:ascii="Courier New" w:hAnsi="Courier New" w:cs="Courier New" w:hint="default"/>
      </w:rPr>
    </w:lvl>
    <w:lvl w:ilvl="8" w:tplc="8A1A98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908F5"/>
    <w:multiLevelType w:val="hybridMultilevel"/>
    <w:tmpl w:val="2BDACAD4"/>
    <w:lvl w:ilvl="0" w:tplc="544AEF7C">
      <w:numFmt w:val="bullet"/>
      <w:lvlText w:val="-"/>
      <w:lvlJc w:val="left"/>
      <w:pPr>
        <w:ind w:left="720" w:hanging="360"/>
      </w:pPr>
      <w:rPr>
        <w:rFonts w:ascii="Calibri" w:eastAsia="Times New Roman" w:hAnsi="Calibri" w:cs="Calibri" w:hint="default"/>
      </w:rPr>
    </w:lvl>
    <w:lvl w:ilvl="1" w:tplc="17D0F386">
      <w:start w:val="1"/>
      <w:numFmt w:val="bullet"/>
      <w:lvlText w:val="o"/>
      <w:lvlJc w:val="left"/>
      <w:pPr>
        <w:ind w:left="1440" w:hanging="360"/>
      </w:pPr>
      <w:rPr>
        <w:rFonts w:ascii="Courier New" w:hAnsi="Courier New" w:cs="Courier New" w:hint="default"/>
      </w:rPr>
    </w:lvl>
    <w:lvl w:ilvl="2" w:tplc="1480CDA8">
      <w:start w:val="1"/>
      <w:numFmt w:val="bullet"/>
      <w:lvlText w:val=""/>
      <w:lvlJc w:val="left"/>
      <w:pPr>
        <w:ind w:left="2160" w:hanging="360"/>
      </w:pPr>
      <w:rPr>
        <w:rFonts w:ascii="Wingdings" w:hAnsi="Wingdings" w:hint="default"/>
      </w:rPr>
    </w:lvl>
    <w:lvl w:ilvl="3" w:tplc="6644A392">
      <w:start w:val="1"/>
      <w:numFmt w:val="bullet"/>
      <w:lvlText w:val=""/>
      <w:lvlJc w:val="left"/>
      <w:pPr>
        <w:ind w:left="2880" w:hanging="360"/>
      </w:pPr>
      <w:rPr>
        <w:rFonts w:ascii="Symbol" w:hAnsi="Symbol" w:hint="default"/>
      </w:rPr>
    </w:lvl>
    <w:lvl w:ilvl="4" w:tplc="B6AA508C">
      <w:start w:val="1"/>
      <w:numFmt w:val="bullet"/>
      <w:lvlText w:val="o"/>
      <w:lvlJc w:val="left"/>
      <w:pPr>
        <w:ind w:left="3600" w:hanging="360"/>
      </w:pPr>
      <w:rPr>
        <w:rFonts w:ascii="Courier New" w:hAnsi="Courier New" w:cs="Courier New" w:hint="default"/>
      </w:rPr>
    </w:lvl>
    <w:lvl w:ilvl="5" w:tplc="63FC5A26">
      <w:start w:val="1"/>
      <w:numFmt w:val="bullet"/>
      <w:lvlText w:val=""/>
      <w:lvlJc w:val="left"/>
      <w:pPr>
        <w:ind w:left="4320" w:hanging="360"/>
      </w:pPr>
      <w:rPr>
        <w:rFonts w:ascii="Wingdings" w:hAnsi="Wingdings" w:hint="default"/>
      </w:rPr>
    </w:lvl>
    <w:lvl w:ilvl="6" w:tplc="F8126C54">
      <w:start w:val="1"/>
      <w:numFmt w:val="bullet"/>
      <w:lvlText w:val=""/>
      <w:lvlJc w:val="left"/>
      <w:pPr>
        <w:ind w:left="5040" w:hanging="360"/>
      </w:pPr>
      <w:rPr>
        <w:rFonts w:ascii="Symbol" w:hAnsi="Symbol" w:hint="default"/>
      </w:rPr>
    </w:lvl>
    <w:lvl w:ilvl="7" w:tplc="605C2DC4">
      <w:start w:val="1"/>
      <w:numFmt w:val="bullet"/>
      <w:lvlText w:val="o"/>
      <w:lvlJc w:val="left"/>
      <w:pPr>
        <w:ind w:left="5760" w:hanging="360"/>
      </w:pPr>
      <w:rPr>
        <w:rFonts w:ascii="Courier New" w:hAnsi="Courier New" w:cs="Courier New" w:hint="default"/>
      </w:rPr>
    </w:lvl>
    <w:lvl w:ilvl="8" w:tplc="FD9836EE">
      <w:start w:val="1"/>
      <w:numFmt w:val="bullet"/>
      <w:lvlText w:val=""/>
      <w:lvlJc w:val="left"/>
      <w:pPr>
        <w:ind w:left="6480" w:hanging="360"/>
      </w:pPr>
      <w:rPr>
        <w:rFonts w:ascii="Wingdings" w:hAnsi="Wingdings" w:hint="default"/>
      </w:rPr>
    </w:lvl>
  </w:abstractNum>
  <w:abstractNum w:abstractNumId="23" w15:restartNumberingAfterBreak="0">
    <w:nsid w:val="3FB255FA"/>
    <w:multiLevelType w:val="hybridMultilevel"/>
    <w:tmpl w:val="6394B1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1D07897"/>
    <w:multiLevelType w:val="hybridMultilevel"/>
    <w:tmpl w:val="02CA777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C6E6369"/>
    <w:multiLevelType w:val="hybridMultilevel"/>
    <w:tmpl w:val="66B24C6C"/>
    <w:lvl w:ilvl="0" w:tplc="CCD8F37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461EAD"/>
    <w:multiLevelType w:val="multilevel"/>
    <w:tmpl w:val="D1C0296A"/>
    <w:lvl w:ilvl="0">
      <w:start w:val="1"/>
      <w:numFmt w:val="bullet"/>
      <w:lvlText w:val="•"/>
      <w:lvlJc w:val="left"/>
      <w:pPr>
        <w:tabs>
          <w:tab w:val="num" w:pos="360"/>
        </w:tabs>
        <w:ind w:left="360" w:hanging="360"/>
      </w:pPr>
      <w:rPr>
        <w:rFonts w:ascii="Verdana" w:hAnsi="Verdana"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FB57AC"/>
    <w:multiLevelType w:val="hybridMultilevel"/>
    <w:tmpl w:val="097C42B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DD646E"/>
    <w:multiLevelType w:val="hybridMultilevel"/>
    <w:tmpl w:val="02109B08"/>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747B24"/>
    <w:multiLevelType w:val="hybridMultilevel"/>
    <w:tmpl w:val="6D22182E"/>
    <w:lvl w:ilvl="0" w:tplc="ED546FAA">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8A498A"/>
    <w:multiLevelType w:val="hybridMultilevel"/>
    <w:tmpl w:val="49FC9726"/>
    <w:lvl w:ilvl="0" w:tplc="1F508AE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0A2621"/>
    <w:multiLevelType w:val="hybridMultilevel"/>
    <w:tmpl w:val="929254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F984667"/>
    <w:multiLevelType w:val="hybridMultilevel"/>
    <w:tmpl w:val="EA9AD898"/>
    <w:lvl w:ilvl="0" w:tplc="04130001">
      <w:start w:val="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22652329">
    <w:abstractNumId w:val="19"/>
  </w:num>
  <w:num w:numId="2" w16cid:durableId="616764226">
    <w:abstractNumId w:val="7"/>
  </w:num>
  <w:num w:numId="3" w16cid:durableId="767695698">
    <w:abstractNumId w:val="6"/>
  </w:num>
  <w:num w:numId="4" w16cid:durableId="2073768097">
    <w:abstractNumId w:val="5"/>
  </w:num>
  <w:num w:numId="5" w16cid:durableId="2011447280">
    <w:abstractNumId w:val="4"/>
  </w:num>
  <w:num w:numId="6" w16cid:durableId="1315066224">
    <w:abstractNumId w:val="8"/>
  </w:num>
  <w:num w:numId="7" w16cid:durableId="1264649301">
    <w:abstractNumId w:val="3"/>
  </w:num>
  <w:num w:numId="8" w16cid:durableId="1353217491">
    <w:abstractNumId w:val="2"/>
  </w:num>
  <w:num w:numId="9" w16cid:durableId="1843932011">
    <w:abstractNumId w:val="1"/>
  </w:num>
  <w:num w:numId="10" w16cid:durableId="1125078787">
    <w:abstractNumId w:val="0"/>
  </w:num>
  <w:num w:numId="11" w16cid:durableId="1896431880">
    <w:abstractNumId w:val="18"/>
  </w:num>
  <w:num w:numId="12" w16cid:durableId="1413089551">
    <w:abstractNumId w:val="20"/>
  </w:num>
  <w:num w:numId="13" w16cid:durableId="1638756384">
    <w:abstractNumId w:val="26"/>
  </w:num>
  <w:num w:numId="14" w16cid:durableId="1595089490">
    <w:abstractNumId w:val="21"/>
  </w:num>
  <w:num w:numId="15" w16cid:durableId="2002850368">
    <w:abstractNumId w:val="22"/>
  </w:num>
  <w:num w:numId="16" w16cid:durableId="1543978034">
    <w:abstractNumId w:val="9"/>
  </w:num>
  <w:num w:numId="17" w16cid:durableId="392970605">
    <w:abstractNumId w:val="10"/>
  </w:num>
  <w:num w:numId="18" w16cid:durableId="633753167">
    <w:abstractNumId w:val="11"/>
  </w:num>
  <w:num w:numId="19" w16cid:durableId="1918787461">
    <w:abstractNumId w:val="12"/>
  </w:num>
  <w:num w:numId="20" w16cid:durableId="806049390">
    <w:abstractNumId w:val="13"/>
  </w:num>
  <w:num w:numId="21" w16cid:durableId="28991315">
    <w:abstractNumId w:val="14"/>
  </w:num>
  <w:num w:numId="22" w16cid:durableId="1073504675">
    <w:abstractNumId w:val="15"/>
  </w:num>
  <w:num w:numId="23" w16cid:durableId="2080319605">
    <w:abstractNumId w:val="16"/>
  </w:num>
  <w:num w:numId="24" w16cid:durableId="215170707">
    <w:abstractNumId w:val="31"/>
  </w:num>
  <w:num w:numId="25" w16cid:durableId="1168593571">
    <w:abstractNumId w:val="28"/>
  </w:num>
  <w:num w:numId="26" w16cid:durableId="835804306">
    <w:abstractNumId w:val="27"/>
  </w:num>
  <w:num w:numId="27" w16cid:durableId="458106594">
    <w:abstractNumId w:val="25"/>
  </w:num>
  <w:num w:numId="28" w16cid:durableId="604964780">
    <w:abstractNumId w:val="24"/>
  </w:num>
  <w:num w:numId="29" w16cid:durableId="1078475099">
    <w:abstractNumId w:val="17"/>
  </w:num>
  <w:num w:numId="30" w16cid:durableId="2145811447">
    <w:abstractNumId w:val="32"/>
  </w:num>
  <w:num w:numId="31" w16cid:durableId="729155211">
    <w:abstractNumId w:val="23"/>
  </w:num>
  <w:num w:numId="32" w16cid:durableId="855464479">
    <w:abstractNumId w:val="30"/>
  </w:num>
  <w:num w:numId="33" w16cid:durableId="484471481">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BC"/>
    <w:rsid w:val="000013DB"/>
    <w:rsid w:val="00003F05"/>
    <w:rsid w:val="000049FB"/>
    <w:rsid w:val="00006620"/>
    <w:rsid w:val="00006F66"/>
    <w:rsid w:val="00006FFE"/>
    <w:rsid w:val="00010E1A"/>
    <w:rsid w:val="000129EC"/>
    <w:rsid w:val="00012AE7"/>
    <w:rsid w:val="00013862"/>
    <w:rsid w:val="000138BB"/>
    <w:rsid w:val="00013B5B"/>
    <w:rsid w:val="000143C4"/>
    <w:rsid w:val="000144CA"/>
    <w:rsid w:val="00016012"/>
    <w:rsid w:val="00016BC7"/>
    <w:rsid w:val="00017095"/>
    <w:rsid w:val="0001736E"/>
    <w:rsid w:val="0001743A"/>
    <w:rsid w:val="00020189"/>
    <w:rsid w:val="00020EE4"/>
    <w:rsid w:val="000214EA"/>
    <w:rsid w:val="000216D3"/>
    <w:rsid w:val="000217C3"/>
    <w:rsid w:val="00021C49"/>
    <w:rsid w:val="00021E81"/>
    <w:rsid w:val="00022CF9"/>
    <w:rsid w:val="000232E0"/>
    <w:rsid w:val="00023E9A"/>
    <w:rsid w:val="00024CD2"/>
    <w:rsid w:val="00026239"/>
    <w:rsid w:val="00026A1E"/>
    <w:rsid w:val="00026FA9"/>
    <w:rsid w:val="00027AC4"/>
    <w:rsid w:val="00030816"/>
    <w:rsid w:val="00030E7C"/>
    <w:rsid w:val="0003126E"/>
    <w:rsid w:val="00032522"/>
    <w:rsid w:val="00033054"/>
    <w:rsid w:val="00033C22"/>
    <w:rsid w:val="00033CDD"/>
    <w:rsid w:val="00034607"/>
    <w:rsid w:val="00034A84"/>
    <w:rsid w:val="00034ABC"/>
    <w:rsid w:val="00034ACC"/>
    <w:rsid w:val="0003596A"/>
    <w:rsid w:val="000359CA"/>
    <w:rsid w:val="00035E67"/>
    <w:rsid w:val="00035ECA"/>
    <w:rsid w:val="000361D6"/>
    <w:rsid w:val="000362CE"/>
    <w:rsid w:val="000365A8"/>
    <w:rsid w:val="00036676"/>
    <w:rsid w:val="000366F3"/>
    <w:rsid w:val="000414AD"/>
    <w:rsid w:val="00041BA4"/>
    <w:rsid w:val="000424AE"/>
    <w:rsid w:val="0004310A"/>
    <w:rsid w:val="00043684"/>
    <w:rsid w:val="00043813"/>
    <w:rsid w:val="0004452D"/>
    <w:rsid w:val="00045853"/>
    <w:rsid w:val="0004591B"/>
    <w:rsid w:val="000468A5"/>
    <w:rsid w:val="000517F3"/>
    <w:rsid w:val="0005211F"/>
    <w:rsid w:val="0005314F"/>
    <w:rsid w:val="0005377A"/>
    <w:rsid w:val="0005398F"/>
    <w:rsid w:val="0005462A"/>
    <w:rsid w:val="000546CB"/>
    <w:rsid w:val="000562A0"/>
    <w:rsid w:val="00056D81"/>
    <w:rsid w:val="00057453"/>
    <w:rsid w:val="00057A05"/>
    <w:rsid w:val="00057A99"/>
    <w:rsid w:val="00057B91"/>
    <w:rsid w:val="00057C66"/>
    <w:rsid w:val="0006024D"/>
    <w:rsid w:val="000606A9"/>
    <w:rsid w:val="000615CD"/>
    <w:rsid w:val="000616DF"/>
    <w:rsid w:val="000631DA"/>
    <w:rsid w:val="000647C4"/>
    <w:rsid w:val="00065AEF"/>
    <w:rsid w:val="0006726B"/>
    <w:rsid w:val="00067D45"/>
    <w:rsid w:val="00070996"/>
    <w:rsid w:val="00070F84"/>
    <w:rsid w:val="000711A1"/>
    <w:rsid w:val="00071878"/>
    <w:rsid w:val="00071F28"/>
    <w:rsid w:val="000726A7"/>
    <w:rsid w:val="00074079"/>
    <w:rsid w:val="000742E8"/>
    <w:rsid w:val="00075148"/>
    <w:rsid w:val="00075836"/>
    <w:rsid w:val="0007651B"/>
    <w:rsid w:val="000775C2"/>
    <w:rsid w:val="00077AC8"/>
    <w:rsid w:val="000804B2"/>
    <w:rsid w:val="00082126"/>
    <w:rsid w:val="00082C10"/>
    <w:rsid w:val="00082F60"/>
    <w:rsid w:val="0008352F"/>
    <w:rsid w:val="00083C29"/>
    <w:rsid w:val="00083C88"/>
    <w:rsid w:val="00085C1B"/>
    <w:rsid w:val="00086956"/>
    <w:rsid w:val="00086A46"/>
    <w:rsid w:val="00087E31"/>
    <w:rsid w:val="000909BA"/>
    <w:rsid w:val="00090C3D"/>
    <w:rsid w:val="00091544"/>
    <w:rsid w:val="00091754"/>
    <w:rsid w:val="000917A4"/>
    <w:rsid w:val="00092799"/>
    <w:rsid w:val="00092C5F"/>
    <w:rsid w:val="00093490"/>
    <w:rsid w:val="0009363C"/>
    <w:rsid w:val="00093D44"/>
    <w:rsid w:val="00094106"/>
    <w:rsid w:val="000955B5"/>
    <w:rsid w:val="00096680"/>
    <w:rsid w:val="00096B56"/>
    <w:rsid w:val="0009703F"/>
    <w:rsid w:val="0009734C"/>
    <w:rsid w:val="000A04C1"/>
    <w:rsid w:val="000A0856"/>
    <w:rsid w:val="000A0F36"/>
    <w:rsid w:val="000A1212"/>
    <w:rsid w:val="000A174A"/>
    <w:rsid w:val="000A35B9"/>
    <w:rsid w:val="000A3E0A"/>
    <w:rsid w:val="000A4335"/>
    <w:rsid w:val="000A654A"/>
    <w:rsid w:val="000A65A5"/>
    <w:rsid w:val="000A65AC"/>
    <w:rsid w:val="000A7228"/>
    <w:rsid w:val="000A7581"/>
    <w:rsid w:val="000B024B"/>
    <w:rsid w:val="000B26F6"/>
    <w:rsid w:val="000B4BF2"/>
    <w:rsid w:val="000B584A"/>
    <w:rsid w:val="000B604E"/>
    <w:rsid w:val="000B6FEE"/>
    <w:rsid w:val="000B7281"/>
    <w:rsid w:val="000B75C9"/>
    <w:rsid w:val="000B788B"/>
    <w:rsid w:val="000B7FAB"/>
    <w:rsid w:val="000C0163"/>
    <w:rsid w:val="000C1BA1"/>
    <w:rsid w:val="000C3EA9"/>
    <w:rsid w:val="000C402E"/>
    <w:rsid w:val="000C4DB3"/>
    <w:rsid w:val="000C4E0F"/>
    <w:rsid w:val="000C524F"/>
    <w:rsid w:val="000C5409"/>
    <w:rsid w:val="000C5702"/>
    <w:rsid w:val="000C76CC"/>
    <w:rsid w:val="000D0225"/>
    <w:rsid w:val="000D0DD6"/>
    <w:rsid w:val="000D0FBA"/>
    <w:rsid w:val="000D1C0E"/>
    <w:rsid w:val="000D26F2"/>
    <w:rsid w:val="000D28DF"/>
    <w:rsid w:val="000D2ABC"/>
    <w:rsid w:val="000D4A17"/>
    <w:rsid w:val="000D51FA"/>
    <w:rsid w:val="000D5B6A"/>
    <w:rsid w:val="000D6CCE"/>
    <w:rsid w:val="000D756A"/>
    <w:rsid w:val="000D758A"/>
    <w:rsid w:val="000D7FD2"/>
    <w:rsid w:val="000D7FFC"/>
    <w:rsid w:val="000E05D7"/>
    <w:rsid w:val="000E4DF6"/>
    <w:rsid w:val="000E6505"/>
    <w:rsid w:val="000E7895"/>
    <w:rsid w:val="000E7BD5"/>
    <w:rsid w:val="000F0FDD"/>
    <w:rsid w:val="000F161D"/>
    <w:rsid w:val="000F18E9"/>
    <w:rsid w:val="000F1ECC"/>
    <w:rsid w:val="000F21AB"/>
    <w:rsid w:val="000F23C9"/>
    <w:rsid w:val="000F2A53"/>
    <w:rsid w:val="000F38FE"/>
    <w:rsid w:val="000F3CAA"/>
    <w:rsid w:val="000F3EF3"/>
    <w:rsid w:val="000F4937"/>
    <w:rsid w:val="000F51EF"/>
    <w:rsid w:val="000F5AD0"/>
    <w:rsid w:val="000F77B1"/>
    <w:rsid w:val="000F78D3"/>
    <w:rsid w:val="000F7B8D"/>
    <w:rsid w:val="000F7E09"/>
    <w:rsid w:val="0010061E"/>
    <w:rsid w:val="001013E0"/>
    <w:rsid w:val="00102030"/>
    <w:rsid w:val="00104BED"/>
    <w:rsid w:val="001054CC"/>
    <w:rsid w:val="001057C5"/>
    <w:rsid w:val="00105A83"/>
    <w:rsid w:val="001060DE"/>
    <w:rsid w:val="0010715E"/>
    <w:rsid w:val="001102A8"/>
    <w:rsid w:val="0011164F"/>
    <w:rsid w:val="00111DAA"/>
    <w:rsid w:val="001137DB"/>
    <w:rsid w:val="00114B34"/>
    <w:rsid w:val="00117770"/>
    <w:rsid w:val="001179C7"/>
    <w:rsid w:val="001205C2"/>
    <w:rsid w:val="00121BF0"/>
    <w:rsid w:val="0012207B"/>
    <w:rsid w:val="00122786"/>
    <w:rsid w:val="00123383"/>
    <w:rsid w:val="00123704"/>
    <w:rsid w:val="001248CF"/>
    <w:rsid w:val="00124A76"/>
    <w:rsid w:val="00125CA9"/>
    <w:rsid w:val="00126597"/>
    <w:rsid w:val="001265B6"/>
    <w:rsid w:val="00126BF7"/>
    <w:rsid w:val="001270C7"/>
    <w:rsid w:val="0013004E"/>
    <w:rsid w:val="0013071A"/>
    <w:rsid w:val="00131213"/>
    <w:rsid w:val="00131CA9"/>
    <w:rsid w:val="00132289"/>
    <w:rsid w:val="00132540"/>
    <w:rsid w:val="001337B4"/>
    <w:rsid w:val="00133D4A"/>
    <w:rsid w:val="00134613"/>
    <w:rsid w:val="001347C0"/>
    <w:rsid w:val="00134D1A"/>
    <w:rsid w:val="00135B14"/>
    <w:rsid w:val="00136988"/>
    <w:rsid w:val="00136A3B"/>
    <w:rsid w:val="001372B2"/>
    <w:rsid w:val="00140D4A"/>
    <w:rsid w:val="00142B00"/>
    <w:rsid w:val="00142DA3"/>
    <w:rsid w:val="00143B8B"/>
    <w:rsid w:val="0014534A"/>
    <w:rsid w:val="001454B7"/>
    <w:rsid w:val="001460D0"/>
    <w:rsid w:val="00147551"/>
    <w:rsid w:val="0014786A"/>
    <w:rsid w:val="001516A4"/>
    <w:rsid w:val="00151E39"/>
    <w:rsid w:val="00151E5F"/>
    <w:rsid w:val="00152C05"/>
    <w:rsid w:val="00153E28"/>
    <w:rsid w:val="00154908"/>
    <w:rsid w:val="00156127"/>
    <w:rsid w:val="001569AB"/>
    <w:rsid w:val="00156E0F"/>
    <w:rsid w:val="001570B0"/>
    <w:rsid w:val="00157753"/>
    <w:rsid w:val="001601B4"/>
    <w:rsid w:val="001606E3"/>
    <w:rsid w:val="001614EF"/>
    <w:rsid w:val="001625E9"/>
    <w:rsid w:val="00162CCD"/>
    <w:rsid w:val="00163474"/>
    <w:rsid w:val="00164730"/>
    <w:rsid w:val="001649FC"/>
    <w:rsid w:val="00164D63"/>
    <w:rsid w:val="00164FDD"/>
    <w:rsid w:val="00165CAE"/>
    <w:rsid w:val="0016619C"/>
    <w:rsid w:val="001662A7"/>
    <w:rsid w:val="001662F0"/>
    <w:rsid w:val="0016725C"/>
    <w:rsid w:val="001675DB"/>
    <w:rsid w:val="001678C8"/>
    <w:rsid w:val="00170559"/>
    <w:rsid w:val="001726F3"/>
    <w:rsid w:val="00172928"/>
    <w:rsid w:val="00173519"/>
    <w:rsid w:val="00173C51"/>
    <w:rsid w:val="00173D87"/>
    <w:rsid w:val="00174CC2"/>
    <w:rsid w:val="001752A9"/>
    <w:rsid w:val="001756D9"/>
    <w:rsid w:val="0017646E"/>
    <w:rsid w:val="00176CC6"/>
    <w:rsid w:val="00176E21"/>
    <w:rsid w:val="001808AB"/>
    <w:rsid w:val="0018172D"/>
    <w:rsid w:val="00181BE4"/>
    <w:rsid w:val="00182DFE"/>
    <w:rsid w:val="0018447E"/>
    <w:rsid w:val="00185354"/>
    <w:rsid w:val="00185576"/>
    <w:rsid w:val="00185951"/>
    <w:rsid w:val="00190505"/>
    <w:rsid w:val="00191AE3"/>
    <w:rsid w:val="00191E86"/>
    <w:rsid w:val="00192949"/>
    <w:rsid w:val="00193533"/>
    <w:rsid w:val="00196161"/>
    <w:rsid w:val="00196B8B"/>
    <w:rsid w:val="00196D88"/>
    <w:rsid w:val="001A0216"/>
    <w:rsid w:val="001A0882"/>
    <w:rsid w:val="001A2312"/>
    <w:rsid w:val="001A2BEA"/>
    <w:rsid w:val="001A3B5B"/>
    <w:rsid w:val="001A55F5"/>
    <w:rsid w:val="001A6D1F"/>
    <w:rsid w:val="001A6D93"/>
    <w:rsid w:val="001B01CD"/>
    <w:rsid w:val="001B2462"/>
    <w:rsid w:val="001B3186"/>
    <w:rsid w:val="001B3B8C"/>
    <w:rsid w:val="001B4457"/>
    <w:rsid w:val="001B44DB"/>
    <w:rsid w:val="001B70FD"/>
    <w:rsid w:val="001B7AFE"/>
    <w:rsid w:val="001C02C6"/>
    <w:rsid w:val="001C1C10"/>
    <w:rsid w:val="001C32EC"/>
    <w:rsid w:val="001C38BD"/>
    <w:rsid w:val="001C38CF"/>
    <w:rsid w:val="001C3EC9"/>
    <w:rsid w:val="001C451C"/>
    <w:rsid w:val="001C467B"/>
    <w:rsid w:val="001C4D5A"/>
    <w:rsid w:val="001C5186"/>
    <w:rsid w:val="001C6B9C"/>
    <w:rsid w:val="001C728B"/>
    <w:rsid w:val="001D03AB"/>
    <w:rsid w:val="001D0614"/>
    <w:rsid w:val="001D0F08"/>
    <w:rsid w:val="001D1A1D"/>
    <w:rsid w:val="001D2494"/>
    <w:rsid w:val="001D2AE9"/>
    <w:rsid w:val="001D42FE"/>
    <w:rsid w:val="001D45CB"/>
    <w:rsid w:val="001E14B1"/>
    <w:rsid w:val="001E1B09"/>
    <w:rsid w:val="001E1F36"/>
    <w:rsid w:val="001E313B"/>
    <w:rsid w:val="001E33D9"/>
    <w:rsid w:val="001E34C6"/>
    <w:rsid w:val="001E35EC"/>
    <w:rsid w:val="001E3B0A"/>
    <w:rsid w:val="001E4780"/>
    <w:rsid w:val="001E5581"/>
    <w:rsid w:val="001E5ECC"/>
    <w:rsid w:val="001E64C5"/>
    <w:rsid w:val="001E67D2"/>
    <w:rsid w:val="001E6EC4"/>
    <w:rsid w:val="001E6F89"/>
    <w:rsid w:val="001E7B37"/>
    <w:rsid w:val="001F1600"/>
    <w:rsid w:val="001F1EE7"/>
    <w:rsid w:val="001F2682"/>
    <w:rsid w:val="001F3746"/>
    <w:rsid w:val="001F3C70"/>
    <w:rsid w:val="001F5489"/>
    <w:rsid w:val="001F5BB9"/>
    <w:rsid w:val="001F6339"/>
    <w:rsid w:val="001F6833"/>
    <w:rsid w:val="001F7220"/>
    <w:rsid w:val="001F743C"/>
    <w:rsid w:val="001F7BED"/>
    <w:rsid w:val="002001E5"/>
    <w:rsid w:val="002008D4"/>
    <w:rsid w:val="00200B7F"/>
    <w:rsid w:val="00200D88"/>
    <w:rsid w:val="0020119B"/>
    <w:rsid w:val="002013E5"/>
    <w:rsid w:val="00201F68"/>
    <w:rsid w:val="00202738"/>
    <w:rsid w:val="00202FDB"/>
    <w:rsid w:val="00205205"/>
    <w:rsid w:val="002067D1"/>
    <w:rsid w:val="00206A39"/>
    <w:rsid w:val="002104CB"/>
    <w:rsid w:val="00210976"/>
    <w:rsid w:val="00210EA2"/>
    <w:rsid w:val="00210EF0"/>
    <w:rsid w:val="0021195D"/>
    <w:rsid w:val="00211D77"/>
    <w:rsid w:val="0021259B"/>
    <w:rsid w:val="00212D3C"/>
    <w:rsid w:val="00212F2A"/>
    <w:rsid w:val="002139D0"/>
    <w:rsid w:val="00214A05"/>
    <w:rsid w:val="00214F2B"/>
    <w:rsid w:val="002158D7"/>
    <w:rsid w:val="00215AEA"/>
    <w:rsid w:val="00217880"/>
    <w:rsid w:val="00220380"/>
    <w:rsid w:val="002204C7"/>
    <w:rsid w:val="00220C73"/>
    <w:rsid w:val="00221BA9"/>
    <w:rsid w:val="00222D66"/>
    <w:rsid w:val="00224019"/>
    <w:rsid w:val="00224A8A"/>
    <w:rsid w:val="0022691E"/>
    <w:rsid w:val="00230238"/>
    <w:rsid w:val="002309A8"/>
    <w:rsid w:val="00231909"/>
    <w:rsid w:val="00231C22"/>
    <w:rsid w:val="00232133"/>
    <w:rsid w:val="002324A1"/>
    <w:rsid w:val="00234081"/>
    <w:rsid w:val="002349AF"/>
    <w:rsid w:val="00235B66"/>
    <w:rsid w:val="0023622D"/>
    <w:rsid w:val="00236CFE"/>
    <w:rsid w:val="0024060E"/>
    <w:rsid w:val="00240E14"/>
    <w:rsid w:val="00240E9F"/>
    <w:rsid w:val="0024169F"/>
    <w:rsid w:val="002417D9"/>
    <w:rsid w:val="002425A4"/>
    <w:rsid w:val="002428E3"/>
    <w:rsid w:val="00243031"/>
    <w:rsid w:val="002431D5"/>
    <w:rsid w:val="00243C2F"/>
    <w:rsid w:val="0024443A"/>
    <w:rsid w:val="00245A08"/>
    <w:rsid w:val="0024622D"/>
    <w:rsid w:val="00247390"/>
    <w:rsid w:val="002504CB"/>
    <w:rsid w:val="0025066F"/>
    <w:rsid w:val="00253BD3"/>
    <w:rsid w:val="00253C2A"/>
    <w:rsid w:val="00253C97"/>
    <w:rsid w:val="00255C62"/>
    <w:rsid w:val="00255E64"/>
    <w:rsid w:val="002565D3"/>
    <w:rsid w:val="002570B4"/>
    <w:rsid w:val="00257B41"/>
    <w:rsid w:val="0026051B"/>
    <w:rsid w:val="00260BAF"/>
    <w:rsid w:val="00260F10"/>
    <w:rsid w:val="00260F83"/>
    <w:rsid w:val="002613F2"/>
    <w:rsid w:val="00262C4A"/>
    <w:rsid w:val="0026392E"/>
    <w:rsid w:val="0026451C"/>
    <w:rsid w:val="002650F7"/>
    <w:rsid w:val="00265DC0"/>
    <w:rsid w:val="00266CC1"/>
    <w:rsid w:val="0026715A"/>
    <w:rsid w:val="0027175F"/>
    <w:rsid w:val="00272E7E"/>
    <w:rsid w:val="00273F3B"/>
    <w:rsid w:val="00274086"/>
    <w:rsid w:val="00274CD2"/>
    <w:rsid w:val="00274DB7"/>
    <w:rsid w:val="00275984"/>
    <w:rsid w:val="00275C75"/>
    <w:rsid w:val="00277DCA"/>
    <w:rsid w:val="00280F74"/>
    <w:rsid w:val="002810F5"/>
    <w:rsid w:val="002822CA"/>
    <w:rsid w:val="00282F75"/>
    <w:rsid w:val="002848B3"/>
    <w:rsid w:val="00284B3A"/>
    <w:rsid w:val="002855C8"/>
    <w:rsid w:val="002855D3"/>
    <w:rsid w:val="00285BC5"/>
    <w:rsid w:val="00286777"/>
    <w:rsid w:val="00286998"/>
    <w:rsid w:val="002876A5"/>
    <w:rsid w:val="002876B0"/>
    <w:rsid w:val="00291AB7"/>
    <w:rsid w:val="00292EB2"/>
    <w:rsid w:val="0029422B"/>
    <w:rsid w:val="002947DE"/>
    <w:rsid w:val="00294E0F"/>
    <w:rsid w:val="0029531B"/>
    <w:rsid w:val="0029598F"/>
    <w:rsid w:val="00296DC0"/>
    <w:rsid w:val="00297D17"/>
    <w:rsid w:val="002A0252"/>
    <w:rsid w:val="002A03BA"/>
    <w:rsid w:val="002A0938"/>
    <w:rsid w:val="002A2343"/>
    <w:rsid w:val="002A349C"/>
    <w:rsid w:val="002A3DA3"/>
    <w:rsid w:val="002A48FA"/>
    <w:rsid w:val="002A4AEB"/>
    <w:rsid w:val="002A65F1"/>
    <w:rsid w:val="002A73AA"/>
    <w:rsid w:val="002A740F"/>
    <w:rsid w:val="002A7762"/>
    <w:rsid w:val="002B153C"/>
    <w:rsid w:val="002B29E7"/>
    <w:rsid w:val="002B3A0A"/>
    <w:rsid w:val="002B4325"/>
    <w:rsid w:val="002B4431"/>
    <w:rsid w:val="002B4FFD"/>
    <w:rsid w:val="002B52FC"/>
    <w:rsid w:val="002B6725"/>
    <w:rsid w:val="002B6DC9"/>
    <w:rsid w:val="002B766D"/>
    <w:rsid w:val="002B7949"/>
    <w:rsid w:val="002B7C28"/>
    <w:rsid w:val="002C15CA"/>
    <w:rsid w:val="002C2156"/>
    <w:rsid w:val="002C2830"/>
    <w:rsid w:val="002C2888"/>
    <w:rsid w:val="002C3644"/>
    <w:rsid w:val="002C55C4"/>
    <w:rsid w:val="002C6DD9"/>
    <w:rsid w:val="002D001A"/>
    <w:rsid w:val="002D0DB5"/>
    <w:rsid w:val="002D1393"/>
    <w:rsid w:val="002D142D"/>
    <w:rsid w:val="002D17B2"/>
    <w:rsid w:val="002D28E2"/>
    <w:rsid w:val="002D2F3C"/>
    <w:rsid w:val="002D317B"/>
    <w:rsid w:val="002D338B"/>
    <w:rsid w:val="002D3587"/>
    <w:rsid w:val="002D3676"/>
    <w:rsid w:val="002D3CBA"/>
    <w:rsid w:val="002D4E55"/>
    <w:rsid w:val="002D502D"/>
    <w:rsid w:val="002D5F66"/>
    <w:rsid w:val="002D6B50"/>
    <w:rsid w:val="002D6E94"/>
    <w:rsid w:val="002D7598"/>
    <w:rsid w:val="002D7EA2"/>
    <w:rsid w:val="002E0A7E"/>
    <w:rsid w:val="002E0F69"/>
    <w:rsid w:val="002E1648"/>
    <w:rsid w:val="002E2981"/>
    <w:rsid w:val="002E3124"/>
    <w:rsid w:val="002E4F8C"/>
    <w:rsid w:val="002E50E5"/>
    <w:rsid w:val="002E63D7"/>
    <w:rsid w:val="002E7108"/>
    <w:rsid w:val="002E72C1"/>
    <w:rsid w:val="002E78C3"/>
    <w:rsid w:val="002E7D22"/>
    <w:rsid w:val="002E7DF5"/>
    <w:rsid w:val="002F0B63"/>
    <w:rsid w:val="002F2602"/>
    <w:rsid w:val="002F426C"/>
    <w:rsid w:val="002F43C5"/>
    <w:rsid w:val="002F496B"/>
    <w:rsid w:val="002F4F27"/>
    <w:rsid w:val="002F5147"/>
    <w:rsid w:val="002F5977"/>
    <w:rsid w:val="002F707E"/>
    <w:rsid w:val="002F7ABD"/>
    <w:rsid w:val="002F7B93"/>
    <w:rsid w:val="0030029B"/>
    <w:rsid w:val="00300DC4"/>
    <w:rsid w:val="0030239D"/>
    <w:rsid w:val="00303170"/>
    <w:rsid w:val="003034C2"/>
    <w:rsid w:val="003042EB"/>
    <w:rsid w:val="003044BF"/>
    <w:rsid w:val="00305348"/>
    <w:rsid w:val="003121A8"/>
    <w:rsid w:val="00312597"/>
    <w:rsid w:val="00312A80"/>
    <w:rsid w:val="00313626"/>
    <w:rsid w:val="00313A75"/>
    <w:rsid w:val="0031491D"/>
    <w:rsid w:val="003162D1"/>
    <w:rsid w:val="003177B1"/>
    <w:rsid w:val="0032202D"/>
    <w:rsid w:val="00322935"/>
    <w:rsid w:val="00323308"/>
    <w:rsid w:val="003235F9"/>
    <w:rsid w:val="00323D7A"/>
    <w:rsid w:val="0032420F"/>
    <w:rsid w:val="0032461E"/>
    <w:rsid w:val="00327BA5"/>
    <w:rsid w:val="00327ED7"/>
    <w:rsid w:val="00330185"/>
    <w:rsid w:val="003306CE"/>
    <w:rsid w:val="00330C0B"/>
    <w:rsid w:val="00331099"/>
    <w:rsid w:val="003325E4"/>
    <w:rsid w:val="003333A2"/>
    <w:rsid w:val="00334154"/>
    <w:rsid w:val="003346A5"/>
    <w:rsid w:val="00334AC6"/>
    <w:rsid w:val="003357E8"/>
    <w:rsid w:val="00335D32"/>
    <w:rsid w:val="00336BF3"/>
    <w:rsid w:val="003372C4"/>
    <w:rsid w:val="003402B9"/>
    <w:rsid w:val="00340DA0"/>
    <w:rsid w:val="00340ECA"/>
    <w:rsid w:val="00341536"/>
    <w:rsid w:val="00341FA0"/>
    <w:rsid w:val="003447AA"/>
    <w:rsid w:val="00344B8E"/>
    <w:rsid w:val="00344F21"/>
    <w:rsid w:val="00344F3D"/>
    <w:rsid w:val="00345299"/>
    <w:rsid w:val="0035185D"/>
    <w:rsid w:val="00351A8D"/>
    <w:rsid w:val="003526BB"/>
    <w:rsid w:val="00352BCF"/>
    <w:rsid w:val="00352DFB"/>
    <w:rsid w:val="00353932"/>
    <w:rsid w:val="00353F04"/>
    <w:rsid w:val="00354422"/>
    <w:rsid w:val="0035464B"/>
    <w:rsid w:val="00354EF7"/>
    <w:rsid w:val="0035522B"/>
    <w:rsid w:val="00355B64"/>
    <w:rsid w:val="003575AC"/>
    <w:rsid w:val="00357896"/>
    <w:rsid w:val="00357D69"/>
    <w:rsid w:val="00360189"/>
    <w:rsid w:val="003613CD"/>
    <w:rsid w:val="003619AD"/>
    <w:rsid w:val="00361A56"/>
    <w:rsid w:val="0036252A"/>
    <w:rsid w:val="00362843"/>
    <w:rsid w:val="00362969"/>
    <w:rsid w:val="00363C31"/>
    <w:rsid w:val="00364D9D"/>
    <w:rsid w:val="00366054"/>
    <w:rsid w:val="00366F85"/>
    <w:rsid w:val="00367C3F"/>
    <w:rsid w:val="00370E5A"/>
    <w:rsid w:val="00371048"/>
    <w:rsid w:val="003716AE"/>
    <w:rsid w:val="0037178C"/>
    <w:rsid w:val="00372536"/>
    <w:rsid w:val="0037339F"/>
    <w:rsid w:val="0037396C"/>
    <w:rsid w:val="0037421D"/>
    <w:rsid w:val="00375255"/>
    <w:rsid w:val="00376093"/>
    <w:rsid w:val="0037769B"/>
    <w:rsid w:val="00381A3E"/>
    <w:rsid w:val="0038297F"/>
    <w:rsid w:val="0038359D"/>
    <w:rsid w:val="00383DA1"/>
    <w:rsid w:val="003845DD"/>
    <w:rsid w:val="003845E4"/>
    <w:rsid w:val="00384773"/>
    <w:rsid w:val="00384CE5"/>
    <w:rsid w:val="00384DFF"/>
    <w:rsid w:val="00385F30"/>
    <w:rsid w:val="003878C4"/>
    <w:rsid w:val="003878E5"/>
    <w:rsid w:val="0039137C"/>
    <w:rsid w:val="00391D38"/>
    <w:rsid w:val="00391F2B"/>
    <w:rsid w:val="0039241A"/>
    <w:rsid w:val="00392674"/>
    <w:rsid w:val="003933F3"/>
    <w:rsid w:val="00393696"/>
    <w:rsid w:val="00393963"/>
    <w:rsid w:val="00395575"/>
    <w:rsid w:val="00395672"/>
    <w:rsid w:val="003956C2"/>
    <w:rsid w:val="003A06C8"/>
    <w:rsid w:val="003A0D7C"/>
    <w:rsid w:val="003A0E5D"/>
    <w:rsid w:val="003A2E62"/>
    <w:rsid w:val="003A3819"/>
    <w:rsid w:val="003A418A"/>
    <w:rsid w:val="003A482C"/>
    <w:rsid w:val="003A5290"/>
    <w:rsid w:val="003A5E54"/>
    <w:rsid w:val="003B0106"/>
    <w:rsid w:val="003B0155"/>
    <w:rsid w:val="003B1DA3"/>
    <w:rsid w:val="003B27AB"/>
    <w:rsid w:val="003B2D11"/>
    <w:rsid w:val="003B398B"/>
    <w:rsid w:val="003B3D26"/>
    <w:rsid w:val="003B45A8"/>
    <w:rsid w:val="003B4A22"/>
    <w:rsid w:val="003B4F6E"/>
    <w:rsid w:val="003B56BA"/>
    <w:rsid w:val="003B5BFB"/>
    <w:rsid w:val="003B7EE7"/>
    <w:rsid w:val="003C2625"/>
    <w:rsid w:val="003C2CCB"/>
    <w:rsid w:val="003C306E"/>
    <w:rsid w:val="003C3600"/>
    <w:rsid w:val="003C534E"/>
    <w:rsid w:val="003C57A9"/>
    <w:rsid w:val="003C5E60"/>
    <w:rsid w:val="003C6949"/>
    <w:rsid w:val="003C696E"/>
    <w:rsid w:val="003C7939"/>
    <w:rsid w:val="003C7BB7"/>
    <w:rsid w:val="003D1685"/>
    <w:rsid w:val="003D1B76"/>
    <w:rsid w:val="003D1C7D"/>
    <w:rsid w:val="003D1FEC"/>
    <w:rsid w:val="003D2B12"/>
    <w:rsid w:val="003D311B"/>
    <w:rsid w:val="003D39EC"/>
    <w:rsid w:val="003D4202"/>
    <w:rsid w:val="003D5A66"/>
    <w:rsid w:val="003D5C62"/>
    <w:rsid w:val="003D5DED"/>
    <w:rsid w:val="003D5E8B"/>
    <w:rsid w:val="003D64BE"/>
    <w:rsid w:val="003D6527"/>
    <w:rsid w:val="003D6A2E"/>
    <w:rsid w:val="003D6C7B"/>
    <w:rsid w:val="003D7B48"/>
    <w:rsid w:val="003E1CA2"/>
    <w:rsid w:val="003E3DD5"/>
    <w:rsid w:val="003E40E4"/>
    <w:rsid w:val="003E4A92"/>
    <w:rsid w:val="003E4CE5"/>
    <w:rsid w:val="003E5652"/>
    <w:rsid w:val="003E58BD"/>
    <w:rsid w:val="003E5B93"/>
    <w:rsid w:val="003E673A"/>
    <w:rsid w:val="003F0174"/>
    <w:rsid w:val="003F07C6"/>
    <w:rsid w:val="003F097E"/>
    <w:rsid w:val="003F0A23"/>
    <w:rsid w:val="003F1F6B"/>
    <w:rsid w:val="003F3757"/>
    <w:rsid w:val="003F38BD"/>
    <w:rsid w:val="003F44B7"/>
    <w:rsid w:val="003F4942"/>
    <w:rsid w:val="003F506C"/>
    <w:rsid w:val="003F789D"/>
    <w:rsid w:val="004008E9"/>
    <w:rsid w:val="004010DF"/>
    <w:rsid w:val="00403BA5"/>
    <w:rsid w:val="00405205"/>
    <w:rsid w:val="00405459"/>
    <w:rsid w:val="00410EFB"/>
    <w:rsid w:val="00411786"/>
    <w:rsid w:val="0041356C"/>
    <w:rsid w:val="00413D48"/>
    <w:rsid w:val="00414C03"/>
    <w:rsid w:val="00414DF2"/>
    <w:rsid w:val="0041631D"/>
    <w:rsid w:val="00420688"/>
    <w:rsid w:val="004206DE"/>
    <w:rsid w:val="004216AE"/>
    <w:rsid w:val="004241B6"/>
    <w:rsid w:val="0042458F"/>
    <w:rsid w:val="00425A3F"/>
    <w:rsid w:val="00426190"/>
    <w:rsid w:val="004266FF"/>
    <w:rsid w:val="00426A2B"/>
    <w:rsid w:val="004270D1"/>
    <w:rsid w:val="00431093"/>
    <w:rsid w:val="004312C1"/>
    <w:rsid w:val="0043265B"/>
    <w:rsid w:val="0043271F"/>
    <w:rsid w:val="00433540"/>
    <w:rsid w:val="00434832"/>
    <w:rsid w:val="00436B35"/>
    <w:rsid w:val="00437B36"/>
    <w:rsid w:val="0044012E"/>
    <w:rsid w:val="00440FFE"/>
    <w:rsid w:val="00441AC2"/>
    <w:rsid w:val="00441E67"/>
    <w:rsid w:val="0044205F"/>
    <w:rsid w:val="0044249B"/>
    <w:rsid w:val="00443529"/>
    <w:rsid w:val="0044398D"/>
    <w:rsid w:val="00443ED0"/>
    <w:rsid w:val="004449A2"/>
    <w:rsid w:val="00444E0F"/>
    <w:rsid w:val="00445791"/>
    <w:rsid w:val="00446164"/>
    <w:rsid w:val="00446B7A"/>
    <w:rsid w:val="004473FF"/>
    <w:rsid w:val="00447E73"/>
    <w:rsid w:val="00450060"/>
    <w:rsid w:val="0045023C"/>
    <w:rsid w:val="00451A5B"/>
    <w:rsid w:val="004523EB"/>
    <w:rsid w:val="00452BCD"/>
    <w:rsid w:val="00452CEA"/>
    <w:rsid w:val="00454967"/>
    <w:rsid w:val="00454AD5"/>
    <w:rsid w:val="00454CB0"/>
    <w:rsid w:val="004560DC"/>
    <w:rsid w:val="00456553"/>
    <w:rsid w:val="0045797E"/>
    <w:rsid w:val="00457D72"/>
    <w:rsid w:val="004600A0"/>
    <w:rsid w:val="00461DF2"/>
    <w:rsid w:val="00461DFD"/>
    <w:rsid w:val="0046380B"/>
    <w:rsid w:val="00463D58"/>
    <w:rsid w:val="004655CD"/>
    <w:rsid w:val="00465812"/>
    <w:rsid w:val="00465B52"/>
    <w:rsid w:val="0046620C"/>
    <w:rsid w:val="0046708E"/>
    <w:rsid w:val="00470C46"/>
    <w:rsid w:val="00470FD9"/>
    <w:rsid w:val="00471080"/>
    <w:rsid w:val="00471315"/>
    <w:rsid w:val="0047139B"/>
    <w:rsid w:val="004714DC"/>
    <w:rsid w:val="00472A65"/>
    <w:rsid w:val="004739A3"/>
    <w:rsid w:val="00473A94"/>
    <w:rsid w:val="00473EE3"/>
    <w:rsid w:val="00473F10"/>
    <w:rsid w:val="004742AE"/>
    <w:rsid w:val="00474463"/>
    <w:rsid w:val="0047482B"/>
    <w:rsid w:val="00474B75"/>
    <w:rsid w:val="00474C93"/>
    <w:rsid w:val="00474DEF"/>
    <w:rsid w:val="0047724C"/>
    <w:rsid w:val="0047789C"/>
    <w:rsid w:val="00477B0F"/>
    <w:rsid w:val="00477FF5"/>
    <w:rsid w:val="004801EF"/>
    <w:rsid w:val="004809CC"/>
    <w:rsid w:val="00481973"/>
    <w:rsid w:val="0048199A"/>
    <w:rsid w:val="00481F8A"/>
    <w:rsid w:val="00482788"/>
    <w:rsid w:val="00482939"/>
    <w:rsid w:val="0048304A"/>
    <w:rsid w:val="004834EA"/>
    <w:rsid w:val="00483E12"/>
    <w:rsid w:val="00483F0B"/>
    <w:rsid w:val="00486CBF"/>
    <w:rsid w:val="00487727"/>
    <w:rsid w:val="0049083F"/>
    <w:rsid w:val="00491E02"/>
    <w:rsid w:val="0049325C"/>
    <w:rsid w:val="00493DE7"/>
    <w:rsid w:val="0049479E"/>
    <w:rsid w:val="00494CC1"/>
    <w:rsid w:val="00494D21"/>
    <w:rsid w:val="00494E33"/>
    <w:rsid w:val="00496319"/>
    <w:rsid w:val="00497245"/>
    <w:rsid w:val="00497279"/>
    <w:rsid w:val="00497ADA"/>
    <w:rsid w:val="004A0AC0"/>
    <w:rsid w:val="004A0C81"/>
    <w:rsid w:val="004A1507"/>
    <w:rsid w:val="004A163B"/>
    <w:rsid w:val="004A2F86"/>
    <w:rsid w:val="004A32DD"/>
    <w:rsid w:val="004A477A"/>
    <w:rsid w:val="004A4928"/>
    <w:rsid w:val="004A5698"/>
    <w:rsid w:val="004A670A"/>
    <w:rsid w:val="004A79A9"/>
    <w:rsid w:val="004B0A8C"/>
    <w:rsid w:val="004B13C6"/>
    <w:rsid w:val="004B22E3"/>
    <w:rsid w:val="004B2D18"/>
    <w:rsid w:val="004B3D83"/>
    <w:rsid w:val="004B3FA0"/>
    <w:rsid w:val="004B4037"/>
    <w:rsid w:val="004B4129"/>
    <w:rsid w:val="004B458B"/>
    <w:rsid w:val="004B5376"/>
    <w:rsid w:val="004B5465"/>
    <w:rsid w:val="004B586A"/>
    <w:rsid w:val="004B67D6"/>
    <w:rsid w:val="004B6E95"/>
    <w:rsid w:val="004B6F75"/>
    <w:rsid w:val="004B6FA7"/>
    <w:rsid w:val="004B70F0"/>
    <w:rsid w:val="004B71DD"/>
    <w:rsid w:val="004B7B68"/>
    <w:rsid w:val="004B7F34"/>
    <w:rsid w:val="004C04CF"/>
    <w:rsid w:val="004C05F8"/>
    <w:rsid w:val="004C1B9D"/>
    <w:rsid w:val="004C1F83"/>
    <w:rsid w:val="004C233E"/>
    <w:rsid w:val="004C2981"/>
    <w:rsid w:val="004C3370"/>
    <w:rsid w:val="004C3A24"/>
    <w:rsid w:val="004C42D0"/>
    <w:rsid w:val="004C4F53"/>
    <w:rsid w:val="004C58B6"/>
    <w:rsid w:val="004C6446"/>
    <w:rsid w:val="004C6C17"/>
    <w:rsid w:val="004C75BD"/>
    <w:rsid w:val="004C7EC3"/>
    <w:rsid w:val="004D093B"/>
    <w:rsid w:val="004D2B62"/>
    <w:rsid w:val="004D3C96"/>
    <w:rsid w:val="004D4DFA"/>
    <w:rsid w:val="004D505E"/>
    <w:rsid w:val="004D558C"/>
    <w:rsid w:val="004D612E"/>
    <w:rsid w:val="004D72CA"/>
    <w:rsid w:val="004D74AB"/>
    <w:rsid w:val="004D7A68"/>
    <w:rsid w:val="004E04F1"/>
    <w:rsid w:val="004E0634"/>
    <w:rsid w:val="004E0EBE"/>
    <w:rsid w:val="004E1A68"/>
    <w:rsid w:val="004E2242"/>
    <w:rsid w:val="004E3B15"/>
    <w:rsid w:val="004E3F70"/>
    <w:rsid w:val="004E4776"/>
    <w:rsid w:val="004E49A2"/>
    <w:rsid w:val="004E4CCE"/>
    <w:rsid w:val="004E505E"/>
    <w:rsid w:val="004E5B21"/>
    <w:rsid w:val="004E6D66"/>
    <w:rsid w:val="004E7A6E"/>
    <w:rsid w:val="004F1536"/>
    <w:rsid w:val="004F1B00"/>
    <w:rsid w:val="004F31D9"/>
    <w:rsid w:val="004F321E"/>
    <w:rsid w:val="004F42FF"/>
    <w:rsid w:val="004F44C2"/>
    <w:rsid w:val="004F4CC6"/>
    <w:rsid w:val="004F62BE"/>
    <w:rsid w:val="004F667A"/>
    <w:rsid w:val="004F68CD"/>
    <w:rsid w:val="005016BE"/>
    <w:rsid w:val="005017E9"/>
    <w:rsid w:val="00502512"/>
    <w:rsid w:val="0050303D"/>
    <w:rsid w:val="00503FD2"/>
    <w:rsid w:val="005042C0"/>
    <w:rsid w:val="00504869"/>
    <w:rsid w:val="00504B90"/>
    <w:rsid w:val="00504E88"/>
    <w:rsid w:val="00505262"/>
    <w:rsid w:val="00505430"/>
    <w:rsid w:val="005063E1"/>
    <w:rsid w:val="00506564"/>
    <w:rsid w:val="005122CE"/>
    <w:rsid w:val="005128DE"/>
    <w:rsid w:val="00513F91"/>
    <w:rsid w:val="00514148"/>
    <w:rsid w:val="005142AC"/>
    <w:rsid w:val="005153E0"/>
    <w:rsid w:val="00515FD7"/>
    <w:rsid w:val="00516022"/>
    <w:rsid w:val="0051618C"/>
    <w:rsid w:val="00516359"/>
    <w:rsid w:val="005172A1"/>
    <w:rsid w:val="005179BB"/>
    <w:rsid w:val="005203C8"/>
    <w:rsid w:val="0052056F"/>
    <w:rsid w:val="0052071E"/>
    <w:rsid w:val="0052166F"/>
    <w:rsid w:val="00521BB8"/>
    <w:rsid w:val="00521CEE"/>
    <w:rsid w:val="00524B25"/>
    <w:rsid w:val="00524FB4"/>
    <w:rsid w:val="00525F47"/>
    <w:rsid w:val="00526959"/>
    <w:rsid w:val="005269EE"/>
    <w:rsid w:val="00527240"/>
    <w:rsid w:val="00527BD4"/>
    <w:rsid w:val="00527F1E"/>
    <w:rsid w:val="00527F84"/>
    <w:rsid w:val="005306E2"/>
    <w:rsid w:val="00530CE1"/>
    <w:rsid w:val="0053196F"/>
    <w:rsid w:val="00531A6B"/>
    <w:rsid w:val="00531B2B"/>
    <w:rsid w:val="00531DEF"/>
    <w:rsid w:val="005324DF"/>
    <w:rsid w:val="0053293D"/>
    <w:rsid w:val="005340FA"/>
    <w:rsid w:val="00534181"/>
    <w:rsid w:val="00534CC8"/>
    <w:rsid w:val="00535635"/>
    <w:rsid w:val="00537095"/>
    <w:rsid w:val="005403C8"/>
    <w:rsid w:val="00541159"/>
    <w:rsid w:val="005429DC"/>
    <w:rsid w:val="005430F3"/>
    <w:rsid w:val="005438D9"/>
    <w:rsid w:val="005461DA"/>
    <w:rsid w:val="00546409"/>
    <w:rsid w:val="00546E0F"/>
    <w:rsid w:val="00547013"/>
    <w:rsid w:val="00547EF2"/>
    <w:rsid w:val="00550323"/>
    <w:rsid w:val="0055107B"/>
    <w:rsid w:val="005514B8"/>
    <w:rsid w:val="00551DD6"/>
    <w:rsid w:val="00552382"/>
    <w:rsid w:val="00552764"/>
    <w:rsid w:val="00553A91"/>
    <w:rsid w:val="005544E4"/>
    <w:rsid w:val="005560F1"/>
    <w:rsid w:val="005565F9"/>
    <w:rsid w:val="005569DD"/>
    <w:rsid w:val="00557329"/>
    <w:rsid w:val="005578BB"/>
    <w:rsid w:val="005604C5"/>
    <w:rsid w:val="00561746"/>
    <w:rsid w:val="0056181E"/>
    <w:rsid w:val="005628B9"/>
    <w:rsid w:val="00562A1B"/>
    <w:rsid w:val="00563355"/>
    <w:rsid w:val="0056348F"/>
    <w:rsid w:val="00570052"/>
    <w:rsid w:val="0057069E"/>
    <w:rsid w:val="00570B2A"/>
    <w:rsid w:val="00570BB5"/>
    <w:rsid w:val="00571D57"/>
    <w:rsid w:val="00572783"/>
    <w:rsid w:val="00572CDE"/>
    <w:rsid w:val="00572E2E"/>
    <w:rsid w:val="00573041"/>
    <w:rsid w:val="005744B9"/>
    <w:rsid w:val="0057484D"/>
    <w:rsid w:val="005749CE"/>
    <w:rsid w:val="00575B80"/>
    <w:rsid w:val="0057620F"/>
    <w:rsid w:val="00576927"/>
    <w:rsid w:val="0057731E"/>
    <w:rsid w:val="00577403"/>
    <w:rsid w:val="00577ACF"/>
    <w:rsid w:val="00580763"/>
    <w:rsid w:val="00580DA7"/>
    <w:rsid w:val="005819CE"/>
    <w:rsid w:val="00582022"/>
    <w:rsid w:val="005821F2"/>
    <w:rsid w:val="0058298D"/>
    <w:rsid w:val="005836AE"/>
    <w:rsid w:val="005848FA"/>
    <w:rsid w:val="00584C1A"/>
    <w:rsid w:val="0058503C"/>
    <w:rsid w:val="00586A3B"/>
    <w:rsid w:val="00586C2C"/>
    <w:rsid w:val="00586F2D"/>
    <w:rsid w:val="005875A4"/>
    <w:rsid w:val="0058790F"/>
    <w:rsid w:val="00590312"/>
    <w:rsid w:val="005916CF"/>
    <w:rsid w:val="00592C8A"/>
    <w:rsid w:val="00593126"/>
    <w:rsid w:val="00593764"/>
    <w:rsid w:val="00593A1D"/>
    <w:rsid w:val="00593C2B"/>
    <w:rsid w:val="00594325"/>
    <w:rsid w:val="005951D4"/>
    <w:rsid w:val="00595231"/>
    <w:rsid w:val="00596166"/>
    <w:rsid w:val="005970B7"/>
    <w:rsid w:val="0059744D"/>
    <w:rsid w:val="00597BC3"/>
    <w:rsid w:val="00597F64"/>
    <w:rsid w:val="005A005B"/>
    <w:rsid w:val="005A03C3"/>
    <w:rsid w:val="005A13F9"/>
    <w:rsid w:val="005A15C8"/>
    <w:rsid w:val="005A1658"/>
    <w:rsid w:val="005A207F"/>
    <w:rsid w:val="005A288E"/>
    <w:rsid w:val="005A2971"/>
    <w:rsid w:val="005A2F35"/>
    <w:rsid w:val="005A4ADD"/>
    <w:rsid w:val="005A5025"/>
    <w:rsid w:val="005A5C67"/>
    <w:rsid w:val="005A7C99"/>
    <w:rsid w:val="005B340D"/>
    <w:rsid w:val="005B3814"/>
    <w:rsid w:val="005B3A95"/>
    <w:rsid w:val="005B3E73"/>
    <w:rsid w:val="005B40F8"/>
    <w:rsid w:val="005B4336"/>
    <w:rsid w:val="005B463E"/>
    <w:rsid w:val="005B7152"/>
    <w:rsid w:val="005B72B0"/>
    <w:rsid w:val="005B7C9D"/>
    <w:rsid w:val="005C2538"/>
    <w:rsid w:val="005C3058"/>
    <w:rsid w:val="005C34E1"/>
    <w:rsid w:val="005C3EB4"/>
    <w:rsid w:val="005C3FE0"/>
    <w:rsid w:val="005C5383"/>
    <w:rsid w:val="005C58AD"/>
    <w:rsid w:val="005C740C"/>
    <w:rsid w:val="005C7850"/>
    <w:rsid w:val="005C7FF4"/>
    <w:rsid w:val="005C7FF6"/>
    <w:rsid w:val="005D1043"/>
    <w:rsid w:val="005D1335"/>
    <w:rsid w:val="005D32D1"/>
    <w:rsid w:val="005D35E5"/>
    <w:rsid w:val="005D4742"/>
    <w:rsid w:val="005D4D1B"/>
    <w:rsid w:val="005D625B"/>
    <w:rsid w:val="005D777B"/>
    <w:rsid w:val="005D7A92"/>
    <w:rsid w:val="005E041E"/>
    <w:rsid w:val="005E0793"/>
    <w:rsid w:val="005E0D08"/>
    <w:rsid w:val="005E3DB5"/>
    <w:rsid w:val="005E3FE5"/>
    <w:rsid w:val="005E49B2"/>
    <w:rsid w:val="005E4E03"/>
    <w:rsid w:val="005E5489"/>
    <w:rsid w:val="005E6D71"/>
    <w:rsid w:val="005F0EA0"/>
    <w:rsid w:val="005F1115"/>
    <w:rsid w:val="005F2317"/>
    <w:rsid w:val="005F30E4"/>
    <w:rsid w:val="005F34DD"/>
    <w:rsid w:val="005F3CCB"/>
    <w:rsid w:val="005F48A8"/>
    <w:rsid w:val="005F4AB9"/>
    <w:rsid w:val="005F4B5E"/>
    <w:rsid w:val="005F50EA"/>
    <w:rsid w:val="005F6028"/>
    <w:rsid w:val="005F62D3"/>
    <w:rsid w:val="005F6A53"/>
    <w:rsid w:val="005F6D11"/>
    <w:rsid w:val="00600812"/>
    <w:rsid w:val="00600A9C"/>
    <w:rsid w:val="00600CF0"/>
    <w:rsid w:val="00601373"/>
    <w:rsid w:val="006018C7"/>
    <w:rsid w:val="00601C75"/>
    <w:rsid w:val="00602D6D"/>
    <w:rsid w:val="00603A45"/>
    <w:rsid w:val="006048F4"/>
    <w:rsid w:val="006053B0"/>
    <w:rsid w:val="006057E0"/>
    <w:rsid w:val="0060660A"/>
    <w:rsid w:val="006069B1"/>
    <w:rsid w:val="00610A3F"/>
    <w:rsid w:val="00610A9F"/>
    <w:rsid w:val="00610C02"/>
    <w:rsid w:val="00610F07"/>
    <w:rsid w:val="00611307"/>
    <w:rsid w:val="006118CC"/>
    <w:rsid w:val="006118F3"/>
    <w:rsid w:val="006129DC"/>
    <w:rsid w:val="00613B1D"/>
    <w:rsid w:val="00613D17"/>
    <w:rsid w:val="006143B3"/>
    <w:rsid w:val="00614950"/>
    <w:rsid w:val="00614E87"/>
    <w:rsid w:val="00615248"/>
    <w:rsid w:val="00615CE3"/>
    <w:rsid w:val="00615D28"/>
    <w:rsid w:val="006161F5"/>
    <w:rsid w:val="00616CF5"/>
    <w:rsid w:val="0061797D"/>
    <w:rsid w:val="00617A44"/>
    <w:rsid w:val="00617DC4"/>
    <w:rsid w:val="006202B6"/>
    <w:rsid w:val="00621DEC"/>
    <w:rsid w:val="00622D08"/>
    <w:rsid w:val="00624395"/>
    <w:rsid w:val="00624D22"/>
    <w:rsid w:val="00625CD0"/>
    <w:rsid w:val="0062627D"/>
    <w:rsid w:val="00627432"/>
    <w:rsid w:val="00627436"/>
    <w:rsid w:val="0063062D"/>
    <w:rsid w:val="00631901"/>
    <w:rsid w:val="006319E6"/>
    <w:rsid w:val="00632513"/>
    <w:rsid w:val="006327CD"/>
    <w:rsid w:val="0063441A"/>
    <w:rsid w:val="00634997"/>
    <w:rsid w:val="006351DA"/>
    <w:rsid w:val="00636091"/>
    <w:rsid w:val="006364DB"/>
    <w:rsid w:val="00637330"/>
    <w:rsid w:val="00640E9B"/>
    <w:rsid w:val="00642AD1"/>
    <w:rsid w:val="00642DB3"/>
    <w:rsid w:val="006436CF"/>
    <w:rsid w:val="006448E4"/>
    <w:rsid w:val="00644B9E"/>
    <w:rsid w:val="00644D00"/>
    <w:rsid w:val="00645243"/>
    <w:rsid w:val="00645414"/>
    <w:rsid w:val="00645A35"/>
    <w:rsid w:val="006466FC"/>
    <w:rsid w:val="006474A8"/>
    <w:rsid w:val="006514D0"/>
    <w:rsid w:val="006519B9"/>
    <w:rsid w:val="00651CEE"/>
    <w:rsid w:val="00651D12"/>
    <w:rsid w:val="0065309D"/>
    <w:rsid w:val="00653128"/>
    <w:rsid w:val="00653606"/>
    <w:rsid w:val="00653880"/>
    <w:rsid w:val="006540FF"/>
    <w:rsid w:val="006548C7"/>
    <w:rsid w:val="006561AF"/>
    <w:rsid w:val="00656323"/>
    <w:rsid w:val="0065777D"/>
    <w:rsid w:val="00657E1D"/>
    <w:rsid w:val="00660223"/>
    <w:rsid w:val="006602A6"/>
    <w:rsid w:val="00660DC5"/>
    <w:rsid w:val="006610E9"/>
    <w:rsid w:val="006613BA"/>
    <w:rsid w:val="00661591"/>
    <w:rsid w:val="006621D3"/>
    <w:rsid w:val="0066329B"/>
    <w:rsid w:val="0066410A"/>
    <w:rsid w:val="00664678"/>
    <w:rsid w:val="00665973"/>
    <w:rsid w:val="0066632F"/>
    <w:rsid w:val="0066786D"/>
    <w:rsid w:val="006678BA"/>
    <w:rsid w:val="00670F16"/>
    <w:rsid w:val="00671358"/>
    <w:rsid w:val="00671C25"/>
    <w:rsid w:val="006728E6"/>
    <w:rsid w:val="00672928"/>
    <w:rsid w:val="0067410B"/>
    <w:rsid w:val="00674A89"/>
    <w:rsid w:val="00674F3D"/>
    <w:rsid w:val="0067740A"/>
    <w:rsid w:val="006775FC"/>
    <w:rsid w:val="00677F1E"/>
    <w:rsid w:val="00680524"/>
    <w:rsid w:val="0068210E"/>
    <w:rsid w:val="00682554"/>
    <w:rsid w:val="00682A9B"/>
    <w:rsid w:val="006830AD"/>
    <w:rsid w:val="0068321C"/>
    <w:rsid w:val="00685545"/>
    <w:rsid w:val="006857B6"/>
    <w:rsid w:val="006864B3"/>
    <w:rsid w:val="006868DD"/>
    <w:rsid w:val="006877EE"/>
    <w:rsid w:val="00690862"/>
    <w:rsid w:val="006910BD"/>
    <w:rsid w:val="00692221"/>
    <w:rsid w:val="00692D64"/>
    <w:rsid w:val="006932BE"/>
    <w:rsid w:val="006949E2"/>
    <w:rsid w:val="00694D7A"/>
    <w:rsid w:val="006955F7"/>
    <w:rsid w:val="0069568D"/>
    <w:rsid w:val="006974C7"/>
    <w:rsid w:val="00697806"/>
    <w:rsid w:val="00697822"/>
    <w:rsid w:val="006A0986"/>
    <w:rsid w:val="006A0CA8"/>
    <w:rsid w:val="006A10F2"/>
    <w:rsid w:val="006A10F8"/>
    <w:rsid w:val="006A144F"/>
    <w:rsid w:val="006A14DD"/>
    <w:rsid w:val="006A1BD0"/>
    <w:rsid w:val="006A2100"/>
    <w:rsid w:val="006A45C0"/>
    <w:rsid w:val="006A5C3B"/>
    <w:rsid w:val="006A66AC"/>
    <w:rsid w:val="006A6726"/>
    <w:rsid w:val="006A6CAD"/>
    <w:rsid w:val="006A72E0"/>
    <w:rsid w:val="006B01FE"/>
    <w:rsid w:val="006B0BF3"/>
    <w:rsid w:val="006B0F91"/>
    <w:rsid w:val="006B1004"/>
    <w:rsid w:val="006B398F"/>
    <w:rsid w:val="006B4459"/>
    <w:rsid w:val="006B57D2"/>
    <w:rsid w:val="006B5B2D"/>
    <w:rsid w:val="006B66D1"/>
    <w:rsid w:val="006B6BBC"/>
    <w:rsid w:val="006B775E"/>
    <w:rsid w:val="006B7BC7"/>
    <w:rsid w:val="006C048F"/>
    <w:rsid w:val="006C1022"/>
    <w:rsid w:val="006C2535"/>
    <w:rsid w:val="006C441E"/>
    <w:rsid w:val="006C445B"/>
    <w:rsid w:val="006C4B90"/>
    <w:rsid w:val="006C5489"/>
    <w:rsid w:val="006C5543"/>
    <w:rsid w:val="006C787F"/>
    <w:rsid w:val="006C7E89"/>
    <w:rsid w:val="006D045B"/>
    <w:rsid w:val="006D1016"/>
    <w:rsid w:val="006D1737"/>
    <w:rsid w:val="006D173B"/>
    <w:rsid w:val="006D17F2"/>
    <w:rsid w:val="006D2B9F"/>
    <w:rsid w:val="006D2C54"/>
    <w:rsid w:val="006D3A03"/>
    <w:rsid w:val="006D3C5B"/>
    <w:rsid w:val="006D430B"/>
    <w:rsid w:val="006D43A7"/>
    <w:rsid w:val="006D4D9C"/>
    <w:rsid w:val="006D5559"/>
    <w:rsid w:val="006D60AD"/>
    <w:rsid w:val="006D6528"/>
    <w:rsid w:val="006D6998"/>
    <w:rsid w:val="006D738E"/>
    <w:rsid w:val="006E1579"/>
    <w:rsid w:val="006E159A"/>
    <w:rsid w:val="006E1A60"/>
    <w:rsid w:val="006E2B53"/>
    <w:rsid w:val="006E2D65"/>
    <w:rsid w:val="006E2DA5"/>
    <w:rsid w:val="006E31DC"/>
    <w:rsid w:val="006E3546"/>
    <w:rsid w:val="006E3FA9"/>
    <w:rsid w:val="006E4803"/>
    <w:rsid w:val="006E51C3"/>
    <w:rsid w:val="006E5620"/>
    <w:rsid w:val="006E65EC"/>
    <w:rsid w:val="006E6ABB"/>
    <w:rsid w:val="006E6E68"/>
    <w:rsid w:val="006E7658"/>
    <w:rsid w:val="006E780B"/>
    <w:rsid w:val="006E7986"/>
    <w:rsid w:val="006E7D82"/>
    <w:rsid w:val="006F038F"/>
    <w:rsid w:val="006F0F93"/>
    <w:rsid w:val="006F1F14"/>
    <w:rsid w:val="006F25DB"/>
    <w:rsid w:val="006F31F2"/>
    <w:rsid w:val="006F3706"/>
    <w:rsid w:val="006F42E1"/>
    <w:rsid w:val="006F588D"/>
    <w:rsid w:val="006F671F"/>
    <w:rsid w:val="006F6D48"/>
    <w:rsid w:val="006F7494"/>
    <w:rsid w:val="006F751F"/>
    <w:rsid w:val="007008C0"/>
    <w:rsid w:val="00700CD6"/>
    <w:rsid w:val="00701795"/>
    <w:rsid w:val="00704842"/>
    <w:rsid w:val="00704F12"/>
    <w:rsid w:val="00706B11"/>
    <w:rsid w:val="00706B7F"/>
    <w:rsid w:val="0070731D"/>
    <w:rsid w:val="00707776"/>
    <w:rsid w:val="00707801"/>
    <w:rsid w:val="0071063F"/>
    <w:rsid w:val="007110C0"/>
    <w:rsid w:val="007112A8"/>
    <w:rsid w:val="00711975"/>
    <w:rsid w:val="00712261"/>
    <w:rsid w:val="007138D5"/>
    <w:rsid w:val="00714DC5"/>
    <w:rsid w:val="00715237"/>
    <w:rsid w:val="007155CE"/>
    <w:rsid w:val="00716198"/>
    <w:rsid w:val="00716682"/>
    <w:rsid w:val="0071786A"/>
    <w:rsid w:val="007201C5"/>
    <w:rsid w:val="00721AE1"/>
    <w:rsid w:val="00725328"/>
    <w:rsid w:val="007254A5"/>
    <w:rsid w:val="00725748"/>
    <w:rsid w:val="00725897"/>
    <w:rsid w:val="00725D9B"/>
    <w:rsid w:val="00726E00"/>
    <w:rsid w:val="00727CD5"/>
    <w:rsid w:val="00727CDB"/>
    <w:rsid w:val="00727E51"/>
    <w:rsid w:val="0073168F"/>
    <w:rsid w:val="00731BF7"/>
    <w:rsid w:val="00734BB0"/>
    <w:rsid w:val="00735779"/>
    <w:rsid w:val="00735D88"/>
    <w:rsid w:val="00736501"/>
    <w:rsid w:val="0073720D"/>
    <w:rsid w:val="0073733D"/>
    <w:rsid w:val="00737507"/>
    <w:rsid w:val="00740061"/>
    <w:rsid w:val="00740712"/>
    <w:rsid w:val="007415DE"/>
    <w:rsid w:val="00741FC1"/>
    <w:rsid w:val="007427AD"/>
    <w:rsid w:val="007429FE"/>
    <w:rsid w:val="00742A97"/>
    <w:rsid w:val="00742AB9"/>
    <w:rsid w:val="00742B2C"/>
    <w:rsid w:val="00743D08"/>
    <w:rsid w:val="007467A8"/>
    <w:rsid w:val="007500E8"/>
    <w:rsid w:val="0075033D"/>
    <w:rsid w:val="00750518"/>
    <w:rsid w:val="00751A6A"/>
    <w:rsid w:val="00752604"/>
    <w:rsid w:val="00753185"/>
    <w:rsid w:val="00754DB6"/>
    <w:rsid w:val="00754FBF"/>
    <w:rsid w:val="00755ED1"/>
    <w:rsid w:val="007560A6"/>
    <w:rsid w:val="00756729"/>
    <w:rsid w:val="007568BF"/>
    <w:rsid w:val="007571B0"/>
    <w:rsid w:val="00757AFD"/>
    <w:rsid w:val="00757BD8"/>
    <w:rsid w:val="00760FE6"/>
    <w:rsid w:val="007610AA"/>
    <w:rsid w:val="00761268"/>
    <w:rsid w:val="00764118"/>
    <w:rsid w:val="0076451E"/>
    <w:rsid w:val="007655B9"/>
    <w:rsid w:val="00765711"/>
    <w:rsid w:val="0076678C"/>
    <w:rsid w:val="00766CF5"/>
    <w:rsid w:val="00767392"/>
    <w:rsid w:val="007676D5"/>
    <w:rsid w:val="00770875"/>
    <w:rsid w:val="007708B6"/>
    <w:rsid w:val="007709EF"/>
    <w:rsid w:val="007725B3"/>
    <w:rsid w:val="00773678"/>
    <w:rsid w:val="007755BA"/>
    <w:rsid w:val="00781DCA"/>
    <w:rsid w:val="00782701"/>
    <w:rsid w:val="007827BF"/>
    <w:rsid w:val="00783559"/>
    <w:rsid w:val="00784C07"/>
    <w:rsid w:val="00785F25"/>
    <w:rsid w:val="00787200"/>
    <w:rsid w:val="00787274"/>
    <w:rsid w:val="00790D54"/>
    <w:rsid w:val="00791C5B"/>
    <w:rsid w:val="00792485"/>
    <w:rsid w:val="007937B9"/>
    <w:rsid w:val="00794055"/>
    <w:rsid w:val="0079551B"/>
    <w:rsid w:val="007955B9"/>
    <w:rsid w:val="00795836"/>
    <w:rsid w:val="00796BC2"/>
    <w:rsid w:val="007973F3"/>
    <w:rsid w:val="00797AA5"/>
    <w:rsid w:val="007A0084"/>
    <w:rsid w:val="007A200A"/>
    <w:rsid w:val="007A26BD"/>
    <w:rsid w:val="007A2704"/>
    <w:rsid w:val="007A2C21"/>
    <w:rsid w:val="007A2E86"/>
    <w:rsid w:val="007A4105"/>
    <w:rsid w:val="007A4350"/>
    <w:rsid w:val="007A465D"/>
    <w:rsid w:val="007A49D3"/>
    <w:rsid w:val="007A5522"/>
    <w:rsid w:val="007A5B73"/>
    <w:rsid w:val="007A5F19"/>
    <w:rsid w:val="007A7116"/>
    <w:rsid w:val="007B2326"/>
    <w:rsid w:val="007B2D03"/>
    <w:rsid w:val="007B3592"/>
    <w:rsid w:val="007B35EA"/>
    <w:rsid w:val="007B3F13"/>
    <w:rsid w:val="007B407B"/>
    <w:rsid w:val="007B4503"/>
    <w:rsid w:val="007B472F"/>
    <w:rsid w:val="007B4D43"/>
    <w:rsid w:val="007B5D8D"/>
    <w:rsid w:val="007B7905"/>
    <w:rsid w:val="007C01E0"/>
    <w:rsid w:val="007C26FE"/>
    <w:rsid w:val="007C406E"/>
    <w:rsid w:val="007C5183"/>
    <w:rsid w:val="007C53DC"/>
    <w:rsid w:val="007C5772"/>
    <w:rsid w:val="007C70D3"/>
    <w:rsid w:val="007C7573"/>
    <w:rsid w:val="007C7EA8"/>
    <w:rsid w:val="007D065B"/>
    <w:rsid w:val="007D09E2"/>
    <w:rsid w:val="007D2385"/>
    <w:rsid w:val="007D2BA8"/>
    <w:rsid w:val="007D3DEC"/>
    <w:rsid w:val="007D49EE"/>
    <w:rsid w:val="007D50E6"/>
    <w:rsid w:val="007D5266"/>
    <w:rsid w:val="007D53F3"/>
    <w:rsid w:val="007D6FCF"/>
    <w:rsid w:val="007D7397"/>
    <w:rsid w:val="007D7BE6"/>
    <w:rsid w:val="007E0C7B"/>
    <w:rsid w:val="007E0D79"/>
    <w:rsid w:val="007E1047"/>
    <w:rsid w:val="007E1052"/>
    <w:rsid w:val="007E2B20"/>
    <w:rsid w:val="007E3326"/>
    <w:rsid w:val="007E3EEE"/>
    <w:rsid w:val="007E5FE9"/>
    <w:rsid w:val="007E6104"/>
    <w:rsid w:val="007E6975"/>
    <w:rsid w:val="007F0013"/>
    <w:rsid w:val="007F087D"/>
    <w:rsid w:val="007F0C59"/>
    <w:rsid w:val="007F0E07"/>
    <w:rsid w:val="007F178A"/>
    <w:rsid w:val="007F3125"/>
    <w:rsid w:val="007F33B6"/>
    <w:rsid w:val="007F3D9C"/>
    <w:rsid w:val="007F439C"/>
    <w:rsid w:val="007F4CE1"/>
    <w:rsid w:val="007F4D13"/>
    <w:rsid w:val="007F5043"/>
    <w:rsid w:val="007F5331"/>
    <w:rsid w:val="007F69F8"/>
    <w:rsid w:val="007F6B07"/>
    <w:rsid w:val="00800CCA"/>
    <w:rsid w:val="00803A4C"/>
    <w:rsid w:val="00806120"/>
    <w:rsid w:val="00806472"/>
    <w:rsid w:val="00806B6A"/>
    <w:rsid w:val="00806F63"/>
    <w:rsid w:val="00807EEF"/>
    <w:rsid w:val="00810C93"/>
    <w:rsid w:val="00810F51"/>
    <w:rsid w:val="008119A0"/>
    <w:rsid w:val="00812028"/>
    <w:rsid w:val="008120D7"/>
    <w:rsid w:val="00812DD8"/>
    <w:rsid w:val="00813082"/>
    <w:rsid w:val="00814D03"/>
    <w:rsid w:val="00816570"/>
    <w:rsid w:val="008173AE"/>
    <w:rsid w:val="00820371"/>
    <w:rsid w:val="00821B2C"/>
    <w:rsid w:val="00821DAE"/>
    <w:rsid w:val="00821FC1"/>
    <w:rsid w:val="00822BF9"/>
    <w:rsid w:val="008233E6"/>
    <w:rsid w:val="00823AE2"/>
    <w:rsid w:val="00824A5B"/>
    <w:rsid w:val="00824A62"/>
    <w:rsid w:val="008253B2"/>
    <w:rsid w:val="00825DE9"/>
    <w:rsid w:val="00826DB1"/>
    <w:rsid w:val="0082751C"/>
    <w:rsid w:val="0083178B"/>
    <w:rsid w:val="00831EE4"/>
    <w:rsid w:val="00833586"/>
    <w:rsid w:val="00833695"/>
    <w:rsid w:val="008336B7"/>
    <w:rsid w:val="00833A8E"/>
    <w:rsid w:val="00833FD1"/>
    <w:rsid w:val="00835E05"/>
    <w:rsid w:val="0083669A"/>
    <w:rsid w:val="00836777"/>
    <w:rsid w:val="00836ACA"/>
    <w:rsid w:val="00837893"/>
    <w:rsid w:val="00840A47"/>
    <w:rsid w:val="00840A81"/>
    <w:rsid w:val="00840BA2"/>
    <w:rsid w:val="00840F50"/>
    <w:rsid w:val="00841462"/>
    <w:rsid w:val="00842CD8"/>
    <w:rsid w:val="008431FA"/>
    <w:rsid w:val="008445A8"/>
    <w:rsid w:val="00844634"/>
    <w:rsid w:val="008447C2"/>
    <w:rsid w:val="00845601"/>
    <w:rsid w:val="00845A3F"/>
    <w:rsid w:val="00845A52"/>
    <w:rsid w:val="00845D26"/>
    <w:rsid w:val="008472D3"/>
    <w:rsid w:val="00847444"/>
    <w:rsid w:val="00850A92"/>
    <w:rsid w:val="00851066"/>
    <w:rsid w:val="008517C6"/>
    <w:rsid w:val="00851D69"/>
    <w:rsid w:val="00852C7A"/>
    <w:rsid w:val="008534F5"/>
    <w:rsid w:val="008547BA"/>
    <w:rsid w:val="00854AD4"/>
    <w:rsid w:val="008553C7"/>
    <w:rsid w:val="00855947"/>
    <w:rsid w:val="00855957"/>
    <w:rsid w:val="00855BDA"/>
    <w:rsid w:val="008565B0"/>
    <w:rsid w:val="00857FEB"/>
    <w:rsid w:val="008601AF"/>
    <w:rsid w:val="00861FA9"/>
    <w:rsid w:val="00862E97"/>
    <w:rsid w:val="008645F1"/>
    <w:rsid w:val="0086546C"/>
    <w:rsid w:val="00865C02"/>
    <w:rsid w:val="00866C9D"/>
    <w:rsid w:val="00870C52"/>
    <w:rsid w:val="008718AB"/>
    <w:rsid w:val="00871A0C"/>
    <w:rsid w:val="00872271"/>
    <w:rsid w:val="0087374E"/>
    <w:rsid w:val="00873DAC"/>
    <w:rsid w:val="00876020"/>
    <w:rsid w:val="0087640D"/>
    <w:rsid w:val="00876535"/>
    <w:rsid w:val="00876DC5"/>
    <w:rsid w:val="00880884"/>
    <w:rsid w:val="00880AF7"/>
    <w:rsid w:val="0088194D"/>
    <w:rsid w:val="00883137"/>
    <w:rsid w:val="0088348D"/>
    <w:rsid w:val="00884121"/>
    <w:rsid w:val="0088453D"/>
    <w:rsid w:val="0088564B"/>
    <w:rsid w:val="008928E8"/>
    <w:rsid w:val="00893ED5"/>
    <w:rsid w:val="00894A3B"/>
    <w:rsid w:val="0089559D"/>
    <w:rsid w:val="008963AA"/>
    <w:rsid w:val="008974C6"/>
    <w:rsid w:val="00897E94"/>
    <w:rsid w:val="008A1F5D"/>
    <w:rsid w:val="008A1FC1"/>
    <w:rsid w:val="008A28F5"/>
    <w:rsid w:val="008A3749"/>
    <w:rsid w:val="008A3D05"/>
    <w:rsid w:val="008A591E"/>
    <w:rsid w:val="008A60EC"/>
    <w:rsid w:val="008A638C"/>
    <w:rsid w:val="008A6724"/>
    <w:rsid w:val="008A6828"/>
    <w:rsid w:val="008A6B29"/>
    <w:rsid w:val="008B1198"/>
    <w:rsid w:val="008B24E4"/>
    <w:rsid w:val="008B24EF"/>
    <w:rsid w:val="008B3471"/>
    <w:rsid w:val="008B3929"/>
    <w:rsid w:val="008B4125"/>
    <w:rsid w:val="008B48C6"/>
    <w:rsid w:val="008B4CB3"/>
    <w:rsid w:val="008B5092"/>
    <w:rsid w:val="008B567B"/>
    <w:rsid w:val="008B5CA2"/>
    <w:rsid w:val="008B729A"/>
    <w:rsid w:val="008B7B24"/>
    <w:rsid w:val="008C0574"/>
    <w:rsid w:val="008C07E8"/>
    <w:rsid w:val="008C0BE0"/>
    <w:rsid w:val="008C2891"/>
    <w:rsid w:val="008C2CC3"/>
    <w:rsid w:val="008C341E"/>
    <w:rsid w:val="008C3458"/>
    <w:rsid w:val="008C356D"/>
    <w:rsid w:val="008C3C03"/>
    <w:rsid w:val="008C4CD2"/>
    <w:rsid w:val="008C5367"/>
    <w:rsid w:val="008C6E4D"/>
    <w:rsid w:val="008D0A38"/>
    <w:rsid w:val="008D123D"/>
    <w:rsid w:val="008D1D0E"/>
    <w:rsid w:val="008D1EEE"/>
    <w:rsid w:val="008D2240"/>
    <w:rsid w:val="008D2750"/>
    <w:rsid w:val="008D2BEE"/>
    <w:rsid w:val="008D2EF5"/>
    <w:rsid w:val="008D3AFD"/>
    <w:rsid w:val="008D3C5A"/>
    <w:rsid w:val="008D43B5"/>
    <w:rsid w:val="008D4474"/>
    <w:rsid w:val="008D4A92"/>
    <w:rsid w:val="008D4E7F"/>
    <w:rsid w:val="008D702A"/>
    <w:rsid w:val="008D7466"/>
    <w:rsid w:val="008E021F"/>
    <w:rsid w:val="008E0B3F"/>
    <w:rsid w:val="008E36BE"/>
    <w:rsid w:val="008E3E5F"/>
    <w:rsid w:val="008E49AD"/>
    <w:rsid w:val="008E5522"/>
    <w:rsid w:val="008E698E"/>
    <w:rsid w:val="008E71BC"/>
    <w:rsid w:val="008F13DE"/>
    <w:rsid w:val="008F245E"/>
    <w:rsid w:val="008F2584"/>
    <w:rsid w:val="008F3246"/>
    <w:rsid w:val="008F346A"/>
    <w:rsid w:val="008F3C1B"/>
    <w:rsid w:val="008F46C9"/>
    <w:rsid w:val="008F4EBE"/>
    <w:rsid w:val="008F508C"/>
    <w:rsid w:val="008F5BE7"/>
    <w:rsid w:val="008F7500"/>
    <w:rsid w:val="008F78C7"/>
    <w:rsid w:val="00900966"/>
    <w:rsid w:val="00901DE3"/>
    <w:rsid w:val="0090271B"/>
    <w:rsid w:val="00902A1A"/>
    <w:rsid w:val="009034F4"/>
    <w:rsid w:val="00903B52"/>
    <w:rsid w:val="00903C66"/>
    <w:rsid w:val="00905099"/>
    <w:rsid w:val="0090538F"/>
    <w:rsid w:val="00905D84"/>
    <w:rsid w:val="009063BB"/>
    <w:rsid w:val="00907505"/>
    <w:rsid w:val="00910151"/>
    <w:rsid w:val="00910536"/>
    <w:rsid w:val="00910642"/>
    <w:rsid w:val="00910DDF"/>
    <w:rsid w:val="00911467"/>
    <w:rsid w:val="00911C74"/>
    <w:rsid w:val="0091304D"/>
    <w:rsid w:val="00914D43"/>
    <w:rsid w:val="00917FBB"/>
    <w:rsid w:val="00920287"/>
    <w:rsid w:val="00921DD5"/>
    <w:rsid w:val="00922C1D"/>
    <w:rsid w:val="009231D7"/>
    <w:rsid w:val="0092340A"/>
    <w:rsid w:val="00923456"/>
    <w:rsid w:val="009238E6"/>
    <w:rsid w:val="00924955"/>
    <w:rsid w:val="00924DBD"/>
    <w:rsid w:val="009264F4"/>
    <w:rsid w:val="00926AE2"/>
    <w:rsid w:val="0092755B"/>
    <w:rsid w:val="0092771A"/>
    <w:rsid w:val="00930260"/>
    <w:rsid w:val="009307EC"/>
    <w:rsid w:val="00930B13"/>
    <w:rsid w:val="009311C8"/>
    <w:rsid w:val="009316A7"/>
    <w:rsid w:val="00931712"/>
    <w:rsid w:val="00932101"/>
    <w:rsid w:val="0093294A"/>
    <w:rsid w:val="00932A37"/>
    <w:rsid w:val="00933376"/>
    <w:rsid w:val="00933481"/>
    <w:rsid w:val="00933A2F"/>
    <w:rsid w:val="00933EDA"/>
    <w:rsid w:val="0093410C"/>
    <w:rsid w:val="0093525C"/>
    <w:rsid w:val="00936533"/>
    <w:rsid w:val="009369B4"/>
    <w:rsid w:val="00937BB5"/>
    <w:rsid w:val="0094033C"/>
    <w:rsid w:val="009421E1"/>
    <w:rsid w:val="009443B3"/>
    <w:rsid w:val="009450EC"/>
    <w:rsid w:val="0094543E"/>
    <w:rsid w:val="009472B0"/>
    <w:rsid w:val="00947D5B"/>
    <w:rsid w:val="0095025E"/>
    <w:rsid w:val="00950756"/>
    <w:rsid w:val="00952467"/>
    <w:rsid w:val="009527ED"/>
    <w:rsid w:val="00954A06"/>
    <w:rsid w:val="00954A36"/>
    <w:rsid w:val="00954C05"/>
    <w:rsid w:val="00955258"/>
    <w:rsid w:val="00956011"/>
    <w:rsid w:val="00956061"/>
    <w:rsid w:val="009573E5"/>
    <w:rsid w:val="009614E0"/>
    <w:rsid w:val="009617A5"/>
    <w:rsid w:val="00963034"/>
    <w:rsid w:val="00964FBA"/>
    <w:rsid w:val="009669AD"/>
    <w:rsid w:val="00967188"/>
    <w:rsid w:val="00967600"/>
    <w:rsid w:val="00967AF2"/>
    <w:rsid w:val="00967D58"/>
    <w:rsid w:val="00970117"/>
    <w:rsid w:val="009716D8"/>
    <w:rsid w:val="009718F9"/>
    <w:rsid w:val="00971F42"/>
    <w:rsid w:val="00972812"/>
    <w:rsid w:val="00972B27"/>
    <w:rsid w:val="00972FB9"/>
    <w:rsid w:val="009732C0"/>
    <w:rsid w:val="009733D9"/>
    <w:rsid w:val="00973708"/>
    <w:rsid w:val="009741AF"/>
    <w:rsid w:val="00975112"/>
    <w:rsid w:val="0097643C"/>
    <w:rsid w:val="00976D36"/>
    <w:rsid w:val="00976FBD"/>
    <w:rsid w:val="00977115"/>
    <w:rsid w:val="00977D25"/>
    <w:rsid w:val="00980400"/>
    <w:rsid w:val="00981768"/>
    <w:rsid w:val="009821CE"/>
    <w:rsid w:val="00982BA5"/>
    <w:rsid w:val="00982CFB"/>
    <w:rsid w:val="009839EF"/>
    <w:rsid w:val="00983E8F"/>
    <w:rsid w:val="009842C8"/>
    <w:rsid w:val="0098539C"/>
    <w:rsid w:val="00985E56"/>
    <w:rsid w:val="009869F4"/>
    <w:rsid w:val="0098788A"/>
    <w:rsid w:val="00987E61"/>
    <w:rsid w:val="00990300"/>
    <w:rsid w:val="009917A1"/>
    <w:rsid w:val="009923E3"/>
    <w:rsid w:val="0099243B"/>
    <w:rsid w:val="009936DC"/>
    <w:rsid w:val="00993EAF"/>
    <w:rsid w:val="009949E1"/>
    <w:rsid w:val="00994FDA"/>
    <w:rsid w:val="00995291"/>
    <w:rsid w:val="00995400"/>
    <w:rsid w:val="00995994"/>
    <w:rsid w:val="00995B4A"/>
    <w:rsid w:val="00995BBF"/>
    <w:rsid w:val="00995E67"/>
    <w:rsid w:val="0099620E"/>
    <w:rsid w:val="009969F2"/>
    <w:rsid w:val="00996F33"/>
    <w:rsid w:val="009A0290"/>
    <w:rsid w:val="009A0AAE"/>
    <w:rsid w:val="009A31BF"/>
    <w:rsid w:val="009A32AE"/>
    <w:rsid w:val="009A3759"/>
    <w:rsid w:val="009A3B71"/>
    <w:rsid w:val="009A4E54"/>
    <w:rsid w:val="009A5F28"/>
    <w:rsid w:val="009A61BC"/>
    <w:rsid w:val="009B0138"/>
    <w:rsid w:val="009B05EB"/>
    <w:rsid w:val="009B07DB"/>
    <w:rsid w:val="009B0853"/>
    <w:rsid w:val="009B0F70"/>
    <w:rsid w:val="009B0FE9"/>
    <w:rsid w:val="009B173A"/>
    <w:rsid w:val="009B22D6"/>
    <w:rsid w:val="009B3F73"/>
    <w:rsid w:val="009B47CA"/>
    <w:rsid w:val="009B4F1E"/>
    <w:rsid w:val="009B53B8"/>
    <w:rsid w:val="009B57AB"/>
    <w:rsid w:val="009B5F80"/>
    <w:rsid w:val="009B7529"/>
    <w:rsid w:val="009C0349"/>
    <w:rsid w:val="009C0878"/>
    <w:rsid w:val="009C08D2"/>
    <w:rsid w:val="009C2992"/>
    <w:rsid w:val="009C380A"/>
    <w:rsid w:val="009C3933"/>
    <w:rsid w:val="009C3F20"/>
    <w:rsid w:val="009C6A3B"/>
    <w:rsid w:val="009C781A"/>
    <w:rsid w:val="009C79A0"/>
    <w:rsid w:val="009C7CA1"/>
    <w:rsid w:val="009D043D"/>
    <w:rsid w:val="009D0B5A"/>
    <w:rsid w:val="009D1E7D"/>
    <w:rsid w:val="009D256E"/>
    <w:rsid w:val="009D3795"/>
    <w:rsid w:val="009D49F7"/>
    <w:rsid w:val="009D4D62"/>
    <w:rsid w:val="009D535B"/>
    <w:rsid w:val="009D5FD5"/>
    <w:rsid w:val="009D6217"/>
    <w:rsid w:val="009D661F"/>
    <w:rsid w:val="009D7A4F"/>
    <w:rsid w:val="009D7F32"/>
    <w:rsid w:val="009E0291"/>
    <w:rsid w:val="009E107A"/>
    <w:rsid w:val="009E11ED"/>
    <w:rsid w:val="009E259C"/>
    <w:rsid w:val="009E2B8B"/>
    <w:rsid w:val="009E3001"/>
    <w:rsid w:val="009E50E5"/>
    <w:rsid w:val="009E5CC2"/>
    <w:rsid w:val="009E67AF"/>
    <w:rsid w:val="009E67DA"/>
    <w:rsid w:val="009E6A3D"/>
    <w:rsid w:val="009E72E7"/>
    <w:rsid w:val="009F09EE"/>
    <w:rsid w:val="009F0E39"/>
    <w:rsid w:val="009F0E67"/>
    <w:rsid w:val="009F190C"/>
    <w:rsid w:val="009F1CBA"/>
    <w:rsid w:val="009F2015"/>
    <w:rsid w:val="009F26C1"/>
    <w:rsid w:val="009F3259"/>
    <w:rsid w:val="009F3C1F"/>
    <w:rsid w:val="009F4A4E"/>
    <w:rsid w:val="00A00E0A"/>
    <w:rsid w:val="00A03E18"/>
    <w:rsid w:val="00A0535B"/>
    <w:rsid w:val="00A056DE"/>
    <w:rsid w:val="00A05BA4"/>
    <w:rsid w:val="00A0671A"/>
    <w:rsid w:val="00A100C9"/>
    <w:rsid w:val="00A10121"/>
    <w:rsid w:val="00A128AD"/>
    <w:rsid w:val="00A14870"/>
    <w:rsid w:val="00A15488"/>
    <w:rsid w:val="00A168B3"/>
    <w:rsid w:val="00A16D3F"/>
    <w:rsid w:val="00A20BAA"/>
    <w:rsid w:val="00A20D8A"/>
    <w:rsid w:val="00A21ADE"/>
    <w:rsid w:val="00A21E36"/>
    <w:rsid w:val="00A21E76"/>
    <w:rsid w:val="00A2260C"/>
    <w:rsid w:val="00A234C5"/>
    <w:rsid w:val="00A23974"/>
    <w:rsid w:val="00A23BC8"/>
    <w:rsid w:val="00A245F8"/>
    <w:rsid w:val="00A24ACE"/>
    <w:rsid w:val="00A25695"/>
    <w:rsid w:val="00A2575B"/>
    <w:rsid w:val="00A259F9"/>
    <w:rsid w:val="00A26C10"/>
    <w:rsid w:val="00A27037"/>
    <w:rsid w:val="00A27D6E"/>
    <w:rsid w:val="00A30E68"/>
    <w:rsid w:val="00A31933"/>
    <w:rsid w:val="00A31C11"/>
    <w:rsid w:val="00A329D2"/>
    <w:rsid w:val="00A33F69"/>
    <w:rsid w:val="00A34AA0"/>
    <w:rsid w:val="00A34B5B"/>
    <w:rsid w:val="00A34EA7"/>
    <w:rsid w:val="00A36E90"/>
    <w:rsid w:val="00A3715C"/>
    <w:rsid w:val="00A379AD"/>
    <w:rsid w:val="00A37D88"/>
    <w:rsid w:val="00A400ED"/>
    <w:rsid w:val="00A402E3"/>
    <w:rsid w:val="00A40C54"/>
    <w:rsid w:val="00A4194A"/>
    <w:rsid w:val="00A41FE2"/>
    <w:rsid w:val="00A44207"/>
    <w:rsid w:val="00A4500C"/>
    <w:rsid w:val="00A46160"/>
    <w:rsid w:val="00A469DE"/>
    <w:rsid w:val="00A46FEF"/>
    <w:rsid w:val="00A47948"/>
    <w:rsid w:val="00A50402"/>
    <w:rsid w:val="00A50CF6"/>
    <w:rsid w:val="00A527AE"/>
    <w:rsid w:val="00A52B45"/>
    <w:rsid w:val="00A53376"/>
    <w:rsid w:val="00A5410D"/>
    <w:rsid w:val="00A54E87"/>
    <w:rsid w:val="00A5543F"/>
    <w:rsid w:val="00A5567B"/>
    <w:rsid w:val="00A56946"/>
    <w:rsid w:val="00A573FF"/>
    <w:rsid w:val="00A60103"/>
    <w:rsid w:val="00A6054D"/>
    <w:rsid w:val="00A614F8"/>
    <w:rsid w:val="00A6170E"/>
    <w:rsid w:val="00A6376C"/>
    <w:rsid w:val="00A63B8C"/>
    <w:rsid w:val="00A65012"/>
    <w:rsid w:val="00A665B0"/>
    <w:rsid w:val="00A6726A"/>
    <w:rsid w:val="00A67749"/>
    <w:rsid w:val="00A67880"/>
    <w:rsid w:val="00A70102"/>
    <w:rsid w:val="00A715DF"/>
    <w:rsid w:val="00A715F8"/>
    <w:rsid w:val="00A7183B"/>
    <w:rsid w:val="00A75967"/>
    <w:rsid w:val="00A776C8"/>
    <w:rsid w:val="00A77F6F"/>
    <w:rsid w:val="00A82967"/>
    <w:rsid w:val="00A82DA1"/>
    <w:rsid w:val="00A831FD"/>
    <w:rsid w:val="00A83352"/>
    <w:rsid w:val="00A850A2"/>
    <w:rsid w:val="00A85A00"/>
    <w:rsid w:val="00A86194"/>
    <w:rsid w:val="00A86EA1"/>
    <w:rsid w:val="00A86F36"/>
    <w:rsid w:val="00A90880"/>
    <w:rsid w:val="00A90E07"/>
    <w:rsid w:val="00A91869"/>
    <w:rsid w:val="00A918F5"/>
    <w:rsid w:val="00A91FA3"/>
    <w:rsid w:val="00A927D3"/>
    <w:rsid w:val="00A92ABD"/>
    <w:rsid w:val="00A95CA5"/>
    <w:rsid w:val="00A9621B"/>
    <w:rsid w:val="00A962D2"/>
    <w:rsid w:val="00A970CC"/>
    <w:rsid w:val="00A971DD"/>
    <w:rsid w:val="00A97769"/>
    <w:rsid w:val="00A97E81"/>
    <w:rsid w:val="00AA1D21"/>
    <w:rsid w:val="00AA2628"/>
    <w:rsid w:val="00AA37A4"/>
    <w:rsid w:val="00AA3A75"/>
    <w:rsid w:val="00AA3D80"/>
    <w:rsid w:val="00AA3DCD"/>
    <w:rsid w:val="00AA4795"/>
    <w:rsid w:val="00AA5664"/>
    <w:rsid w:val="00AA5851"/>
    <w:rsid w:val="00AA631A"/>
    <w:rsid w:val="00AA64A0"/>
    <w:rsid w:val="00AA6775"/>
    <w:rsid w:val="00AA6A76"/>
    <w:rsid w:val="00AA7424"/>
    <w:rsid w:val="00AA74A8"/>
    <w:rsid w:val="00AA7A5B"/>
    <w:rsid w:val="00AA7AE8"/>
    <w:rsid w:val="00AA7F74"/>
    <w:rsid w:val="00AA7FC9"/>
    <w:rsid w:val="00AB02CD"/>
    <w:rsid w:val="00AB2342"/>
    <w:rsid w:val="00AB237D"/>
    <w:rsid w:val="00AB2EDC"/>
    <w:rsid w:val="00AB320E"/>
    <w:rsid w:val="00AB37ED"/>
    <w:rsid w:val="00AB399D"/>
    <w:rsid w:val="00AB4C24"/>
    <w:rsid w:val="00AB5694"/>
    <w:rsid w:val="00AB582C"/>
    <w:rsid w:val="00AB5933"/>
    <w:rsid w:val="00AB5C84"/>
    <w:rsid w:val="00AB6CFA"/>
    <w:rsid w:val="00AB7694"/>
    <w:rsid w:val="00AB78E9"/>
    <w:rsid w:val="00AC0844"/>
    <w:rsid w:val="00AC1FF1"/>
    <w:rsid w:val="00AC2096"/>
    <w:rsid w:val="00AC23B1"/>
    <w:rsid w:val="00AC7405"/>
    <w:rsid w:val="00AC7759"/>
    <w:rsid w:val="00AD0292"/>
    <w:rsid w:val="00AD2066"/>
    <w:rsid w:val="00AD219E"/>
    <w:rsid w:val="00AD23C4"/>
    <w:rsid w:val="00AD5C35"/>
    <w:rsid w:val="00AD6334"/>
    <w:rsid w:val="00AD6C79"/>
    <w:rsid w:val="00AE013D"/>
    <w:rsid w:val="00AE05F7"/>
    <w:rsid w:val="00AE11B7"/>
    <w:rsid w:val="00AE2B0C"/>
    <w:rsid w:val="00AE364E"/>
    <w:rsid w:val="00AE3750"/>
    <w:rsid w:val="00AE4AE9"/>
    <w:rsid w:val="00AE5954"/>
    <w:rsid w:val="00AE6B91"/>
    <w:rsid w:val="00AE75C9"/>
    <w:rsid w:val="00AE7673"/>
    <w:rsid w:val="00AE7884"/>
    <w:rsid w:val="00AE7910"/>
    <w:rsid w:val="00AE7F68"/>
    <w:rsid w:val="00AF089C"/>
    <w:rsid w:val="00AF10BD"/>
    <w:rsid w:val="00AF14EE"/>
    <w:rsid w:val="00AF2321"/>
    <w:rsid w:val="00AF29FC"/>
    <w:rsid w:val="00AF3784"/>
    <w:rsid w:val="00AF48F3"/>
    <w:rsid w:val="00AF493A"/>
    <w:rsid w:val="00AF52F6"/>
    <w:rsid w:val="00AF54A8"/>
    <w:rsid w:val="00AF56D7"/>
    <w:rsid w:val="00AF7237"/>
    <w:rsid w:val="00AF72F2"/>
    <w:rsid w:val="00B003D2"/>
    <w:rsid w:val="00B0043A"/>
    <w:rsid w:val="00B00D75"/>
    <w:rsid w:val="00B01212"/>
    <w:rsid w:val="00B0158D"/>
    <w:rsid w:val="00B01807"/>
    <w:rsid w:val="00B04310"/>
    <w:rsid w:val="00B04649"/>
    <w:rsid w:val="00B06299"/>
    <w:rsid w:val="00B0633F"/>
    <w:rsid w:val="00B06C52"/>
    <w:rsid w:val="00B070CB"/>
    <w:rsid w:val="00B07217"/>
    <w:rsid w:val="00B0735E"/>
    <w:rsid w:val="00B10189"/>
    <w:rsid w:val="00B1091C"/>
    <w:rsid w:val="00B12008"/>
    <w:rsid w:val="00B12456"/>
    <w:rsid w:val="00B12CB9"/>
    <w:rsid w:val="00B13515"/>
    <w:rsid w:val="00B145F0"/>
    <w:rsid w:val="00B162FD"/>
    <w:rsid w:val="00B16FA3"/>
    <w:rsid w:val="00B17EF2"/>
    <w:rsid w:val="00B17F46"/>
    <w:rsid w:val="00B200ED"/>
    <w:rsid w:val="00B20AD0"/>
    <w:rsid w:val="00B21184"/>
    <w:rsid w:val="00B2127C"/>
    <w:rsid w:val="00B21F2C"/>
    <w:rsid w:val="00B21FE3"/>
    <w:rsid w:val="00B229AF"/>
    <w:rsid w:val="00B22E5F"/>
    <w:rsid w:val="00B23B5A"/>
    <w:rsid w:val="00B24921"/>
    <w:rsid w:val="00B24FD5"/>
    <w:rsid w:val="00B259C8"/>
    <w:rsid w:val="00B25AE6"/>
    <w:rsid w:val="00B26CCF"/>
    <w:rsid w:val="00B26CDF"/>
    <w:rsid w:val="00B301E0"/>
    <w:rsid w:val="00B3021A"/>
    <w:rsid w:val="00B3042E"/>
    <w:rsid w:val="00B30D75"/>
    <w:rsid w:val="00B30FC2"/>
    <w:rsid w:val="00B3121C"/>
    <w:rsid w:val="00B32AD0"/>
    <w:rsid w:val="00B32B72"/>
    <w:rsid w:val="00B331A2"/>
    <w:rsid w:val="00B332E0"/>
    <w:rsid w:val="00B339D9"/>
    <w:rsid w:val="00B3426C"/>
    <w:rsid w:val="00B35CA6"/>
    <w:rsid w:val="00B36159"/>
    <w:rsid w:val="00B36316"/>
    <w:rsid w:val="00B36BC5"/>
    <w:rsid w:val="00B36F8D"/>
    <w:rsid w:val="00B37611"/>
    <w:rsid w:val="00B415D2"/>
    <w:rsid w:val="00B41AD7"/>
    <w:rsid w:val="00B425F0"/>
    <w:rsid w:val="00B42C4F"/>
    <w:rsid w:val="00B42DFA"/>
    <w:rsid w:val="00B42F52"/>
    <w:rsid w:val="00B44DA9"/>
    <w:rsid w:val="00B45664"/>
    <w:rsid w:val="00B46DEC"/>
    <w:rsid w:val="00B50ABF"/>
    <w:rsid w:val="00B51006"/>
    <w:rsid w:val="00B52319"/>
    <w:rsid w:val="00B52C4D"/>
    <w:rsid w:val="00B531DD"/>
    <w:rsid w:val="00B5355E"/>
    <w:rsid w:val="00B53ABC"/>
    <w:rsid w:val="00B53B46"/>
    <w:rsid w:val="00B53C38"/>
    <w:rsid w:val="00B53EEB"/>
    <w:rsid w:val="00B5454F"/>
    <w:rsid w:val="00B549BA"/>
    <w:rsid w:val="00B55014"/>
    <w:rsid w:val="00B56093"/>
    <w:rsid w:val="00B566A8"/>
    <w:rsid w:val="00B57800"/>
    <w:rsid w:val="00B57B05"/>
    <w:rsid w:val="00B60438"/>
    <w:rsid w:val="00B61AAD"/>
    <w:rsid w:val="00B61EDE"/>
    <w:rsid w:val="00B62232"/>
    <w:rsid w:val="00B62B0C"/>
    <w:rsid w:val="00B636D4"/>
    <w:rsid w:val="00B637B2"/>
    <w:rsid w:val="00B642A2"/>
    <w:rsid w:val="00B6511E"/>
    <w:rsid w:val="00B65422"/>
    <w:rsid w:val="00B65979"/>
    <w:rsid w:val="00B662EC"/>
    <w:rsid w:val="00B666FF"/>
    <w:rsid w:val="00B678CE"/>
    <w:rsid w:val="00B70066"/>
    <w:rsid w:val="00B70586"/>
    <w:rsid w:val="00B70BF3"/>
    <w:rsid w:val="00B71DC2"/>
    <w:rsid w:val="00B724CB"/>
    <w:rsid w:val="00B73FEB"/>
    <w:rsid w:val="00B74FBE"/>
    <w:rsid w:val="00B754EB"/>
    <w:rsid w:val="00B75C33"/>
    <w:rsid w:val="00B7786D"/>
    <w:rsid w:val="00B77A15"/>
    <w:rsid w:val="00B80E8A"/>
    <w:rsid w:val="00B824BA"/>
    <w:rsid w:val="00B828FE"/>
    <w:rsid w:val="00B829C7"/>
    <w:rsid w:val="00B83A6C"/>
    <w:rsid w:val="00B84187"/>
    <w:rsid w:val="00B863A8"/>
    <w:rsid w:val="00B8663A"/>
    <w:rsid w:val="00B90AC5"/>
    <w:rsid w:val="00B91CFC"/>
    <w:rsid w:val="00B922DC"/>
    <w:rsid w:val="00B92936"/>
    <w:rsid w:val="00B93594"/>
    <w:rsid w:val="00B93893"/>
    <w:rsid w:val="00B942C5"/>
    <w:rsid w:val="00B943EA"/>
    <w:rsid w:val="00B95E57"/>
    <w:rsid w:val="00B9631E"/>
    <w:rsid w:val="00B96488"/>
    <w:rsid w:val="00BA084D"/>
    <w:rsid w:val="00BA1027"/>
    <w:rsid w:val="00BA136D"/>
    <w:rsid w:val="00BA1397"/>
    <w:rsid w:val="00BA1C28"/>
    <w:rsid w:val="00BA299C"/>
    <w:rsid w:val="00BA2B1D"/>
    <w:rsid w:val="00BA2D92"/>
    <w:rsid w:val="00BA3116"/>
    <w:rsid w:val="00BA48D3"/>
    <w:rsid w:val="00BA5778"/>
    <w:rsid w:val="00BA6243"/>
    <w:rsid w:val="00BA772E"/>
    <w:rsid w:val="00BA7E0A"/>
    <w:rsid w:val="00BB0D13"/>
    <w:rsid w:val="00BB0FBB"/>
    <w:rsid w:val="00BB1D6E"/>
    <w:rsid w:val="00BB2B82"/>
    <w:rsid w:val="00BB450A"/>
    <w:rsid w:val="00BB47C3"/>
    <w:rsid w:val="00BB49D5"/>
    <w:rsid w:val="00BB4E59"/>
    <w:rsid w:val="00BB54E6"/>
    <w:rsid w:val="00BB574A"/>
    <w:rsid w:val="00BB6109"/>
    <w:rsid w:val="00BB6BF1"/>
    <w:rsid w:val="00BB6DC1"/>
    <w:rsid w:val="00BC211F"/>
    <w:rsid w:val="00BC234C"/>
    <w:rsid w:val="00BC3240"/>
    <w:rsid w:val="00BC33DF"/>
    <w:rsid w:val="00BC3B53"/>
    <w:rsid w:val="00BC3B96"/>
    <w:rsid w:val="00BC42C6"/>
    <w:rsid w:val="00BC4AE3"/>
    <w:rsid w:val="00BC4FBC"/>
    <w:rsid w:val="00BC5B28"/>
    <w:rsid w:val="00BC649C"/>
    <w:rsid w:val="00BC73BE"/>
    <w:rsid w:val="00BC7B34"/>
    <w:rsid w:val="00BD09A8"/>
    <w:rsid w:val="00BD1081"/>
    <w:rsid w:val="00BD1955"/>
    <w:rsid w:val="00BD1A89"/>
    <w:rsid w:val="00BD1AE9"/>
    <w:rsid w:val="00BD20A8"/>
    <w:rsid w:val="00BD2370"/>
    <w:rsid w:val="00BD2F12"/>
    <w:rsid w:val="00BD3C26"/>
    <w:rsid w:val="00BD40CF"/>
    <w:rsid w:val="00BD415B"/>
    <w:rsid w:val="00BD4ABC"/>
    <w:rsid w:val="00BD4F5A"/>
    <w:rsid w:val="00BD67F7"/>
    <w:rsid w:val="00BD6CCB"/>
    <w:rsid w:val="00BD79C2"/>
    <w:rsid w:val="00BD7B62"/>
    <w:rsid w:val="00BE1172"/>
    <w:rsid w:val="00BE271C"/>
    <w:rsid w:val="00BE3F88"/>
    <w:rsid w:val="00BE43BF"/>
    <w:rsid w:val="00BE4756"/>
    <w:rsid w:val="00BE4A0D"/>
    <w:rsid w:val="00BE4E19"/>
    <w:rsid w:val="00BE4F85"/>
    <w:rsid w:val="00BE567D"/>
    <w:rsid w:val="00BE5ED9"/>
    <w:rsid w:val="00BE796C"/>
    <w:rsid w:val="00BE7B41"/>
    <w:rsid w:val="00BF011D"/>
    <w:rsid w:val="00BF32ED"/>
    <w:rsid w:val="00BF3BFA"/>
    <w:rsid w:val="00BF3CB9"/>
    <w:rsid w:val="00BF4103"/>
    <w:rsid w:val="00BF49F8"/>
    <w:rsid w:val="00BF5388"/>
    <w:rsid w:val="00BF74F2"/>
    <w:rsid w:val="00BF7DDE"/>
    <w:rsid w:val="00BF7EBB"/>
    <w:rsid w:val="00C00EE2"/>
    <w:rsid w:val="00C013B8"/>
    <w:rsid w:val="00C01D59"/>
    <w:rsid w:val="00C04154"/>
    <w:rsid w:val="00C0523E"/>
    <w:rsid w:val="00C05E58"/>
    <w:rsid w:val="00C072EF"/>
    <w:rsid w:val="00C074C1"/>
    <w:rsid w:val="00C07E69"/>
    <w:rsid w:val="00C1165C"/>
    <w:rsid w:val="00C11BC5"/>
    <w:rsid w:val="00C13FD3"/>
    <w:rsid w:val="00C14692"/>
    <w:rsid w:val="00C15148"/>
    <w:rsid w:val="00C15A91"/>
    <w:rsid w:val="00C160EB"/>
    <w:rsid w:val="00C16385"/>
    <w:rsid w:val="00C164A4"/>
    <w:rsid w:val="00C17584"/>
    <w:rsid w:val="00C206F1"/>
    <w:rsid w:val="00C20FCE"/>
    <w:rsid w:val="00C21558"/>
    <w:rsid w:val="00C217E1"/>
    <w:rsid w:val="00C219B1"/>
    <w:rsid w:val="00C21EB6"/>
    <w:rsid w:val="00C232D8"/>
    <w:rsid w:val="00C23E17"/>
    <w:rsid w:val="00C24226"/>
    <w:rsid w:val="00C247CB"/>
    <w:rsid w:val="00C248BD"/>
    <w:rsid w:val="00C24B38"/>
    <w:rsid w:val="00C2634C"/>
    <w:rsid w:val="00C26794"/>
    <w:rsid w:val="00C27A94"/>
    <w:rsid w:val="00C3010E"/>
    <w:rsid w:val="00C30769"/>
    <w:rsid w:val="00C30D41"/>
    <w:rsid w:val="00C31FF9"/>
    <w:rsid w:val="00C32062"/>
    <w:rsid w:val="00C32E73"/>
    <w:rsid w:val="00C343DE"/>
    <w:rsid w:val="00C359EC"/>
    <w:rsid w:val="00C364F2"/>
    <w:rsid w:val="00C372C3"/>
    <w:rsid w:val="00C37826"/>
    <w:rsid w:val="00C4015B"/>
    <w:rsid w:val="00C40268"/>
    <w:rsid w:val="00C40A3B"/>
    <w:rsid w:val="00C40C60"/>
    <w:rsid w:val="00C416BA"/>
    <w:rsid w:val="00C43B0A"/>
    <w:rsid w:val="00C44408"/>
    <w:rsid w:val="00C44DD1"/>
    <w:rsid w:val="00C45165"/>
    <w:rsid w:val="00C4675D"/>
    <w:rsid w:val="00C46F69"/>
    <w:rsid w:val="00C47A20"/>
    <w:rsid w:val="00C47E14"/>
    <w:rsid w:val="00C502DC"/>
    <w:rsid w:val="00C5094E"/>
    <w:rsid w:val="00C50FA1"/>
    <w:rsid w:val="00C52001"/>
    <w:rsid w:val="00C5258E"/>
    <w:rsid w:val="00C53023"/>
    <w:rsid w:val="00C530C9"/>
    <w:rsid w:val="00C54A25"/>
    <w:rsid w:val="00C55E02"/>
    <w:rsid w:val="00C57941"/>
    <w:rsid w:val="00C579AD"/>
    <w:rsid w:val="00C57AE0"/>
    <w:rsid w:val="00C57D1A"/>
    <w:rsid w:val="00C60EEB"/>
    <w:rsid w:val="00C619A7"/>
    <w:rsid w:val="00C62234"/>
    <w:rsid w:val="00C628C8"/>
    <w:rsid w:val="00C644CD"/>
    <w:rsid w:val="00C64EE4"/>
    <w:rsid w:val="00C66D59"/>
    <w:rsid w:val="00C67316"/>
    <w:rsid w:val="00C67421"/>
    <w:rsid w:val="00C7072E"/>
    <w:rsid w:val="00C715EB"/>
    <w:rsid w:val="00C7160F"/>
    <w:rsid w:val="00C71A0F"/>
    <w:rsid w:val="00C724CE"/>
    <w:rsid w:val="00C72A26"/>
    <w:rsid w:val="00C73D5F"/>
    <w:rsid w:val="00C74EF1"/>
    <w:rsid w:val="00C759F7"/>
    <w:rsid w:val="00C766E4"/>
    <w:rsid w:val="00C77198"/>
    <w:rsid w:val="00C778CD"/>
    <w:rsid w:val="00C77942"/>
    <w:rsid w:val="00C80455"/>
    <w:rsid w:val="00C8175F"/>
    <w:rsid w:val="00C81C12"/>
    <w:rsid w:val="00C82AFE"/>
    <w:rsid w:val="00C82E36"/>
    <w:rsid w:val="00C83C46"/>
    <w:rsid w:val="00C83DBC"/>
    <w:rsid w:val="00C83EAD"/>
    <w:rsid w:val="00C84986"/>
    <w:rsid w:val="00C854BC"/>
    <w:rsid w:val="00C857E4"/>
    <w:rsid w:val="00C85A66"/>
    <w:rsid w:val="00C868C8"/>
    <w:rsid w:val="00C87296"/>
    <w:rsid w:val="00C91211"/>
    <w:rsid w:val="00C9150D"/>
    <w:rsid w:val="00C91CE4"/>
    <w:rsid w:val="00C9288F"/>
    <w:rsid w:val="00C9300F"/>
    <w:rsid w:val="00C93159"/>
    <w:rsid w:val="00C94537"/>
    <w:rsid w:val="00C951CE"/>
    <w:rsid w:val="00C95227"/>
    <w:rsid w:val="00C9606E"/>
    <w:rsid w:val="00C96AD1"/>
    <w:rsid w:val="00C97C80"/>
    <w:rsid w:val="00C97E76"/>
    <w:rsid w:val="00CA07B7"/>
    <w:rsid w:val="00CA128B"/>
    <w:rsid w:val="00CA2EAF"/>
    <w:rsid w:val="00CA3021"/>
    <w:rsid w:val="00CA317F"/>
    <w:rsid w:val="00CA32DF"/>
    <w:rsid w:val="00CA3C49"/>
    <w:rsid w:val="00CA47D3"/>
    <w:rsid w:val="00CA6533"/>
    <w:rsid w:val="00CA653B"/>
    <w:rsid w:val="00CA68FE"/>
    <w:rsid w:val="00CA6A25"/>
    <w:rsid w:val="00CA6A3F"/>
    <w:rsid w:val="00CA761D"/>
    <w:rsid w:val="00CA7C99"/>
    <w:rsid w:val="00CA7DDD"/>
    <w:rsid w:val="00CB0BAA"/>
    <w:rsid w:val="00CB3807"/>
    <w:rsid w:val="00CB45DA"/>
    <w:rsid w:val="00CB45DE"/>
    <w:rsid w:val="00CB546F"/>
    <w:rsid w:val="00CB618C"/>
    <w:rsid w:val="00CB61AB"/>
    <w:rsid w:val="00CB75EB"/>
    <w:rsid w:val="00CB7C1B"/>
    <w:rsid w:val="00CC25A5"/>
    <w:rsid w:val="00CC2B6C"/>
    <w:rsid w:val="00CC45DD"/>
    <w:rsid w:val="00CC4C46"/>
    <w:rsid w:val="00CC56EC"/>
    <w:rsid w:val="00CC5961"/>
    <w:rsid w:val="00CC5FBF"/>
    <w:rsid w:val="00CC6290"/>
    <w:rsid w:val="00CC65BD"/>
    <w:rsid w:val="00CC684A"/>
    <w:rsid w:val="00CC765D"/>
    <w:rsid w:val="00CC7B59"/>
    <w:rsid w:val="00CD233D"/>
    <w:rsid w:val="00CD23F4"/>
    <w:rsid w:val="00CD3499"/>
    <w:rsid w:val="00CD362D"/>
    <w:rsid w:val="00CD4577"/>
    <w:rsid w:val="00CD50EE"/>
    <w:rsid w:val="00CD53E9"/>
    <w:rsid w:val="00CD589F"/>
    <w:rsid w:val="00CD5F2F"/>
    <w:rsid w:val="00CD7AA5"/>
    <w:rsid w:val="00CD7B2D"/>
    <w:rsid w:val="00CD7CBD"/>
    <w:rsid w:val="00CE0BC2"/>
    <w:rsid w:val="00CE101D"/>
    <w:rsid w:val="00CE1057"/>
    <w:rsid w:val="00CE176F"/>
    <w:rsid w:val="00CE1814"/>
    <w:rsid w:val="00CE186C"/>
    <w:rsid w:val="00CE1A95"/>
    <w:rsid w:val="00CE1C84"/>
    <w:rsid w:val="00CE1E14"/>
    <w:rsid w:val="00CE3550"/>
    <w:rsid w:val="00CE357A"/>
    <w:rsid w:val="00CE3646"/>
    <w:rsid w:val="00CE4365"/>
    <w:rsid w:val="00CE5055"/>
    <w:rsid w:val="00CE587D"/>
    <w:rsid w:val="00CE5FE1"/>
    <w:rsid w:val="00CE63D1"/>
    <w:rsid w:val="00CF053F"/>
    <w:rsid w:val="00CF08C0"/>
    <w:rsid w:val="00CF1199"/>
    <w:rsid w:val="00CF1A17"/>
    <w:rsid w:val="00CF1B30"/>
    <w:rsid w:val="00CF29B7"/>
    <w:rsid w:val="00CF4A1C"/>
    <w:rsid w:val="00CF4D0F"/>
    <w:rsid w:val="00CF5375"/>
    <w:rsid w:val="00CF6627"/>
    <w:rsid w:val="00CF6B67"/>
    <w:rsid w:val="00CF6FFA"/>
    <w:rsid w:val="00CF71AB"/>
    <w:rsid w:val="00CF73F6"/>
    <w:rsid w:val="00CF7E9D"/>
    <w:rsid w:val="00D009B7"/>
    <w:rsid w:val="00D00C2F"/>
    <w:rsid w:val="00D00C87"/>
    <w:rsid w:val="00D0153C"/>
    <w:rsid w:val="00D0375A"/>
    <w:rsid w:val="00D04977"/>
    <w:rsid w:val="00D0609E"/>
    <w:rsid w:val="00D06A5F"/>
    <w:rsid w:val="00D072F8"/>
    <w:rsid w:val="00D0769F"/>
    <w:rsid w:val="00D078E1"/>
    <w:rsid w:val="00D100E9"/>
    <w:rsid w:val="00D1029D"/>
    <w:rsid w:val="00D119D8"/>
    <w:rsid w:val="00D12D92"/>
    <w:rsid w:val="00D132FC"/>
    <w:rsid w:val="00D13819"/>
    <w:rsid w:val="00D1476D"/>
    <w:rsid w:val="00D15779"/>
    <w:rsid w:val="00D15A17"/>
    <w:rsid w:val="00D15B6B"/>
    <w:rsid w:val="00D17341"/>
    <w:rsid w:val="00D17402"/>
    <w:rsid w:val="00D17942"/>
    <w:rsid w:val="00D20D3C"/>
    <w:rsid w:val="00D21037"/>
    <w:rsid w:val="00D21E4B"/>
    <w:rsid w:val="00D22441"/>
    <w:rsid w:val="00D22CFA"/>
    <w:rsid w:val="00D2303D"/>
    <w:rsid w:val="00D233D9"/>
    <w:rsid w:val="00D23522"/>
    <w:rsid w:val="00D23A2D"/>
    <w:rsid w:val="00D242CB"/>
    <w:rsid w:val="00D25A87"/>
    <w:rsid w:val="00D25E21"/>
    <w:rsid w:val="00D264D6"/>
    <w:rsid w:val="00D26731"/>
    <w:rsid w:val="00D30164"/>
    <w:rsid w:val="00D31BA1"/>
    <w:rsid w:val="00D31F5B"/>
    <w:rsid w:val="00D3322F"/>
    <w:rsid w:val="00D33BF0"/>
    <w:rsid w:val="00D33DE0"/>
    <w:rsid w:val="00D347F7"/>
    <w:rsid w:val="00D34B4C"/>
    <w:rsid w:val="00D35297"/>
    <w:rsid w:val="00D36447"/>
    <w:rsid w:val="00D36A5D"/>
    <w:rsid w:val="00D37E73"/>
    <w:rsid w:val="00D41FB2"/>
    <w:rsid w:val="00D435B1"/>
    <w:rsid w:val="00D46315"/>
    <w:rsid w:val="00D46612"/>
    <w:rsid w:val="00D46CE4"/>
    <w:rsid w:val="00D4763E"/>
    <w:rsid w:val="00D50718"/>
    <w:rsid w:val="00D5100C"/>
    <w:rsid w:val="00D516BE"/>
    <w:rsid w:val="00D517E1"/>
    <w:rsid w:val="00D52876"/>
    <w:rsid w:val="00D5299E"/>
    <w:rsid w:val="00D541FC"/>
    <w:rsid w:val="00D5423B"/>
    <w:rsid w:val="00D54E6A"/>
    <w:rsid w:val="00D54F4E"/>
    <w:rsid w:val="00D557EB"/>
    <w:rsid w:val="00D57A56"/>
    <w:rsid w:val="00D57C43"/>
    <w:rsid w:val="00D57DD4"/>
    <w:rsid w:val="00D60163"/>
    <w:rsid w:val="00D60297"/>
    <w:rsid w:val="00D604B3"/>
    <w:rsid w:val="00D60611"/>
    <w:rsid w:val="00D608E4"/>
    <w:rsid w:val="00D60BA4"/>
    <w:rsid w:val="00D610CB"/>
    <w:rsid w:val="00D61AE8"/>
    <w:rsid w:val="00D62419"/>
    <w:rsid w:val="00D627ED"/>
    <w:rsid w:val="00D64714"/>
    <w:rsid w:val="00D64BD8"/>
    <w:rsid w:val="00D64E4C"/>
    <w:rsid w:val="00D64E6C"/>
    <w:rsid w:val="00D65C60"/>
    <w:rsid w:val="00D65F37"/>
    <w:rsid w:val="00D66FC0"/>
    <w:rsid w:val="00D7039C"/>
    <w:rsid w:val="00D70D51"/>
    <w:rsid w:val="00D71182"/>
    <w:rsid w:val="00D71319"/>
    <w:rsid w:val="00D71FA5"/>
    <w:rsid w:val="00D73BBA"/>
    <w:rsid w:val="00D742DC"/>
    <w:rsid w:val="00D75774"/>
    <w:rsid w:val="00D76333"/>
    <w:rsid w:val="00D768CD"/>
    <w:rsid w:val="00D77870"/>
    <w:rsid w:val="00D80766"/>
    <w:rsid w:val="00D80977"/>
    <w:rsid w:val="00D80CCE"/>
    <w:rsid w:val="00D8161E"/>
    <w:rsid w:val="00D82B15"/>
    <w:rsid w:val="00D8357A"/>
    <w:rsid w:val="00D84CB1"/>
    <w:rsid w:val="00D85189"/>
    <w:rsid w:val="00D86203"/>
    <w:rsid w:val="00D864B0"/>
    <w:rsid w:val="00D86B8A"/>
    <w:rsid w:val="00D86EEA"/>
    <w:rsid w:val="00D87195"/>
    <w:rsid w:val="00D87815"/>
    <w:rsid w:val="00D87D03"/>
    <w:rsid w:val="00D87D1E"/>
    <w:rsid w:val="00D87D26"/>
    <w:rsid w:val="00D9028E"/>
    <w:rsid w:val="00D912F9"/>
    <w:rsid w:val="00D9194B"/>
    <w:rsid w:val="00D926F1"/>
    <w:rsid w:val="00D9360B"/>
    <w:rsid w:val="00D95416"/>
    <w:rsid w:val="00D95C88"/>
    <w:rsid w:val="00D97B2E"/>
    <w:rsid w:val="00DA016A"/>
    <w:rsid w:val="00DA1EB1"/>
    <w:rsid w:val="00DA213E"/>
    <w:rsid w:val="00DA219F"/>
    <w:rsid w:val="00DA241E"/>
    <w:rsid w:val="00DA3061"/>
    <w:rsid w:val="00DA43C4"/>
    <w:rsid w:val="00DA4B4B"/>
    <w:rsid w:val="00DA5248"/>
    <w:rsid w:val="00DA5D81"/>
    <w:rsid w:val="00DA5F5F"/>
    <w:rsid w:val="00DA7232"/>
    <w:rsid w:val="00DA75DA"/>
    <w:rsid w:val="00DA7F41"/>
    <w:rsid w:val="00DB0D22"/>
    <w:rsid w:val="00DB1F46"/>
    <w:rsid w:val="00DB2826"/>
    <w:rsid w:val="00DB28B1"/>
    <w:rsid w:val="00DB2AE1"/>
    <w:rsid w:val="00DB36FE"/>
    <w:rsid w:val="00DB3756"/>
    <w:rsid w:val="00DB489C"/>
    <w:rsid w:val="00DB533A"/>
    <w:rsid w:val="00DB60A5"/>
    <w:rsid w:val="00DB60AE"/>
    <w:rsid w:val="00DB6307"/>
    <w:rsid w:val="00DB771C"/>
    <w:rsid w:val="00DC15D6"/>
    <w:rsid w:val="00DC4D36"/>
    <w:rsid w:val="00DD053E"/>
    <w:rsid w:val="00DD0C95"/>
    <w:rsid w:val="00DD1DCD"/>
    <w:rsid w:val="00DD3061"/>
    <w:rsid w:val="00DD3204"/>
    <w:rsid w:val="00DD338F"/>
    <w:rsid w:val="00DD3481"/>
    <w:rsid w:val="00DD400A"/>
    <w:rsid w:val="00DD41B2"/>
    <w:rsid w:val="00DD4580"/>
    <w:rsid w:val="00DD66F2"/>
    <w:rsid w:val="00DD6C46"/>
    <w:rsid w:val="00DD70A0"/>
    <w:rsid w:val="00DD7C74"/>
    <w:rsid w:val="00DD7C96"/>
    <w:rsid w:val="00DD7F68"/>
    <w:rsid w:val="00DE0C7A"/>
    <w:rsid w:val="00DE24E6"/>
    <w:rsid w:val="00DE319B"/>
    <w:rsid w:val="00DE3727"/>
    <w:rsid w:val="00DE3D6E"/>
    <w:rsid w:val="00DE3FE0"/>
    <w:rsid w:val="00DE4618"/>
    <w:rsid w:val="00DE5537"/>
    <w:rsid w:val="00DE578A"/>
    <w:rsid w:val="00DF014A"/>
    <w:rsid w:val="00DF0F69"/>
    <w:rsid w:val="00DF1BB9"/>
    <w:rsid w:val="00DF1EC7"/>
    <w:rsid w:val="00DF2583"/>
    <w:rsid w:val="00DF273F"/>
    <w:rsid w:val="00DF54D9"/>
    <w:rsid w:val="00DF67E8"/>
    <w:rsid w:val="00DF6892"/>
    <w:rsid w:val="00DF7178"/>
    <w:rsid w:val="00DF7283"/>
    <w:rsid w:val="00DF72A3"/>
    <w:rsid w:val="00DF786F"/>
    <w:rsid w:val="00DF787B"/>
    <w:rsid w:val="00E00587"/>
    <w:rsid w:val="00E01A59"/>
    <w:rsid w:val="00E02BB0"/>
    <w:rsid w:val="00E0355D"/>
    <w:rsid w:val="00E07A93"/>
    <w:rsid w:val="00E10DC6"/>
    <w:rsid w:val="00E119FC"/>
    <w:rsid w:val="00E11CC7"/>
    <w:rsid w:val="00E11CEC"/>
    <w:rsid w:val="00E11F8E"/>
    <w:rsid w:val="00E1205E"/>
    <w:rsid w:val="00E1471F"/>
    <w:rsid w:val="00E14A90"/>
    <w:rsid w:val="00E150D5"/>
    <w:rsid w:val="00E15881"/>
    <w:rsid w:val="00E16A8F"/>
    <w:rsid w:val="00E16E6E"/>
    <w:rsid w:val="00E20464"/>
    <w:rsid w:val="00E2096A"/>
    <w:rsid w:val="00E21215"/>
    <w:rsid w:val="00E215CA"/>
    <w:rsid w:val="00E21A83"/>
    <w:rsid w:val="00E21DE3"/>
    <w:rsid w:val="00E22671"/>
    <w:rsid w:val="00E22DF0"/>
    <w:rsid w:val="00E2301E"/>
    <w:rsid w:val="00E23A0D"/>
    <w:rsid w:val="00E240E8"/>
    <w:rsid w:val="00E245DA"/>
    <w:rsid w:val="00E24780"/>
    <w:rsid w:val="00E248CE"/>
    <w:rsid w:val="00E24DCD"/>
    <w:rsid w:val="00E25A71"/>
    <w:rsid w:val="00E273C5"/>
    <w:rsid w:val="00E30457"/>
    <w:rsid w:val="00E307D1"/>
    <w:rsid w:val="00E30C3B"/>
    <w:rsid w:val="00E31DCB"/>
    <w:rsid w:val="00E33400"/>
    <w:rsid w:val="00E33924"/>
    <w:rsid w:val="00E34272"/>
    <w:rsid w:val="00E345BA"/>
    <w:rsid w:val="00E36031"/>
    <w:rsid w:val="00E36B1F"/>
    <w:rsid w:val="00E3731D"/>
    <w:rsid w:val="00E37AB0"/>
    <w:rsid w:val="00E37F86"/>
    <w:rsid w:val="00E4143C"/>
    <w:rsid w:val="00E414AB"/>
    <w:rsid w:val="00E41C89"/>
    <w:rsid w:val="00E42872"/>
    <w:rsid w:val="00E44C12"/>
    <w:rsid w:val="00E45071"/>
    <w:rsid w:val="00E46374"/>
    <w:rsid w:val="00E468B3"/>
    <w:rsid w:val="00E4795C"/>
    <w:rsid w:val="00E51469"/>
    <w:rsid w:val="00E51EFD"/>
    <w:rsid w:val="00E53976"/>
    <w:rsid w:val="00E541EA"/>
    <w:rsid w:val="00E543DA"/>
    <w:rsid w:val="00E55374"/>
    <w:rsid w:val="00E55B63"/>
    <w:rsid w:val="00E56A45"/>
    <w:rsid w:val="00E56E86"/>
    <w:rsid w:val="00E571C2"/>
    <w:rsid w:val="00E573A1"/>
    <w:rsid w:val="00E57500"/>
    <w:rsid w:val="00E61799"/>
    <w:rsid w:val="00E61804"/>
    <w:rsid w:val="00E63301"/>
    <w:rsid w:val="00E634E3"/>
    <w:rsid w:val="00E66CB3"/>
    <w:rsid w:val="00E66DEF"/>
    <w:rsid w:val="00E717C4"/>
    <w:rsid w:val="00E71881"/>
    <w:rsid w:val="00E72F3E"/>
    <w:rsid w:val="00E731A0"/>
    <w:rsid w:val="00E73ADF"/>
    <w:rsid w:val="00E73B3B"/>
    <w:rsid w:val="00E741F4"/>
    <w:rsid w:val="00E7583E"/>
    <w:rsid w:val="00E76B49"/>
    <w:rsid w:val="00E777A4"/>
    <w:rsid w:val="00E77E18"/>
    <w:rsid w:val="00E77F89"/>
    <w:rsid w:val="00E80330"/>
    <w:rsid w:val="00E8038C"/>
    <w:rsid w:val="00E806C5"/>
    <w:rsid w:val="00E80E71"/>
    <w:rsid w:val="00E82550"/>
    <w:rsid w:val="00E825E3"/>
    <w:rsid w:val="00E82FF4"/>
    <w:rsid w:val="00E8307F"/>
    <w:rsid w:val="00E833AD"/>
    <w:rsid w:val="00E83698"/>
    <w:rsid w:val="00E839C1"/>
    <w:rsid w:val="00E83C5F"/>
    <w:rsid w:val="00E850D3"/>
    <w:rsid w:val="00E853D6"/>
    <w:rsid w:val="00E8751A"/>
    <w:rsid w:val="00E87603"/>
    <w:rsid w:val="00E876B9"/>
    <w:rsid w:val="00E87AD7"/>
    <w:rsid w:val="00E87EE0"/>
    <w:rsid w:val="00E90AA3"/>
    <w:rsid w:val="00E90B55"/>
    <w:rsid w:val="00E90BEA"/>
    <w:rsid w:val="00E920D4"/>
    <w:rsid w:val="00E939A7"/>
    <w:rsid w:val="00E93AC5"/>
    <w:rsid w:val="00E947B9"/>
    <w:rsid w:val="00E9558B"/>
    <w:rsid w:val="00E96C39"/>
    <w:rsid w:val="00EA0045"/>
    <w:rsid w:val="00EA0F13"/>
    <w:rsid w:val="00EA22E0"/>
    <w:rsid w:val="00EA66EB"/>
    <w:rsid w:val="00EA7291"/>
    <w:rsid w:val="00EB0282"/>
    <w:rsid w:val="00EB0E99"/>
    <w:rsid w:val="00EB165D"/>
    <w:rsid w:val="00EB21A7"/>
    <w:rsid w:val="00EB3150"/>
    <w:rsid w:val="00EB36F3"/>
    <w:rsid w:val="00EB6A86"/>
    <w:rsid w:val="00EB6FF7"/>
    <w:rsid w:val="00EB7E97"/>
    <w:rsid w:val="00EC0184"/>
    <w:rsid w:val="00EC0DFF"/>
    <w:rsid w:val="00EC1516"/>
    <w:rsid w:val="00EC237D"/>
    <w:rsid w:val="00EC2918"/>
    <w:rsid w:val="00EC3B93"/>
    <w:rsid w:val="00EC4D0E"/>
    <w:rsid w:val="00EC4E2B"/>
    <w:rsid w:val="00EC61E5"/>
    <w:rsid w:val="00EC637B"/>
    <w:rsid w:val="00EC76F1"/>
    <w:rsid w:val="00EC7DE0"/>
    <w:rsid w:val="00ED072A"/>
    <w:rsid w:val="00ED1887"/>
    <w:rsid w:val="00ED1A39"/>
    <w:rsid w:val="00ED2EA5"/>
    <w:rsid w:val="00ED313D"/>
    <w:rsid w:val="00ED539E"/>
    <w:rsid w:val="00ED5587"/>
    <w:rsid w:val="00ED6A68"/>
    <w:rsid w:val="00ED6B00"/>
    <w:rsid w:val="00EE0FB9"/>
    <w:rsid w:val="00EE1AD1"/>
    <w:rsid w:val="00EE27CE"/>
    <w:rsid w:val="00EE39F7"/>
    <w:rsid w:val="00EE4472"/>
    <w:rsid w:val="00EE4A1F"/>
    <w:rsid w:val="00EE4C2D"/>
    <w:rsid w:val="00EE51A0"/>
    <w:rsid w:val="00EE58BF"/>
    <w:rsid w:val="00EF0890"/>
    <w:rsid w:val="00EF0CDA"/>
    <w:rsid w:val="00EF1B5A"/>
    <w:rsid w:val="00EF1EE6"/>
    <w:rsid w:val="00EF24FB"/>
    <w:rsid w:val="00EF285F"/>
    <w:rsid w:val="00EF2CCA"/>
    <w:rsid w:val="00EF3934"/>
    <w:rsid w:val="00EF403B"/>
    <w:rsid w:val="00EF481E"/>
    <w:rsid w:val="00EF495B"/>
    <w:rsid w:val="00EF5924"/>
    <w:rsid w:val="00EF60DC"/>
    <w:rsid w:val="00EF6E08"/>
    <w:rsid w:val="00F00F54"/>
    <w:rsid w:val="00F01330"/>
    <w:rsid w:val="00F0161E"/>
    <w:rsid w:val="00F03963"/>
    <w:rsid w:val="00F04952"/>
    <w:rsid w:val="00F054CC"/>
    <w:rsid w:val="00F05EB1"/>
    <w:rsid w:val="00F07448"/>
    <w:rsid w:val="00F07534"/>
    <w:rsid w:val="00F07755"/>
    <w:rsid w:val="00F10216"/>
    <w:rsid w:val="00F1054E"/>
    <w:rsid w:val="00F1073C"/>
    <w:rsid w:val="00F11068"/>
    <w:rsid w:val="00F1256D"/>
    <w:rsid w:val="00F126DA"/>
    <w:rsid w:val="00F13A4E"/>
    <w:rsid w:val="00F13FA1"/>
    <w:rsid w:val="00F14470"/>
    <w:rsid w:val="00F14AE9"/>
    <w:rsid w:val="00F14CE1"/>
    <w:rsid w:val="00F167A5"/>
    <w:rsid w:val="00F16DE1"/>
    <w:rsid w:val="00F170E7"/>
    <w:rsid w:val="00F172BB"/>
    <w:rsid w:val="00F17B10"/>
    <w:rsid w:val="00F20A4F"/>
    <w:rsid w:val="00F2107D"/>
    <w:rsid w:val="00F21893"/>
    <w:rsid w:val="00F21BEF"/>
    <w:rsid w:val="00F223FA"/>
    <w:rsid w:val="00F22FFC"/>
    <w:rsid w:val="00F2315B"/>
    <w:rsid w:val="00F26178"/>
    <w:rsid w:val="00F275F9"/>
    <w:rsid w:val="00F31BE0"/>
    <w:rsid w:val="00F32227"/>
    <w:rsid w:val="00F323ED"/>
    <w:rsid w:val="00F33152"/>
    <w:rsid w:val="00F331EF"/>
    <w:rsid w:val="00F33894"/>
    <w:rsid w:val="00F34824"/>
    <w:rsid w:val="00F34C8A"/>
    <w:rsid w:val="00F34EE8"/>
    <w:rsid w:val="00F3514B"/>
    <w:rsid w:val="00F35C9D"/>
    <w:rsid w:val="00F3677A"/>
    <w:rsid w:val="00F37D10"/>
    <w:rsid w:val="00F4049F"/>
    <w:rsid w:val="00F41440"/>
    <w:rsid w:val="00F414CB"/>
    <w:rsid w:val="00F41A6F"/>
    <w:rsid w:val="00F433EA"/>
    <w:rsid w:val="00F43945"/>
    <w:rsid w:val="00F43B19"/>
    <w:rsid w:val="00F4422E"/>
    <w:rsid w:val="00F44755"/>
    <w:rsid w:val="00F45A25"/>
    <w:rsid w:val="00F47666"/>
    <w:rsid w:val="00F50C2F"/>
    <w:rsid w:val="00F50F86"/>
    <w:rsid w:val="00F510DE"/>
    <w:rsid w:val="00F5160F"/>
    <w:rsid w:val="00F52285"/>
    <w:rsid w:val="00F52EEE"/>
    <w:rsid w:val="00F53B49"/>
    <w:rsid w:val="00F53F91"/>
    <w:rsid w:val="00F5441D"/>
    <w:rsid w:val="00F557A0"/>
    <w:rsid w:val="00F56956"/>
    <w:rsid w:val="00F60FDD"/>
    <w:rsid w:val="00F61569"/>
    <w:rsid w:val="00F61638"/>
    <w:rsid w:val="00F61A72"/>
    <w:rsid w:val="00F62888"/>
    <w:rsid w:val="00F62B67"/>
    <w:rsid w:val="00F63136"/>
    <w:rsid w:val="00F633E4"/>
    <w:rsid w:val="00F63405"/>
    <w:rsid w:val="00F63AC5"/>
    <w:rsid w:val="00F64AFA"/>
    <w:rsid w:val="00F65247"/>
    <w:rsid w:val="00F65EF9"/>
    <w:rsid w:val="00F65FED"/>
    <w:rsid w:val="00F66F13"/>
    <w:rsid w:val="00F677F3"/>
    <w:rsid w:val="00F70B27"/>
    <w:rsid w:val="00F70DA9"/>
    <w:rsid w:val="00F71F3C"/>
    <w:rsid w:val="00F72AC4"/>
    <w:rsid w:val="00F7315E"/>
    <w:rsid w:val="00F7330D"/>
    <w:rsid w:val="00F73629"/>
    <w:rsid w:val="00F74073"/>
    <w:rsid w:val="00F748E6"/>
    <w:rsid w:val="00F75532"/>
    <w:rsid w:val="00F75603"/>
    <w:rsid w:val="00F801CF"/>
    <w:rsid w:val="00F80334"/>
    <w:rsid w:val="00F813B0"/>
    <w:rsid w:val="00F831DC"/>
    <w:rsid w:val="00F83C2C"/>
    <w:rsid w:val="00F83C3B"/>
    <w:rsid w:val="00F84114"/>
    <w:rsid w:val="00F845B4"/>
    <w:rsid w:val="00F84904"/>
    <w:rsid w:val="00F84FF8"/>
    <w:rsid w:val="00F863B8"/>
    <w:rsid w:val="00F86DBC"/>
    <w:rsid w:val="00F8713B"/>
    <w:rsid w:val="00F87503"/>
    <w:rsid w:val="00F876DF"/>
    <w:rsid w:val="00F8784A"/>
    <w:rsid w:val="00F9353A"/>
    <w:rsid w:val="00F93F9E"/>
    <w:rsid w:val="00F978F6"/>
    <w:rsid w:val="00F97F74"/>
    <w:rsid w:val="00FA0002"/>
    <w:rsid w:val="00FA0D78"/>
    <w:rsid w:val="00FA1D36"/>
    <w:rsid w:val="00FA2CA7"/>
    <w:rsid w:val="00FA2CD7"/>
    <w:rsid w:val="00FA3310"/>
    <w:rsid w:val="00FA56E0"/>
    <w:rsid w:val="00FA5FF7"/>
    <w:rsid w:val="00FA75A6"/>
    <w:rsid w:val="00FA7CCD"/>
    <w:rsid w:val="00FB06ED"/>
    <w:rsid w:val="00FB2508"/>
    <w:rsid w:val="00FB284C"/>
    <w:rsid w:val="00FB2861"/>
    <w:rsid w:val="00FB37FE"/>
    <w:rsid w:val="00FB3954"/>
    <w:rsid w:val="00FB548D"/>
    <w:rsid w:val="00FB58DF"/>
    <w:rsid w:val="00FB5B03"/>
    <w:rsid w:val="00FB6E26"/>
    <w:rsid w:val="00FB7021"/>
    <w:rsid w:val="00FB79FC"/>
    <w:rsid w:val="00FC0575"/>
    <w:rsid w:val="00FC08DC"/>
    <w:rsid w:val="00FC2311"/>
    <w:rsid w:val="00FC244E"/>
    <w:rsid w:val="00FC3165"/>
    <w:rsid w:val="00FC36AB"/>
    <w:rsid w:val="00FC3AED"/>
    <w:rsid w:val="00FC3D71"/>
    <w:rsid w:val="00FC4139"/>
    <w:rsid w:val="00FC4300"/>
    <w:rsid w:val="00FC74FF"/>
    <w:rsid w:val="00FC7741"/>
    <w:rsid w:val="00FC7F66"/>
    <w:rsid w:val="00FD0237"/>
    <w:rsid w:val="00FD0827"/>
    <w:rsid w:val="00FD0AC9"/>
    <w:rsid w:val="00FD1C9B"/>
    <w:rsid w:val="00FD2538"/>
    <w:rsid w:val="00FD2683"/>
    <w:rsid w:val="00FD3E93"/>
    <w:rsid w:val="00FD3F85"/>
    <w:rsid w:val="00FD4018"/>
    <w:rsid w:val="00FD5776"/>
    <w:rsid w:val="00FD6A37"/>
    <w:rsid w:val="00FD6E32"/>
    <w:rsid w:val="00FD6F3C"/>
    <w:rsid w:val="00FE00EB"/>
    <w:rsid w:val="00FE0230"/>
    <w:rsid w:val="00FE0A4B"/>
    <w:rsid w:val="00FE1CB6"/>
    <w:rsid w:val="00FE2A80"/>
    <w:rsid w:val="00FE331E"/>
    <w:rsid w:val="00FE486B"/>
    <w:rsid w:val="00FE4954"/>
    <w:rsid w:val="00FE4A19"/>
    <w:rsid w:val="00FE4DD7"/>
    <w:rsid w:val="00FE4F08"/>
    <w:rsid w:val="00FE516F"/>
    <w:rsid w:val="00FE5402"/>
    <w:rsid w:val="00FE5501"/>
    <w:rsid w:val="00FE63CE"/>
    <w:rsid w:val="00FE677B"/>
    <w:rsid w:val="00FE67A2"/>
    <w:rsid w:val="00FE6C30"/>
    <w:rsid w:val="00FF0E6E"/>
    <w:rsid w:val="00FF192E"/>
    <w:rsid w:val="00FF1E47"/>
    <w:rsid w:val="00FF2CED"/>
    <w:rsid w:val="00FF3803"/>
    <w:rsid w:val="00FF3C9C"/>
    <w:rsid w:val="00FF5111"/>
    <w:rsid w:val="00FF5F9E"/>
    <w:rsid w:val="126B6C82"/>
    <w:rsid w:val="1637FA4D"/>
    <w:rsid w:val="1C8333F4"/>
    <w:rsid w:val="22C00E11"/>
    <w:rsid w:val="284A820A"/>
    <w:rsid w:val="28AF8B88"/>
    <w:rsid w:val="2D3F3A58"/>
    <w:rsid w:val="3592FC8E"/>
    <w:rsid w:val="3C52305D"/>
    <w:rsid w:val="411001D7"/>
    <w:rsid w:val="4E71DEB8"/>
    <w:rsid w:val="53C087DF"/>
    <w:rsid w:val="555114ED"/>
    <w:rsid w:val="6B494BA5"/>
    <w:rsid w:val="6F423581"/>
    <w:rsid w:val="7028A8F7"/>
    <w:rsid w:val="724821BC"/>
    <w:rsid w:val="76CBF5DF"/>
    <w:rsid w:val="7C085632"/>
    <w:rsid w:val="7DD89B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6C962"/>
  <w15:docId w15:val="{C4ABF507-908D-46C8-8F1B-9BE86C9C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FE"/>
    <w:pPr>
      <w:spacing w:line="240" w:lineRule="atLeast"/>
    </w:pPr>
    <w:rPr>
      <w:rFonts w:ascii="Verdana" w:hAnsi="Verdana"/>
      <w:sz w:val="18"/>
      <w:szCs w:val="24"/>
      <w:lang w:val="nl-NL" w:eastAsia="nl-NL"/>
    </w:rPr>
  </w:style>
  <w:style w:type="paragraph" w:styleId="Kop1">
    <w:name w:val="heading 1"/>
    <w:basedOn w:val="Standaard"/>
    <w:next w:val="Standaard"/>
    <w:link w:val="Kop1Char"/>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23E9A"/>
    <w:pPr>
      <w:tabs>
        <w:tab w:val="center" w:pos="4536"/>
        <w:tab w:val="right" w:pos="9072"/>
      </w:tabs>
    </w:pPr>
  </w:style>
  <w:style w:type="paragraph" w:styleId="Voettekst">
    <w:name w:val="footer"/>
    <w:basedOn w:val="Standaard"/>
    <w:link w:val="VoettekstChar"/>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uiPriority w:val="99"/>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uiPriority w:val="99"/>
    <w:rsid w:val="000B7FAB"/>
    <w:pPr>
      <w:spacing w:line="180" w:lineRule="exact"/>
    </w:pPr>
    <w:rPr>
      <w:noProof/>
      <w:sz w:val="13"/>
    </w:rPr>
  </w:style>
  <w:style w:type="paragraph" w:customStyle="1" w:styleId="Huisstijl-Kopje">
    <w:name w:val="Huisstijl-Kopje"/>
    <w:basedOn w:val="Huisstijl-Gegeven"/>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uiPriority w:val="99"/>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14"/>
      </w:numPr>
      <w:tabs>
        <w:tab w:val="clear" w:pos="227"/>
        <w:tab w:val="left" w:pos="454"/>
      </w:tabs>
      <w:ind w:left="454" w:hanging="227"/>
    </w:pPr>
    <w:rPr>
      <w:noProof/>
    </w:rPr>
  </w:style>
  <w:style w:type="character" w:customStyle="1" w:styleId="Huisstijl-AdresChar">
    <w:name w:val="Huisstijl-Adres Char"/>
    <w:link w:val="Huisstijl-Adres"/>
    <w:uiPriority w:val="99"/>
    <w:locked/>
    <w:rsid w:val="00E15881"/>
    <w:rPr>
      <w:rFonts w:ascii="Verdana" w:hAnsi="Verdana" w:cs="Verdana"/>
      <w:noProof/>
      <w:sz w:val="13"/>
      <w:szCs w:val="13"/>
      <w:lang w:val="nl-NL" w:eastAsia="nl-NL" w:bidi="ar-SA"/>
    </w:rPr>
  </w:style>
  <w:style w:type="character" w:styleId="Tekstvantijdelijkeaanduiding">
    <w:name w:val="Placeholder Text"/>
    <w:basedOn w:val="Standaardalinea-lettertype"/>
    <w:uiPriority w:val="99"/>
    <w:semiHidden/>
    <w:rsid w:val="00BA1397"/>
    <w:rPr>
      <w:color w:val="808080"/>
    </w:rPr>
  </w:style>
  <w:style w:type="paragraph" w:styleId="Voetnoottekst">
    <w:name w:val="footnote text"/>
    <w:basedOn w:val="Standaard"/>
    <w:link w:val="VoetnoottekstChar"/>
    <w:uiPriority w:val="99"/>
    <w:unhideWhenUsed/>
    <w:rsid w:val="00C82AFE"/>
    <w:pPr>
      <w:spacing w:line="180" w:lineRule="atLeast"/>
    </w:pPr>
    <w:rPr>
      <w:sz w:val="13"/>
      <w:szCs w:val="20"/>
    </w:rPr>
  </w:style>
  <w:style w:type="character" w:customStyle="1" w:styleId="VoetnoottekstChar">
    <w:name w:val="Voetnoottekst Char"/>
    <w:basedOn w:val="Standaardalinea-lettertype"/>
    <w:link w:val="Voetnoottekst"/>
    <w:uiPriority w:val="99"/>
    <w:rsid w:val="00C82AFE"/>
    <w:rPr>
      <w:rFonts w:ascii="Verdana" w:hAnsi="Verdana"/>
      <w:sz w:val="13"/>
      <w:lang w:val="nl-NL" w:eastAsia="nl-NL"/>
    </w:rPr>
  </w:style>
  <w:style w:type="paragraph" w:styleId="Ballontekst">
    <w:name w:val="Balloon Text"/>
    <w:basedOn w:val="Standaard"/>
    <w:link w:val="BallontekstChar"/>
    <w:rsid w:val="004A163B"/>
    <w:pPr>
      <w:spacing w:line="240" w:lineRule="auto"/>
    </w:pPr>
    <w:rPr>
      <w:rFonts w:ascii="Segoe UI" w:hAnsi="Segoe UI" w:cs="Segoe UI"/>
      <w:szCs w:val="18"/>
    </w:rPr>
  </w:style>
  <w:style w:type="character" w:customStyle="1" w:styleId="BallontekstChar">
    <w:name w:val="Ballontekst Char"/>
    <w:basedOn w:val="Standaardalinea-lettertype"/>
    <w:link w:val="Ballontekst"/>
    <w:rsid w:val="004A163B"/>
    <w:rPr>
      <w:rFonts w:ascii="Segoe UI" w:hAnsi="Segoe UI" w:cs="Segoe UI"/>
      <w:sz w:val="18"/>
      <w:szCs w:val="18"/>
      <w:lang w:val="nl-NL" w:eastAsia="nl-NL"/>
    </w:rPr>
  </w:style>
  <w:style w:type="character" w:styleId="Zwaar">
    <w:name w:val="Strong"/>
    <w:basedOn w:val="Standaardalinea-lettertype"/>
    <w:uiPriority w:val="22"/>
    <w:qFormat/>
    <w:rsid w:val="00D15779"/>
    <w:rPr>
      <w:b/>
      <w:bCs/>
    </w:rPr>
  </w:style>
  <w:style w:type="paragraph" w:styleId="Normaalweb">
    <w:name w:val="Normal (Web)"/>
    <w:basedOn w:val="Standaard"/>
    <w:uiPriority w:val="99"/>
    <w:semiHidden/>
    <w:unhideWhenUsed/>
    <w:rsid w:val="00CF71AB"/>
    <w:pPr>
      <w:spacing w:before="100" w:beforeAutospacing="1" w:after="100" w:afterAutospacing="1" w:line="240" w:lineRule="auto"/>
    </w:pPr>
    <w:rPr>
      <w:rFonts w:ascii="Times New Roman" w:hAnsi="Times New Roman"/>
      <w:sz w:val="24"/>
    </w:rPr>
  </w:style>
  <w:style w:type="paragraph" w:styleId="Tekstopmerking">
    <w:name w:val="annotation text"/>
    <w:basedOn w:val="Standaard"/>
    <w:link w:val="TekstopmerkingChar"/>
    <w:uiPriority w:val="99"/>
    <w:unhideWhenUsed/>
    <w:rsid w:val="00CF71AB"/>
    <w:pPr>
      <w:spacing w:line="240" w:lineRule="auto"/>
    </w:pPr>
    <w:rPr>
      <w:sz w:val="20"/>
      <w:szCs w:val="20"/>
    </w:rPr>
  </w:style>
  <w:style w:type="character" w:customStyle="1" w:styleId="TekstopmerkingChar">
    <w:name w:val="Tekst opmerking Char"/>
    <w:basedOn w:val="Standaardalinea-lettertype"/>
    <w:link w:val="Tekstopmerking"/>
    <w:uiPriority w:val="99"/>
    <w:rsid w:val="00CF71AB"/>
    <w:rPr>
      <w:rFonts w:ascii="Verdana" w:hAnsi="Verdana"/>
      <w:lang w:val="nl-NL" w:eastAsia="nl-NL"/>
    </w:rPr>
  </w:style>
  <w:style w:type="character" w:styleId="Verwijzingopmerking">
    <w:name w:val="annotation reference"/>
    <w:basedOn w:val="Standaardalinea-lettertype"/>
    <w:uiPriority w:val="99"/>
    <w:semiHidden/>
    <w:unhideWhenUsed/>
    <w:rsid w:val="00CF71AB"/>
    <w:rPr>
      <w:sz w:val="16"/>
      <w:szCs w:val="16"/>
    </w:rPr>
  </w:style>
  <w:style w:type="character" w:customStyle="1" w:styleId="KoptekstChar">
    <w:name w:val="Koptekst Char"/>
    <w:basedOn w:val="Standaardalinea-lettertype"/>
    <w:link w:val="Koptekst"/>
    <w:rsid w:val="00841CD9"/>
    <w:rPr>
      <w:rFonts w:ascii="Verdana" w:eastAsia="Times New Roman" w:hAnsi="Verdana" w:cs="Times New Roman"/>
      <w:sz w:val="18"/>
      <w:szCs w:val="24"/>
      <w:lang w:val="nl-NL" w:eastAsia="nl-NL"/>
    </w:rPr>
  </w:style>
  <w:style w:type="character" w:customStyle="1" w:styleId="Kop1Char">
    <w:name w:val="Kop 1 Char"/>
    <w:basedOn w:val="Standaardalinea-lettertype"/>
    <w:link w:val="Kop1"/>
    <w:rsid w:val="00841CD9"/>
    <w:rPr>
      <w:rFonts w:ascii="Verdana" w:eastAsia="Times New Roman" w:hAnsi="Verdana" w:cs="Arial"/>
      <w:b/>
      <w:bCs/>
      <w:kern w:val="32"/>
      <w:sz w:val="32"/>
      <w:szCs w:val="32"/>
      <w:lang w:val="nl-NL" w:eastAsia="nl-NL"/>
    </w:rPr>
  </w:style>
  <w:style w:type="character" w:customStyle="1" w:styleId="Kop2Char">
    <w:name w:val="Kop 2 Char"/>
    <w:basedOn w:val="Standaardalinea-lettertype"/>
    <w:link w:val="Kop2"/>
    <w:rsid w:val="00841CD9"/>
    <w:rPr>
      <w:rFonts w:ascii="Verdana" w:eastAsia="Times New Roman" w:hAnsi="Verdana" w:cs="Arial"/>
      <w:b/>
      <w:bCs/>
      <w:i/>
      <w:iCs/>
      <w:sz w:val="28"/>
      <w:szCs w:val="28"/>
      <w:lang w:val="nl-NL" w:eastAsia="nl-NL"/>
    </w:rPr>
  </w:style>
  <w:style w:type="character" w:customStyle="1" w:styleId="Kop3Char">
    <w:name w:val="Kop 3 Char"/>
    <w:basedOn w:val="Standaardalinea-lettertype"/>
    <w:link w:val="Kop3"/>
    <w:rsid w:val="00841CD9"/>
    <w:rPr>
      <w:rFonts w:ascii="Verdana" w:eastAsia="Times New Roman" w:hAnsi="Verdana"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link w:val="Voettekst"/>
    <w:rsid w:val="00DE555F"/>
    <w:rPr>
      <w:rFonts w:ascii="Verdana" w:eastAsia="Times New Roman" w:hAnsi="Verdana" w:cs="Times New Roman"/>
      <w:sz w:val="18"/>
      <w:szCs w:val="24"/>
      <w:lang w:val="nl-NL" w:eastAsia="nl-NL"/>
    </w:rPr>
  </w:style>
  <w:style w:type="paragraph" w:styleId="Lijstalinea">
    <w:name w:val="List Paragraph"/>
    <w:basedOn w:val="Standaard"/>
    <w:uiPriority w:val="34"/>
    <w:qFormat/>
    <w:rsid w:val="00093D44"/>
    <w:pPr>
      <w:ind w:left="720"/>
      <w:contextualSpacing/>
    </w:pPr>
  </w:style>
  <w:style w:type="character" w:customStyle="1" w:styleId="normaltextrun">
    <w:name w:val="normaltextrun"/>
    <w:basedOn w:val="Standaardalinea-lettertype"/>
    <w:rsid w:val="00571D57"/>
  </w:style>
  <w:style w:type="character" w:customStyle="1" w:styleId="eop">
    <w:name w:val="eop"/>
    <w:basedOn w:val="Standaardalinea-lettertype"/>
    <w:rsid w:val="00B30D75"/>
  </w:style>
  <w:style w:type="character" w:styleId="Voetnootmarkering">
    <w:name w:val="footnote reference"/>
    <w:basedOn w:val="Standaardalinea-lettertype"/>
    <w:uiPriority w:val="99"/>
    <w:semiHidden/>
    <w:unhideWhenUsed/>
    <w:rsid w:val="00BC73BE"/>
    <w:rPr>
      <w:vertAlign w:val="superscript"/>
    </w:rPr>
  </w:style>
  <w:style w:type="paragraph" w:styleId="Onderwerpvanopmerking">
    <w:name w:val="annotation subject"/>
    <w:basedOn w:val="Tekstopmerking"/>
    <w:next w:val="Tekstopmerking"/>
    <w:link w:val="OnderwerpvanopmerkingChar"/>
    <w:semiHidden/>
    <w:unhideWhenUsed/>
    <w:rsid w:val="00D435B1"/>
    <w:rPr>
      <w:b/>
      <w:bCs/>
    </w:rPr>
  </w:style>
  <w:style w:type="character" w:customStyle="1" w:styleId="OnderwerpvanopmerkingChar">
    <w:name w:val="Onderwerp van opmerking Char"/>
    <w:basedOn w:val="TekstopmerkingChar"/>
    <w:link w:val="Onderwerpvanopmerking"/>
    <w:semiHidden/>
    <w:rsid w:val="00D435B1"/>
    <w:rPr>
      <w:rFonts w:ascii="Verdana" w:hAnsi="Verdana"/>
      <w:b/>
      <w:bCs/>
      <w:lang w:val="nl-NL" w:eastAsia="nl-NL"/>
    </w:rPr>
  </w:style>
  <w:style w:type="character" w:styleId="Onopgelostemelding">
    <w:name w:val="Unresolved Mention"/>
    <w:basedOn w:val="Standaardalinea-lettertype"/>
    <w:uiPriority w:val="99"/>
    <w:semiHidden/>
    <w:unhideWhenUsed/>
    <w:rsid w:val="00792485"/>
    <w:rPr>
      <w:color w:val="605E5C"/>
      <w:shd w:val="clear" w:color="auto" w:fill="E1DFDD"/>
    </w:rPr>
  </w:style>
  <w:style w:type="character" w:styleId="Vermelding">
    <w:name w:val="Mention"/>
    <w:basedOn w:val="Standaardalinea-lettertype"/>
    <w:uiPriority w:val="99"/>
    <w:unhideWhenUsed/>
    <w:rsid w:val="00614950"/>
    <w:rPr>
      <w:color w:val="2B579A"/>
      <w:shd w:val="clear" w:color="auto" w:fill="E1DFDD"/>
    </w:rPr>
  </w:style>
  <w:style w:type="paragraph" w:styleId="Revisie">
    <w:name w:val="Revision"/>
    <w:hidden/>
    <w:uiPriority w:val="99"/>
    <w:semiHidden/>
    <w:rsid w:val="0013071A"/>
    <w:rPr>
      <w:rFonts w:ascii="Verdana" w:hAnsi="Verdana"/>
      <w:sz w:val="18"/>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4016">
      <w:bodyDiv w:val="1"/>
      <w:marLeft w:val="0"/>
      <w:marRight w:val="0"/>
      <w:marTop w:val="0"/>
      <w:marBottom w:val="0"/>
      <w:divBdr>
        <w:top w:val="none" w:sz="0" w:space="0" w:color="auto"/>
        <w:left w:val="none" w:sz="0" w:space="0" w:color="auto"/>
        <w:bottom w:val="none" w:sz="0" w:space="0" w:color="auto"/>
        <w:right w:val="none" w:sz="0" w:space="0" w:color="auto"/>
      </w:divBdr>
      <w:divsChild>
        <w:div w:id="678972045">
          <w:marLeft w:val="0"/>
          <w:marRight w:val="0"/>
          <w:marTop w:val="0"/>
          <w:marBottom w:val="0"/>
          <w:divBdr>
            <w:top w:val="none" w:sz="0" w:space="0" w:color="auto"/>
            <w:left w:val="none" w:sz="0" w:space="0" w:color="auto"/>
            <w:bottom w:val="none" w:sz="0" w:space="0" w:color="auto"/>
            <w:right w:val="none" w:sz="0" w:space="0" w:color="auto"/>
          </w:divBdr>
        </w:div>
        <w:div w:id="872503335">
          <w:marLeft w:val="0"/>
          <w:marRight w:val="0"/>
          <w:marTop w:val="0"/>
          <w:marBottom w:val="0"/>
          <w:divBdr>
            <w:top w:val="none" w:sz="0" w:space="0" w:color="auto"/>
            <w:left w:val="none" w:sz="0" w:space="0" w:color="auto"/>
            <w:bottom w:val="none" w:sz="0" w:space="0" w:color="auto"/>
            <w:right w:val="none" w:sz="0" w:space="0" w:color="auto"/>
          </w:divBdr>
        </w:div>
      </w:divsChild>
    </w:div>
    <w:div w:id="571891175">
      <w:bodyDiv w:val="1"/>
      <w:marLeft w:val="0"/>
      <w:marRight w:val="0"/>
      <w:marTop w:val="0"/>
      <w:marBottom w:val="0"/>
      <w:divBdr>
        <w:top w:val="none" w:sz="0" w:space="0" w:color="auto"/>
        <w:left w:val="none" w:sz="0" w:space="0" w:color="auto"/>
        <w:bottom w:val="none" w:sz="0" w:space="0" w:color="auto"/>
        <w:right w:val="none" w:sz="0" w:space="0" w:color="auto"/>
      </w:divBdr>
    </w:div>
    <w:div w:id="1359891865">
      <w:bodyDiv w:val="1"/>
      <w:marLeft w:val="0"/>
      <w:marRight w:val="0"/>
      <w:marTop w:val="0"/>
      <w:marBottom w:val="0"/>
      <w:divBdr>
        <w:top w:val="none" w:sz="0" w:space="0" w:color="auto"/>
        <w:left w:val="none" w:sz="0" w:space="0" w:color="auto"/>
        <w:bottom w:val="none" w:sz="0" w:space="0" w:color="auto"/>
        <w:right w:val="none" w:sz="0" w:space="0" w:color="auto"/>
      </w:divBdr>
      <w:divsChild>
        <w:div w:id="74597853">
          <w:marLeft w:val="0"/>
          <w:marRight w:val="0"/>
          <w:marTop w:val="0"/>
          <w:marBottom w:val="0"/>
          <w:divBdr>
            <w:top w:val="none" w:sz="0" w:space="0" w:color="auto"/>
            <w:left w:val="none" w:sz="0" w:space="0" w:color="auto"/>
            <w:bottom w:val="none" w:sz="0" w:space="0" w:color="auto"/>
            <w:right w:val="none" w:sz="0" w:space="0" w:color="auto"/>
          </w:divBdr>
        </w:div>
        <w:div w:id="77993018">
          <w:marLeft w:val="0"/>
          <w:marRight w:val="0"/>
          <w:marTop w:val="0"/>
          <w:marBottom w:val="0"/>
          <w:divBdr>
            <w:top w:val="none" w:sz="0" w:space="0" w:color="auto"/>
            <w:left w:val="none" w:sz="0" w:space="0" w:color="auto"/>
            <w:bottom w:val="none" w:sz="0" w:space="0" w:color="auto"/>
            <w:right w:val="none" w:sz="0" w:space="0" w:color="auto"/>
          </w:divBdr>
        </w:div>
        <w:div w:id="365180363">
          <w:marLeft w:val="0"/>
          <w:marRight w:val="0"/>
          <w:marTop w:val="0"/>
          <w:marBottom w:val="0"/>
          <w:divBdr>
            <w:top w:val="none" w:sz="0" w:space="0" w:color="auto"/>
            <w:left w:val="none" w:sz="0" w:space="0" w:color="auto"/>
            <w:bottom w:val="none" w:sz="0" w:space="0" w:color="auto"/>
            <w:right w:val="none" w:sz="0" w:space="0" w:color="auto"/>
          </w:divBdr>
        </w:div>
        <w:div w:id="774247661">
          <w:marLeft w:val="0"/>
          <w:marRight w:val="0"/>
          <w:marTop w:val="0"/>
          <w:marBottom w:val="0"/>
          <w:divBdr>
            <w:top w:val="none" w:sz="0" w:space="0" w:color="auto"/>
            <w:left w:val="none" w:sz="0" w:space="0" w:color="auto"/>
            <w:bottom w:val="none" w:sz="0" w:space="0" w:color="auto"/>
            <w:right w:val="none" w:sz="0" w:space="0" w:color="auto"/>
          </w:divBdr>
        </w:div>
        <w:div w:id="1079061563">
          <w:marLeft w:val="0"/>
          <w:marRight w:val="0"/>
          <w:marTop w:val="0"/>
          <w:marBottom w:val="0"/>
          <w:divBdr>
            <w:top w:val="none" w:sz="0" w:space="0" w:color="auto"/>
            <w:left w:val="none" w:sz="0" w:space="0" w:color="auto"/>
            <w:bottom w:val="none" w:sz="0" w:space="0" w:color="auto"/>
            <w:right w:val="none" w:sz="0" w:space="0" w:color="auto"/>
          </w:divBdr>
        </w:div>
        <w:div w:id="1203636540">
          <w:marLeft w:val="0"/>
          <w:marRight w:val="0"/>
          <w:marTop w:val="0"/>
          <w:marBottom w:val="0"/>
          <w:divBdr>
            <w:top w:val="none" w:sz="0" w:space="0" w:color="auto"/>
            <w:left w:val="none" w:sz="0" w:space="0" w:color="auto"/>
            <w:bottom w:val="none" w:sz="0" w:space="0" w:color="auto"/>
            <w:right w:val="none" w:sz="0" w:space="0" w:color="auto"/>
          </w:divBdr>
        </w:div>
        <w:div w:id="1256599642">
          <w:marLeft w:val="0"/>
          <w:marRight w:val="0"/>
          <w:marTop w:val="0"/>
          <w:marBottom w:val="0"/>
          <w:divBdr>
            <w:top w:val="none" w:sz="0" w:space="0" w:color="auto"/>
            <w:left w:val="none" w:sz="0" w:space="0" w:color="auto"/>
            <w:bottom w:val="none" w:sz="0" w:space="0" w:color="auto"/>
            <w:right w:val="none" w:sz="0" w:space="0" w:color="auto"/>
          </w:divBdr>
        </w:div>
        <w:div w:id="1340624567">
          <w:marLeft w:val="0"/>
          <w:marRight w:val="0"/>
          <w:marTop w:val="0"/>
          <w:marBottom w:val="0"/>
          <w:divBdr>
            <w:top w:val="none" w:sz="0" w:space="0" w:color="auto"/>
            <w:left w:val="none" w:sz="0" w:space="0" w:color="auto"/>
            <w:bottom w:val="none" w:sz="0" w:space="0" w:color="auto"/>
            <w:right w:val="none" w:sz="0" w:space="0" w:color="auto"/>
          </w:divBdr>
        </w:div>
        <w:div w:id="1508783935">
          <w:marLeft w:val="0"/>
          <w:marRight w:val="0"/>
          <w:marTop w:val="0"/>
          <w:marBottom w:val="0"/>
          <w:divBdr>
            <w:top w:val="none" w:sz="0" w:space="0" w:color="auto"/>
            <w:left w:val="none" w:sz="0" w:space="0" w:color="auto"/>
            <w:bottom w:val="none" w:sz="0" w:space="0" w:color="auto"/>
            <w:right w:val="none" w:sz="0" w:space="0" w:color="auto"/>
          </w:divBdr>
        </w:div>
        <w:div w:id="1512142336">
          <w:marLeft w:val="0"/>
          <w:marRight w:val="0"/>
          <w:marTop w:val="0"/>
          <w:marBottom w:val="0"/>
          <w:divBdr>
            <w:top w:val="none" w:sz="0" w:space="0" w:color="auto"/>
            <w:left w:val="none" w:sz="0" w:space="0" w:color="auto"/>
            <w:bottom w:val="none" w:sz="0" w:space="0" w:color="auto"/>
            <w:right w:val="none" w:sz="0" w:space="0" w:color="auto"/>
          </w:divBdr>
        </w:div>
        <w:div w:id="1707557235">
          <w:marLeft w:val="0"/>
          <w:marRight w:val="0"/>
          <w:marTop w:val="0"/>
          <w:marBottom w:val="0"/>
          <w:divBdr>
            <w:top w:val="none" w:sz="0" w:space="0" w:color="auto"/>
            <w:left w:val="none" w:sz="0" w:space="0" w:color="auto"/>
            <w:bottom w:val="none" w:sz="0" w:space="0" w:color="auto"/>
            <w:right w:val="none" w:sz="0" w:space="0" w:color="auto"/>
          </w:divBdr>
        </w:div>
        <w:div w:id="1842966493">
          <w:marLeft w:val="0"/>
          <w:marRight w:val="0"/>
          <w:marTop w:val="0"/>
          <w:marBottom w:val="0"/>
          <w:divBdr>
            <w:top w:val="none" w:sz="0" w:space="0" w:color="auto"/>
            <w:left w:val="none" w:sz="0" w:space="0" w:color="auto"/>
            <w:bottom w:val="none" w:sz="0" w:space="0" w:color="auto"/>
            <w:right w:val="none" w:sz="0" w:space="0" w:color="auto"/>
          </w:divBdr>
        </w:div>
        <w:div w:id="1872111229">
          <w:marLeft w:val="0"/>
          <w:marRight w:val="0"/>
          <w:marTop w:val="0"/>
          <w:marBottom w:val="0"/>
          <w:divBdr>
            <w:top w:val="none" w:sz="0" w:space="0" w:color="auto"/>
            <w:left w:val="none" w:sz="0" w:space="0" w:color="auto"/>
            <w:bottom w:val="none" w:sz="0" w:space="0" w:color="auto"/>
            <w:right w:val="none" w:sz="0" w:space="0" w:color="auto"/>
          </w:divBdr>
        </w:div>
        <w:div w:id="1964967946">
          <w:marLeft w:val="0"/>
          <w:marRight w:val="0"/>
          <w:marTop w:val="0"/>
          <w:marBottom w:val="0"/>
          <w:divBdr>
            <w:top w:val="none" w:sz="0" w:space="0" w:color="auto"/>
            <w:left w:val="none" w:sz="0" w:space="0" w:color="auto"/>
            <w:bottom w:val="none" w:sz="0" w:space="0" w:color="auto"/>
            <w:right w:val="none" w:sz="0" w:space="0" w:color="auto"/>
          </w:divBdr>
        </w:div>
        <w:div w:id="2063822961">
          <w:marLeft w:val="0"/>
          <w:marRight w:val="0"/>
          <w:marTop w:val="0"/>
          <w:marBottom w:val="0"/>
          <w:divBdr>
            <w:top w:val="none" w:sz="0" w:space="0" w:color="auto"/>
            <w:left w:val="none" w:sz="0" w:space="0" w:color="auto"/>
            <w:bottom w:val="none" w:sz="0" w:space="0" w:color="auto"/>
            <w:right w:val="none" w:sz="0" w:space="0" w:color="auto"/>
          </w:divBdr>
        </w:div>
        <w:div w:id="2103455834">
          <w:marLeft w:val="0"/>
          <w:marRight w:val="0"/>
          <w:marTop w:val="0"/>
          <w:marBottom w:val="0"/>
          <w:divBdr>
            <w:top w:val="none" w:sz="0" w:space="0" w:color="auto"/>
            <w:left w:val="none" w:sz="0" w:space="0" w:color="auto"/>
            <w:bottom w:val="none" w:sz="0" w:space="0" w:color="auto"/>
            <w:right w:val="none" w:sz="0" w:space="0" w:color="auto"/>
          </w:divBdr>
        </w:div>
      </w:divsChild>
    </w:div>
    <w:div w:id="158087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header" Target="header2.xml" Id="rId18"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cid:image001.png@01DB78AA.1B29A890"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3.xml" Id="rId22" /></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methane-tracker-2021" TargetMode="External"/><Relationship Id="rId3" Type="http://schemas.openxmlformats.org/officeDocument/2006/relationships/hyperlink" Target="https://www.iea.org/reports/gas-market-report-q1-2025" TargetMode="External"/><Relationship Id="rId7" Type="http://schemas.openxmlformats.org/officeDocument/2006/relationships/hyperlink" Target="https://www.iea.org/reports/global-methane-tracker-2024/key-findings" TargetMode="External"/><Relationship Id="rId2" Type="http://schemas.openxmlformats.org/officeDocument/2006/relationships/hyperlink" Target="http://www.icis.com" TargetMode="External"/><Relationship Id="rId1" Type="http://schemas.openxmlformats.org/officeDocument/2006/relationships/hyperlink" Target="https://nos.nl/artikel/2552938-schepen-met-vloeibaar-gas-verleggen-hun-koers-naar-lucratief-europa" TargetMode="External"/><Relationship Id="rId6" Type="http://schemas.openxmlformats.org/officeDocument/2006/relationships/hyperlink" Target="https://www.eia.gov/tools/faqs/faq.php?id=907&amp;t=8" TargetMode="External"/><Relationship Id="rId5" Type="http://schemas.openxmlformats.org/officeDocument/2006/relationships/hyperlink" Target="http://www.eemsenergyterminal.nl/en/open-season" TargetMode="External"/><Relationship Id="rId4" Type="http://schemas.openxmlformats.org/officeDocument/2006/relationships/hyperlink" Target="http://www.tradinghub.eu/en-gb/About-us/Newsroom/News/Details-en-GB/ArtMID/1412/ArticleID/231/Presentation-Slides" TargetMode="External"/><Relationship Id="rId9" Type="http://schemas.openxmlformats.org/officeDocument/2006/relationships/hyperlink" Target="https://ec.europa.eu/commission/presscorner/detail/en/statement_21_576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ap:Properties xmlns:vt="http://schemas.openxmlformats.org/officeDocument/2006/docPropsVTypes" xmlns:ap="http://schemas.openxmlformats.org/officeDocument/2006/extended-properties">
  <ap:Pages>2</ap:Pages>
  <ap:Words>5215</ap:Words>
  <ap:Characters>28687</ap:Characters>
  <ap:DocSecurity>0</ap:DocSecurity>
  <ap:Lines>239</ap:Lines>
  <ap:Paragraphs>67</ap:Paragraphs>
  <ap:ScaleCrop>false</ap:ScaleCrop>
  <ap:HeadingPairs>
    <vt:vector baseType="variant" size="2">
      <vt:variant>
        <vt:lpstr>Titel</vt:lpstr>
      </vt:variant>
      <vt:variant>
        <vt:i4>1</vt:i4>
      </vt:variant>
    </vt:vector>
  </ap:HeadingPairs>
  <ap:TitlesOfParts>
    <vt:vector baseType="lpstr" size="1">
      <vt:lpstr>-</vt:lpstr>
    </vt:vector>
  </ap:TitlesOfParts>
  <ap:LinksUpToDate>false</ap:LinksUpToDate>
  <ap:CharactersWithSpaces>33835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
  <revision/>
  <lastPrinted>2009-07-03T11:30:00.0000000Z</lastPrinted>
  <dcterms:created xsi:type="dcterms:W3CDTF">2025-02-14T14:11:00.0000000Z</dcterms:created>
  <dcterms:modified xsi:type="dcterms:W3CDTF">2025-02-14T14:13:00.0000000Z</dcterms:modified>
  <dc:description>------------------------</dc:description>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hoogstratend</vt:lpwstr>
  </property>
  <property fmtid="{D5CDD505-2E9C-101B-9397-08002B2CF9AE}" pid="3" name="AUTHOR_ID">
    <vt:lpwstr>hoogstratend</vt:lpwstr>
  </property>
  <property fmtid="{D5CDD505-2E9C-101B-9397-08002B2CF9AE}" pid="4" name="A_DEP_NAAM">
    <vt:lpwstr>EZK</vt:lpwstr>
  </property>
  <property fmtid="{D5CDD505-2E9C-101B-9397-08002B2CF9AE}" pid="5" name="A_DOC_RICHTING_ID">
    <vt:lpwstr>Uitgaand</vt:lpwstr>
  </property>
  <property fmtid="{D5CDD505-2E9C-101B-9397-08002B2CF9AE}" pid="6" name="A_KENMERK">
    <vt:lpwstr/>
  </property>
  <property fmtid="{D5CDD505-2E9C-101B-9397-08002B2CF9AE}" pid="7" name="ClassificationContentMarkingFooterFontProps">
    <vt:lpwstr>#000000,10,Calibri</vt:lpwstr>
  </property>
  <property fmtid="{D5CDD505-2E9C-101B-9397-08002B2CF9AE}" pid="8" name="ClassificationContentMarkingFooterShapeIds">
    <vt:lpwstr>2ca33,2ca5e,2ca89</vt:lpwstr>
  </property>
  <property fmtid="{D5CDD505-2E9C-101B-9397-08002B2CF9AE}" pid="9" name="ClassificationContentMarkingFooterText">
    <vt:lpwstr>Intern gebruik</vt:lpwstr>
  </property>
  <property fmtid="{D5CDD505-2E9C-101B-9397-08002B2CF9AE}" pid="10" name="DOCNAME">
    <vt:lpwstr>Stand van zaken gasmarkt en vulgraden</vt:lpwstr>
  </property>
  <property fmtid="{D5CDD505-2E9C-101B-9397-08002B2CF9AE}" pid="11" name="documentId">
    <vt:lpwstr>documentId</vt:lpwstr>
  </property>
  <property fmtid="{D5CDD505-2E9C-101B-9397-08002B2CF9AE}" pid="12" name="Header">
    <vt:lpwstr>Commissiebrief - KGG</vt:lpwstr>
  </property>
  <property fmtid="{D5CDD505-2E9C-101B-9397-08002B2CF9AE}" pid="13" name="HeaderId">
    <vt:lpwstr>DBA75FCCC3C9419C82A058AFA4F3A859</vt:lpwstr>
  </property>
  <property fmtid="{D5CDD505-2E9C-101B-9397-08002B2CF9AE}" pid="14" name="Template">
    <vt:lpwstr>Commissiebrief - KGG</vt:lpwstr>
  </property>
  <property fmtid="{D5CDD505-2E9C-101B-9397-08002B2CF9AE}" pid="15" name="TemplateId">
    <vt:lpwstr>4896A579363C4C75BA4B2749DBA7396E</vt:lpwstr>
  </property>
  <property fmtid="{D5CDD505-2E9C-101B-9397-08002B2CF9AE}" pid="16" name="TYPE_ID">
    <vt:lpwstr>Brief</vt:lpwstr>
  </property>
  <property fmtid="{D5CDD505-2E9C-101B-9397-08002B2CF9AE}" pid="17" name="Typist">
    <vt:lpwstr>hoogstratend</vt:lpwstr>
  </property>
  <property fmtid="{D5CDD505-2E9C-101B-9397-08002B2CF9AE}" pid="18" name="ContentTypeId">
    <vt:lpwstr>0x0101009C25A4F40BEBEC4D9BFECB1D689A388B</vt:lpwstr>
  </property>
</Properties>
</file>