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2025Z02902</w:t>
        <w:br/>
      </w:r>
      <w:proofErr w:type="spellEnd"/>
    </w:p>
    <w:p>
      <w:pPr>
        <w:pStyle w:val="Normal"/>
        <w:rPr>
          <w:b w:val="1"/>
          <w:bCs w:val="1"/>
        </w:rPr>
      </w:pPr>
      <w:r w:rsidR="250AE766">
        <w:rPr>
          <w:b w:val="0"/>
          <w:bCs w:val="0"/>
        </w:rPr>
        <w:t>(ingezonden 17 februari 2025)</w:t>
        <w:br/>
      </w:r>
    </w:p>
    <w:p>
      <w:r>
        <w:t xml:space="preserve">Vragen van de leden Bamenga en Podt (beiden D66) aan de minister van Infrastructuur en Waterstaat over de Kaderrichtlijn Water</w:t>
      </w:r>
      <w:r>
        <w:br/>
      </w:r>
    </w:p>
    <w:p>
      <w:pPr>
        <w:pStyle w:val="ListParagraph"/>
        <w:numPr>
          <w:ilvl w:val="0"/>
          <w:numId w:val="100468910"/>
        </w:numPr>
        <w:ind w:left="360"/>
      </w:pPr>
      <w:r>
        <w:t>Hebt u kennisgenomen van het rapport van de Europese Commissie over de uitvoering van de Kaderrichtlijn Water van 4 februari 2025 waarin wordt gesteld dat Nederland met het huidige beleid de doelen zoals vastgelegd in de Europese Kaderrichtlijn Water (KRW) niet zal halen in 2027 [1]? Wat is hierop uw reactie?</w:t>
      </w:r>
      <w:r>
        <w:br/>
      </w:r>
    </w:p>
    <w:p>
      <w:pPr>
        <w:pStyle w:val="ListParagraph"/>
        <w:numPr>
          <w:ilvl w:val="0"/>
          <w:numId w:val="100468910"/>
        </w:numPr>
        <w:ind w:left="360"/>
      </w:pPr>
      <w:r>
        <w:t>Bent u bekend met het bijbehorende werkdocument 'Third River Basin Management Plans Second Flood Hazard and Risk Maps and Second Flood Risk Management Plans Member State: Netherlands’ [2]? Deelt u de constatering dat het afschaffen van de gebiedsplannen door het huidige kabinet en het voornemen om Natura2000-gebieden te beperken negatieve gevolgen kan hebben voor de waterkwaliteit in Nederland?</w:t>
      </w:r>
      <w:r>
        <w:br/>
      </w:r>
    </w:p>
    <w:p>
      <w:pPr>
        <w:pStyle w:val="ListParagraph"/>
        <w:numPr>
          <w:ilvl w:val="0"/>
          <w:numId w:val="100468910"/>
        </w:numPr>
        <w:ind w:left="360"/>
      </w:pPr>
      <w:r>
        <w:t>Staat u nog steeds achter uw eerdere uitspraak: “De (inter)nationale doelen voor het herstellen van de natuur, het verbeteren van de biodiversiteit, het verbeteren van de waterkwaliteit en beschikbaarheid, en het mitigeren van broeikasgassen en anticiperen op verdere klimaatverandering staan.” [3]? </w:t>
      </w:r>
      <w:r>
        <w:br/>
      </w:r>
    </w:p>
    <w:p>
      <w:pPr>
        <w:pStyle w:val="ListParagraph"/>
        <w:numPr>
          <w:ilvl w:val="0"/>
          <w:numId w:val="100468910"/>
        </w:numPr>
        <w:ind w:left="360"/>
      </w:pPr>
      <w:r>
        <w:t>Klopt het dat de KRW uitgelegd moet worden als een resultaatsverplichting, waarbij op 22 december 2027 het Nederlandse water aan de doelen moet voldoen?</w:t>
      </w:r>
      <w:r>
        <w:br/>
      </w:r>
    </w:p>
    <w:p>
      <w:pPr>
        <w:pStyle w:val="ListParagraph"/>
        <w:numPr>
          <w:ilvl w:val="0"/>
          <w:numId w:val="100468910"/>
        </w:numPr>
        <w:ind w:left="360"/>
      </w:pPr>
      <w:r>
        <w:t>Bent u bekend met het Koepelrapport Tussenevaluatie KRW [4], waaruit blijkt dat het Impulsprogramma KRW tot zover niet toereikend is gebleken?</w:t>
      </w:r>
      <w:r>
        <w:br/>
      </w:r>
    </w:p>
    <w:p>
      <w:pPr>
        <w:pStyle w:val="ListParagraph"/>
        <w:numPr>
          <w:ilvl w:val="0"/>
          <w:numId w:val="100468910"/>
        </w:numPr>
        <w:ind w:left="360"/>
      </w:pPr>
      <w:r>
        <w:t>Hoe kijkt u naar het besluit om de bufferstroken rond Natura2000-gebieden waar mest op mag worden uitgereden te verkleinen van 250 naar 100 meter? Wat doet dat besluit met het doelbereik voor de KRW?</w:t>
      </w:r>
      <w:r>
        <w:br/>
      </w:r>
    </w:p>
    <w:p>
      <w:pPr>
        <w:pStyle w:val="ListParagraph"/>
        <w:numPr>
          <w:ilvl w:val="0"/>
          <w:numId w:val="100468910"/>
        </w:numPr>
        <w:ind w:left="360"/>
      </w:pPr>
      <w:r>
        <w:t>Onderschrijft u dat onder andere het toepassen van minder mest “door aanpassing van de stikstofgebruiksnormen” onvermijdelijk is om aan de doelen te kunnen voldoen, zoals gesteld in het Koepelrapport Tussenevaluatie KRW? Zo ja, wanneer zal u concrete stappen nemen hiertoe? Zo nee, welke zwaarwegende belangen hebt u om dat niet te doen?</w:t>
      </w:r>
      <w:r>
        <w:br/>
      </w:r>
    </w:p>
    <w:p>
      <w:pPr>
        <w:pStyle w:val="ListParagraph"/>
        <w:numPr>
          <w:ilvl w:val="0"/>
          <w:numId w:val="100468910"/>
        </w:numPr>
        <w:ind w:left="360"/>
      </w:pPr>
      <w:r>
        <w:t>Bent u bekend met het rapport ‘</w:t>
      </w:r>
      <w:r>
        <w:rPr>
          <w:i w:val="1"/>
          <w:iCs w:val="1"/>
        </w:rPr>
        <w:t xml:space="preserve">Landbouwpraktijk en waterkwaliteit in Nederland; toestand (2020-2023) en trend (1992-2023) Resultaten van de monitoring van de effecten van de EU Nitraatrichtlijn actieprogramma’s’</w:t>
      </w:r>
      <w:r>
        <w:rPr/>
        <w:t xml:space="preserve"> van het RIVM [5], waarin wordt gesteld dat droge periodes, die vaker zullen voorkomen door klimaatverandering, leiden tot verhoogde nitraatconcentraties? </w:t>
      </w:r>
      <w:r>
        <w:br/>
      </w:r>
    </w:p>
    <w:p>
      <w:pPr>
        <w:pStyle w:val="ListParagraph"/>
        <w:numPr>
          <w:ilvl w:val="0"/>
          <w:numId w:val="100468910"/>
        </w:numPr>
        <w:ind w:left="360"/>
      </w:pPr>
      <w:r>
        <w:t>Erkent u de volgende constatering uit het Koepelrapport Tussenevaluatie KRW: “sluiten normeringen en toelating van stoffen niet aan op de KRW-normering, zijn vergunningen verouderd, incompleet of ontbrekend en is er onvoldoende capaciteit en kennis voor adequate toezicht en handhaving van de regelgeving.”? Kunt u toelichten waarom dit het geval is en welke belangen daarbij prevaleren?</w:t>
      </w:r>
      <w:r>
        <w:br/>
      </w:r>
    </w:p>
    <w:p>
      <w:pPr>
        <w:pStyle w:val="ListParagraph"/>
        <w:numPr>
          <w:ilvl w:val="0"/>
          <w:numId w:val="100468910"/>
        </w:numPr>
        <w:ind w:left="360"/>
      </w:pPr>
      <w:r>
        <w:t>Gaat u alle bovengenoemde tekortkomingen in de normeringen en naleving verhelpen? Zo nee, kunt u aangeven welke normeringen, vergunningen en handhaving u ongewijzigd laat en waarom?</w:t>
      </w:r>
      <w:r>
        <w:br/>
      </w:r>
    </w:p>
    <w:p>
      <w:pPr>
        <w:pStyle w:val="ListParagraph"/>
        <w:numPr>
          <w:ilvl w:val="0"/>
          <w:numId w:val="100468910"/>
        </w:numPr>
        <w:ind w:left="360"/>
      </w:pPr>
      <w:r>
        <w:t>Kunt u een overzicht delen van spijtvrije maatregelen om de doelen van de KRW dichterbij te brengen? Zo nee, kunt u toezeggen om een dergelijk overzicht op te stellen, waarbij te denken valt aan bijvoorbeeld het uitsluiten van het gebruik van zink in woningbouw?</w:t>
      </w:r>
      <w:r>
        <w:br/>
      </w:r>
    </w:p>
    <w:p>
      <w:pPr>
        <w:pStyle w:val="ListParagraph"/>
        <w:numPr>
          <w:ilvl w:val="0"/>
          <w:numId w:val="100468910"/>
        </w:numPr>
        <w:ind w:left="360"/>
      </w:pPr>
      <w:r>
        <w:t>Heeft u in kaart wat de juridische risico's zijn wanneer Nederland de bindende afspraken van de KRW niet zal halen?</w:t>
      </w:r>
      <w:r>
        <w:br/>
      </w:r>
    </w:p>
    <w:p>
      <w:pPr>
        <w:pStyle w:val="ListParagraph"/>
        <w:numPr>
          <w:ilvl w:val="0"/>
          <w:numId w:val="100468910"/>
        </w:numPr>
        <w:ind w:left="360"/>
      </w:pPr>
      <w:r>
        <w:t>Heeft u in kaart in hoeverre de toenemende vervuiling van grondwater, in combinatie met (en versterkt door) de effecten van klimaatverandering, nieuwe drinkwateraansluitingen en het verstrekken van vergunningen voor bedrijven, nieuwbouwwoningen, en boeren in gevaar zal brengen?</w:t>
      </w:r>
      <w:r>
        <w:br/>
      </w:r>
    </w:p>
    <w:p>
      <w:pPr>
        <w:pStyle w:val="ListParagraph"/>
        <w:numPr>
          <w:ilvl w:val="0"/>
          <w:numId w:val="100468910"/>
        </w:numPr>
        <w:ind w:left="360"/>
      </w:pPr>
      <w:r>
        <w:t>Bent u zich ervan bewust dat de mogelijkheden tot uitzondering van de regels door de EU zeer beperkt zijn, en dat wanneer de doelen niet gehaald zullen worden in 2027 dit zal leiden tot problemen met de verstrekking van vergunningen?</w:t>
      </w:r>
      <w:r>
        <w:br/>
      </w:r>
    </w:p>
    <w:p>
      <w:pPr>
        <w:pStyle w:val="ListParagraph"/>
        <w:numPr>
          <w:ilvl w:val="0"/>
          <w:numId w:val="100468910"/>
        </w:numPr>
        <w:ind w:left="360"/>
      </w:pPr>
      <w:r>
        <w:t>Bent u voorbereid op het scenario waarbij woningbouw, infrastructuurprojecten, landbouw, de ontwikkeling van onze defensiecapaciteit en bedrijfsactiviteiten in bepaalde gebieden tot stilstand zullen komen doordat vergunningen niet kunnen worden verleend?</w:t>
      </w:r>
      <w:r>
        <w:br/>
      </w:r>
    </w:p>
    <w:p>
      <w:pPr>
        <w:pStyle w:val="ListParagraph"/>
        <w:numPr>
          <w:ilvl w:val="0"/>
          <w:numId w:val="100468910"/>
        </w:numPr>
        <w:ind w:left="360"/>
      </w:pPr>
      <w:r>
        <w:t>Welke zwaarwegende belangen gelden er volgens u die extra actie om de KRW-doelen te halen uit te stellen en die een dergelijk scenario rechtvaardigen, gezien het feit dat een dergelijk scenario kan voorkomen worden door nu alle nodige maatregelen te nemen om de KRW-doelen wel te halen, waaronder de maatregelen uit het rapport van de Raad voor de leefomgeving en infrastructuur (Rli) van mei 2023 [6]?</w:t>
      </w:r>
      <w:r>
        <w:br/>
      </w:r>
    </w:p>
    <w:p>
      <w:pPr>
        <w:pStyle w:val="ListParagraph"/>
        <w:numPr>
          <w:ilvl w:val="0"/>
          <w:numId w:val="100468910"/>
        </w:numPr>
        <w:ind w:left="360"/>
      </w:pPr>
      <w:r>
        <w:t>Erkent u dat Nederland mede door “te optimistische inschatting van de effectiviteit van maatregelen” de bindende afspraken met betrekking tot goede ecologische toestand niet zal halen en dat “De huidige situatie vraagt om een 'alles op alles' inspanning”?</w:t>
      </w:r>
      <w:r>
        <w:br/>
      </w:r>
    </w:p>
    <w:p>
      <w:pPr>
        <w:pStyle w:val="ListParagraph"/>
        <w:numPr>
          <w:ilvl w:val="0"/>
          <w:numId w:val="100468910"/>
        </w:numPr>
        <w:ind w:left="360"/>
      </w:pPr>
      <w:r>
        <w:t>Vindt u dat het kabinet alles op alles zet om de doelen van de KRW te halen? Zo ja, betekent dit dat u geen extra maatregelen gaat nemen? Zo nee, welke extra maatregelen gaat u nemen?</w:t>
      </w:r>
      <w:r>
        <w:br/>
      </w:r>
    </w:p>
    <w:p>
      <w:pPr>
        <w:pStyle w:val="ListParagraph"/>
        <w:numPr>
          <w:ilvl w:val="0"/>
          <w:numId w:val="100468910"/>
        </w:numPr>
        <w:ind w:left="360"/>
      </w:pPr>
      <w:r>
        <w:t>Gezien het feit dat dergelijke inspanning tot zover is uitgebleven, waarmee u het eerder genoemde scenario dichterbij brengt: kunt u toelichten welke zwaarwegende belangen rechtvaardigen dat eerder genoemde risico's worden genomen?</w:t>
      </w:r>
      <w:r>
        <w:br/>
      </w:r>
    </w:p>
    <w:p>
      <w:pPr>
        <w:pStyle w:val="ListParagraph"/>
        <w:numPr>
          <w:ilvl w:val="0"/>
          <w:numId w:val="100468910"/>
        </w:numPr>
        <w:ind w:left="360"/>
      </w:pPr>
      <w:r>
        <w:t>Kunt u deze vragen beantwoorden voor het commissiedebat Water op 26 maart aanstaande?</w:t>
      </w:r>
      <w:r>
        <w:br/>
      </w:r>
    </w:p>
    <w:p>
      <w:r>
        <w:t xml:space="preserve"> </w:t>
      </w:r>
      <w:r>
        <w:br/>
      </w:r>
    </w:p>
    <w:p>
      <w:r>
        <w:t xml:space="preserve">[1] Europese Commissie, 4 februari 2025, Protect waters and better manage flood risks (2000/60/EC)</w:t>
      </w:r>
      <w:r>
        <w:br/>
      </w:r>
    </w:p>
    <w:p>
      <w:r>
        <w:t xml:space="preserve">[2] EUR-Lex, 4 februari 2025, EUR-Lex - 52025SC0032 - EN - EUR-Lex</w:t>
      </w:r>
      <w:r>
        <w:br/>
      </w:r>
    </w:p>
    <w:p>
      <w:r>
        <w:t xml:space="preserve">[3] Aanhangsel Handelingen II, vergaderjaar 2024 - 2025 nr. 277  </w:t>
      </w:r>
      <w:r>
        <w:br/>
      </w:r>
    </w:p>
    <w:p>
      <w:r>
        <w:t xml:space="preserve">[4] Kamerstuk 27 625, nr. 696</w:t>
      </w:r>
      <w:r>
        <w:br/>
      </w:r>
    </w:p>
    <w:p>
      <w:r>
        <w:t xml:space="preserve">[5] RIVM, 28 november 2024, Landbouwpraktijk en waterkwaliteit in Nederland; toestand (2020-2023) en trend (1992-2023) Resultaten van de monitoring van de effecten van de EU Nitraatrichtlijn actieprogramma’s, 2024 | RIVM</w:t>
      </w:r>
      <w:r>
        <w:br/>
      </w:r>
    </w:p>
    <w:p>
      <w:r>
        <w:t xml:space="preserve">[6] Rli, 11 mei 2023, Goed water goed geregeld Raad voor de leefomgeving en de infrastructuur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720">
    <w:abstractNumId w:val="100468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