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1AE8" w:rsidR="009D4B29" w:rsidP="009D4B29" w:rsidRDefault="009D4B29" w14:paraId="0251F677" w14:textId="77777777">
      <w:pPr>
        <w:rPr>
          <w:sz w:val="20"/>
          <w:szCs w:val="24"/>
          <w:lang w:val="nl-NL"/>
        </w:rPr>
      </w:pPr>
      <w:r w:rsidRPr="00621AE8">
        <w:rPr>
          <w:b/>
          <w:sz w:val="20"/>
          <w:szCs w:val="24"/>
          <w:lang w:val="nl-NL"/>
        </w:rPr>
        <w:t>Nota van toelichting</w:t>
      </w:r>
    </w:p>
    <w:p w:rsidRPr="0060352C" w:rsidR="009D4B29" w:rsidRDefault="009D4B29" w14:paraId="627A98A6" w14:textId="77777777">
      <w:pPr>
        <w:rPr>
          <w:lang w:val="nl-NL"/>
        </w:rPr>
      </w:pPr>
    </w:p>
    <w:p w:rsidRPr="0060352C" w:rsidR="009D4B29" w:rsidP="009D4B29" w:rsidRDefault="009D4B29" w14:paraId="7AB9DBFC" w14:textId="77777777">
      <w:pPr>
        <w:rPr>
          <w:b/>
          <w:lang w:val="nl-NL"/>
        </w:rPr>
      </w:pPr>
      <w:r w:rsidRPr="0060352C">
        <w:rPr>
          <w:b/>
          <w:lang w:val="nl-NL"/>
        </w:rPr>
        <w:t>Algemeen</w:t>
      </w:r>
    </w:p>
    <w:p w:rsidRPr="0060352C" w:rsidR="009D4B29" w:rsidP="009D4B29" w:rsidRDefault="009D4B29" w14:paraId="47394BA2" w14:textId="77777777">
      <w:pPr>
        <w:rPr>
          <w:b/>
          <w:lang w:val="nl-NL"/>
        </w:rPr>
      </w:pPr>
    </w:p>
    <w:p w:rsidRPr="0060352C" w:rsidR="000F3FAD" w:rsidP="00736DF0" w:rsidRDefault="00736DF0" w14:paraId="1660FBA2" w14:textId="386A154F">
      <w:pPr>
        <w:rPr>
          <w:b/>
          <w:lang w:val="nl-NL"/>
        </w:rPr>
      </w:pPr>
      <w:r w:rsidRPr="0060352C">
        <w:rPr>
          <w:b/>
          <w:lang w:val="nl-NL"/>
        </w:rPr>
        <w:t xml:space="preserve">1. </w:t>
      </w:r>
      <w:r w:rsidRPr="0060352C" w:rsidR="000F3FAD">
        <w:rPr>
          <w:b/>
          <w:lang w:val="nl-NL"/>
        </w:rPr>
        <w:t xml:space="preserve">Inleiding </w:t>
      </w:r>
    </w:p>
    <w:p w:rsidR="000F3FAD" w:rsidP="000F3FAD" w:rsidRDefault="000F3FAD" w14:paraId="21A2456D" w14:textId="77777777">
      <w:pPr>
        <w:rPr>
          <w:bCs/>
          <w:lang w:val="nl-NL"/>
        </w:rPr>
      </w:pPr>
    </w:p>
    <w:p w:rsidRPr="00621AE8" w:rsidR="00621AE8" w:rsidP="000F3FAD" w:rsidRDefault="00621AE8" w14:paraId="636D844C" w14:textId="5AF91B01">
      <w:pPr>
        <w:rPr>
          <w:bCs/>
          <w:i/>
          <w:iCs/>
          <w:lang w:val="nl-NL"/>
        </w:rPr>
      </w:pPr>
      <w:r w:rsidRPr="00621AE8">
        <w:rPr>
          <w:bCs/>
          <w:i/>
          <w:iCs/>
          <w:lang w:val="nl-NL"/>
        </w:rPr>
        <w:t>1.1 Samenvatting</w:t>
      </w:r>
    </w:p>
    <w:p w:rsidRPr="0060352C" w:rsidR="00621AE8" w:rsidP="000F3FAD" w:rsidRDefault="00621AE8" w14:paraId="18026751" w14:textId="49B2E943">
      <w:pPr>
        <w:rPr>
          <w:bCs/>
          <w:lang w:val="nl-NL"/>
        </w:rPr>
      </w:pPr>
    </w:p>
    <w:p w:rsidR="00580C2C" w:rsidP="000F3FAD" w:rsidRDefault="00663442" w14:paraId="2A7C612A" w14:textId="3B90F194">
      <w:pPr>
        <w:rPr>
          <w:bCs/>
          <w:lang w:val="nl-NL"/>
        </w:rPr>
      </w:pPr>
      <w:r>
        <w:rPr>
          <w:bCs/>
          <w:lang w:val="nl-NL"/>
        </w:rPr>
        <w:t>M</w:t>
      </w:r>
      <w:r w:rsidRPr="008131EE" w:rsidR="008131EE">
        <w:rPr>
          <w:bCs/>
          <w:lang w:val="nl-NL"/>
        </w:rPr>
        <w:t xml:space="preserve">et voorliggend besluit </w:t>
      </w:r>
      <w:r>
        <w:rPr>
          <w:bCs/>
          <w:lang w:val="nl-NL"/>
        </w:rPr>
        <w:t>zijn</w:t>
      </w:r>
      <w:r w:rsidRPr="008131EE" w:rsidR="008131EE">
        <w:rPr>
          <w:bCs/>
          <w:lang w:val="nl-NL"/>
        </w:rPr>
        <w:t xml:space="preserve"> twee wijzigingen aangebracht in het Uitvoeringsbesluit Wmo 2015 </w:t>
      </w:r>
      <w:r w:rsidR="00FF7398">
        <w:rPr>
          <w:bCs/>
          <w:lang w:val="nl-NL"/>
        </w:rPr>
        <w:t xml:space="preserve">(hierna: </w:t>
      </w:r>
      <w:r w:rsidR="003D6AD7">
        <w:rPr>
          <w:bCs/>
          <w:lang w:val="nl-NL"/>
        </w:rPr>
        <w:t>Ub</w:t>
      </w:r>
      <w:r w:rsidR="00FF7398">
        <w:rPr>
          <w:bCs/>
          <w:lang w:val="nl-NL"/>
        </w:rPr>
        <w:t xml:space="preserve"> Wmo 2015) </w:t>
      </w:r>
      <w:r w:rsidRPr="008131EE" w:rsidR="008131EE">
        <w:rPr>
          <w:bCs/>
          <w:lang w:val="nl-NL"/>
        </w:rPr>
        <w:t>en het</w:t>
      </w:r>
      <w:r w:rsidR="00621AE8">
        <w:rPr>
          <w:bCs/>
          <w:lang w:val="nl-NL"/>
        </w:rPr>
        <w:t xml:space="preserve"> Besluit langdurige zorg</w:t>
      </w:r>
      <w:r w:rsidRPr="008131EE" w:rsidR="008131EE">
        <w:rPr>
          <w:bCs/>
          <w:lang w:val="nl-NL"/>
        </w:rPr>
        <w:t xml:space="preserve"> </w:t>
      </w:r>
      <w:r w:rsidR="00621AE8">
        <w:rPr>
          <w:bCs/>
          <w:lang w:val="nl-NL"/>
        </w:rPr>
        <w:t xml:space="preserve">(hierna: </w:t>
      </w:r>
      <w:r w:rsidRPr="008131EE" w:rsidR="008131EE">
        <w:rPr>
          <w:bCs/>
          <w:lang w:val="nl-NL"/>
        </w:rPr>
        <w:t>Blz</w:t>
      </w:r>
      <w:r w:rsidR="00621AE8">
        <w:rPr>
          <w:bCs/>
          <w:lang w:val="nl-NL"/>
        </w:rPr>
        <w:t>)</w:t>
      </w:r>
      <w:r w:rsidRPr="008131EE" w:rsidR="008131EE">
        <w:rPr>
          <w:bCs/>
          <w:lang w:val="nl-NL"/>
        </w:rPr>
        <w:t xml:space="preserve"> met betrekking tot de eigen bijdragen</w:t>
      </w:r>
      <w:r w:rsidRPr="000903F7" w:rsidR="00CA2EFB">
        <w:rPr>
          <w:lang w:val="nl-NL"/>
        </w:rPr>
        <w:t xml:space="preserve"> </w:t>
      </w:r>
      <w:r w:rsidRPr="00CA2EFB" w:rsidR="00CA2EFB">
        <w:rPr>
          <w:bCs/>
          <w:lang w:val="nl-NL"/>
        </w:rPr>
        <w:t xml:space="preserve">voor beschermd wonen en opvang op grond van de </w:t>
      </w:r>
      <w:r w:rsidR="00CA2EFB">
        <w:rPr>
          <w:bCs/>
          <w:lang w:val="nl-NL"/>
        </w:rPr>
        <w:t xml:space="preserve">Wet maatschappelijke ondersteuning 2015 (hierna: </w:t>
      </w:r>
      <w:r w:rsidRPr="00766911" w:rsidR="00CA2EFB">
        <w:rPr>
          <w:bCs/>
          <w:lang w:val="nl-NL"/>
        </w:rPr>
        <w:t>Wmo 2015</w:t>
      </w:r>
      <w:r w:rsidR="00CA2EFB">
        <w:rPr>
          <w:bCs/>
          <w:lang w:val="nl-NL"/>
        </w:rPr>
        <w:t>)</w:t>
      </w:r>
      <w:r w:rsidRPr="00CA2EFB" w:rsidR="00CA2EFB">
        <w:rPr>
          <w:bCs/>
          <w:lang w:val="nl-NL"/>
        </w:rPr>
        <w:t xml:space="preserve"> en voor zorg op grond van de </w:t>
      </w:r>
      <w:r w:rsidR="00CA2EFB">
        <w:rPr>
          <w:bCs/>
          <w:lang w:val="nl-NL"/>
        </w:rPr>
        <w:t>Wet langdurige zorg (hierna: Wlz)</w:t>
      </w:r>
      <w:r w:rsidR="008131EE">
        <w:rPr>
          <w:bCs/>
          <w:lang w:val="nl-NL"/>
        </w:rPr>
        <w:t>.</w:t>
      </w:r>
      <w:r w:rsidRPr="008131EE" w:rsidR="008131EE">
        <w:rPr>
          <w:bCs/>
          <w:lang w:val="nl-NL"/>
        </w:rPr>
        <w:t xml:space="preserve"> </w:t>
      </w:r>
      <w:r w:rsidRPr="00B90A21" w:rsidR="00B90A21">
        <w:rPr>
          <w:bCs/>
          <w:lang w:val="nl-NL"/>
        </w:rPr>
        <w:t>Het gaat om</w:t>
      </w:r>
      <w:r w:rsidRPr="00B90A21" w:rsidR="00580C2C">
        <w:rPr>
          <w:bCs/>
          <w:lang w:val="nl-NL"/>
        </w:rPr>
        <w:t xml:space="preserve"> het afbouwen van de compensatie </w:t>
      </w:r>
      <w:r w:rsidR="00750D27">
        <w:rPr>
          <w:bCs/>
          <w:lang w:val="nl-NL"/>
        </w:rPr>
        <w:t xml:space="preserve">voor het </w:t>
      </w:r>
      <w:r w:rsidRPr="00B90A21" w:rsidR="00580C2C">
        <w:rPr>
          <w:bCs/>
          <w:lang w:val="nl-NL"/>
        </w:rPr>
        <w:t xml:space="preserve">vervallen </w:t>
      </w:r>
      <w:r w:rsidR="00750D27">
        <w:rPr>
          <w:bCs/>
          <w:lang w:val="nl-NL"/>
        </w:rPr>
        <w:t xml:space="preserve">van de </w:t>
      </w:r>
      <w:r w:rsidRPr="00B90A21" w:rsidR="00580C2C">
        <w:rPr>
          <w:bCs/>
          <w:lang w:val="nl-NL"/>
        </w:rPr>
        <w:t>ouderentoeslag voor pensioengerechtigden</w:t>
      </w:r>
      <w:r w:rsidR="00750D27">
        <w:rPr>
          <w:bCs/>
          <w:lang w:val="nl-NL"/>
        </w:rPr>
        <w:t xml:space="preserve"> </w:t>
      </w:r>
      <w:r w:rsidRPr="00B90A21" w:rsidR="00750D27">
        <w:rPr>
          <w:bCs/>
          <w:lang w:val="nl-NL"/>
        </w:rPr>
        <w:t xml:space="preserve">(hierna: </w:t>
      </w:r>
      <w:r w:rsidR="00750D27">
        <w:rPr>
          <w:bCs/>
          <w:lang w:val="nl-NL"/>
        </w:rPr>
        <w:t>CVO</w:t>
      </w:r>
      <w:r w:rsidRPr="00B90A21" w:rsidR="00750D27">
        <w:rPr>
          <w:bCs/>
          <w:lang w:val="nl-NL"/>
        </w:rPr>
        <w:t xml:space="preserve">) </w:t>
      </w:r>
      <w:r w:rsidRPr="00B90A21" w:rsidR="00580C2C">
        <w:rPr>
          <w:bCs/>
          <w:lang w:val="nl-NL"/>
        </w:rPr>
        <w:t xml:space="preserve">en </w:t>
      </w:r>
      <w:r w:rsidR="008131EE">
        <w:rPr>
          <w:bCs/>
          <w:lang w:val="nl-NL"/>
        </w:rPr>
        <w:t>om</w:t>
      </w:r>
      <w:r w:rsidRPr="00B90A21" w:rsidR="00580C2C">
        <w:rPr>
          <w:bCs/>
          <w:lang w:val="nl-NL"/>
        </w:rPr>
        <w:t xml:space="preserve"> het afschaffen van de extra vermogensvrijstelling voor niet-pensioengerechtigden</w:t>
      </w:r>
      <w:r w:rsidR="00750D27">
        <w:rPr>
          <w:bCs/>
          <w:lang w:val="nl-NL"/>
        </w:rPr>
        <w:t xml:space="preserve"> </w:t>
      </w:r>
      <w:r w:rsidRPr="00B90A21" w:rsidR="00750D27">
        <w:rPr>
          <w:bCs/>
          <w:lang w:val="nl-NL"/>
        </w:rPr>
        <w:t xml:space="preserve">(hierna: </w:t>
      </w:r>
      <w:r w:rsidR="00750D27">
        <w:rPr>
          <w:bCs/>
          <w:lang w:val="nl-NL"/>
        </w:rPr>
        <w:t>EVV</w:t>
      </w:r>
      <w:r w:rsidRPr="00B90A21" w:rsidR="00750D27">
        <w:rPr>
          <w:bCs/>
          <w:lang w:val="nl-NL"/>
        </w:rPr>
        <w:t>)</w:t>
      </w:r>
      <w:r w:rsidRPr="00B90A21" w:rsidR="00580C2C">
        <w:rPr>
          <w:bCs/>
          <w:lang w:val="nl-NL"/>
        </w:rPr>
        <w:t>.</w:t>
      </w:r>
    </w:p>
    <w:p w:rsidR="00621AE8" w:rsidP="000F3FAD" w:rsidRDefault="00621AE8" w14:paraId="6B65966D" w14:textId="77777777">
      <w:pPr>
        <w:rPr>
          <w:bCs/>
          <w:lang w:val="nl-NL"/>
        </w:rPr>
      </w:pPr>
    </w:p>
    <w:p w:rsidRPr="00621AE8" w:rsidR="00621AE8" w:rsidP="00621AE8" w:rsidRDefault="00621AE8" w14:paraId="4831B0C3" w14:textId="77777777">
      <w:pPr>
        <w:rPr>
          <w:bCs/>
          <w:i/>
          <w:iCs/>
          <w:lang w:val="nl-NL"/>
        </w:rPr>
      </w:pPr>
      <w:r w:rsidRPr="00621AE8">
        <w:rPr>
          <w:bCs/>
          <w:i/>
          <w:iCs/>
          <w:lang w:val="nl-NL"/>
        </w:rPr>
        <w:t>1.2 Voorhangprocedure</w:t>
      </w:r>
    </w:p>
    <w:p w:rsidRPr="00621AE8" w:rsidR="00621AE8" w:rsidP="00621AE8" w:rsidRDefault="00621AE8" w14:paraId="3556F51E" w14:textId="77777777">
      <w:pPr>
        <w:rPr>
          <w:bCs/>
          <w:lang w:val="nl-NL"/>
        </w:rPr>
      </w:pPr>
    </w:p>
    <w:p w:rsidR="00621AE8" w:rsidP="00621AE8" w:rsidRDefault="00621AE8" w14:paraId="07B6820E" w14:textId="5C4DA05D">
      <w:pPr>
        <w:rPr>
          <w:bCs/>
          <w:lang w:val="nl-NL"/>
        </w:rPr>
      </w:pPr>
      <w:r w:rsidRPr="00621AE8">
        <w:rPr>
          <w:bCs/>
          <w:lang w:val="nl-NL"/>
        </w:rPr>
        <w:t xml:space="preserve">Het ontwerp van dit besluit is overeenkomstig artikel </w:t>
      </w:r>
      <w:r>
        <w:rPr>
          <w:bCs/>
          <w:lang w:val="nl-NL"/>
        </w:rPr>
        <w:t>3.2.5, derde lid,</w:t>
      </w:r>
      <w:r w:rsidRPr="00621AE8">
        <w:rPr>
          <w:bCs/>
          <w:lang w:val="nl-NL"/>
        </w:rPr>
        <w:t xml:space="preserve"> van de </w:t>
      </w:r>
      <w:r w:rsidRPr="00CA2EFB" w:rsidR="00CA2EFB">
        <w:rPr>
          <w:bCs/>
          <w:lang w:val="nl-NL"/>
        </w:rPr>
        <w:t>Wlz</w:t>
      </w:r>
      <w:r w:rsidRPr="00621AE8" w:rsidR="00CA2EFB">
        <w:rPr>
          <w:bCs/>
          <w:lang w:val="nl-NL"/>
        </w:rPr>
        <w:t xml:space="preserve"> </w:t>
      </w:r>
      <w:r w:rsidRPr="00621AE8">
        <w:rPr>
          <w:bCs/>
          <w:lang w:val="nl-NL"/>
        </w:rPr>
        <w:t xml:space="preserve">op </w:t>
      </w:r>
      <w:r>
        <w:rPr>
          <w:bCs/>
          <w:lang w:val="nl-NL"/>
        </w:rPr>
        <w:t xml:space="preserve">[PM] </w:t>
      </w:r>
      <w:r w:rsidRPr="00621AE8">
        <w:rPr>
          <w:bCs/>
          <w:lang w:val="nl-NL"/>
        </w:rPr>
        <w:t>aan beide Kamers der Staten-Generaal overgelegd (Kamerstukken II 202</w:t>
      </w:r>
      <w:r>
        <w:rPr>
          <w:bCs/>
          <w:lang w:val="nl-NL"/>
        </w:rPr>
        <w:t>4</w:t>
      </w:r>
      <w:r w:rsidRPr="00621AE8">
        <w:rPr>
          <w:bCs/>
          <w:lang w:val="nl-NL"/>
        </w:rPr>
        <w:t>/2</w:t>
      </w:r>
      <w:r>
        <w:rPr>
          <w:bCs/>
          <w:lang w:val="nl-NL"/>
        </w:rPr>
        <w:t>5</w:t>
      </w:r>
      <w:r w:rsidRPr="00621AE8">
        <w:rPr>
          <w:bCs/>
          <w:lang w:val="nl-NL"/>
        </w:rPr>
        <w:t xml:space="preserve">, </w:t>
      </w:r>
      <w:r>
        <w:rPr>
          <w:bCs/>
          <w:lang w:val="nl-NL"/>
        </w:rPr>
        <w:t>[PM]</w:t>
      </w:r>
      <w:r w:rsidRPr="00621AE8">
        <w:rPr>
          <w:bCs/>
          <w:lang w:val="nl-NL"/>
        </w:rPr>
        <w:t xml:space="preserve">, nr. </w:t>
      </w:r>
      <w:r>
        <w:rPr>
          <w:bCs/>
          <w:lang w:val="nl-NL"/>
        </w:rPr>
        <w:t>[PM]</w:t>
      </w:r>
      <w:r w:rsidRPr="00621AE8">
        <w:rPr>
          <w:bCs/>
          <w:lang w:val="nl-NL"/>
        </w:rPr>
        <w:t xml:space="preserve">). </w:t>
      </w:r>
      <w:r w:rsidR="00D50CFF">
        <w:rPr>
          <w:bCs/>
          <w:lang w:val="nl-NL"/>
        </w:rPr>
        <w:t>[PM: inbreng en verwerking daarvan]</w:t>
      </w:r>
    </w:p>
    <w:p w:rsidRPr="0060352C" w:rsidR="00C32151" w:rsidP="000F3FAD" w:rsidRDefault="00C32151" w14:paraId="583471FE" w14:textId="50BE9B33">
      <w:pPr>
        <w:rPr>
          <w:bCs/>
          <w:lang w:val="nl-NL"/>
        </w:rPr>
      </w:pPr>
    </w:p>
    <w:p w:rsidRPr="0060352C" w:rsidR="000F3FAD" w:rsidP="000F3FAD" w:rsidRDefault="00736DF0" w14:paraId="45C8B9FC" w14:textId="5031FFEC">
      <w:pPr>
        <w:rPr>
          <w:b/>
          <w:lang w:val="nl-NL"/>
        </w:rPr>
      </w:pPr>
      <w:r w:rsidRPr="0060352C">
        <w:rPr>
          <w:b/>
          <w:lang w:val="nl-NL"/>
        </w:rPr>
        <w:t>2</w:t>
      </w:r>
      <w:r w:rsidRPr="0060352C" w:rsidR="000F3FAD">
        <w:rPr>
          <w:b/>
          <w:lang w:val="nl-NL"/>
        </w:rPr>
        <w:t xml:space="preserve">. Hoofdlijnen van het besluit </w:t>
      </w:r>
    </w:p>
    <w:p w:rsidRPr="0060352C" w:rsidR="001478A3" w:rsidP="000F3FAD" w:rsidRDefault="001478A3" w14:paraId="42E07464" w14:textId="77777777">
      <w:pPr>
        <w:rPr>
          <w:bCs/>
          <w:lang w:val="nl-NL"/>
        </w:rPr>
      </w:pPr>
      <w:bookmarkStart w:name="_Hlk160719690" w:id="0"/>
    </w:p>
    <w:p w:rsidR="00BF342B" w:rsidP="007A0985" w:rsidRDefault="007A0985" w14:paraId="38C8C33F" w14:textId="3B30ED41">
      <w:pPr>
        <w:rPr>
          <w:bCs/>
          <w:lang w:val="nl-NL"/>
        </w:rPr>
      </w:pPr>
      <w:r w:rsidRPr="00766911">
        <w:rPr>
          <w:bCs/>
          <w:lang w:val="nl-NL"/>
        </w:rPr>
        <w:t xml:space="preserve">De CVO </w:t>
      </w:r>
      <w:r w:rsidR="00CC6A52">
        <w:rPr>
          <w:bCs/>
          <w:lang w:val="nl-NL"/>
        </w:rPr>
        <w:t>is</w:t>
      </w:r>
      <w:r w:rsidRPr="00766911" w:rsidR="00CC6A52">
        <w:rPr>
          <w:bCs/>
          <w:lang w:val="nl-NL"/>
        </w:rPr>
        <w:t xml:space="preserve"> </w:t>
      </w:r>
      <w:r w:rsidRPr="00766911">
        <w:rPr>
          <w:bCs/>
          <w:lang w:val="nl-NL"/>
        </w:rPr>
        <w:t xml:space="preserve">een aftrekpost voor </w:t>
      </w:r>
      <w:r w:rsidR="00BF342B">
        <w:rPr>
          <w:bCs/>
          <w:lang w:val="nl-NL"/>
        </w:rPr>
        <w:t xml:space="preserve">het inkomen </w:t>
      </w:r>
      <w:r w:rsidR="00CA2EFB">
        <w:rPr>
          <w:bCs/>
          <w:lang w:val="nl-NL"/>
        </w:rPr>
        <w:t>op basis waar</w:t>
      </w:r>
      <w:r w:rsidRPr="00766911">
        <w:rPr>
          <w:bCs/>
          <w:lang w:val="nl-NL"/>
        </w:rPr>
        <w:t xml:space="preserve">van eigen bijdragen </w:t>
      </w:r>
      <w:r w:rsidRPr="00766911" w:rsidR="00056E76">
        <w:rPr>
          <w:bCs/>
          <w:lang w:val="nl-NL"/>
        </w:rPr>
        <w:t xml:space="preserve">op grond van de </w:t>
      </w:r>
      <w:r w:rsidRPr="00CA2EFB" w:rsidR="00CA2EFB">
        <w:rPr>
          <w:bCs/>
          <w:lang w:val="nl-NL"/>
        </w:rPr>
        <w:t>Wmo 2015</w:t>
      </w:r>
      <w:r w:rsidR="00CA2EFB">
        <w:rPr>
          <w:bCs/>
          <w:lang w:val="nl-NL"/>
        </w:rPr>
        <w:t xml:space="preserve"> </w:t>
      </w:r>
      <w:r w:rsidR="00056E76">
        <w:rPr>
          <w:bCs/>
          <w:lang w:val="nl-NL"/>
        </w:rPr>
        <w:t xml:space="preserve">en </w:t>
      </w:r>
      <w:r w:rsidRPr="00766911">
        <w:rPr>
          <w:bCs/>
          <w:lang w:val="nl-NL"/>
        </w:rPr>
        <w:t>de Wlz</w:t>
      </w:r>
      <w:r w:rsidR="00CA2EFB">
        <w:rPr>
          <w:bCs/>
          <w:lang w:val="nl-NL"/>
        </w:rPr>
        <w:t xml:space="preserve"> </w:t>
      </w:r>
      <w:r w:rsidR="00EE5C91">
        <w:rPr>
          <w:bCs/>
          <w:lang w:val="nl-NL"/>
        </w:rPr>
        <w:t>w</w:t>
      </w:r>
      <w:r w:rsidR="007F2D23">
        <w:rPr>
          <w:bCs/>
          <w:lang w:val="nl-NL"/>
        </w:rPr>
        <w:t>o</w:t>
      </w:r>
      <w:r w:rsidR="00EE5C91">
        <w:rPr>
          <w:bCs/>
          <w:lang w:val="nl-NL"/>
        </w:rPr>
        <w:t xml:space="preserve">rden </w:t>
      </w:r>
      <w:r w:rsidR="00CA2EFB">
        <w:rPr>
          <w:bCs/>
          <w:lang w:val="nl-NL"/>
        </w:rPr>
        <w:t>berekend</w:t>
      </w:r>
      <w:r w:rsidRPr="00766911">
        <w:rPr>
          <w:bCs/>
          <w:lang w:val="nl-NL"/>
        </w:rPr>
        <w:t xml:space="preserve">. </w:t>
      </w:r>
      <w:r w:rsidR="00EE5C91">
        <w:rPr>
          <w:bCs/>
          <w:lang w:val="nl-NL"/>
        </w:rPr>
        <w:t>Met d</w:t>
      </w:r>
      <w:r w:rsidR="00BF342B">
        <w:rPr>
          <w:bCs/>
          <w:lang w:val="nl-NL"/>
        </w:rPr>
        <w:t xml:space="preserve">it besluit </w:t>
      </w:r>
      <w:r w:rsidR="00EE5C91">
        <w:rPr>
          <w:bCs/>
          <w:lang w:val="nl-NL"/>
        </w:rPr>
        <w:t xml:space="preserve">is de CVO </w:t>
      </w:r>
      <w:r w:rsidRPr="00766911" w:rsidR="00BF342B">
        <w:rPr>
          <w:bCs/>
          <w:lang w:val="nl-NL"/>
        </w:rPr>
        <w:t>in de periode 2026–2028 in drie stappen afgebouwd</w:t>
      </w:r>
      <w:r w:rsidR="00F30ABB">
        <w:rPr>
          <w:bCs/>
          <w:lang w:val="nl-NL"/>
        </w:rPr>
        <w:t xml:space="preserve"> en </w:t>
      </w:r>
      <w:r w:rsidR="00BA27CA">
        <w:rPr>
          <w:bCs/>
          <w:lang w:val="nl-NL"/>
        </w:rPr>
        <w:t xml:space="preserve">uiteindelijk </w:t>
      </w:r>
      <w:r w:rsidR="00F30ABB">
        <w:rPr>
          <w:bCs/>
          <w:lang w:val="nl-NL"/>
        </w:rPr>
        <w:t>afgeschaft</w:t>
      </w:r>
      <w:r w:rsidRPr="00766911" w:rsidR="00BF342B">
        <w:rPr>
          <w:bCs/>
          <w:lang w:val="nl-NL"/>
        </w:rPr>
        <w:t>.</w:t>
      </w:r>
    </w:p>
    <w:p w:rsidR="00BF342B" w:rsidP="007A0985" w:rsidRDefault="00BF342B" w14:paraId="7C3F37F9" w14:textId="77777777">
      <w:pPr>
        <w:rPr>
          <w:bCs/>
          <w:lang w:val="nl-NL"/>
        </w:rPr>
      </w:pPr>
    </w:p>
    <w:p w:rsidR="007A0985" w:rsidP="007A0985" w:rsidRDefault="007A0985" w14:paraId="2F1B42A0" w14:textId="360C5BBD">
      <w:pPr>
        <w:rPr>
          <w:bCs/>
          <w:lang w:val="nl-NL"/>
        </w:rPr>
      </w:pPr>
      <w:r w:rsidRPr="00766911">
        <w:rPr>
          <w:bCs/>
          <w:lang w:val="nl-NL"/>
        </w:rPr>
        <w:t xml:space="preserve">De EVV </w:t>
      </w:r>
      <w:r w:rsidR="007F2D23">
        <w:rPr>
          <w:bCs/>
          <w:lang w:val="nl-NL"/>
        </w:rPr>
        <w:t>i</w:t>
      </w:r>
      <w:r w:rsidRPr="00766911">
        <w:rPr>
          <w:bCs/>
          <w:lang w:val="nl-NL"/>
        </w:rPr>
        <w:t>s een vrĳstelling van het vermogen dat meetel</w:t>
      </w:r>
      <w:r w:rsidR="007F2D23">
        <w:rPr>
          <w:bCs/>
          <w:lang w:val="nl-NL"/>
        </w:rPr>
        <w:t>t</w:t>
      </w:r>
      <w:r w:rsidRPr="00766911">
        <w:rPr>
          <w:bCs/>
          <w:lang w:val="nl-NL"/>
        </w:rPr>
        <w:t xml:space="preserve"> voor het bepalen van de </w:t>
      </w:r>
      <w:r w:rsidRPr="00056E76" w:rsidR="00056E76">
        <w:rPr>
          <w:bCs/>
          <w:lang w:val="nl-NL"/>
        </w:rPr>
        <w:t>vermogensinkomensbijtelling (</w:t>
      </w:r>
      <w:r w:rsidR="00056E76">
        <w:rPr>
          <w:bCs/>
          <w:lang w:val="nl-NL"/>
        </w:rPr>
        <w:t xml:space="preserve">hierna: </w:t>
      </w:r>
      <w:r w:rsidRPr="00056E76" w:rsidR="00056E76">
        <w:rPr>
          <w:bCs/>
          <w:lang w:val="nl-NL"/>
        </w:rPr>
        <w:t>VIB)</w:t>
      </w:r>
      <w:r w:rsidR="00056E76">
        <w:rPr>
          <w:bCs/>
          <w:lang w:val="nl-NL"/>
        </w:rPr>
        <w:t xml:space="preserve"> </w:t>
      </w:r>
      <w:r w:rsidR="00CA2EFB">
        <w:rPr>
          <w:bCs/>
          <w:lang w:val="nl-NL"/>
        </w:rPr>
        <w:t>op basis waarvan</w:t>
      </w:r>
      <w:r w:rsidRPr="00766911">
        <w:rPr>
          <w:bCs/>
          <w:lang w:val="nl-NL"/>
        </w:rPr>
        <w:t xml:space="preserve"> eigen bĳdragen op grond van </w:t>
      </w:r>
      <w:r w:rsidR="00CA2EFB">
        <w:rPr>
          <w:bCs/>
          <w:lang w:val="nl-NL"/>
        </w:rPr>
        <w:t xml:space="preserve">de Wmo 2015 en </w:t>
      </w:r>
      <w:r w:rsidRPr="00766911">
        <w:rPr>
          <w:bCs/>
          <w:lang w:val="nl-NL"/>
        </w:rPr>
        <w:t>de Wlz</w:t>
      </w:r>
      <w:r w:rsidR="00CA2EFB">
        <w:rPr>
          <w:bCs/>
          <w:lang w:val="nl-NL"/>
        </w:rPr>
        <w:t xml:space="preserve"> w</w:t>
      </w:r>
      <w:r w:rsidR="00EE5C91">
        <w:rPr>
          <w:bCs/>
          <w:lang w:val="nl-NL"/>
        </w:rPr>
        <w:t>e</w:t>
      </w:r>
      <w:r w:rsidR="00CA2EFB">
        <w:rPr>
          <w:bCs/>
          <w:lang w:val="nl-NL"/>
        </w:rPr>
        <w:t>rden berekend</w:t>
      </w:r>
      <w:r w:rsidRPr="00766911">
        <w:rPr>
          <w:bCs/>
          <w:lang w:val="nl-NL"/>
        </w:rPr>
        <w:t xml:space="preserve">. </w:t>
      </w:r>
      <w:r w:rsidR="00EF55D6">
        <w:rPr>
          <w:bCs/>
          <w:lang w:val="nl-NL"/>
        </w:rPr>
        <w:t xml:space="preserve">Met dit </w:t>
      </w:r>
      <w:r w:rsidRPr="00766911">
        <w:rPr>
          <w:bCs/>
          <w:lang w:val="nl-NL"/>
        </w:rPr>
        <w:t xml:space="preserve">besluit </w:t>
      </w:r>
      <w:r w:rsidR="00EF55D6">
        <w:rPr>
          <w:bCs/>
          <w:lang w:val="nl-NL"/>
        </w:rPr>
        <w:t xml:space="preserve">is de EVV </w:t>
      </w:r>
      <w:r w:rsidR="00976E47">
        <w:rPr>
          <w:bCs/>
          <w:lang w:val="nl-NL"/>
        </w:rPr>
        <w:t xml:space="preserve">per 2026 </w:t>
      </w:r>
      <w:r w:rsidR="00EF55D6">
        <w:rPr>
          <w:bCs/>
          <w:lang w:val="nl-NL"/>
        </w:rPr>
        <w:t xml:space="preserve">afgeschaft. </w:t>
      </w:r>
    </w:p>
    <w:p w:rsidR="00EF55D6" w:rsidP="007A0985" w:rsidRDefault="00EF55D6" w14:paraId="3AC4BB68" w14:textId="72E8D70C">
      <w:pPr>
        <w:rPr>
          <w:bCs/>
          <w:lang w:val="nl-NL"/>
        </w:rPr>
      </w:pPr>
    </w:p>
    <w:p w:rsidRPr="00766911" w:rsidR="00EF55D6" w:rsidP="007A0985" w:rsidRDefault="00EF55D6" w14:paraId="43D9596C" w14:textId="1251FE74">
      <w:pPr>
        <w:rPr>
          <w:bCs/>
          <w:lang w:val="nl-NL"/>
        </w:rPr>
      </w:pPr>
      <w:r>
        <w:rPr>
          <w:bCs/>
          <w:lang w:val="nl-NL"/>
        </w:rPr>
        <w:t>De volgende alinea’s lichten toe waarom de CVO en de EVV ooit zijn ingevoerd en waarom</w:t>
      </w:r>
      <w:r w:rsidRPr="002874A3" w:rsidR="00460576">
        <w:rPr>
          <w:lang w:val="nl-NL"/>
        </w:rPr>
        <w:t xml:space="preserve"> </w:t>
      </w:r>
      <w:r w:rsidRPr="00460576" w:rsidR="00460576">
        <w:rPr>
          <w:bCs/>
          <w:lang w:val="nl-NL"/>
        </w:rPr>
        <w:t xml:space="preserve">bij de Voorjaarsnota 2024 </w:t>
      </w:r>
      <w:r>
        <w:rPr>
          <w:bCs/>
          <w:lang w:val="nl-NL"/>
        </w:rPr>
        <w:t xml:space="preserve">is besloten tot </w:t>
      </w:r>
      <w:r w:rsidR="002439A9">
        <w:rPr>
          <w:bCs/>
          <w:lang w:val="nl-NL"/>
        </w:rPr>
        <w:t xml:space="preserve">het </w:t>
      </w:r>
      <w:r w:rsidR="007F2D23">
        <w:rPr>
          <w:bCs/>
          <w:lang w:val="nl-NL"/>
        </w:rPr>
        <w:t xml:space="preserve">afbouwen </w:t>
      </w:r>
      <w:r w:rsidR="002439A9">
        <w:rPr>
          <w:bCs/>
          <w:lang w:val="nl-NL"/>
        </w:rPr>
        <w:t>respectievelijk</w:t>
      </w:r>
      <w:r w:rsidR="007F2D23">
        <w:rPr>
          <w:bCs/>
          <w:lang w:val="nl-NL"/>
        </w:rPr>
        <w:t xml:space="preserve"> </w:t>
      </w:r>
      <w:r w:rsidR="00CA2EFB">
        <w:rPr>
          <w:bCs/>
          <w:lang w:val="nl-NL"/>
        </w:rPr>
        <w:t>beëindig</w:t>
      </w:r>
      <w:r w:rsidR="002439A9">
        <w:rPr>
          <w:bCs/>
          <w:lang w:val="nl-NL"/>
        </w:rPr>
        <w:t>en</w:t>
      </w:r>
      <w:r>
        <w:rPr>
          <w:bCs/>
          <w:lang w:val="nl-NL"/>
        </w:rPr>
        <w:t xml:space="preserve"> ervan.</w:t>
      </w:r>
    </w:p>
    <w:p w:rsidR="00EF55D6" w:rsidP="007A0985" w:rsidRDefault="00EF55D6" w14:paraId="4A0FB4EE" w14:textId="6BD74063">
      <w:pPr>
        <w:rPr>
          <w:bCs/>
          <w:lang w:val="nl-NL"/>
        </w:rPr>
      </w:pPr>
    </w:p>
    <w:p w:rsidRPr="00805158" w:rsidR="00EF55D6" w:rsidP="007A0985" w:rsidRDefault="00EF55D6" w14:paraId="036EE016" w14:textId="3C513B05">
      <w:pPr>
        <w:rPr>
          <w:bCs/>
          <w:i/>
          <w:iCs/>
          <w:lang w:val="nl-NL"/>
        </w:rPr>
      </w:pPr>
      <w:r>
        <w:rPr>
          <w:bCs/>
          <w:i/>
          <w:iCs/>
          <w:lang w:val="nl-NL"/>
        </w:rPr>
        <w:t>CVO</w:t>
      </w:r>
    </w:p>
    <w:p w:rsidRPr="00766911" w:rsidR="007A0985" w:rsidP="007A0985" w:rsidRDefault="007A0985" w14:paraId="43D7BE87" w14:textId="6D919C86">
      <w:pPr>
        <w:rPr>
          <w:bCs/>
          <w:lang w:val="nl-NL"/>
        </w:rPr>
      </w:pPr>
      <w:r w:rsidRPr="00766911">
        <w:rPr>
          <w:bCs/>
          <w:lang w:val="nl-NL"/>
        </w:rPr>
        <w:t xml:space="preserve"> </w:t>
      </w:r>
    </w:p>
    <w:p w:rsidRPr="00766911" w:rsidR="007A0985" w:rsidP="007A0985" w:rsidRDefault="007A0985" w14:paraId="46B5290B" w14:textId="5EDDE098">
      <w:pPr>
        <w:rPr>
          <w:bCs/>
          <w:lang w:val="nl-NL"/>
        </w:rPr>
      </w:pPr>
      <w:r w:rsidRPr="00766911">
        <w:rPr>
          <w:bCs/>
          <w:lang w:val="nl-NL"/>
        </w:rPr>
        <w:t>Tot en met 2015 werd in de fiscaliteit voor pensioengerechtigden met een laag inkomen het heffingsvrije vermogen verhoogd met de zogenoemde ouderentoeslag. Per 2016 is deze toeslag afgeschaft. Daarmee daalde het heffingsvrij</w:t>
      </w:r>
      <w:r w:rsidR="00AB22C0">
        <w:rPr>
          <w:bCs/>
          <w:lang w:val="nl-NL"/>
        </w:rPr>
        <w:t>e</w:t>
      </w:r>
      <w:r w:rsidRPr="00766911">
        <w:rPr>
          <w:bCs/>
          <w:lang w:val="nl-NL"/>
        </w:rPr>
        <w:t xml:space="preserve"> vermogen en steeg de grondslag voor zowel het verzamelinkomen als de VIB. Dit zou </w:t>
      </w:r>
      <w:r w:rsidR="000903F7">
        <w:rPr>
          <w:bCs/>
          <w:lang w:val="nl-NL"/>
        </w:rPr>
        <w:t xml:space="preserve">per 2018 </w:t>
      </w:r>
      <w:r w:rsidRPr="00766911">
        <w:rPr>
          <w:bCs/>
          <w:lang w:val="nl-NL"/>
        </w:rPr>
        <w:t>leiden tot hogere eigen bijdragen voor zorg op grond van de Wlz en beschermd wonen op basis van de Wmo 2015</w:t>
      </w:r>
      <w:r w:rsidR="000903F7">
        <w:rPr>
          <w:bCs/>
          <w:lang w:val="nl-NL"/>
        </w:rPr>
        <w:t>, aangezien deze bijdragen zijn gebaseerd op het inkomen en vermogen van twee jaar eerder; dit wordt</w:t>
      </w:r>
      <w:r w:rsidR="00AB22C0">
        <w:rPr>
          <w:bCs/>
          <w:lang w:val="nl-NL"/>
        </w:rPr>
        <w:t xml:space="preserve"> de</w:t>
      </w:r>
      <w:r w:rsidR="000903F7">
        <w:rPr>
          <w:bCs/>
          <w:lang w:val="nl-NL"/>
        </w:rPr>
        <w:t xml:space="preserve"> t-2 systematiek genoemd</w:t>
      </w:r>
      <w:r w:rsidRPr="00766911">
        <w:rPr>
          <w:bCs/>
          <w:lang w:val="nl-NL"/>
        </w:rPr>
        <w:t xml:space="preserve">. Om deze doorwerking te voorkomen, </w:t>
      </w:r>
      <w:r w:rsidR="00BF05C2">
        <w:rPr>
          <w:bCs/>
          <w:lang w:val="nl-NL"/>
        </w:rPr>
        <w:t>is</w:t>
      </w:r>
      <w:r w:rsidRPr="00766911" w:rsidR="00CC6A52">
        <w:rPr>
          <w:bCs/>
          <w:lang w:val="nl-NL"/>
        </w:rPr>
        <w:t xml:space="preserve"> </w:t>
      </w:r>
      <w:r w:rsidRPr="00766911">
        <w:rPr>
          <w:bCs/>
          <w:lang w:val="nl-NL"/>
        </w:rPr>
        <w:t xml:space="preserve">sinds 2018 de CVO </w:t>
      </w:r>
      <w:r w:rsidR="00BF05C2">
        <w:rPr>
          <w:bCs/>
          <w:lang w:val="nl-NL"/>
        </w:rPr>
        <w:t>voor</w:t>
      </w:r>
      <w:r w:rsidRPr="00766911">
        <w:rPr>
          <w:bCs/>
          <w:lang w:val="nl-NL"/>
        </w:rPr>
        <w:t xml:space="preserve"> de berekening van deze eigen bijdragen</w:t>
      </w:r>
      <w:r w:rsidR="00BF05C2">
        <w:rPr>
          <w:bCs/>
          <w:lang w:val="nl-NL"/>
        </w:rPr>
        <w:t xml:space="preserve"> </w:t>
      </w:r>
      <w:r w:rsidR="00800408">
        <w:rPr>
          <w:bCs/>
          <w:lang w:val="nl-NL"/>
        </w:rPr>
        <w:t>in</w:t>
      </w:r>
      <w:r w:rsidR="00BF05C2">
        <w:rPr>
          <w:bCs/>
          <w:lang w:val="nl-NL"/>
        </w:rPr>
        <w:t>gesteld</w:t>
      </w:r>
      <w:r w:rsidRPr="00766911">
        <w:rPr>
          <w:bCs/>
          <w:lang w:val="nl-NL"/>
        </w:rPr>
        <w:t xml:space="preserve">. </w:t>
      </w:r>
    </w:p>
    <w:p w:rsidRPr="00766911" w:rsidR="007A0985" w:rsidP="007A0985" w:rsidRDefault="007A0985" w14:paraId="2EF46955" w14:textId="12952FF7">
      <w:pPr>
        <w:rPr>
          <w:bCs/>
          <w:lang w:val="nl-NL"/>
        </w:rPr>
      </w:pPr>
    </w:p>
    <w:p w:rsidRPr="00766911" w:rsidR="007A0985" w:rsidP="007A0985" w:rsidRDefault="00D73CDB" w14:paraId="7179AFA7" w14:textId="03422BA4">
      <w:pPr>
        <w:rPr>
          <w:bCs/>
          <w:lang w:val="nl-NL"/>
        </w:rPr>
      </w:pPr>
      <w:r>
        <w:rPr>
          <w:bCs/>
          <w:lang w:val="nl-NL"/>
        </w:rPr>
        <w:t>Door d</w:t>
      </w:r>
      <w:r w:rsidRPr="00766911" w:rsidR="007A0985">
        <w:rPr>
          <w:bCs/>
          <w:lang w:val="nl-NL"/>
        </w:rPr>
        <w:t xml:space="preserve">iverse ontwikkelingen in de periode na 2018 </w:t>
      </w:r>
      <w:r w:rsidR="00911A5F">
        <w:rPr>
          <w:bCs/>
          <w:lang w:val="nl-NL"/>
        </w:rPr>
        <w:t xml:space="preserve">is </w:t>
      </w:r>
      <w:r>
        <w:rPr>
          <w:bCs/>
          <w:lang w:val="nl-NL"/>
        </w:rPr>
        <w:t xml:space="preserve">de noodzaak voor </w:t>
      </w:r>
      <w:r w:rsidRPr="00766911" w:rsidR="007A0985">
        <w:rPr>
          <w:bCs/>
          <w:lang w:val="nl-NL"/>
        </w:rPr>
        <w:t xml:space="preserve">de CVO </w:t>
      </w:r>
      <w:r>
        <w:rPr>
          <w:bCs/>
          <w:lang w:val="nl-NL"/>
        </w:rPr>
        <w:t>verdwenen</w:t>
      </w:r>
      <w:r w:rsidRPr="00766911" w:rsidR="007A0985">
        <w:rPr>
          <w:bCs/>
          <w:lang w:val="nl-NL"/>
        </w:rPr>
        <w:t xml:space="preserve">. Zo </w:t>
      </w:r>
      <w:r w:rsidR="00B02A40">
        <w:rPr>
          <w:bCs/>
          <w:lang w:val="nl-NL"/>
        </w:rPr>
        <w:t>werd</w:t>
      </w:r>
      <w:r w:rsidRPr="00766911" w:rsidR="00B02A40">
        <w:rPr>
          <w:bCs/>
          <w:lang w:val="nl-NL"/>
        </w:rPr>
        <w:t xml:space="preserve"> </w:t>
      </w:r>
      <w:r w:rsidRPr="00766911" w:rsidR="007A0985">
        <w:rPr>
          <w:bCs/>
          <w:lang w:val="nl-NL"/>
        </w:rPr>
        <w:t>in de fiscaliteit het heffingsvrije vermogen</w:t>
      </w:r>
      <w:r w:rsidR="00D35295">
        <w:rPr>
          <w:bCs/>
          <w:lang w:val="nl-NL"/>
        </w:rPr>
        <w:t>, dat ook gehanteerd wordt bij de berekening van de eigen bijdragen,</w:t>
      </w:r>
      <w:r w:rsidRPr="00766911" w:rsidR="007A0985">
        <w:rPr>
          <w:bCs/>
          <w:lang w:val="nl-NL"/>
        </w:rPr>
        <w:t xml:space="preserve"> fors verhoogd en </w:t>
      </w:r>
      <w:r w:rsidR="00B02A40">
        <w:rPr>
          <w:bCs/>
          <w:lang w:val="nl-NL"/>
        </w:rPr>
        <w:t xml:space="preserve">werd </w:t>
      </w:r>
      <w:r w:rsidRPr="00766911" w:rsidR="007A0985">
        <w:rPr>
          <w:bCs/>
          <w:lang w:val="nl-NL"/>
        </w:rPr>
        <w:t xml:space="preserve">voor de eigen bijdragen het percentage voor de VIB gehalveerd. Ook </w:t>
      </w:r>
      <w:r w:rsidR="00B02A40">
        <w:rPr>
          <w:bCs/>
          <w:lang w:val="nl-NL"/>
        </w:rPr>
        <w:t>werd</w:t>
      </w:r>
      <w:r w:rsidRPr="00766911" w:rsidR="00B02A40">
        <w:rPr>
          <w:bCs/>
          <w:lang w:val="nl-NL"/>
        </w:rPr>
        <w:t xml:space="preserve"> </w:t>
      </w:r>
      <w:r w:rsidRPr="00766911" w:rsidR="007A0985">
        <w:rPr>
          <w:bCs/>
          <w:lang w:val="nl-NL"/>
        </w:rPr>
        <w:t xml:space="preserve">het vermogen </w:t>
      </w:r>
      <w:r w:rsidR="00EF55D6">
        <w:rPr>
          <w:bCs/>
          <w:lang w:val="nl-NL"/>
        </w:rPr>
        <w:t xml:space="preserve">verhoogd </w:t>
      </w:r>
      <w:r w:rsidRPr="00766911" w:rsidR="007A0985">
        <w:rPr>
          <w:bCs/>
          <w:lang w:val="nl-NL"/>
        </w:rPr>
        <w:t>dat niet meetelt bij de berekening van de VIB. In 2018 was het heffingsvrije vermogen € 24.437</w:t>
      </w:r>
      <w:r w:rsidRPr="00766911" w:rsidR="007A0985">
        <w:rPr>
          <w:rStyle w:val="Voetnootmarkering"/>
          <w:bCs/>
          <w:lang w:val="nl-NL"/>
        </w:rPr>
        <w:footnoteReference w:id="2"/>
      </w:r>
      <w:r w:rsidR="00AB22C0">
        <w:rPr>
          <w:bCs/>
          <w:lang w:val="nl-NL"/>
        </w:rPr>
        <w:t xml:space="preserve"> en het VIB percentage 8%</w:t>
      </w:r>
      <w:r w:rsidRPr="00766911" w:rsidR="007A0985">
        <w:rPr>
          <w:bCs/>
          <w:lang w:val="nl-NL"/>
        </w:rPr>
        <w:t>. In</w:t>
      </w:r>
      <w:r w:rsidR="00C73610">
        <w:rPr>
          <w:bCs/>
          <w:lang w:val="nl-NL"/>
        </w:rPr>
        <w:t xml:space="preserve"> </w:t>
      </w:r>
      <w:r w:rsidR="00226EDF">
        <w:rPr>
          <w:bCs/>
          <w:lang w:val="nl-NL"/>
        </w:rPr>
        <w:t>2025</w:t>
      </w:r>
      <w:r w:rsidR="00C73610">
        <w:rPr>
          <w:bCs/>
          <w:lang w:val="nl-NL"/>
        </w:rPr>
        <w:t xml:space="preserve"> </w:t>
      </w:r>
      <w:r w:rsidRPr="00766911" w:rsidR="007A0985">
        <w:rPr>
          <w:bCs/>
          <w:lang w:val="nl-NL"/>
        </w:rPr>
        <w:t>bedr</w:t>
      </w:r>
      <w:r w:rsidR="00C73610">
        <w:rPr>
          <w:bCs/>
          <w:lang w:val="nl-NL"/>
        </w:rPr>
        <w:t xml:space="preserve">oeg </w:t>
      </w:r>
      <w:r w:rsidRPr="00766911" w:rsidR="007A0985">
        <w:rPr>
          <w:bCs/>
          <w:lang w:val="nl-NL"/>
        </w:rPr>
        <w:t>het heffingsvrije vermogen € </w:t>
      </w:r>
      <w:r w:rsidR="00226EDF">
        <w:rPr>
          <w:bCs/>
          <w:lang w:val="nl-NL"/>
        </w:rPr>
        <w:t>57.000</w:t>
      </w:r>
      <w:r w:rsidRPr="00766911" w:rsidR="007A0985">
        <w:rPr>
          <w:rStyle w:val="Voetnootmarkering"/>
          <w:bCs/>
          <w:lang w:val="nl-NL"/>
        </w:rPr>
        <w:footnoteReference w:id="3"/>
      </w:r>
      <w:r w:rsidR="00AB22C0">
        <w:rPr>
          <w:bCs/>
          <w:lang w:val="nl-NL"/>
        </w:rPr>
        <w:t xml:space="preserve">, </w:t>
      </w:r>
      <w:r w:rsidR="00C73610">
        <w:rPr>
          <w:bCs/>
          <w:lang w:val="nl-NL"/>
        </w:rPr>
        <w:t>was</w:t>
      </w:r>
      <w:r w:rsidR="00AB22C0">
        <w:rPr>
          <w:bCs/>
          <w:lang w:val="nl-NL"/>
        </w:rPr>
        <w:t xml:space="preserve"> de VIB 4% </w:t>
      </w:r>
      <w:r w:rsidRPr="00766911" w:rsidR="007A0985">
        <w:rPr>
          <w:bCs/>
          <w:lang w:val="nl-NL"/>
        </w:rPr>
        <w:t>en w</w:t>
      </w:r>
      <w:r w:rsidR="00C73610">
        <w:rPr>
          <w:bCs/>
          <w:lang w:val="nl-NL"/>
        </w:rPr>
        <w:t>erd</w:t>
      </w:r>
      <w:r w:rsidRPr="00766911" w:rsidR="007A0985">
        <w:rPr>
          <w:bCs/>
          <w:lang w:val="nl-NL"/>
        </w:rPr>
        <w:t xml:space="preserve"> alleen het vermogen boven € 3</w:t>
      </w:r>
      <w:r w:rsidR="00226EDF">
        <w:rPr>
          <w:bCs/>
          <w:lang w:val="nl-NL"/>
        </w:rPr>
        <w:t>3.748</w:t>
      </w:r>
      <w:r w:rsidRPr="00766911" w:rsidR="007A0985">
        <w:rPr>
          <w:rStyle w:val="Voetnootmarkering"/>
          <w:bCs/>
          <w:lang w:val="nl-NL"/>
        </w:rPr>
        <w:footnoteReference w:id="4"/>
      </w:r>
      <w:r w:rsidRPr="00766911" w:rsidR="007A0985">
        <w:rPr>
          <w:bCs/>
          <w:lang w:val="nl-NL"/>
        </w:rPr>
        <w:t xml:space="preserve"> meegenomen als grondslag voor de VIB. Vermogen is </w:t>
      </w:r>
      <w:r w:rsidR="00C73610">
        <w:rPr>
          <w:bCs/>
          <w:lang w:val="nl-NL"/>
        </w:rPr>
        <w:t xml:space="preserve">in de periode na 2018 </w:t>
      </w:r>
      <w:r w:rsidRPr="00766911" w:rsidR="007A0985">
        <w:rPr>
          <w:bCs/>
          <w:lang w:val="nl-NL"/>
        </w:rPr>
        <w:t>dus een kleinere rol gaan spelen in de fiscaliteit en de eigen bijdragen. Tevens ken</w:t>
      </w:r>
      <w:r w:rsidR="00C73610">
        <w:rPr>
          <w:bCs/>
          <w:lang w:val="nl-NL"/>
        </w:rPr>
        <w:t xml:space="preserve">de </w:t>
      </w:r>
      <w:r w:rsidRPr="00766911" w:rsidR="007A0985">
        <w:rPr>
          <w:bCs/>
          <w:lang w:val="nl-NL"/>
        </w:rPr>
        <w:t xml:space="preserve">de CVO technische imperfecties </w:t>
      </w:r>
      <w:r w:rsidRPr="00766911" w:rsidR="007A0985">
        <w:rPr>
          <w:bCs/>
          <w:lang w:val="nl-NL"/>
        </w:rPr>
        <w:lastRenderedPageBreak/>
        <w:t xml:space="preserve">waardoor cliënten mét vermogen soms een lagere eigen bijdrage verschuldigd </w:t>
      </w:r>
      <w:r w:rsidR="00C73610">
        <w:rPr>
          <w:bCs/>
          <w:lang w:val="nl-NL"/>
        </w:rPr>
        <w:t>waren</w:t>
      </w:r>
      <w:r w:rsidRPr="00766911" w:rsidR="007A0985">
        <w:rPr>
          <w:bCs/>
          <w:lang w:val="nl-NL"/>
        </w:rPr>
        <w:t xml:space="preserve"> dan cliënten zonder vermogen (bij eenzelfde inkomen uit pensioen, uitkering of arbeid)</w:t>
      </w:r>
      <w:r>
        <w:rPr>
          <w:bCs/>
          <w:lang w:val="nl-NL"/>
        </w:rPr>
        <w:t>. In het kader van inkomens- en vermogensafhankelijke eigen bijdragen was dit niet uitlegbaar aan cliënten.</w:t>
      </w:r>
      <w:r w:rsidRPr="00766911" w:rsidR="007A0985">
        <w:rPr>
          <w:bCs/>
          <w:lang w:val="nl-NL"/>
        </w:rPr>
        <w:t xml:space="preserve"> Daarom </w:t>
      </w:r>
      <w:r w:rsidR="007A441B">
        <w:rPr>
          <w:bCs/>
          <w:lang w:val="nl-NL"/>
        </w:rPr>
        <w:t>is</w:t>
      </w:r>
      <w:r w:rsidRPr="00766911" w:rsidR="007A0985">
        <w:rPr>
          <w:bCs/>
          <w:lang w:val="nl-NL"/>
        </w:rPr>
        <w:t xml:space="preserve"> de CVO beëindig</w:t>
      </w:r>
      <w:r w:rsidR="007A0985">
        <w:rPr>
          <w:bCs/>
          <w:lang w:val="nl-NL"/>
        </w:rPr>
        <w:t>d</w:t>
      </w:r>
      <w:r w:rsidRPr="00766911" w:rsidR="007A0985">
        <w:rPr>
          <w:bCs/>
          <w:lang w:val="nl-NL"/>
        </w:rPr>
        <w:t xml:space="preserve">. Aangezien het in één keer afschaffen van de CVO grote financiële effecten voor cliënten </w:t>
      </w:r>
      <w:r w:rsidR="007A51A9">
        <w:rPr>
          <w:bCs/>
          <w:lang w:val="nl-NL"/>
        </w:rPr>
        <w:t>zou kunnen</w:t>
      </w:r>
      <w:r w:rsidRPr="00766911" w:rsidR="007A51A9">
        <w:rPr>
          <w:bCs/>
          <w:lang w:val="nl-NL"/>
        </w:rPr>
        <w:t xml:space="preserve"> </w:t>
      </w:r>
      <w:r w:rsidRPr="00766911" w:rsidR="007A0985">
        <w:rPr>
          <w:bCs/>
          <w:lang w:val="nl-NL"/>
        </w:rPr>
        <w:t xml:space="preserve">hebben, </w:t>
      </w:r>
      <w:r w:rsidR="007A51A9">
        <w:rPr>
          <w:bCs/>
          <w:lang w:val="nl-NL"/>
        </w:rPr>
        <w:t xml:space="preserve">wordt </w:t>
      </w:r>
      <w:r w:rsidRPr="00766911" w:rsidR="007A0985">
        <w:rPr>
          <w:bCs/>
          <w:lang w:val="nl-NL"/>
        </w:rPr>
        <w:t xml:space="preserve">de CVO </w:t>
      </w:r>
      <w:r w:rsidR="007A51A9">
        <w:rPr>
          <w:bCs/>
          <w:lang w:val="nl-NL"/>
        </w:rPr>
        <w:t xml:space="preserve">met dit besluit </w:t>
      </w:r>
      <w:r w:rsidRPr="00766911" w:rsidR="007A0985">
        <w:rPr>
          <w:bCs/>
          <w:lang w:val="nl-NL"/>
        </w:rPr>
        <w:t>in drie stappen afgebouwd</w:t>
      </w:r>
      <w:r w:rsidR="00CC6A52">
        <w:rPr>
          <w:bCs/>
          <w:lang w:val="nl-NL"/>
        </w:rPr>
        <w:t xml:space="preserve"> </w:t>
      </w:r>
      <w:r w:rsidRPr="00766911" w:rsidR="007A0985">
        <w:rPr>
          <w:bCs/>
          <w:lang w:val="nl-NL"/>
        </w:rPr>
        <w:t>in de periode 2026-2028</w:t>
      </w:r>
      <w:r w:rsidR="007F2D23">
        <w:rPr>
          <w:bCs/>
          <w:lang w:val="nl-NL"/>
        </w:rPr>
        <w:t xml:space="preserve"> </w:t>
      </w:r>
      <w:r w:rsidR="00BA27CA">
        <w:rPr>
          <w:bCs/>
          <w:lang w:val="nl-NL"/>
        </w:rPr>
        <w:t xml:space="preserve">waarmee </w:t>
      </w:r>
      <w:r w:rsidR="009B3319">
        <w:rPr>
          <w:bCs/>
          <w:lang w:val="nl-NL"/>
        </w:rPr>
        <w:t xml:space="preserve">de CVO </w:t>
      </w:r>
      <w:r w:rsidR="00BA27CA">
        <w:rPr>
          <w:bCs/>
          <w:lang w:val="nl-NL"/>
        </w:rPr>
        <w:t>aan het eind van deze periode is</w:t>
      </w:r>
      <w:r w:rsidR="007F2D23">
        <w:rPr>
          <w:bCs/>
          <w:lang w:val="nl-NL"/>
        </w:rPr>
        <w:t xml:space="preserve"> afgeschaft</w:t>
      </w:r>
      <w:r w:rsidRPr="00766911" w:rsidR="007A0985">
        <w:rPr>
          <w:bCs/>
          <w:lang w:val="nl-NL"/>
        </w:rPr>
        <w:t xml:space="preserve">. </w:t>
      </w:r>
    </w:p>
    <w:p w:rsidR="007A0985" w:rsidP="007A0985" w:rsidRDefault="007A0985" w14:paraId="64548856" w14:textId="5E13E58C">
      <w:pPr>
        <w:rPr>
          <w:bCs/>
          <w:lang w:val="nl-NL"/>
        </w:rPr>
      </w:pPr>
    </w:p>
    <w:p w:rsidRPr="00805158" w:rsidR="00EF55D6" w:rsidP="007A0985" w:rsidRDefault="00EF55D6" w14:paraId="18C2E7A8" w14:textId="64B35489">
      <w:pPr>
        <w:rPr>
          <w:bCs/>
          <w:i/>
          <w:iCs/>
          <w:lang w:val="nl-NL"/>
        </w:rPr>
      </w:pPr>
      <w:r>
        <w:rPr>
          <w:bCs/>
          <w:i/>
          <w:iCs/>
          <w:lang w:val="nl-NL"/>
        </w:rPr>
        <w:t>EVV</w:t>
      </w:r>
    </w:p>
    <w:p w:rsidRPr="00766911" w:rsidR="00EF55D6" w:rsidP="007A0985" w:rsidRDefault="00EF55D6" w14:paraId="5048828E" w14:textId="4EBEE66F">
      <w:pPr>
        <w:rPr>
          <w:bCs/>
          <w:lang w:val="nl-NL"/>
        </w:rPr>
      </w:pPr>
    </w:p>
    <w:p w:rsidRPr="00766911" w:rsidR="007A0985" w:rsidP="007A0985" w:rsidRDefault="007A0985" w14:paraId="19FF3006" w14:textId="2C3EE554">
      <w:pPr>
        <w:rPr>
          <w:b/>
          <w:lang w:val="nl-NL"/>
        </w:rPr>
      </w:pPr>
      <w:r w:rsidRPr="00766911">
        <w:rPr>
          <w:bCs/>
          <w:lang w:val="nl-NL"/>
        </w:rPr>
        <w:t xml:space="preserve">Per 2013 is de VIB ingevoerd, waardoor vermogen zwaarder mee ging tellen </w:t>
      </w:r>
      <w:r w:rsidR="002B6F79">
        <w:rPr>
          <w:bCs/>
          <w:lang w:val="nl-NL"/>
        </w:rPr>
        <w:t>bij</w:t>
      </w:r>
      <w:r w:rsidRPr="00766911" w:rsidR="002B6F79">
        <w:rPr>
          <w:bCs/>
          <w:lang w:val="nl-NL"/>
        </w:rPr>
        <w:t xml:space="preserve"> </w:t>
      </w:r>
      <w:r w:rsidRPr="00766911">
        <w:rPr>
          <w:bCs/>
          <w:lang w:val="nl-NL"/>
        </w:rPr>
        <w:t xml:space="preserve">de berekening van eigen bijdragen. </w:t>
      </w:r>
      <w:r w:rsidR="00D73CDB">
        <w:rPr>
          <w:bCs/>
          <w:lang w:val="nl-NL"/>
        </w:rPr>
        <w:t xml:space="preserve">Om niet-pensioengerechtigden hierin tegemoet te komen </w:t>
      </w:r>
      <w:r w:rsidR="002B6F79">
        <w:rPr>
          <w:bCs/>
          <w:lang w:val="nl-NL"/>
        </w:rPr>
        <w:t>is p</w:t>
      </w:r>
      <w:r w:rsidRPr="00766911">
        <w:rPr>
          <w:bCs/>
          <w:lang w:val="nl-NL"/>
        </w:rPr>
        <w:t>er 2014</w:t>
      </w:r>
      <w:r w:rsidR="002B6F79">
        <w:rPr>
          <w:bCs/>
          <w:lang w:val="nl-NL"/>
        </w:rPr>
        <w:t xml:space="preserve"> </w:t>
      </w:r>
      <w:r w:rsidR="001348A7">
        <w:rPr>
          <w:bCs/>
          <w:lang w:val="nl-NL"/>
        </w:rPr>
        <w:t xml:space="preserve">voor deze groep </w:t>
      </w:r>
      <w:r w:rsidRPr="00766911">
        <w:rPr>
          <w:bCs/>
          <w:lang w:val="nl-NL"/>
        </w:rPr>
        <w:t xml:space="preserve">een extra vermogensvrijstelling </w:t>
      </w:r>
      <w:r w:rsidRPr="00B123E7" w:rsidR="00B123E7">
        <w:rPr>
          <w:bCs/>
          <w:lang w:val="nl-NL"/>
        </w:rPr>
        <w:t>(destijds ter hoogte van € 10.000)</w:t>
      </w:r>
      <w:r w:rsidR="00B123E7">
        <w:rPr>
          <w:bCs/>
          <w:lang w:val="nl-NL"/>
        </w:rPr>
        <w:t xml:space="preserve"> </w:t>
      </w:r>
      <w:r w:rsidR="001348A7">
        <w:rPr>
          <w:bCs/>
          <w:lang w:val="nl-NL"/>
        </w:rPr>
        <w:t xml:space="preserve">in de berekening van de eigen bijdragen </w:t>
      </w:r>
      <w:r w:rsidRPr="00766911">
        <w:rPr>
          <w:bCs/>
          <w:lang w:val="nl-NL"/>
        </w:rPr>
        <w:t>ingevoerd</w:t>
      </w:r>
      <w:r w:rsidR="00B123E7">
        <w:rPr>
          <w:bCs/>
          <w:lang w:val="nl-NL"/>
        </w:rPr>
        <w:t>.</w:t>
      </w:r>
      <w:r w:rsidR="002B6F79">
        <w:rPr>
          <w:bCs/>
          <w:lang w:val="nl-NL"/>
        </w:rPr>
        <w:t xml:space="preserve"> Reden om voor deze specifieke groep de EVV in te voeren</w:t>
      </w:r>
      <w:r w:rsidRPr="00766911">
        <w:rPr>
          <w:bCs/>
          <w:lang w:val="nl-NL"/>
        </w:rPr>
        <w:t xml:space="preserve">, </w:t>
      </w:r>
      <w:r w:rsidR="002B6F79">
        <w:rPr>
          <w:bCs/>
          <w:lang w:val="nl-NL"/>
        </w:rPr>
        <w:t xml:space="preserve">was </w:t>
      </w:r>
      <w:r w:rsidRPr="00766911">
        <w:rPr>
          <w:bCs/>
          <w:lang w:val="nl-NL"/>
        </w:rPr>
        <w:t xml:space="preserve">dat </w:t>
      </w:r>
      <w:r w:rsidR="002B6F79">
        <w:rPr>
          <w:bCs/>
          <w:lang w:val="nl-NL"/>
        </w:rPr>
        <w:t xml:space="preserve">deze groep </w:t>
      </w:r>
      <w:r w:rsidRPr="00766911">
        <w:rPr>
          <w:bCs/>
          <w:lang w:val="nl-NL"/>
        </w:rPr>
        <w:t xml:space="preserve">doorgaans </w:t>
      </w:r>
      <w:r w:rsidR="002B6F79">
        <w:rPr>
          <w:bCs/>
          <w:lang w:val="nl-NL"/>
        </w:rPr>
        <w:t xml:space="preserve">gedurende een </w:t>
      </w:r>
      <w:r w:rsidRPr="00766911">
        <w:rPr>
          <w:bCs/>
          <w:lang w:val="nl-NL"/>
        </w:rPr>
        <w:t>langer</w:t>
      </w:r>
      <w:r w:rsidR="002B6F79">
        <w:rPr>
          <w:bCs/>
          <w:lang w:val="nl-NL"/>
        </w:rPr>
        <w:t>e periode</w:t>
      </w:r>
      <w:r w:rsidRPr="00766911">
        <w:rPr>
          <w:bCs/>
          <w:lang w:val="nl-NL"/>
        </w:rPr>
        <w:t xml:space="preserve"> </w:t>
      </w:r>
      <w:r w:rsidR="007A441B">
        <w:rPr>
          <w:bCs/>
          <w:lang w:val="nl-NL"/>
        </w:rPr>
        <w:t xml:space="preserve">een </w:t>
      </w:r>
      <w:r w:rsidR="008F33D4">
        <w:rPr>
          <w:bCs/>
          <w:lang w:val="nl-NL"/>
        </w:rPr>
        <w:t xml:space="preserve">eigen bijdrage verschuldigd is </w:t>
      </w:r>
      <w:r w:rsidRPr="00766911">
        <w:rPr>
          <w:bCs/>
          <w:lang w:val="nl-NL"/>
        </w:rPr>
        <w:t xml:space="preserve">dan ouderen en de </w:t>
      </w:r>
      <w:r w:rsidR="002B6F79">
        <w:rPr>
          <w:bCs/>
          <w:lang w:val="nl-NL"/>
        </w:rPr>
        <w:t xml:space="preserve">invoering van de </w:t>
      </w:r>
      <w:r w:rsidRPr="00766911">
        <w:rPr>
          <w:bCs/>
          <w:lang w:val="nl-NL"/>
        </w:rPr>
        <w:t xml:space="preserve">VIB </w:t>
      </w:r>
      <w:r w:rsidR="00A62E5F">
        <w:rPr>
          <w:bCs/>
          <w:lang w:val="nl-NL"/>
        </w:rPr>
        <w:t xml:space="preserve">daardoor </w:t>
      </w:r>
      <w:r w:rsidRPr="00766911">
        <w:rPr>
          <w:bCs/>
          <w:lang w:val="nl-NL"/>
        </w:rPr>
        <w:t xml:space="preserve">voor </w:t>
      </w:r>
      <w:r w:rsidR="00A62E5F">
        <w:rPr>
          <w:bCs/>
          <w:lang w:val="nl-NL"/>
        </w:rPr>
        <w:t xml:space="preserve">deze groep </w:t>
      </w:r>
      <w:r w:rsidRPr="00766911">
        <w:rPr>
          <w:bCs/>
          <w:lang w:val="nl-NL"/>
        </w:rPr>
        <w:t>de meest langdurige effecten had</w:t>
      </w:r>
      <w:r w:rsidR="002B6F79">
        <w:rPr>
          <w:bCs/>
          <w:lang w:val="nl-NL"/>
        </w:rPr>
        <w:t xml:space="preserve"> op de hoogte van de eigen bijdragen</w:t>
      </w:r>
      <w:r w:rsidRPr="00766911">
        <w:rPr>
          <w:bCs/>
          <w:lang w:val="nl-NL"/>
        </w:rPr>
        <w:t xml:space="preserve">. Vanwege de in de vorige alinea </w:t>
      </w:r>
      <w:r w:rsidR="002B6F79">
        <w:rPr>
          <w:bCs/>
          <w:lang w:val="nl-NL"/>
        </w:rPr>
        <w:t xml:space="preserve">reeds </w:t>
      </w:r>
      <w:r w:rsidRPr="00766911">
        <w:rPr>
          <w:bCs/>
          <w:lang w:val="nl-NL"/>
        </w:rPr>
        <w:t>beschreven ontwikkelingen</w:t>
      </w:r>
      <w:r w:rsidR="00A62E5F">
        <w:rPr>
          <w:bCs/>
          <w:lang w:val="nl-NL"/>
        </w:rPr>
        <w:t xml:space="preserve"> in de regelgeving voor eigen bijdragen</w:t>
      </w:r>
      <w:r w:rsidR="002B6F79">
        <w:rPr>
          <w:bCs/>
          <w:lang w:val="nl-NL"/>
        </w:rPr>
        <w:t>,</w:t>
      </w:r>
      <w:r w:rsidRPr="00766911">
        <w:rPr>
          <w:bCs/>
          <w:lang w:val="nl-NL"/>
        </w:rPr>
        <w:t xml:space="preserve"> </w:t>
      </w:r>
      <w:r w:rsidR="00BF07AE">
        <w:rPr>
          <w:bCs/>
          <w:lang w:val="nl-NL"/>
        </w:rPr>
        <w:t xml:space="preserve">is </w:t>
      </w:r>
      <w:r w:rsidRPr="00766911">
        <w:rPr>
          <w:bCs/>
          <w:lang w:val="nl-NL"/>
        </w:rPr>
        <w:t xml:space="preserve">vermogen </w:t>
      </w:r>
      <w:r w:rsidR="00BF07AE">
        <w:rPr>
          <w:bCs/>
          <w:lang w:val="nl-NL"/>
        </w:rPr>
        <w:t xml:space="preserve">in de periode na invoering van de EVV een kleinere rol gaan spelen </w:t>
      </w:r>
      <w:r w:rsidR="002B6F79">
        <w:rPr>
          <w:bCs/>
          <w:lang w:val="nl-NL"/>
        </w:rPr>
        <w:t xml:space="preserve">bij de berekening van </w:t>
      </w:r>
      <w:r w:rsidRPr="00766911" w:rsidR="002B6F79">
        <w:rPr>
          <w:bCs/>
          <w:lang w:val="nl-NL"/>
        </w:rPr>
        <w:t>eigen bijdragen</w:t>
      </w:r>
      <w:r w:rsidR="00A62E5F">
        <w:rPr>
          <w:bCs/>
          <w:lang w:val="nl-NL"/>
        </w:rPr>
        <w:t xml:space="preserve"> </w:t>
      </w:r>
      <w:r w:rsidRPr="00766911" w:rsidR="00A62E5F">
        <w:rPr>
          <w:bCs/>
          <w:lang w:val="nl-NL"/>
        </w:rPr>
        <w:t>voor zorg op grond van de Wlz en beschermd wonen en opvang op basis van de Wmo 2015</w:t>
      </w:r>
      <w:r w:rsidRPr="00766911">
        <w:rPr>
          <w:bCs/>
          <w:lang w:val="nl-NL"/>
        </w:rPr>
        <w:t xml:space="preserve">. Hierdoor </w:t>
      </w:r>
      <w:r w:rsidR="00954E54">
        <w:rPr>
          <w:bCs/>
          <w:lang w:val="nl-NL"/>
        </w:rPr>
        <w:t>is</w:t>
      </w:r>
      <w:r w:rsidRPr="00766911" w:rsidR="00954E54">
        <w:rPr>
          <w:bCs/>
          <w:lang w:val="nl-NL"/>
        </w:rPr>
        <w:t xml:space="preserve"> </w:t>
      </w:r>
      <w:r w:rsidRPr="00766911">
        <w:rPr>
          <w:bCs/>
          <w:lang w:val="nl-NL"/>
        </w:rPr>
        <w:t xml:space="preserve">de noodzaak voor de EVV verdwenen. Daarom </w:t>
      </w:r>
      <w:r w:rsidR="00A62E5F">
        <w:rPr>
          <w:bCs/>
          <w:lang w:val="nl-NL"/>
        </w:rPr>
        <w:t xml:space="preserve">is </w:t>
      </w:r>
      <w:r w:rsidR="00954E54">
        <w:rPr>
          <w:bCs/>
          <w:lang w:val="nl-NL"/>
        </w:rPr>
        <w:t xml:space="preserve">met dit besluit </w:t>
      </w:r>
      <w:r>
        <w:rPr>
          <w:bCs/>
          <w:lang w:val="nl-NL"/>
        </w:rPr>
        <w:t xml:space="preserve">de </w:t>
      </w:r>
      <w:r w:rsidRPr="00766911">
        <w:rPr>
          <w:bCs/>
          <w:lang w:val="nl-NL"/>
        </w:rPr>
        <w:t>EVV af</w:t>
      </w:r>
      <w:r>
        <w:rPr>
          <w:bCs/>
          <w:lang w:val="nl-NL"/>
        </w:rPr>
        <w:t xml:space="preserve">geschaft </w:t>
      </w:r>
      <w:r w:rsidRPr="00766911">
        <w:rPr>
          <w:bCs/>
          <w:lang w:val="nl-NL"/>
        </w:rPr>
        <w:t xml:space="preserve">per 2026. Anders dan bij de CVO, is de EVV in één keer volledig afgeschaft, omdat de financiële effecten voor cliënten kleiner </w:t>
      </w:r>
      <w:r w:rsidR="00BF07AE">
        <w:rPr>
          <w:bCs/>
          <w:lang w:val="nl-NL"/>
        </w:rPr>
        <w:t>waren</w:t>
      </w:r>
      <w:r w:rsidRPr="00766911">
        <w:rPr>
          <w:bCs/>
          <w:lang w:val="nl-NL"/>
        </w:rPr>
        <w:t xml:space="preserve"> dan bij de CVO. De financiële effecten zijn beschreven in </w:t>
      </w:r>
      <w:r w:rsidR="00B9028E">
        <w:rPr>
          <w:bCs/>
          <w:lang w:val="nl-NL"/>
        </w:rPr>
        <w:t xml:space="preserve">hoofdstuk </w:t>
      </w:r>
      <w:r w:rsidR="007A441B">
        <w:rPr>
          <w:bCs/>
          <w:lang w:val="nl-NL"/>
        </w:rPr>
        <w:t>6</w:t>
      </w:r>
      <w:r w:rsidR="00B9028E">
        <w:rPr>
          <w:bCs/>
          <w:lang w:val="nl-NL"/>
        </w:rPr>
        <w:t xml:space="preserve"> van deze nota van toelichting</w:t>
      </w:r>
      <w:r w:rsidRPr="00766911">
        <w:rPr>
          <w:bCs/>
          <w:lang w:val="nl-NL"/>
        </w:rPr>
        <w:t>.</w:t>
      </w:r>
    </w:p>
    <w:p w:rsidRPr="0060352C" w:rsidR="00CB1CD6" w:rsidP="000F3FAD" w:rsidRDefault="00CB1CD6" w14:paraId="11E85BCB" w14:textId="2BC2C5ED">
      <w:pPr>
        <w:rPr>
          <w:bCs/>
          <w:lang w:val="nl-NL"/>
        </w:rPr>
      </w:pPr>
    </w:p>
    <w:p w:rsidRPr="0060352C" w:rsidR="00013704" w:rsidP="00013704" w:rsidRDefault="00432258" w14:paraId="574976D0" w14:textId="4EEAE32E">
      <w:pPr>
        <w:rPr>
          <w:b/>
          <w:bCs/>
          <w:lang w:val="nl-NL"/>
        </w:rPr>
      </w:pPr>
      <w:bookmarkStart w:name="_Hlk106034148" w:id="1"/>
      <w:r w:rsidRPr="0060352C">
        <w:rPr>
          <w:b/>
          <w:bCs/>
          <w:lang w:val="nl-NL"/>
        </w:rPr>
        <w:t>3. Verhouding tot nationale regelgeving</w:t>
      </w:r>
    </w:p>
    <w:p w:rsidRPr="0060352C" w:rsidR="00432258" w:rsidP="00432258" w:rsidRDefault="00432258" w14:paraId="54AA6D96" w14:textId="77777777">
      <w:pPr>
        <w:rPr>
          <w:bCs/>
          <w:lang w:val="nl-NL"/>
        </w:rPr>
      </w:pPr>
    </w:p>
    <w:p w:rsidRPr="0060352C" w:rsidR="00432258" w:rsidP="00432258" w:rsidRDefault="00432258" w14:paraId="293AEEAE" w14:textId="159925ED">
      <w:pPr>
        <w:rPr>
          <w:bCs/>
          <w:lang w:val="nl-NL"/>
        </w:rPr>
      </w:pPr>
      <w:r w:rsidRPr="0060352C">
        <w:rPr>
          <w:bCs/>
          <w:lang w:val="nl-NL"/>
        </w:rPr>
        <w:t>Dit besluit is gebaseerd op de Wmo 2015 en de Wlz. Die wetten bieden de kaders op grond waarvan en waarbinnen de eigen bijdragen voor algemene voorzieningen en maatwerkvoorzieningen</w:t>
      </w:r>
      <w:r w:rsidR="0026548C">
        <w:rPr>
          <w:bCs/>
          <w:lang w:val="nl-NL"/>
        </w:rPr>
        <w:t xml:space="preserve"> als bedoeld in de Wmo 2015</w:t>
      </w:r>
      <w:r w:rsidRPr="0060352C">
        <w:rPr>
          <w:bCs/>
          <w:lang w:val="nl-NL"/>
        </w:rPr>
        <w:t xml:space="preserve"> en voor langdurige zorg </w:t>
      </w:r>
      <w:r w:rsidR="0026548C">
        <w:rPr>
          <w:bCs/>
          <w:lang w:val="nl-NL"/>
        </w:rPr>
        <w:t xml:space="preserve">als bedoeld in de Wlz </w:t>
      </w:r>
      <w:r w:rsidRPr="0060352C">
        <w:rPr>
          <w:bCs/>
          <w:lang w:val="nl-NL"/>
        </w:rPr>
        <w:t xml:space="preserve">verder worden uitgewerkt bij of krachtens </w:t>
      </w:r>
      <w:r w:rsidR="00097986">
        <w:rPr>
          <w:bCs/>
          <w:lang w:val="nl-NL"/>
        </w:rPr>
        <w:t>algemene maatregel van bestuur</w:t>
      </w:r>
      <w:r w:rsidRPr="0060352C">
        <w:rPr>
          <w:bCs/>
          <w:lang w:val="nl-NL"/>
        </w:rPr>
        <w:t xml:space="preserve">. </w:t>
      </w:r>
      <w:r w:rsidR="00663442">
        <w:rPr>
          <w:bCs/>
          <w:lang w:val="nl-NL"/>
        </w:rPr>
        <w:t>D</w:t>
      </w:r>
      <w:r w:rsidRPr="0060352C">
        <w:rPr>
          <w:bCs/>
          <w:lang w:val="nl-NL"/>
        </w:rPr>
        <w:t xml:space="preserve">e artikelen 2.1.4a, </w:t>
      </w:r>
      <w:r w:rsidR="00663442">
        <w:rPr>
          <w:bCs/>
          <w:lang w:val="nl-NL"/>
        </w:rPr>
        <w:t>zevend</w:t>
      </w:r>
      <w:r w:rsidRPr="0060352C">
        <w:rPr>
          <w:bCs/>
          <w:lang w:val="nl-NL"/>
        </w:rPr>
        <w:t>e lid,</w:t>
      </w:r>
      <w:r w:rsidR="00663442">
        <w:rPr>
          <w:bCs/>
          <w:lang w:val="nl-NL"/>
        </w:rPr>
        <w:t xml:space="preserve"> </w:t>
      </w:r>
      <w:r w:rsidRPr="0060352C">
        <w:rPr>
          <w:bCs/>
          <w:lang w:val="nl-NL"/>
        </w:rPr>
        <w:t xml:space="preserve">Wmo 2015 en artikel 3.2.5 Wlz </w:t>
      </w:r>
      <w:r w:rsidR="00663442">
        <w:rPr>
          <w:bCs/>
          <w:lang w:val="nl-NL"/>
        </w:rPr>
        <w:t xml:space="preserve">bieden </w:t>
      </w:r>
      <w:r w:rsidRPr="0060352C">
        <w:rPr>
          <w:bCs/>
          <w:lang w:val="nl-NL"/>
        </w:rPr>
        <w:t>de grondslagen</w:t>
      </w:r>
      <w:r w:rsidR="00663442">
        <w:rPr>
          <w:bCs/>
          <w:lang w:val="nl-NL"/>
        </w:rPr>
        <w:t xml:space="preserve"> voor het afbouwen van de CVO en het afschaffen van de EVV</w:t>
      </w:r>
      <w:r w:rsidRPr="0060352C">
        <w:rPr>
          <w:bCs/>
          <w:lang w:val="nl-NL"/>
        </w:rPr>
        <w:t>.</w:t>
      </w:r>
    </w:p>
    <w:p w:rsidRPr="0060352C" w:rsidR="00432258" w:rsidP="00432258" w:rsidRDefault="00432258" w14:paraId="54E36539" w14:textId="77777777">
      <w:pPr>
        <w:rPr>
          <w:bCs/>
          <w:lang w:val="nl-NL"/>
        </w:rPr>
      </w:pPr>
    </w:p>
    <w:bookmarkEnd w:id="1"/>
    <w:p w:rsidRPr="0060352C" w:rsidR="00854B75" w:rsidP="00854B75" w:rsidRDefault="00621AE8" w14:paraId="6DFE9EC0" w14:textId="66C2F32A">
      <w:pPr>
        <w:rPr>
          <w:b/>
          <w:bCs/>
          <w:lang w:val="nl-NL"/>
        </w:rPr>
      </w:pPr>
      <w:r>
        <w:rPr>
          <w:b/>
          <w:bCs/>
          <w:lang w:val="nl-NL"/>
        </w:rPr>
        <w:t>4</w:t>
      </w:r>
      <w:r w:rsidRPr="0060352C" w:rsidR="00854B75">
        <w:rPr>
          <w:b/>
          <w:bCs/>
          <w:lang w:val="nl-NL"/>
        </w:rPr>
        <w:t>. Gevolgen voor burgers en uitvoering</w:t>
      </w:r>
    </w:p>
    <w:p w:rsidRPr="0060352C" w:rsidR="00854B75" w:rsidP="00854B75" w:rsidRDefault="00854B75" w14:paraId="5C1D2BF4" w14:textId="77777777">
      <w:pPr>
        <w:rPr>
          <w:b/>
          <w:bCs/>
          <w:lang w:val="nl-NL"/>
        </w:rPr>
      </w:pPr>
    </w:p>
    <w:p w:rsidRPr="00766911" w:rsidR="0043658B" w:rsidP="0043658B" w:rsidRDefault="00EB0D79" w14:paraId="4BBA6FB8" w14:textId="61995106">
      <w:pPr>
        <w:rPr>
          <w:bCs/>
          <w:lang w:val="nl-NL"/>
        </w:rPr>
      </w:pPr>
      <w:r w:rsidRPr="00766911">
        <w:rPr>
          <w:lang w:val="nl-NL"/>
        </w:rPr>
        <w:t xml:space="preserve">Door de afbouw van de CVO en de afschaffing van de EVV, </w:t>
      </w:r>
      <w:r w:rsidR="00B77DEB">
        <w:rPr>
          <w:lang w:val="nl-NL"/>
        </w:rPr>
        <w:t>is</w:t>
      </w:r>
      <w:r w:rsidRPr="00766911">
        <w:rPr>
          <w:lang w:val="nl-NL"/>
        </w:rPr>
        <w:t xml:space="preserve"> het vaststellen van de eigen bijdragen voor zorg op grond van de Wlz en beschermd wonen en opvang op grond van de Wmo 2015 eenvoudiger</w:t>
      </w:r>
      <w:r w:rsidR="00621AE8">
        <w:rPr>
          <w:lang w:val="nl-NL"/>
        </w:rPr>
        <w:t xml:space="preserve"> </w:t>
      </w:r>
      <w:r w:rsidR="00B77DEB">
        <w:rPr>
          <w:lang w:val="nl-NL"/>
        </w:rPr>
        <w:t xml:space="preserve">om </w:t>
      </w:r>
      <w:r w:rsidR="00621AE8">
        <w:rPr>
          <w:lang w:val="nl-NL"/>
        </w:rPr>
        <w:t>uit te voeren</w:t>
      </w:r>
      <w:r w:rsidRPr="00766911">
        <w:rPr>
          <w:lang w:val="nl-NL"/>
        </w:rPr>
        <w:t xml:space="preserve">. </w:t>
      </w:r>
      <w:r w:rsidR="00CC4117">
        <w:rPr>
          <w:lang w:val="nl-NL"/>
        </w:rPr>
        <w:t>Dit komt ook de uitlegbaarheid van de</w:t>
      </w:r>
      <w:r w:rsidR="009943DB">
        <w:rPr>
          <w:lang w:val="nl-NL"/>
        </w:rPr>
        <w:t xml:space="preserve"> systematiek van de</w:t>
      </w:r>
      <w:r w:rsidR="00CC4117">
        <w:rPr>
          <w:lang w:val="nl-NL"/>
        </w:rPr>
        <w:t xml:space="preserve"> eigen bijdragen ten goede</w:t>
      </w:r>
      <w:r w:rsidR="00C23DC0">
        <w:rPr>
          <w:lang w:val="nl-NL"/>
        </w:rPr>
        <w:t xml:space="preserve"> en verkleint het beroep op het doenvermogen van burgers</w:t>
      </w:r>
      <w:r w:rsidR="00CC4117">
        <w:rPr>
          <w:lang w:val="nl-NL"/>
        </w:rPr>
        <w:t xml:space="preserve">. </w:t>
      </w:r>
      <w:r w:rsidRPr="00C33761" w:rsidR="00C23DC0">
        <w:rPr>
          <w:bCs/>
          <w:lang w:val="nl-NL"/>
        </w:rPr>
        <w:t>De beëindiging van de CVO en de EVV wordt door het CAK automatisch verwerkt in de berekening van de hoogte van de eigen bijdragen. Het CAK zal burgers tijdig, dat wil zeggen in het najaar van 2025, informeren over de beëindiging van de CVO en de EVV en de consequenties die dit heeft voor de hoogte van de eigen bijdragen. De rekentools die het CAK via de website aan burgers beschikbaar stelt en waarmee burgers een proefberekening van de eigen bijdrage kunnen maken, zullen worden aangepast. Het CAK zal ook vragen van burgers hierover beantwoorden.</w:t>
      </w:r>
      <w:r w:rsidR="00C23DC0">
        <w:rPr>
          <w:bCs/>
          <w:lang w:val="nl-NL"/>
        </w:rPr>
        <w:t xml:space="preserve"> </w:t>
      </w:r>
      <w:r w:rsidR="00CC4117">
        <w:rPr>
          <w:lang w:val="nl-NL"/>
        </w:rPr>
        <w:t>De financiële gevolgen voor de burger worden beschreven in hoofdstuk 6.</w:t>
      </w:r>
    </w:p>
    <w:p w:rsidRPr="0060352C" w:rsidR="00854B75" w:rsidP="00854B75" w:rsidRDefault="00854B75" w14:paraId="69601613" w14:textId="19AB35F2">
      <w:pPr>
        <w:rPr>
          <w:lang w:val="nl-NL"/>
        </w:rPr>
      </w:pPr>
    </w:p>
    <w:p w:rsidRPr="0060352C" w:rsidR="00854B75" w:rsidP="00854B75" w:rsidRDefault="00621AE8" w14:paraId="263BC1C1" w14:textId="1B8F27F5">
      <w:pPr>
        <w:rPr>
          <w:b/>
          <w:bCs/>
          <w:lang w:val="nl-NL"/>
        </w:rPr>
      </w:pPr>
      <w:r>
        <w:rPr>
          <w:b/>
          <w:bCs/>
          <w:lang w:val="nl-NL"/>
        </w:rPr>
        <w:t>5</w:t>
      </w:r>
      <w:r w:rsidRPr="0060352C" w:rsidR="00854B75">
        <w:rPr>
          <w:b/>
          <w:bCs/>
          <w:lang w:val="nl-NL"/>
        </w:rPr>
        <w:t>. Gevolgen voor de regeldruk</w:t>
      </w:r>
    </w:p>
    <w:p w:rsidR="00854B75" w:rsidP="00854B75" w:rsidRDefault="00854B75" w14:paraId="5D84BD56" w14:textId="77777777">
      <w:pPr>
        <w:rPr>
          <w:lang w:val="nl-NL"/>
        </w:rPr>
      </w:pPr>
    </w:p>
    <w:p w:rsidR="008F269F" w:rsidP="008F269F" w:rsidRDefault="00624D34" w14:paraId="0CF0DF60" w14:textId="58F2F32D">
      <w:pPr>
        <w:rPr>
          <w:bCs/>
          <w:lang w:val="nl-NL"/>
        </w:rPr>
      </w:pPr>
      <w:r>
        <w:rPr>
          <w:bCs/>
          <w:lang w:val="nl-NL"/>
        </w:rPr>
        <w:t>Dit</w:t>
      </w:r>
      <w:r w:rsidRPr="00DF5370">
        <w:rPr>
          <w:bCs/>
          <w:lang w:val="nl-NL"/>
        </w:rPr>
        <w:t xml:space="preserve"> </w:t>
      </w:r>
      <w:r w:rsidRPr="00DF5370" w:rsidR="00DF5370">
        <w:rPr>
          <w:bCs/>
          <w:lang w:val="nl-NL"/>
        </w:rPr>
        <w:t xml:space="preserve">besluit </w:t>
      </w:r>
      <w:r w:rsidR="00DF5370">
        <w:rPr>
          <w:bCs/>
          <w:lang w:val="nl-NL"/>
        </w:rPr>
        <w:t xml:space="preserve">heeft </w:t>
      </w:r>
      <w:r w:rsidRPr="00DF5370" w:rsidR="00DF5370">
        <w:rPr>
          <w:bCs/>
          <w:lang w:val="nl-NL"/>
        </w:rPr>
        <w:t>geen gevolgen voor de regeldruk</w:t>
      </w:r>
      <w:r>
        <w:rPr>
          <w:bCs/>
          <w:lang w:val="nl-NL"/>
        </w:rPr>
        <w:t>,</w:t>
      </w:r>
      <w:r w:rsidRPr="00DF5370" w:rsidR="00DF5370">
        <w:rPr>
          <w:bCs/>
          <w:lang w:val="nl-NL"/>
        </w:rPr>
        <w:t xml:space="preserve"> afgezien van </w:t>
      </w:r>
      <w:r w:rsidR="00C33761">
        <w:rPr>
          <w:bCs/>
          <w:lang w:val="nl-NL"/>
        </w:rPr>
        <w:t xml:space="preserve">beperkte </w:t>
      </w:r>
      <w:r w:rsidRPr="00DF5370" w:rsidR="00DF5370">
        <w:rPr>
          <w:bCs/>
          <w:lang w:val="nl-NL"/>
        </w:rPr>
        <w:t>kennisnemingskosten</w:t>
      </w:r>
      <w:r w:rsidR="00C33761">
        <w:rPr>
          <w:bCs/>
          <w:lang w:val="nl-NL"/>
        </w:rPr>
        <w:t xml:space="preserve"> voor burgers</w:t>
      </w:r>
      <w:r w:rsidRPr="00DF5370" w:rsidR="00DF5370">
        <w:rPr>
          <w:bCs/>
          <w:lang w:val="nl-NL"/>
        </w:rPr>
        <w:t>.</w:t>
      </w:r>
      <w:r w:rsidR="00C33761">
        <w:rPr>
          <w:bCs/>
          <w:lang w:val="nl-NL"/>
        </w:rPr>
        <w:t xml:space="preserve"> </w:t>
      </w:r>
    </w:p>
    <w:p w:rsidRPr="0060352C" w:rsidR="00DF5370" w:rsidP="008F269F" w:rsidRDefault="00DF5370" w14:paraId="767079B2" w14:textId="77777777">
      <w:pPr>
        <w:rPr>
          <w:bCs/>
          <w:lang w:val="nl-NL"/>
        </w:rPr>
      </w:pPr>
    </w:p>
    <w:p w:rsidRPr="0060352C" w:rsidR="0084351D" w:rsidP="0084351D" w:rsidRDefault="00621AE8" w14:paraId="538C14B3" w14:textId="73A661C8">
      <w:pPr>
        <w:rPr>
          <w:b/>
          <w:lang w:val="nl-NL"/>
        </w:rPr>
      </w:pPr>
      <w:r>
        <w:rPr>
          <w:b/>
          <w:lang w:val="nl-NL"/>
        </w:rPr>
        <w:t>6</w:t>
      </w:r>
      <w:r w:rsidRPr="0060352C" w:rsidR="0084351D">
        <w:rPr>
          <w:b/>
          <w:lang w:val="nl-NL"/>
        </w:rPr>
        <w:t>. Financiële gevolgen</w:t>
      </w:r>
    </w:p>
    <w:p w:rsidRPr="0060352C" w:rsidR="0084351D" w:rsidP="0084351D" w:rsidRDefault="0084351D" w14:paraId="40030865" w14:textId="77777777">
      <w:pPr>
        <w:rPr>
          <w:bCs/>
          <w:lang w:val="nl-NL"/>
        </w:rPr>
      </w:pPr>
      <w:bookmarkStart w:name="_Hlk180408717" w:id="2"/>
    </w:p>
    <w:p w:rsidRPr="004804AD" w:rsidR="0084351D" w:rsidP="0084351D" w:rsidRDefault="00621AE8" w14:paraId="5CFDBF9A" w14:textId="0F350770">
      <w:pPr>
        <w:rPr>
          <w:bCs/>
          <w:i/>
          <w:iCs/>
          <w:lang w:val="nl-NL"/>
        </w:rPr>
      </w:pPr>
      <w:bookmarkStart w:name="_Hlk166397190" w:id="3"/>
      <w:r w:rsidRPr="004804AD">
        <w:rPr>
          <w:bCs/>
          <w:i/>
          <w:iCs/>
          <w:lang w:val="nl-NL"/>
        </w:rPr>
        <w:t>6</w:t>
      </w:r>
      <w:r w:rsidRPr="004804AD" w:rsidR="0084351D">
        <w:rPr>
          <w:bCs/>
          <w:i/>
          <w:iCs/>
          <w:lang w:val="nl-NL"/>
        </w:rPr>
        <w:t xml:space="preserve">.1 </w:t>
      </w:r>
      <w:r w:rsidRPr="004804AD" w:rsidR="00EB0D79">
        <w:rPr>
          <w:bCs/>
          <w:i/>
          <w:iCs/>
          <w:lang w:val="nl-NL"/>
        </w:rPr>
        <w:t>Financiële effecten burgers</w:t>
      </w:r>
    </w:p>
    <w:p w:rsidRPr="0060352C" w:rsidR="0084351D" w:rsidP="0084351D" w:rsidRDefault="0084351D" w14:paraId="0DAC6FCF" w14:textId="77777777">
      <w:pPr>
        <w:rPr>
          <w:bCs/>
          <w:lang w:val="nl-NL"/>
        </w:rPr>
      </w:pPr>
    </w:p>
    <w:bookmarkEnd w:id="3"/>
    <w:p w:rsidRPr="00766911" w:rsidR="00EB0D79" w:rsidP="00EB0D79" w:rsidRDefault="00BF53A9" w14:paraId="22159CF2" w14:textId="416C3E6D">
      <w:pPr>
        <w:spacing w:line="264" w:lineRule="auto"/>
        <w:rPr>
          <w:iCs/>
          <w:lang w:val="nl-NL"/>
        </w:rPr>
      </w:pPr>
      <w:r>
        <w:rPr>
          <w:iCs/>
          <w:lang w:val="nl-NL"/>
        </w:rPr>
        <w:t>I</w:t>
      </w:r>
      <w:r w:rsidRPr="00766911" w:rsidR="00EB0D79">
        <w:rPr>
          <w:iCs/>
          <w:lang w:val="nl-NL"/>
        </w:rPr>
        <w:t xml:space="preserve">n deze paragraaf </w:t>
      </w:r>
      <w:r>
        <w:rPr>
          <w:iCs/>
          <w:lang w:val="nl-NL"/>
        </w:rPr>
        <w:t>word</w:t>
      </w:r>
      <w:r w:rsidR="009E00A2">
        <w:rPr>
          <w:iCs/>
          <w:lang w:val="nl-NL"/>
        </w:rPr>
        <w:t>t de</w:t>
      </w:r>
      <w:r w:rsidR="00A854FA">
        <w:rPr>
          <w:iCs/>
          <w:lang w:val="nl-NL"/>
        </w:rPr>
        <w:t xml:space="preserve"> systematiek van de</w:t>
      </w:r>
      <w:r w:rsidR="009E00A2">
        <w:rPr>
          <w:iCs/>
          <w:lang w:val="nl-NL"/>
        </w:rPr>
        <w:t xml:space="preserve"> eigen bijdragen voor </w:t>
      </w:r>
      <w:r w:rsidR="000E1044">
        <w:rPr>
          <w:iCs/>
          <w:lang w:val="nl-NL"/>
        </w:rPr>
        <w:t xml:space="preserve">de Wlz en </w:t>
      </w:r>
      <w:r w:rsidR="009E00A2">
        <w:rPr>
          <w:iCs/>
          <w:lang w:val="nl-NL"/>
        </w:rPr>
        <w:t>beschermd wonen in de Wmo 2015 op hoofdlijnen beschreven</w:t>
      </w:r>
      <w:r w:rsidR="001348A7">
        <w:rPr>
          <w:iCs/>
          <w:lang w:val="nl-NL"/>
        </w:rPr>
        <w:t xml:space="preserve">. Tevens </w:t>
      </w:r>
      <w:r w:rsidR="009E00A2">
        <w:rPr>
          <w:iCs/>
          <w:lang w:val="nl-NL"/>
        </w:rPr>
        <w:t xml:space="preserve">worden </w:t>
      </w:r>
      <w:r>
        <w:rPr>
          <w:iCs/>
          <w:lang w:val="nl-NL"/>
        </w:rPr>
        <w:t xml:space="preserve">de effecten </w:t>
      </w:r>
      <w:r w:rsidR="009E00A2">
        <w:rPr>
          <w:iCs/>
          <w:lang w:val="nl-NL"/>
        </w:rPr>
        <w:t xml:space="preserve">van het afbouwen van de </w:t>
      </w:r>
      <w:r w:rsidR="009E00A2">
        <w:rPr>
          <w:iCs/>
          <w:lang w:val="nl-NL"/>
        </w:rPr>
        <w:lastRenderedPageBreak/>
        <w:t xml:space="preserve">CVO en het afschaffen van de EVV </w:t>
      </w:r>
      <w:r>
        <w:rPr>
          <w:iCs/>
          <w:lang w:val="nl-NL"/>
        </w:rPr>
        <w:t>op de eigen bijdragen</w:t>
      </w:r>
      <w:r w:rsidR="001348A7">
        <w:rPr>
          <w:iCs/>
          <w:lang w:val="nl-NL"/>
        </w:rPr>
        <w:t xml:space="preserve"> in beeld gebracht. </w:t>
      </w:r>
      <w:r w:rsidR="005D00D7">
        <w:rPr>
          <w:iCs/>
          <w:lang w:val="nl-NL"/>
        </w:rPr>
        <w:t xml:space="preserve">Alle bedragen in deze paragraaf zijn weergeven alsof de CVO en </w:t>
      </w:r>
      <w:r w:rsidR="00DD693E">
        <w:rPr>
          <w:iCs/>
          <w:lang w:val="nl-NL"/>
        </w:rPr>
        <w:t xml:space="preserve">de </w:t>
      </w:r>
      <w:r w:rsidR="005D00D7">
        <w:rPr>
          <w:iCs/>
          <w:lang w:val="nl-NL"/>
        </w:rPr>
        <w:t xml:space="preserve">EVV in </w:t>
      </w:r>
      <w:r w:rsidR="00211B41">
        <w:rPr>
          <w:iCs/>
          <w:lang w:val="nl-NL"/>
        </w:rPr>
        <w:t>2025</w:t>
      </w:r>
      <w:r w:rsidR="005D00D7">
        <w:rPr>
          <w:iCs/>
          <w:lang w:val="nl-NL"/>
        </w:rPr>
        <w:t xml:space="preserve"> zouden zijn afgeschaft. </w:t>
      </w:r>
      <w:r>
        <w:rPr>
          <w:iCs/>
          <w:lang w:val="nl-NL"/>
        </w:rPr>
        <w:t>A</w:t>
      </w:r>
      <w:r w:rsidRPr="00BF53A9">
        <w:rPr>
          <w:iCs/>
          <w:lang w:val="nl-NL"/>
        </w:rPr>
        <w:t xml:space="preserve">angezien </w:t>
      </w:r>
      <w:r>
        <w:rPr>
          <w:iCs/>
          <w:lang w:val="nl-NL"/>
        </w:rPr>
        <w:t>eigen</w:t>
      </w:r>
      <w:r w:rsidRPr="00BF53A9">
        <w:rPr>
          <w:iCs/>
          <w:lang w:val="nl-NL"/>
        </w:rPr>
        <w:t xml:space="preserve"> bijdragen zijn gebaseerd op het inkomen en vermogen van twee jaar eerder</w:t>
      </w:r>
      <w:r>
        <w:rPr>
          <w:iCs/>
          <w:lang w:val="nl-NL"/>
        </w:rPr>
        <w:t xml:space="preserve"> (de t-2 systematiek) wordt voor enkele bedragen aangesloten bij het jaar </w:t>
      </w:r>
      <w:r w:rsidR="00211B41">
        <w:rPr>
          <w:iCs/>
          <w:lang w:val="nl-NL"/>
        </w:rPr>
        <w:t>2023</w:t>
      </w:r>
      <w:r>
        <w:rPr>
          <w:iCs/>
          <w:lang w:val="nl-NL"/>
        </w:rPr>
        <w:t xml:space="preserve">. </w:t>
      </w:r>
    </w:p>
    <w:p w:rsidR="00EB0D79" w:rsidP="00EB0D79" w:rsidRDefault="00EB0D79" w14:paraId="3232BB11" w14:textId="77777777">
      <w:pPr>
        <w:rPr>
          <w:bCs/>
          <w:lang w:val="nl-NL"/>
        </w:rPr>
      </w:pPr>
    </w:p>
    <w:p w:rsidR="009E00A2" w:rsidP="00EB0D79" w:rsidRDefault="009E00A2" w14:paraId="6286D7C6" w14:textId="7366F58A">
      <w:pPr>
        <w:rPr>
          <w:bCs/>
          <w:i/>
          <w:iCs/>
          <w:lang w:val="nl-NL"/>
        </w:rPr>
      </w:pPr>
      <w:r>
        <w:rPr>
          <w:bCs/>
          <w:i/>
          <w:iCs/>
          <w:lang w:val="nl-NL"/>
        </w:rPr>
        <w:t>Eigen bijdragensystematiek Wlz</w:t>
      </w:r>
      <w:r w:rsidR="000E1044">
        <w:rPr>
          <w:bCs/>
          <w:i/>
          <w:iCs/>
          <w:lang w:val="nl-NL"/>
        </w:rPr>
        <w:t xml:space="preserve"> en beschermd wonen Wmo 2015</w:t>
      </w:r>
    </w:p>
    <w:p w:rsidR="001A0695" w:rsidP="00EB0D79" w:rsidRDefault="001A0695" w14:paraId="4EF70969" w14:textId="77777777">
      <w:pPr>
        <w:rPr>
          <w:bCs/>
          <w:lang w:val="nl-NL"/>
        </w:rPr>
      </w:pPr>
    </w:p>
    <w:p w:rsidR="00AF5DF1" w:rsidP="00EB0D79" w:rsidRDefault="0029640F" w14:paraId="2BBC192B" w14:textId="46384B54">
      <w:pPr>
        <w:rPr>
          <w:bCs/>
          <w:lang w:val="nl-NL"/>
        </w:rPr>
      </w:pPr>
      <w:r>
        <w:rPr>
          <w:bCs/>
          <w:lang w:val="nl-NL"/>
        </w:rPr>
        <w:t xml:space="preserve">De Wlz kent verschillende eigen bijdragen die afhankelijk zijn van de leveringsvorm. </w:t>
      </w:r>
      <w:r w:rsidR="00AF5DF1">
        <w:rPr>
          <w:bCs/>
          <w:lang w:val="nl-NL"/>
        </w:rPr>
        <w:t>Voor zorg met verblijf betaalt men in principe altijd de hoge eigen bijdrage (hierna: HEB</w:t>
      </w:r>
      <w:r w:rsidR="0030381C">
        <w:rPr>
          <w:bCs/>
          <w:lang w:val="nl-NL"/>
        </w:rPr>
        <w:t>) o</w:t>
      </w:r>
      <w:r w:rsidR="00AF5DF1">
        <w:rPr>
          <w:bCs/>
          <w:lang w:val="nl-NL"/>
        </w:rPr>
        <w:t>mdat men bij zorg met verblijf een integraal pakket ontvangt, waarbij niet alleen zorg maar ook wonen en voeding zit inbegrepen</w:t>
      </w:r>
      <w:r w:rsidR="001348A7">
        <w:rPr>
          <w:bCs/>
          <w:lang w:val="nl-NL"/>
        </w:rPr>
        <w:t xml:space="preserve">. De HEB kan </w:t>
      </w:r>
      <w:r w:rsidR="00AF5DF1">
        <w:rPr>
          <w:bCs/>
          <w:lang w:val="nl-NL"/>
        </w:rPr>
        <w:t>oplopen tot maximaal € </w:t>
      </w:r>
      <w:r w:rsidR="00226EDF">
        <w:rPr>
          <w:bCs/>
          <w:lang w:val="nl-NL"/>
        </w:rPr>
        <w:t>2.954,40</w:t>
      </w:r>
      <w:r w:rsidR="00AF5DF1">
        <w:rPr>
          <w:bCs/>
          <w:lang w:val="nl-NL"/>
        </w:rPr>
        <w:t xml:space="preserve"> per maand.</w:t>
      </w:r>
    </w:p>
    <w:p w:rsidR="00AF5DF1" w:rsidP="00EB0D79" w:rsidRDefault="00AF5DF1" w14:paraId="45ED0222" w14:textId="0EFE0A11">
      <w:pPr>
        <w:rPr>
          <w:bCs/>
          <w:lang w:val="nl-NL"/>
        </w:rPr>
      </w:pPr>
    </w:p>
    <w:p w:rsidR="00AF5DF1" w:rsidP="00EB0D79" w:rsidRDefault="00AF5DF1" w14:paraId="5DB06D54" w14:textId="51910E0A">
      <w:pPr>
        <w:rPr>
          <w:bCs/>
          <w:lang w:val="nl-NL"/>
        </w:rPr>
      </w:pPr>
      <w:r>
        <w:rPr>
          <w:bCs/>
          <w:lang w:val="nl-NL"/>
        </w:rPr>
        <w:t>Er zijn enkele situaties waarbij voor zorg met verblijf niet de HEB, maar de zogenaamde lage eigen bijdrage (hierna: LEB) wordt betaald. Dit is bijvoorbeeld het geval bij de eerste vier maanden van het verblijf of als er sprake is van een thuiswonende partner.</w:t>
      </w:r>
      <w:r>
        <w:rPr>
          <w:rStyle w:val="Voetnootmarkering"/>
          <w:bCs/>
          <w:lang w:val="nl-NL"/>
        </w:rPr>
        <w:footnoteReference w:id="5"/>
      </w:r>
      <w:r>
        <w:rPr>
          <w:bCs/>
          <w:lang w:val="nl-NL"/>
        </w:rPr>
        <w:t xml:space="preserve"> De LEB bedraagt minimaal € </w:t>
      </w:r>
      <w:r w:rsidR="00226EDF">
        <w:rPr>
          <w:bCs/>
          <w:lang w:val="nl-NL"/>
        </w:rPr>
        <w:t>205</w:t>
      </w:r>
      <w:r>
        <w:rPr>
          <w:bCs/>
          <w:lang w:val="nl-NL"/>
        </w:rPr>
        <w:t xml:space="preserve"> en maximaal € </w:t>
      </w:r>
      <w:r w:rsidR="00226EDF">
        <w:rPr>
          <w:bCs/>
          <w:lang w:val="nl-NL"/>
        </w:rPr>
        <w:t>1.076,60</w:t>
      </w:r>
      <w:r>
        <w:rPr>
          <w:bCs/>
          <w:lang w:val="nl-NL"/>
        </w:rPr>
        <w:t xml:space="preserve"> per maand. De LEB wordt ook betaald bij zorg zonder verblijf, namelijk voor een volledig pakket thuis</w:t>
      </w:r>
      <w:r w:rsidR="00A854FA">
        <w:rPr>
          <w:bCs/>
          <w:lang w:val="nl-NL"/>
        </w:rPr>
        <w:t xml:space="preserve"> (hierna: vpt)</w:t>
      </w:r>
      <w:r>
        <w:rPr>
          <w:bCs/>
          <w:lang w:val="nl-NL"/>
        </w:rPr>
        <w:t xml:space="preserve">, een modulair pakket thuis (hierna: mpt) of persoonsgebonden budget (hierna: pgb). De eigen bijdragen voor mpt en pgb kennen </w:t>
      </w:r>
      <w:r w:rsidR="009F6E60">
        <w:rPr>
          <w:bCs/>
          <w:lang w:val="nl-NL"/>
        </w:rPr>
        <w:t xml:space="preserve">een </w:t>
      </w:r>
      <w:r>
        <w:rPr>
          <w:bCs/>
          <w:lang w:val="nl-NL"/>
        </w:rPr>
        <w:t>extra aftrekpost, waardoor deze minimaal € </w:t>
      </w:r>
      <w:r w:rsidR="00226EDF">
        <w:rPr>
          <w:bCs/>
          <w:lang w:val="nl-NL"/>
        </w:rPr>
        <w:t>29,20</w:t>
      </w:r>
      <w:r>
        <w:rPr>
          <w:bCs/>
          <w:lang w:val="nl-NL"/>
        </w:rPr>
        <w:t xml:space="preserve"> en maximaal € </w:t>
      </w:r>
      <w:r w:rsidR="00226EDF">
        <w:rPr>
          <w:bCs/>
          <w:lang w:val="nl-NL"/>
        </w:rPr>
        <w:t>900,80</w:t>
      </w:r>
      <w:r>
        <w:rPr>
          <w:bCs/>
          <w:lang w:val="nl-NL"/>
        </w:rPr>
        <w:t> per maand bedragen.</w:t>
      </w:r>
      <w:r w:rsidR="00A775BF">
        <w:rPr>
          <w:bCs/>
          <w:lang w:val="nl-NL"/>
        </w:rPr>
        <w:t xml:space="preserve"> </w:t>
      </w:r>
    </w:p>
    <w:p w:rsidR="0029640F" w:rsidP="00EB0D79" w:rsidRDefault="0029640F" w14:paraId="4B631269" w14:textId="77777777">
      <w:pPr>
        <w:rPr>
          <w:bCs/>
          <w:lang w:val="nl-NL"/>
        </w:rPr>
      </w:pPr>
    </w:p>
    <w:p w:rsidR="0029640F" w:rsidP="0029640F" w:rsidRDefault="0029640F" w14:paraId="6D843F1E" w14:textId="257AC07C">
      <w:pPr>
        <w:rPr>
          <w:bCs/>
          <w:lang w:val="nl-NL"/>
        </w:rPr>
      </w:pPr>
      <w:r>
        <w:rPr>
          <w:bCs/>
          <w:lang w:val="nl-NL"/>
        </w:rPr>
        <w:t>Naast de leveringsvorm zijn de eigen bijdragen</w:t>
      </w:r>
      <w:r w:rsidR="000B4D3E">
        <w:rPr>
          <w:bCs/>
          <w:lang w:val="nl-NL"/>
        </w:rPr>
        <w:t xml:space="preserve"> op grond van de</w:t>
      </w:r>
      <w:r>
        <w:rPr>
          <w:bCs/>
          <w:lang w:val="nl-NL"/>
        </w:rPr>
        <w:t xml:space="preserve"> Wlz afhankelijk van inkomen en vermogen. Om correcties van eigen bijdragen zoveel mogelijk te voorkomen, zijn stabiele inkomens- en vermogensgegevens nodig. Daarom wordt er voor de berekening van de eigen bijdragen </w:t>
      </w:r>
      <w:r w:rsidR="009B79B3">
        <w:rPr>
          <w:bCs/>
          <w:lang w:val="nl-NL"/>
        </w:rPr>
        <w:t xml:space="preserve">in beginsel </w:t>
      </w:r>
      <w:r>
        <w:rPr>
          <w:bCs/>
          <w:lang w:val="nl-NL"/>
        </w:rPr>
        <w:t>gekeken naar het verzamelinkomen en vermogen van twee jaar voorafgaand aan het jaar waarover de eigen bijdrage verschuldigd is (de t-2 systematiek). Bij het verzamelinkomen wordt via de VIB een deel van het vermogen opgeteld</w:t>
      </w:r>
      <w:r w:rsidR="00D37B5E">
        <w:rPr>
          <w:bCs/>
          <w:lang w:val="nl-NL"/>
        </w:rPr>
        <w:t xml:space="preserve"> dat h</w:t>
      </w:r>
      <w:r>
        <w:rPr>
          <w:bCs/>
          <w:lang w:val="nl-NL"/>
        </w:rPr>
        <w:t xml:space="preserve">et heffingsvrije vermogen </w:t>
      </w:r>
      <w:r w:rsidR="00D37B5E">
        <w:rPr>
          <w:bCs/>
          <w:lang w:val="nl-NL"/>
        </w:rPr>
        <w:t xml:space="preserve">à </w:t>
      </w:r>
      <w:r>
        <w:rPr>
          <w:bCs/>
          <w:lang w:val="nl-NL"/>
        </w:rPr>
        <w:t>€ </w:t>
      </w:r>
      <w:r w:rsidR="00226EDF">
        <w:rPr>
          <w:bCs/>
          <w:lang w:val="nl-NL"/>
        </w:rPr>
        <w:t>33.748</w:t>
      </w:r>
      <w:r w:rsidR="00D37B5E">
        <w:rPr>
          <w:bCs/>
          <w:lang w:val="nl-NL"/>
        </w:rPr>
        <w:t xml:space="preserve"> te boven gaat</w:t>
      </w:r>
      <w:r>
        <w:rPr>
          <w:bCs/>
          <w:lang w:val="nl-NL"/>
        </w:rPr>
        <w:t>. Voor niet-pensioengerechtigden w</w:t>
      </w:r>
      <w:r w:rsidR="005D00D7">
        <w:rPr>
          <w:bCs/>
          <w:lang w:val="nl-NL"/>
        </w:rPr>
        <w:t>erd</w:t>
      </w:r>
      <w:r>
        <w:rPr>
          <w:bCs/>
          <w:lang w:val="nl-NL"/>
        </w:rPr>
        <w:t xml:space="preserve"> bij de berekening van de VIB rekening gehouden </w:t>
      </w:r>
      <w:r w:rsidR="001348A7">
        <w:rPr>
          <w:bCs/>
          <w:lang w:val="nl-NL"/>
        </w:rPr>
        <w:t xml:space="preserve">met de EVV waardoor het </w:t>
      </w:r>
      <w:r w:rsidR="00B27CB2">
        <w:rPr>
          <w:bCs/>
          <w:lang w:val="nl-NL"/>
        </w:rPr>
        <w:t xml:space="preserve">bijdrageplichtig </w:t>
      </w:r>
      <w:r w:rsidR="001348A7">
        <w:rPr>
          <w:bCs/>
          <w:lang w:val="nl-NL"/>
        </w:rPr>
        <w:t>vermogen voor niet-pensioengerechtigden w</w:t>
      </w:r>
      <w:r w:rsidR="005D00D7">
        <w:rPr>
          <w:bCs/>
          <w:lang w:val="nl-NL"/>
        </w:rPr>
        <w:t>erd</w:t>
      </w:r>
      <w:r w:rsidR="001348A7">
        <w:rPr>
          <w:bCs/>
          <w:lang w:val="nl-NL"/>
        </w:rPr>
        <w:t xml:space="preserve"> </w:t>
      </w:r>
      <w:r w:rsidR="00B27CB2">
        <w:rPr>
          <w:bCs/>
          <w:lang w:val="nl-NL"/>
        </w:rPr>
        <w:t xml:space="preserve">verlaagd </w:t>
      </w:r>
      <w:r w:rsidR="001348A7">
        <w:rPr>
          <w:bCs/>
          <w:lang w:val="nl-NL"/>
        </w:rPr>
        <w:t>met € </w:t>
      </w:r>
      <w:r w:rsidR="00226EDF">
        <w:rPr>
          <w:bCs/>
          <w:lang w:val="nl-NL"/>
        </w:rPr>
        <w:t>11.534</w:t>
      </w:r>
      <w:r w:rsidR="001348A7">
        <w:rPr>
          <w:bCs/>
          <w:lang w:val="nl-NL"/>
        </w:rPr>
        <w:t>.</w:t>
      </w:r>
      <w:r>
        <w:rPr>
          <w:bCs/>
          <w:lang w:val="nl-NL"/>
        </w:rPr>
        <w:t xml:space="preserve"> </w:t>
      </w:r>
      <w:r w:rsidR="00EA3624">
        <w:rPr>
          <w:bCs/>
          <w:lang w:val="nl-NL"/>
        </w:rPr>
        <w:t>V</w:t>
      </w:r>
      <w:r w:rsidR="005D00D7">
        <w:rPr>
          <w:bCs/>
          <w:lang w:val="nl-NL"/>
        </w:rPr>
        <w:t xml:space="preserve">oor </w:t>
      </w:r>
      <w:r w:rsidR="001A0695">
        <w:rPr>
          <w:bCs/>
          <w:lang w:val="nl-NL"/>
        </w:rPr>
        <w:t xml:space="preserve">pensioengerechtigden </w:t>
      </w:r>
      <w:r w:rsidR="00EA3624">
        <w:rPr>
          <w:bCs/>
          <w:lang w:val="nl-NL"/>
        </w:rPr>
        <w:t xml:space="preserve">werd </w:t>
      </w:r>
      <w:r w:rsidR="005D00D7">
        <w:rPr>
          <w:bCs/>
          <w:lang w:val="nl-NL"/>
        </w:rPr>
        <w:t>rekening gehouden met de CVO, welke</w:t>
      </w:r>
      <w:r w:rsidR="001A0695">
        <w:rPr>
          <w:bCs/>
          <w:lang w:val="nl-NL"/>
        </w:rPr>
        <w:t xml:space="preserve"> in mindering w</w:t>
      </w:r>
      <w:r w:rsidR="005D00D7">
        <w:rPr>
          <w:bCs/>
          <w:lang w:val="nl-NL"/>
        </w:rPr>
        <w:t>erd</w:t>
      </w:r>
      <w:r w:rsidR="001A0695">
        <w:rPr>
          <w:bCs/>
          <w:lang w:val="nl-NL"/>
        </w:rPr>
        <w:t xml:space="preserve"> gebracht op de som van het verzamelinkomen en de VIB. </w:t>
      </w:r>
      <w:r w:rsidR="003C0A18">
        <w:rPr>
          <w:bCs/>
          <w:lang w:val="nl-NL"/>
        </w:rPr>
        <w:t>D</w:t>
      </w:r>
      <w:r w:rsidR="008873D1">
        <w:rPr>
          <w:bCs/>
          <w:lang w:val="nl-NL"/>
        </w:rPr>
        <w:t xml:space="preserve">e HEB </w:t>
      </w:r>
      <w:r w:rsidR="003C0A18">
        <w:rPr>
          <w:bCs/>
          <w:lang w:val="nl-NL"/>
        </w:rPr>
        <w:t xml:space="preserve">is gebaseerd op </w:t>
      </w:r>
      <w:r w:rsidR="008873D1">
        <w:rPr>
          <w:bCs/>
          <w:lang w:val="nl-NL"/>
        </w:rPr>
        <w:t>de som van het verzamelinkomen</w:t>
      </w:r>
      <w:r w:rsidR="00A854FA">
        <w:rPr>
          <w:bCs/>
          <w:lang w:val="nl-NL"/>
        </w:rPr>
        <w:t>,</w:t>
      </w:r>
      <w:r w:rsidR="008873D1">
        <w:rPr>
          <w:bCs/>
          <w:lang w:val="nl-NL"/>
        </w:rPr>
        <w:t xml:space="preserve"> de VIB en de eventuele aftrek vanwege de CVO. </w:t>
      </w:r>
      <w:r w:rsidR="00C121C0">
        <w:rPr>
          <w:bCs/>
          <w:lang w:val="nl-NL"/>
        </w:rPr>
        <w:t>Anders dan de HEB kent de LEB een marginaal tarief</w:t>
      </w:r>
      <w:r w:rsidR="00D35295">
        <w:rPr>
          <w:bCs/>
          <w:lang w:val="nl-NL"/>
        </w:rPr>
        <w:t>,</w:t>
      </w:r>
      <w:r w:rsidR="001A0695">
        <w:rPr>
          <w:bCs/>
          <w:lang w:val="nl-NL"/>
        </w:rPr>
        <w:t xml:space="preserve"> </w:t>
      </w:r>
      <w:r w:rsidR="00725A06">
        <w:rPr>
          <w:bCs/>
          <w:lang w:val="nl-NL"/>
        </w:rPr>
        <w:t xml:space="preserve">waardoor </w:t>
      </w:r>
      <w:r w:rsidR="001A0695">
        <w:rPr>
          <w:bCs/>
          <w:lang w:val="nl-NL"/>
        </w:rPr>
        <w:t>de som van het verzamelinkomen de VIB en de eventuele aftrek vanwege de CVO voor 10% door</w:t>
      </w:r>
      <w:r w:rsidR="00725A06">
        <w:rPr>
          <w:bCs/>
          <w:lang w:val="nl-NL"/>
        </w:rPr>
        <w:t>werkt</w:t>
      </w:r>
      <w:r w:rsidR="001A0695">
        <w:rPr>
          <w:bCs/>
          <w:lang w:val="nl-NL"/>
        </w:rPr>
        <w:t xml:space="preserve"> in de </w:t>
      </w:r>
      <w:r w:rsidR="00725A06">
        <w:rPr>
          <w:bCs/>
          <w:lang w:val="nl-NL"/>
        </w:rPr>
        <w:t xml:space="preserve">hoogte van de </w:t>
      </w:r>
      <w:r w:rsidR="001A0695">
        <w:rPr>
          <w:bCs/>
          <w:lang w:val="nl-NL"/>
        </w:rPr>
        <w:t>eigen bijdrage.</w:t>
      </w:r>
    </w:p>
    <w:p w:rsidR="001A0695" w:rsidP="0029640F" w:rsidRDefault="001A0695" w14:paraId="6037CBAA" w14:textId="77777777">
      <w:pPr>
        <w:rPr>
          <w:bCs/>
          <w:lang w:val="nl-NL"/>
        </w:rPr>
      </w:pPr>
    </w:p>
    <w:p w:rsidRPr="002874A3" w:rsidR="00341CA2" w:rsidP="0029640F" w:rsidRDefault="001A0695" w14:paraId="132222A6" w14:textId="77777777">
      <w:pPr>
        <w:rPr>
          <w:lang w:val="nl-NL"/>
        </w:rPr>
      </w:pPr>
      <w:r>
        <w:rPr>
          <w:bCs/>
          <w:lang w:val="nl-NL"/>
        </w:rPr>
        <w:t xml:space="preserve">De eigen bijdragen voor beschermd wonen in de Wmo 2015 volgen </w:t>
      </w:r>
      <w:r w:rsidR="00725A06">
        <w:rPr>
          <w:bCs/>
          <w:lang w:val="nl-NL"/>
        </w:rPr>
        <w:t>dezelfde</w:t>
      </w:r>
      <w:r>
        <w:rPr>
          <w:bCs/>
          <w:lang w:val="nl-NL"/>
        </w:rPr>
        <w:t xml:space="preserve"> systematiek </w:t>
      </w:r>
      <w:r w:rsidR="00725A06">
        <w:rPr>
          <w:bCs/>
          <w:lang w:val="nl-NL"/>
        </w:rPr>
        <w:t xml:space="preserve">als de eigen bijdragen </w:t>
      </w:r>
      <w:r>
        <w:rPr>
          <w:bCs/>
          <w:lang w:val="nl-NL"/>
        </w:rPr>
        <w:t>voor zorg met verblijf in de Wlz.</w:t>
      </w:r>
    </w:p>
    <w:p w:rsidRPr="002874A3" w:rsidR="00341CA2" w:rsidP="0029640F" w:rsidRDefault="00341CA2" w14:paraId="2B3AC528" w14:textId="77777777">
      <w:pPr>
        <w:rPr>
          <w:lang w:val="nl-NL"/>
        </w:rPr>
      </w:pPr>
    </w:p>
    <w:p w:rsidR="0029640F" w:rsidP="0029640F" w:rsidRDefault="00341CA2" w14:paraId="77098356" w14:textId="4FC81B29">
      <w:pPr>
        <w:rPr>
          <w:bCs/>
          <w:lang w:val="nl-NL"/>
        </w:rPr>
      </w:pPr>
      <w:r>
        <w:rPr>
          <w:bCs/>
          <w:lang w:val="nl-NL"/>
        </w:rPr>
        <w:t xml:space="preserve">Om </w:t>
      </w:r>
      <w:r w:rsidRPr="00341CA2">
        <w:rPr>
          <w:bCs/>
          <w:lang w:val="nl-NL"/>
        </w:rPr>
        <w:t xml:space="preserve">stapeling van eigen </w:t>
      </w:r>
      <w:r>
        <w:rPr>
          <w:bCs/>
          <w:lang w:val="nl-NL"/>
        </w:rPr>
        <w:t xml:space="preserve">betalingen tegen te gaan, </w:t>
      </w:r>
      <w:r w:rsidRPr="00341CA2">
        <w:rPr>
          <w:bCs/>
          <w:lang w:val="nl-NL"/>
        </w:rPr>
        <w:t xml:space="preserve">is </w:t>
      </w:r>
      <w:r>
        <w:rPr>
          <w:bCs/>
          <w:lang w:val="nl-NL"/>
        </w:rPr>
        <w:t xml:space="preserve">geregeld dat </w:t>
      </w:r>
      <w:r w:rsidRPr="00341CA2">
        <w:rPr>
          <w:bCs/>
          <w:lang w:val="nl-NL"/>
        </w:rPr>
        <w:t>de eigen bijdragen op grond van de Wlz en op grond van de Wmo voor beschermd wonen</w:t>
      </w:r>
      <w:r>
        <w:rPr>
          <w:bCs/>
          <w:lang w:val="nl-NL"/>
        </w:rPr>
        <w:t xml:space="preserve"> niet kunnen cumuleren. Oo</w:t>
      </w:r>
      <w:r w:rsidRPr="00341CA2">
        <w:rPr>
          <w:bCs/>
          <w:lang w:val="nl-NL"/>
        </w:rPr>
        <w:t xml:space="preserve">k </w:t>
      </w:r>
      <w:r>
        <w:rPr>
          <w:bCs/>
          <w:lang w:val="nl-NL"/>
        </w:rPr>
        <w:t xml:space="preserve">de voornomen </w:t>
      </w:r>
      <w:r w:rsidRPr="00341CA2">
        <w:rPr>
          <w:bCs/>
          <w:lang w:val="nl-NL"/>
        </w:rPr>
        <w:t xml:space="preserve">invoering van de inkomens- en vermogensafhankelijke eigen bijdrage (ivb) </w:t>
      </w:r>
      <w:r>
        <w:rPr>
          <w:bCs/>
          <w:lang w:val="nl-NL"/>
        </w:rPr>
        <w:t xml:space="preserve">ter vervanging van het abonnementstarief </w:t>
      </w:r>
      <w:r w:rsidRPr="00341CA2">
        <w:rPr>
          <w:bCs/>
          <w:lang w:val="nl-NL"/>
        </w:rPr>
        <w:t>zal gepaard gaan van anti-cumulatie. Als een eigen bijdrage voor langdurige zorg of beschermd wonen verschuldigd is, dan is er geen ivb verschuldigd</w:t>
      </w:r>
      <w:r>
        <w:rPr>
          <w:bCs/>
          <w:lang w:val="nl-NL"/>
        </w:rPr>
        <w:t>.</w:t>
      </w:r>
    </w:p>
    <w:p w:rsidR="009E00A2" w:rsidP="00EB0D79" w:rsidRDefault="009E00A2" w14:paraId="02EBC596" w14:textId="77777777">
      <w:pPr>
        <w:rPr>
          <w:bCs/>
          <w:lang w:val="nl-NL"/>
        </w:rPr>
      </w:pPr>
    </w:p>
    <w:p w:rsidRPr="00805158" w:rsidR="00CD3E34" w:rsidP="00EB0D79" w:rsidRDefault="00CD3E34" w14:paraId="20C0D1C1" w14:textId="0D33A728">
      <w:pPr>
        <w:rPr>
          <w:i/>
          <w:iCs/>
          <w:lang w:val="nl-NL"/>
        </w:rPr>
      </w:pPr>
      <w:r>
        <w:rPr>
          <w:i/>
          <w:iCs/>
          <w:lang w:val="nl-NL"/>
        </w:rPr>
        <w:t>Afbouw van de CVO</w:t>
      </w:r>
    </w:p>
    <w:p w:rsidRPr="00766911" w:rsidR="00CD3E34" w:rsidP="00EB0D79" w:rsidRDefault="00CD3E34" w14:paraId="5E6E735B" w14:textId="11A05D4F">
      <w:pPr>
        <w:rPr>
          <w:lang w:val="nl-NL"/>
        </w:rPr>
      </w:pPr>
    </w:p>
    <w:p w:rsidR="00EB0D79" w:rsidP="00EB0D79" w:rsidRDefault="00EB0D79" w14:paraId="03C315BB" w14:textId="6B73BDF1">
      <w:pPr>
        <w:rPr>
          <w:lang w:val="nl-NL"/>
        </w:rPr>
      </w:pPr>
      <w:r w:rsidRPr="00766911">
        <w:rPr>
          <w:lang w:val="nl-NL"/>
        </w:rPr>
        <w:t xml:space="preserve">Door de afbouw van de CVO </w:t>
      </w:r>
      <w:r w:rsidR="00976E59">
        <w:rPr>
          <w:lang w:val="nl-NL"/>
        </w:rPr>
        <w:t>stijgen</w:t>
      </w:r>
      <w:r w:rsidR="00883EED">
        <w:rPr>
          <w:lang w:val="nl-NL"/>
        </w:rPr>
        <w:t>,</w:t>
      </w:r>
      <w:r w:rsidR="00976E59">
        <w:rPr>
          <w:lang w:val="nl-NL"/>
        </w:rPr>
        <w:t xml:space="preserve"> </w:t>
      </w:r>
      <w:r w:rsidRPr="00766911" w:rsidR="00883EED">
        <w:rPr>
          <w:lang w:val="nl-NL"/>
        </w:rPr>
        <w:t xml:space="preserve">voor </w:t>
      </w:r>
      <w:r w:rsidR="00883EED">
        <w:rPr>
          <w:lang w:val="nl-NL"/>
        </w:rPr>
        <w:t xml:space="preserve">een deel van de </w:t>
      </w:r>
      <w:r w:rsidRPr="00766911" w:rsidR="00883EED">
        <w:rPr>
          <w:lang w:val="nl-NL"/>
        </w:rPr>
        <w:t>pensioengerechtigden</w:t>
      </w:r>
      <w:r w:rsidR="00883EED">
        <w:rPr>
          <w:lang w:val="nl-NL"/>
        </w:rPr>
        <w:t>,</w:t>
      </w:r>
      <w:r w:rsidRPr="00766911" w:rsidR="00883EED">
        <w:rPr>
          <w:lang w:val="nl-NL"/>
        </w:rPr>
        <w:t xml:space="preserve"> </w:t>
      </w:r>
      <w:r w:rsidRPr="00766911">
        <w:rPr>
          <w:lang w:val="nl-NL"/>
        </w:rPr>
        <w:t xml:space="preserve">de eigen bijdragen voor zorg op grond van de Wlz en beschermd wonen op grond van de Wmo 2015. Óf de eigen bijdrage </w:t>
      </w:r>
      <w:r w:rsidR="00976E59">
        <w:rPr>
          <w:lang w:val="nl-NL"/>
        </w:rPr>
        <w:t xml:space="preserve">stijgt </w:t>
      </w:r>
      <w:r w:rsidR="00C26A07">
        <w:rPr>
          <w:lang w:val="nl-NL"/>
        </w:rPr>
        <w:t>en hoe hoog deze stijging</w:t>
      </w:r>
      <w:r w:rsidR="00976E59">
        <w:rPr>
          <w:lang w:val="nl-NL"/>
        </w:rPr>
        <w:t xml:space="preserve"> is</w:t>
      </w:r>
      <w:r w:rsidR="00C26A07">
        <w:rPr>
          <w:lang w:val="nl-NL"/>
        </w:rPr>
        <w:t xml:space="preserve">, </w:t>
      </w:r>
      <w:r w:rsidR="00976E59">
        <w:rPr>
          <w:lang w:val="nl-NL"/>
        </w:rPr>
        <w:t xml:space="preserve">hangt </w:t>
      </w:r>
      <w:r w:rsidR="005D00D7">
        <w:rPr>
          <w:lang w:val="nl-NL"/>
        </w:rPr>
        <w:t>af</w:t>
      </w:r>
      <w:r w:rsidRPr="00766911">
        <w:rPr>
          <w:lang w:val="nl-NL"/>
        </w:rPr>
        <w:t xml:space="preserve"> </w:t>
      </w:r>
      <w:r w:rsidR="005D00D7">
        <w:rPr>
          <w:lang w:val="nl-NL"/>
        </w:rPr>
        <w:t xml:space="preserve">van </w:t>
      </w:r>
      <w:r w:rsidRPr="00766911">
        <w:rPr>
          <w:lang w:val="nl-NL"/>
        </w:rPr>
        <w:t>verschillende factoren</w:t>
      </w:r>
      <w:r w:rsidR="008873D1">
        <w:rPr>
          <w:lang w:val="nl-NL"/>
        </w:rPr>
        <w:t>. Factoren die een rol spelen zijn of er</w:t>
      </w:r>
      <w:r w:rsidR="0030659C">
        <w:rPr>
          <w:lang w:val="nl-NL"/>
        </w:rPr>
        <w:t xml:space="preserve"> </w:t>
      </w:r>
      <w:r w:rsidRPr="00766911">
        <w:rPr>
          <w:lang w:val="nl-NL"/>
        </w:rPr>
        <w:t xml:space="preserve">een </w:t>
      </w:r>
      <w:r w:rsidR="0030659C">
        <w:rPr>
          <w:lang w:val="nl-NL"/>
        </w:rPr>
        <w:t xml:space="preserve">eventuele </w:t>
      </w:r>
      <w:r w:rsidRPr="00766911">
        <w:rPr>
          <w:lang w:val="nl-NL"/>
        </w:rPr>
        <w:t>pensioengerechtigde partner</w:t>
      </w:r>
      <w:r w:rsidR="008873D1">
        <w:rPr>
          <w:lang w:val="nl-NL"/>
        </w:rPr>
        <w:t xml:space="preserve"> is</w:t>
      </w:r>
      <w:r w:rsidRPr="00766911">
        <w:rPr>
          <w:lang w:val="nl-NL"/>
        </w:rPr>
        <w:t xml:space="preserve">, de hoogte van het verzamelinkomen, de hoogte van het vermogen (en eventueel de verdeling ervan over de partners) en </w:t>
      </w:r>
      <w:r w:rsidR="00BA27CA">
        <w:rPr>
          <w:lang w:val="nl-NL"/>
        </w:rPr>
        <w:t>de leveringsvorm</w:t>
      </w:r>
      <w:r w:rsidR="00883EED">
        <w:rPr>
          <w:lang w:val="nl-NL"/>
        </w:rPr>
        <w:t xml:space="preserve"> van de zorg</w:t>
      </w:r>
      <w:r w:rsidR="00BA27CA">
        <w:rPr>
          <w:lang w:val="nl-NL"/>
        </w:rPr>
        <w:t xml:space="preserve"> op basis waarvan men de HEB of LEB betaalt</w:t>
      </w:r>
      <w:r w:rsidRPr="00766911">
        <w:rPr>
          <w:lang w:val="nl-NL"/>
        </w:rPr>
        <w:t xml:space="preserve">. </w:t>
      </w:r>
    </w:p>
    <w:p w:rsidRPr="00766911" w:rsidR="00EB0D79" w:rsidP="00EB0D79" w:rsidRDefault="00EB0D79" w14:paraId="6E255A08" w14:textId="756F68CE">
      <w:pPr>
        <w:rPr>
          <w:lang w:val="nl-NL"/>
        </w:rPr>
      </w:pPr>
    </w:p>
    <w:p w:rsidR="00EB0D79" w:rsidP="00EB0D79" w:rsidRDefault="00EB0D79" w14:paraId="29FBE077" w14:textId="1068DC1B">
      <w:pPr>
        <w:rPr>
          <w:lang w:val="nl-NL"/>
        </w:rPr>
      </w:pPr>
      <w:r w:rsidRPr="00766911">
        <w:rPr>
          <w:lang w:val="nl-NL"/>
        </w:rPr>
        <w:lastRenderedPageBreak/>
        <w:t xml:space="preserve">Om in aanmerking te komen voor de CVO </w:t>
      </w:r>
      <w:r w:rsidR="00D35295">
        <w:rPr>
          <w:lang w:val="nl-NL"/>
        </w:rPr>
        <w:t>moet</w:t>
      </w:r>
      <w:r w:rsidRPr="00766911" w:rsidR="00D35295">
        <w:rPr>
          <w:lang w:val="nl-NL"/>
        </w:rPr>
        <w:t xml:space="preserve"> </w:t>
      </w:r>
      <w:r w:rsidRPr="00766911">
        <w:rPr>
          <w:lang w:val="nl-NL"/>
        </w:rPr>
        <w:t>de cliënt (en eventueel diens partner) onder de inkomensgrens van € </w:t>
      </w:r>
      <w:r w:rsidR="00226EDF">
        <w:rPr>
          <w:lang w:val="nl-NL"/>
        </w:rPr>
        <w:t>22.833</w:t>
      </w:r>
      <w:r w:rsidRPr="00766911">
        <w:rPr>
          <w:lang w:val="nl-NL"/>
        </w:rPr>
        <w:t xml:space="preserve"> zitten.</w:t>
      </w:r>
      <w:r w:rsidRPr="00766911">
        <w:rPr>
          <w:rStyle w:val="Voetnootmarkering"/>
          <w:bCs/>
          <w:lang w:val="nl-NL"/>
        </w:rPr>
        <w:footnoteReference w:id="6"/>
      </w:r>
      <w:r w:rsidRPr="00766911">
        <w:rPr>
          <w:lang w:val="nl-NL"/>
        </w:rPr>
        <w:t xml:space="preserve"> </w:t>
      </w:r>
      <w:r w:rsidR="0022698C">
        <w:rPr>
          <w:lang w:val="nl-NL"/>
        </w:rPr>
        <w:t>Figuur 1 en t</w:t>
      </w:r>
      <w:r w:rsidRPr="00766911">
        <w:rPr>
          <w:lang w:val="nl-NL"/>
        </w:rPr>
        <w:t xml:space="preserve">abel </w:t>
      </w:r>
      <w:r w:rsidR="005A4D5C">
        <w:rPr>
          <w:lang w:val="nl-NL"/>
        </w:rPr>
        <w:t xml:space="preserve">1 </w:t>
      </w:r>
      <w:r w:rsidRPr="00766911">
        <w:rPr>
          <w:lang w:val="nl-NL"/>
        </w:rPr>
        <w:t>to</w:t>
      </w:r>
      <w:r w:rsidR="0022698C">
        <w:rPr>
          <w:lang w:val="nl-NL"/>
        </w:rPr>
        <w:t xml:space="preserve">nen </w:t>
      </w:r>
      <w:r w:rsidRPr="00766911">
        <w:rPr>
          <w:lang w:val="nl-NL"/>
        </w:rPr>
        <w:t>het effect van de afbouw van de CVO op de hoogte van de eigen bijdrage voor een aantal combinaties van huishoudtype (alleenstaand of meerpersoonshuishouden), type eigen bijdrage (</w:t>
      </w:r>
      <w:r w:rsidR="00B76BCF">
        <w:rPr>
          <w:lang w:val="nl-NL"/>
        </w:rPr>
        <w:t>HEB of LEB</w:t>
      </w:r>
      <w:r w:rsidRPr="00766911">
        <w:rPr>
          <w:lang w:val="nl-NL"/>
        </w:rPr>
        <w:t xml:space="preserve">) en </w:t>
      </w:r>
      <w:r w:rsidR="00883EED">
        <w:rPr>
          <w:lang w:val="nl-NL"/>
        </w:rPr>
        <w:t xml:space="preserve">de hoogte van het </w:t>
      </w:r>
      <w:r w:rsidRPr="00766911">
        <w:rPr>
          <w:lang w:val="nl-NL"/>
        </w:rPr>
        <w:t xml:space="preserve">vermogen. De tabel geeft voor zowel informatie over de (gemiddelde) </w:t>
      </w:r>
      <w:r w:rsidRPr="00766911">
        <w:rPr>
          <w:i/>
          <w:iCs/>
          <w:lang w:val="nl-NL"/>
        </w:rPr>
        <w:t xml:space="preserve">jaarlijkse </w:t>
      </w:r>
      <w:r w:rsidRPr="00766911">
        <w:rPr>
          <w:lang w:val="nl-NL"/>
        </w:rPr>
        <w:t>stijging van de eigen bijdrage</w:t>
      </w:r>
      <w:r w:rsidR="003B7686">
        <w:rPr>
          <w:lang w:val="nl-NL"/>
        </w:rPr>
        <w:t xml:space="preserve"> in de periode 2026 t/m 2028 </w:t>
      </w:r>
      <w:r w:rsidRPr="00766911">
        <w:rPr>
          <w:lang w:val="nl-NL"/>
        </w:rPr>
        <w:t>als de</w:t>
      </w:r>
      <w:r w:rsidRPr="00766911">
        <w:rPr>
          <w:i/>
          <w:iCs/>
          <w:lang w:val="nl-NL"/>
        </w:rPr>
        <w:t xml:space="preserve"> totale</w:t>
      </w:r>
      <w:r w:rsidR="0022698C">
        <w:rPr>
          <w:i/>
          <w:iCs/>
          <w:lang w:val="nl-NL"/>
        </w:rPr>
        <w:t xml:space="preserve"> </w:t>
      </w:r>
      <w:r w:rsidRPr="00766911">
        <w:rPr>
          <w:lang w:val="nl-NL"/>
        </w:rPr>
        <w:t>stijging</w:t>
      </w:r>
      <w:r w:rsidR="003B7686">
        <w:rPr>
          <w:lang w:val="nl-NL"/>
        </w:rPr>
        <w:t xml:space="preserve"> van de eigen bijdrage per jaar per 2028</w:t>
      </w:r>
      <w:r w:rsidRPr="00766911">
        <w:rPr>
          <w:lang w:val="nl-NL"/>
        </w:rPr>
        <w:t>.</w:t>
      </w:r>
    </w:p>
    <w:p w:rsidR="00EB0D79" w:rsidP="00EB0D79" w:rsidRDefault="00EB0D79" w14:paraId="3EDEFCF0" w14:textId="3CA33AD7">
      <w:pPr>
        <w:rPr>
          <w:lang w:val="nl-NL"/>
        </w:rPr>
      </w:pPr>
    </w:p>
    <w:p w:rsidR="00137944" w:rsidP="00137944" w:rsidRDefault="00992B74" w14:paraId="5AB9FF8E" w14:textId="5D152BE3">
      <w:pPr>
        <w:rPr>
          <w:i/>
          <w:iCs/>
          <w:lang w:val="nl-NL"/>
        </w:rPr>
      </w:pPr>
      <w:r>
        <w:rPr>
          <w:noProof/>
        </w:rPr>
        <w:drawing>
          <wp:anchor distT="0" distB="0" distL="114300" distR="114300" simplePos="0" relativeHeight="251668480" behindDoc="0" locked="0" layoutInCell="1" allowOverlap="1" wp14:editId="4E17CD16" wp14:anchorId="6F02C1FA">
            <wp:simplePos x="0" y="0"/>
            <wp:positionH relativeFrom="column">
              <wp:posOffset>0</wp:posOffset>
            </wp:positionH>
            <wp:positionV relativeFrom="paragraph">
              <wp:posOffset>190500</wp:posOffset>
            </wp:positionV>
            <wp:extent cx="5579745" cy="3599815"/>
            <wp:effectExtent l="0" t="0" r="1905" b="635"/>
            <wp:wrapSquare wrapText="bothSides"/>
            <wp:docPr id="1964894764" name="Grafiek 1">
              <a:extLst xmlns:a="http://schemas.openxmlformats.org/drawingml/2006/main">
                <a:ext uri="{FF2B5EF4-FFF2-40B4-BE49-F238E27FC236}">
                  <a16:creationId xmlns:a16="http://schemas.microsoft.com/office/drawing/2014/main" id="{485955D4-5967-45E1-B559-A24FEA5CB2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1A3783" w:rsidR="00137944">
        <w:rPr>
          <w:i/>
          <w:iCs/>
          <w:lang w:val="nl-NL"/>
        </w:rPr>
        <w:t xml:space="preserve">Figuur 1: </w:t>
      </w:r>
      <w:r w:rsidR="00137944">
        <w:rPr>
          <w:i/>
          <w:iCs/>
          <w:lang w:val="nl-NL"/>
        </w:rPr>
        <w:t xml:space="preserve">Totale </w:t>
      </w:r>
      <w:r w:rsidRPr="001A3783" w:rsidR="00137944">
        <w:rPr>
          <w:i/>
          <w:iCs/>
          <w:lang w:val="nl-NL"/>
        </w:rPr>
        <w:t>toename eigen bijdrage p</w:t>
      </w:r>
      <w:r w:rsidR="00EE711D">
        <w:rPr>
          <w:i/>
          <w:iCs/>
          <w:lang w:val="nl-NL"/>
        </w:rPr>
        <w:t>er jaar</w:t>
      </w:r>
      <w:r w:rsidR="00137944">
        <w:rPr>
          <w:i/>
          <w:iCs/>
          <w:lang w:val="nl-NL"/>
        </w:rPr>
        <w:t xml:space="preserve"> </w:t>
      </w:r>
      <w:r w:rsidR="00EE711D">
        <w:rPr>
          <w:i/>
          <w:iCs/>
          <w:lang w:val="nl-NL"/>
        </w:rPr>
        <w:t xml:space="preserve">in </w:t>
      </w:r>
      <w:r w:rsidR="00137944">
        <w:rPr>
          <w:i/>
          <w:iCs/>
          <w:lang w:val="nl-NL"/>
        </w:rPr>
        <w:t>2028</w:t>
      </w:r>
      <w:r w:rsidRPr="001A3783" w:rsidR="00137944">
        <w:rPr>
          <w:i/>
          <w:iCs/>
          <w:lang w:val="nl-NL"/>
        </w:rPr>
        <w:t xml:space="preserve"> </w:t>
      </w:r>
      <w:r w:rsidR="00EE711D">
        <w:rPr>
          <w:i/>
          <w:iCs/>
          <w:lang w:val="nl-NL"/>
        </w:rPr>
        <w:t>na afschaffing</w:t>
      </w:r>
      <w:r w:rsidRPr="001A3783" w:rsidR="00137944">
        <w:rPr>
          <w:i/>
          <w:iCs/>
          <w:lang w:val="nl-NL"/>
        </w:rPr>
        <w:t xml:space="preserve"> CVO</w:t>
      </w:r>
      <w:r w:rsidR="00137944">
        <w:rPr>
          <w:i/>
          <w:iCs/>
          <w:lang w:val="nl-NL"/>
        </w:rPr>
        <w:t>*</w:t>
      </w:r>
    </w:p>
    <w:p w:rsidRPr="001A3783" w:rsidR="00137944" w:rsidP="002874A3" w:rsidRDefault="00137944" w14:paraId="57C92358" w14:textId="213472C0">
      <w:pPr>
        <w:rPr>
          <w:sz w:val="16"/>
          <w:szCs w:val="16"/>
          <w:lang w:val="nl-NL"/>
        </w:rPr>
      </w:pPr>
      <w:r w:rsidRPr="00CA3071">
        <w:rPr>
          <w:sz w:val="16"/>
          <w:szCs w:val="16"/>
          <w:lang w:val="nl-NL"/>
        </w:rPr>
        <w:t>Afkortingen:</w:t>
      </w:r>
      <w:r>
        <w:rPr>
          <w:sz w:val="16"/>
          <w:szCs w:val="16"/>
          <w:lang w:val="nl-NL"/>
        </w:rPr>
        <w:tab/>
        <w:t xml:space="preserve">EB = eigen bijdrage, </w:t>
      </w:r>
      <w:r w:rsidRPr="00CA3071">
        <w:rPr>
          <w:sz w:val="16"/>
          <w:szCs w:val="16"/>
          <w:lang w:val="nl-NL"/>
        </w:rPr>
        <w:t>HEB = hoge eigen bijdrage, LEB = lage eigen bijdrage</w:t>
      </w:r>
      <w:r>
        <w:rPr>
          <w:noProof/>
          <w:sz w:val="16"/>
          <w:szCs w:val="16"/>
          <w:lang w:val="nl-NL"/>
        </w:rPr>
        <w:t xml:space="preserve"> </w:t>
      </w:r>
    </w:p>
    <w:p w:rsidRPr="0022698C" w:rsidR="00137944" w:rsidP="00137944" w:rsidRDefault="00137944" w14:paraId="5A5DC53A" w14:textId="74476B78">
      <w:pPr>
        <w:spacing w:line="240" w:lineRule="auto"/>
        <w:ind w:left="1134" w:hanging="1134"/>
        <w:rPr>
          <w:sz w:val="16"/>
          <w:szCs w:val="16"/>
          <w:lang w:val="nl-NL"/>
        </w:rPr>
      </w:pPr>
      <w:r w:rsidRPr="0022698C">
        <w:rPr>
          <w:sz w:val="16"/>
          <w:szCs w:val="16"/>
          <w:lang w:val="nl-NL"/>
        </w:rPr>
        <w:t xml:space="preserve">* </w:t>
      </w:r>
      <w:r w:rsidRPr="0022698C">
        <w:rPr>
          <w:sz w:val="16"/>
          <w:szCs w:val="16"/>
          <w:lang w:val="nl-NL"/>
        </w:rPr>
        <w:tab/>
        <w:t>De effecten worden getoond voor pensioengerechtigde personen/huishoudens die vanwege de hoogte van het verzamelinkomen recht h</w:t>
      </w:r>
      <w:r>
        <w:rPr>
          <w:sz w:val="16"/>
          <w:szCs w:val="16"/>
          <w:lang w:val="nl-NL"/>
        </w:rPr>
        <w:t>adden</w:t>
      </w:r>
      <w:r w:rsidRPr="0022698C">
        <w:rPr>
          <w:sz w:val="16"/>
          <w:szCs w:val="16"/>
          <w:lang w:val="nl-NL"/>
        </w:rPr>
        <w:t xml:space="preserve"> op de CVO (in </w:t>
      </w:r>
      <w:r w:rsidR="00226EDF">
        <w:rPr>
          <w:sz w:val="16"/>
          <w:szCs w:val="16"/>
          <w:lang w:val="nl-NL"/>
        </w:rPr>
        <w:t>2025</w:t>
      </w:r>
      <w:r w:rsidRPr="0022698C">
        <w:rPr>
          <w:sz w:val="16"/>
          <w:szCs w:val="16"/>
          <w:lang w:val="nl-NL"/>
        </w:rPr>
        <w:t xml:space="preserve"> </w:t>
      </w:r>
      <w:r>
        <w:rPr>
          <w:sz w:val="16"/>
          <w:szCs w:val="16"/>
          <w:lang w:val="nl-NL"/>
        </w:rPr>
        <w:t>was</w:t>
      </w:r>
      <w:r w:rsidRPr="0022698C">
        <w:rPr>
          <w:sz w:val="16"/>
          <w:szCs w:val="16"/>
          <w:lang w:val="nl-NL"/>
        </w:rPr>
        <w:t xml:space="preserve"> dat het geval bij een verzamelinkomen per persoon in </w:t>
      </w:r>
      <w:r w:rsidR="00226EDF">
        <w:rPr>
          <w:sz w:val="16"/>
          <w:szCs w:val="16"/>
          <w:lang w:val="nl-NL"/>
        </w:rPr>
        <w:t>2023</w:t>
      </w:r>
      <w:r w:rsidRPr="0022698C">
        <w:rPr>
          <w:sz w:val="16"/>
          <w:szCs w:val="16"/>
          <w:lang w:val="nl-NL"/>
        </w:rPr>
        <w:t xml:space="preserve"> dat lager </w:t>
      </w:r>
      <w:r>
        <w:rPr>
          <w:sz w:val="16"/>
          <w:szCs w:val="16"/>
          <w:lang w:val="nl-NL"/>
        </w:rPr>
        <w:t>wa</w:t>
      </w:r>
      <w:r w:rsidRPr="0022698C">
        <w:rPr>
          <w:sz w:val="16"/>
          <w:szCs w:val="16"/>
          <w:lang w:val="nl-NL"/>
        </w:rPr>
        <w:t xml:space="preserve">s dan € </w:t>
      </w:r>
      <w:r w:rsidR="00226EDF">
        <w:rPr>
          <w:sz w:val="16"/>
          <w:szCs w:val="16"/>
          <w:lang w:val="nl-NL"/>
        </w:rPr>
        <w:t>22.833</w:t>
      </w:r>
      <w:r w:rsidRPr="0022698C">
        <w:rPr>
          <w:sz w:val="16"/>
          <w:szCs w:val="16"/>
          <w:lang w:val="nl-NL"/>
        </w:rPr>
        <w:t>).</w:t>
      </w:r>
    </w:p>
    <w:p w:rsidRPr="00766911" w:rsidR="00137944" w:rsidP="00137944" w:rsidRDefault="00137944" w14:paraId="5A642F3D" w14:textId="2254CEAB">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Bij meerpersoonshuishoudens is uitgegaan van een 50/50-verdeling van het vermogen over de partners. In de praktijk w</w:t>
      </w:r>
      <w:r>
        <w:rPr>
          <w:sz w:val="16"/>
          <w:szCs w:val="16"/>
          <w:lang w:val="nl-NL"/>
        </w:rPr>
        <w:t>erd</w:t>
      </w:r>
      <w:r w:rsidRPr="00766911">
        <w:rPr>
          <w:sz w:val="16"/>
          <w:szCs w:val="16"/>
          <w:lang w:val="nl-NL"/>
        </w:rPr>
        <w:t xml:space="preserve"> echter uitgegaan van de verdeling die in de fiscaliteit is gekozen. Een optimale verdeling in de fiscaliteit </w:t>
      </w:r>
      <w:r>
        <w:rPr>
          <w:sz w:val="16"/>
          <w:szCs w:val="16"/>
          <w:lang w:val="nl-NL"/>
        </w:rPr>
        <w:t>was</w:t>
      </w:r>
      <w:r w:rsidRPr="00766911">
        <w:rPr>
          <w:sz w:val="16"/>
          <w:szCs w:val="16"/>
          <w:lang w:val="nl-NL"/>
        </w:rPr>
        <w:t xml:space="preserve"> niet per definitie ook de optimale verdeling bij de CVO. De bedragen in de </w:t>
      </w:r>
      <w:r w:rsidR="0099649A">
        <w:rPr>
          <w:sz w:val="16"/>
          <w:szCs w:val="16"/>
          <w:lang w:val="nl-NL"/>
        </w:rPr>
        <w:t>figuur</w:t>
      </w:r>
      <w:r w:rsidRPr="00766911" w:rsidR="0099649A">
        <w:rPr>
          <w:sz w:val="16"/>
          <w:szCs w:val="16"/>
          <w:lang w:val="nl-NL"/>
        </w:rPr>
        <w:t xml:space="preserve"> </w:t>
      </w:r>
      <w:r w:rsidRPr="00766911">
        <w:rPr>
          <w:sz w:val="16"/>
          <w:szCs w:val="16"/>
          <w:lang w:val="nl-NL"/>
        </w:rPr>
        <w:t>geven voor de meerpersoonshuishoudens dan ook de maximale effecten weer.</w:t>
      </w:r>
      <w:r w:rsidRPr="00766911">
        <w:rPr>
          <w:rStyle w:val="Verwijzingopmerking"/>
          <w:lang w:val="nl-NL"/>
        </w:rPr>
        <w:t xml:space="preserve"> </w:t>
      </w:r>
    </w:p>
    <w:p w:rsidRPr="00766911" w:rsidR="00137944" w:rsidP="00137944" w:rsidRDefault="00137944" w14:paraId="507529F3" w14:textId="4D725585">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 xml:space="preserve">De HEB bij meerpersoonshuishoudens </w:t>
      </w:r>
      <w:r>
        <w:rPr>
          <w:sz w:val="16"/>
          <w:szCs w:val="16"/>
          <w:lang w:val="nl-NL"/>
        </w:rPr>
        <w:t>komt</w:t>
      </w:r>
      <w:r w:rsidRPr="00766911">
        <w:rPr>
          <w:sz w:val="16"/>
          <w:szCs w:val="16"/>
          <w:lang w:val="nl-NL"/>
        </w:rPr>
        <w:t xml:space="preserve"> alleen voor indien beide partners </w:t>
      </w:r>
      <w:r>
        <w:rPr>
          <w:sz w:val="16"/>
          <w:szCs w:val="16"/>
          <w:lang w:val="nl-NL"/>
        </w:rPr>
        <w:t>waren</w:t>
      </w:r>
      <w:r w:rsidRPr="00766911">
        <w:rPr>
          <w:sz w:val="16"/>
          <w:szCs w:val="16"/>
          <w:lang w:val="nl-NL"/>
        </w:rPr>
        <w:t xml:space="preserve"> opgenomen in een zorginstelling.</w:t>
      </w:r>
    </w:p>
    <w:p w:rsidRPr="001A3783" w:rsidR="00137944" w:rsidP="00137944" w:rsidRDefault="00137944" w14:paraId="39D7339B" w14:textId="77777777">
      <w:pPr>
        <w:rPr>
          <w:i/>
          <w:iCs/>
          <w:sz w:val="16"/>
          <w:szCs w:val="16"/>
          <w:lang w:val="nl-NL"/>
        </w:rPr>
      </w:pPr>
    </w:p>
    <w:p w:rsidR="00D553A2" w:rsidRDefault="00D553A2" w14:paraId="30EFB444" w14:textId="77777777">
      <w:pPr>
        <w:rPr>
          <w:i/>
          <w:iCs/>
          <w:lang w:val="nl-NL"/>
        </w:rPr>
      </w:pPr>
      <w:r>
        <w:rPr>
          <w:i/>
          <w:iCs/>
          <w:lang w:val="nl-NL"/>
        </w:rPr>
        <w:br w:type="page"/>
      </w:r>
    </w:p>
    <w:p w:rsidRPr="00766911" w:rsidR="00137944" w:rsidP="00137944" w:rsidRDefault="00137944" w14:paraId="0FE3A378" w14:textId="3E2BC9F6">
      <w:pPr>
        <w:rPr>
          <w:i/>
          <w:iCs/>
          <w:lang w:val="nl-NL"/>
        </w:rPr>
      </w:pPr>
      <w:r w:rsidRPr="00766911">
        <w:rPr>
          <w:i/>
          <w:iCs/>
          <w:lang w:val="nl-NL"/>
        </w:rPr>
        <w:lastRenderedPageBreak/>
        <w:t>Tabel</w:t>
      </w:r>
      <w:r>
        <w:rPr>
          <w:i/>
          <w:iCs/>
          <w:lang w:val="nl-NL"/>
        </w:rPr>
        <w:t xml:space="preserve"> </w:t>
      </w:r>
      <w:r w:rsidR="0099649A">
        <w:rPr>
          <w:i/>
          <w:iCs/>
          <w:lang w:val="nl-NL"/>
        </w:rPr>
        <w:t>1</w:t>
      </w:r>
      <w:r w:rsidRPr="00766911">
        <w:rPr>
          <w:i/>
          <w:iCs/>
          <w:lang w:val="nl-NL"/>
        </w:rPr>
        <w:t>: Effecten</w:t>
      </w:r>
      <w:r w:rsidR="002116C1">
        <w:rPr>
          <w:i/>
          <w:iCs/>
          <w:lang w:val="nl-NL"/>
        </w:rPr>
        <w:t xml:space="preserve"> eigen bijdrage per jaar in 2028 na</w:t>
      </w:r>
      <w:r w:rsidRPr="00766911">
        <w:rPr>
          <w:i/>
          <w:iCs/>
          <w:lang w:val="nl-NL"/>
        </w:rPr>
        <w:t xml:space="preserve"> </w:t>
      </w:r>
      <w:r w:rsidR="002116C1">
        <w:rPr>
          <w:i/>
          <w:iCs/>
          <w:lang w:val="nl-NL"/>
        </w:rPr>
        <w:t>afschaffing</w:t>
      </w:r>
      <w:r w:rsidRPr="00766911" w:rsidR="002116C1">
        <w:rPr>
          <w:i/>
          <w:iCs/>
          <w:lang w:val="nl-NL"/>
        </w:rPr>
        <w:t xml:space="preserve"> </w:t>
      </w:r>
      <w:r w:rsidRPr="00766911">
        <w:rPr>
          <w:i/>
          <w:iCs/>
          <w:lang w:val="nl-NL"/>
        </w:rPr>
        <w:t>CVO (afgerond op hele euro’s)</w:t>
      </w:r>
      <w:r w:rsidR="00C6166A">
        <w:rPr>
          <w:i/>
          <w:iCs/>
          <w:lang w:val="nl-NL"/>
        </w:rPr>
        <w:t>*</w:t>
      </w:r>
    </w:p>
    <w:p w:rsidRPr="00766911" w:rsidR="00137944" w:rsidP="00137944" w:rsidRDefault="00137944" w14:paraId="2B02E41F" w14:textId="77777777">
      <w:pPr>
        <w:rPr>
          <w:lang w:val="nl-NL"/>
        </w:rPr>
      </w:pPr>
    </w:p>
    <w:tbl>
      <w:tblPr>
        <w:tblW w:w="8927"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808"/>
        <w:gridCol w:w="2551"/>
        <w:gridCol w:w="2284"/>
        <w:gridCol w:w="2284"/>
      </w:tblGrid>
      <w:tr w:rsidRPr="00AE3EDE" w:rsidR="00137944" w:rsidTr="001A3783" w14:paraId="67D96019" w14:textId="77777777">
        <w:trPr>
          <w:trHeight w:val="600"/>
        </w:trPr>
        <w:tc>
          <w:tcPr>
            <w:tcW w:w="1808" w:type="dxa"/>
            <w:tcBorders>
              <w:top w:val="single" w:color="auto" w:sz="4" w:space="0"/>
              <w:bottom w:val="single" w:color="auto" w:sz="4" w:space="0"/>
              <w:right w:val="single" w:color="auto" w:sz="4" w:space="0"/>
            </w:tcBorders>
            <w:shd w:val="clear" w:color="auto" w:fill="auto"/>
            <w:vAlign w:val="center"/>
            <w:hideMark/>
          </w:tcPr>
          <w:p w:rsidRPr="00D64065" w:rsidR="00137944" w:rsidP="001A3783" w:rsidRDefault="00137944" w14:paraId="28F65593" w14:textId="77777777">
            <w:pPr>
              <w:spacing w:line="240" w:lineRule="auto"/>
              <w:jc w:val="center"/>
              <w:rPr>
                <w:rFonts w:eastAsia="Times New Roman" w:cs="Calibri"/>
                <w:b/>
                <w:bCs/>
                <w:color w:val="000000"/>
                <w:szCs w:val="18"/>
                <w:lang w:val="nl-NL" w:eastAsia="nl-NL"/>
              </w:rPr>
            </w:pPr>
            <w:r w:rsidRPr="00D64065">
              <w:rPr>
                <w:rFonts w:eastAsia="Times New Roman" w:cs="Calibri"/>
                <w:b/>
                <w:bCs/>
                <w:color w:val="000000"/>
                <w:szCs w:val="18"/>
                <w:lang w:val="nl-NL" w:eastAsia="nl-NL"/>
              </w:rPr>
              <w:t>Type EB</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64065" w:rsidR="00137944" w:rsidP="001A3783" w:rsidRDefault="00137944" w14:paraId="0D3DB9DA" w14:textId="77777777">
            <w:pPr>
              <w:spacing w:line="240" w:lineRule="auto"/>
              <w:jc w:val="center"/>
              <w:rPr>
                <w:rFonts w:eastAsia="Times New Roman" w:cs="Calibri"/>
                <w:b/>
                <w:bCs/>
                <w:color w:val="000000"/>
                <w:szCs w:val="18"/>
                <w:lang w:val="nl-NL" w:eastAsia="nl-NL"/>
              </w:rPr>
            </w:pPr>
            <w:r w:rsidRPr="00D64065">
              <w:rPr>
                <w:rFonts w:eastAsia="Times New Roman" w:cs="Calibri"/>
                <w:b/>
                <w:bCs/>
                <w:color w:val="000000"/>
                <w:szCs w:val="18"/>
                <w:lang w:val="nl-NL" w:eastAsia="nl-NL"/>
              </w:rPr>
              <w:t>Vermogen</w:t>
            </w:r>
          </w:p>
        </w:tc>
        <w:tc>
          <w:tcPr>
            <w:tcW w:w="2284" w:type="dxa"/>
            <w:tcBorders>
              <w:top w:val="single" w:color="auto" w:sz="4" w:space="0"/>
              <w:left w:val="single" w:color="auto" w:sz="4" w:space="0"/>
              <w:bottom w:val="single" w:color="auto" w:sz="4" w:space="0"/>
            </w:tcBorders>
            <w:shd w:val="clear" w:color="auto" w:fill="auto"/>
            <w:vAlign w:val="center"/>
            <w:hideMark/>
          </w:tcPr>
          <w:p w:rsidRPr="00D64065" w:rsidR="00137944" w:rsidP="001A3783" w:rsidRDefault="00137944" w14:paraId="140FA4AF" w14:textId="77777777">
            <w:pPr>
              <w:spacing w:line="240" w:lineRule="auto"/>
              <w:jc w:val="center"/>
              <w:rPr>
                <w:rFonts w:eastAsia="Times New Roman" w:cs="Calibri"/>
                <w:b/>
                <w:bCs/>
                <w:color w:val="000000"/>
                <w:szCs w:val="18"/>
                <w:lang w:val="nl-NL" w:eastAsia="nl-NL"/>
              </w:rPr>
            </w:pPr>
            <w:r w:rsidRPr="00D64065">
              <w:rPr>
                <w:rFonts w:eastAsia="Times New Roman" w:cs="Calibri"/>
                <w:b/>
                <w:bCs/>
                <w:color w:val="000000"/>
                <w:szCs w:val="18"/>
                <w:lang w:val="nl-NL" w:eastAsia="nl-NL"/>
              </w:rPr>
              <w:t xml:space="preserve">Gemiddelde </w:t>
            </w:r>
            <w:r>
              <w:rPr>
                <w:rFonts w:eastAsia="Times New Roman" w:cs="Calibri"/>
                <w:b/>
                <w:bCs/>
                <w:color w:val="000000"/>
                <w:szCs w:val="18"/>
                <w:lang w:val="nl-NL" w:eastAsia="nl-NL"/>
              </w:rPr>
              <w:t xml:space="preserve">jaarlijkse </w:t>
            </w:r>
            <w:r w:rsidRPr="00D64065">
              <w:rPr>
                <w:rFonts w:eastAsia="Times New Roman" w:cs="Calibri"/>
                <w:b/>
                <w:bCs/>
                <w:color w:val="000000"/>
                <w:szCs w:val="18"/>
                <w:lang w:val="nl-NL" w:eastAsia="nl-NL"/>
              </w:rPr>
              <w:t>toename EB 2026-2028</w:t>
            </w:r>
          </w:p>
        </w:tc>
        <w:tc>
          <w:tcPr>
            <w:tcW w:w="2284" w:type="dxa"/>
            <w:tcBorders>
              <w:top w:val="single" w:color="auto" w:sz="4" w:space="0"/>
              <w:bottom w:val="single" w:color="auto" w:sz="4" w:space="0"/>
            </w:tcBorders>
            <w:shd w:val="clear" w:color="auto" w:fill="auto"/>
            <w:vAlign w:val="center"/>
            <w:hideMark/>
          </w:tcPr>
          <w:p w:rsidRPr="00D64065" w:rsidR="00137944" w:rsidP="001A3783" w:rsidRDefault="00137944" w14:paraId="372D81CD" w14:textId="4AB1B137">
            <w:pPr>
              <w:spacing w:line="240" w:lineRule="auto"/>
              <w:jc w:val="center"/>
              <w:rPr>
                <w:rFonts w:eastAsia="Times New Roman" w:cs="Calibri"/>
                <w:b/>
                <w:bCs/>
                <w:color w:val="000000"/>
                <w:szCs w:val="18"/>
                <w:lang w:val="nl-NL" w:eastAsia="nl-NL"/>
              </w:rPr>
            </w:pPr>
            <w:r>
              <w:rPr>
                <w:rFonts w:eastAsia="Times New Roman" w:cs="Calibri"/>
                <w:b/>
                <w:bCs/>
                <w:color w:val="000000"/>
                <w:szCs w:val="18"/>
                <w:lang w:val="nl-NL" w:eastAsia="nl-NL"/>
              </w:rPr>
              <w:t>Totale</w:t>
            </w:r>
            <w:r w:rsidRPr="00D64065">
              <w:rPr>
                <w:rFonts w:eastAsia="Times New Roman" w:cs="Calibri"/>
                <w:b/>
                <w:bCs/>
                <w:color w:val="000000"/>
                <w:szCs w:val="18"/>
                <w:lang w:val="nl-NL" w:eastAsia="nl-NL"/>
              </w:rPr>
              <w:t xml:space="preserve"> toename EB p</w:t>
            </w:r>
            <w:r w:rsidR="002116C1">
              <w:rPr>
                <w:rFonts w:eastAsia="Times New Roman" w:cs="Calibri"/>
                <w:b/>
                <w:bCs/>
                <w:color w:val="000000"/>
                <w:szCs w:val="18"/>
                <w:lang w:val="nl-NL" w:eastAsia="nl-NL"/>
              </w:rPr>
              <w:t>er jaar in</w:t>
            </w:r>
            <w:r w:rsidRPr="00D64065">
              <w:rPr>
                <w:rFonts w:eastAsia="Times New Roman" w:cs="Calibri"/>
                <w:b/>
                <w:bCs/>
                <w:color w:val="000000"/>
                <w:szCs w:val="18"/>
                <w:lang w:val="nl-NL" w:eastAsia="nl-NL"/>
              </w:rPr>
              <w:t xml:space="preserve"> 2028</w:t>
            </w:r>
          </w:p>
        </w:tc>
      </w:tr>
      <w:tr w:rsidRPr="00766911" w:rsidR="00137944" w:rsidTr="001A3783" w14:paraId="11950AE3" w14:textId="77777777">
        <w:trPr>
          <w:trHeight w:val="300"/>
        </w:trPr>
        <w:tc>
          <w:tcPr>
            <w:tcW w:w="8927" w:type="dxa"/>
            <w:gridSpan w:val="4"/>
            <w:tcBorders>
              <w:top w:val="single" w:color="auto" w:sz="4" w:space="0"/>
              <w:bottom w:val="single" w:color="auto" w:sz="4" w:space="0"/>
            </w:tcBorders>
            <w:shd w:val="clear" w:color="000000" w:fill="D9D9D9"/>
            <w:noWrap/>
            <w:vAlign w:val="center"/>
            <w:hideMark/>
          </w:tcPr>
          <w:p w:rsidRPr="00D64065" w:rsidR="00137944" w:rsidP="001A3783" w:rsidRDefault="00137944" w14:paraId="19489BFD" w14:textId="4085272F">
            <w:pPr>
              <w:spacing w:line="240" w:lineRule="auto"/>
              <w:rPr>
                <w:rFonts w:eastAsia="Times New Roman" w:cs="Calibri"/>
                <w:color w:val="000000"/>
                <w:szCs w:val="18"/>
                <w:lang w:val="nl-NL" w:eastAsia="nl-NL"/>
              </w:rPr>
            </w:pPr>
            <w:r w:rsidRPr="00D64065">
              <w:rPr>
                <w:rFonts w:eastAsia="Times New Roman" w:cs="Calibri"/>
                <w:color w:val="000000"/>
                <w:szCs w:val="18"/>
                <w:lang w:val="nl-NL" w:eastAsia="nl-NL"/>
              </w:rPr>
              <w:t>Alleenstaanden onder de inkomensgrens</w:t>
            </w:r>
          </w:p>
        </w:tc>
      </w:tr>
      <w:tr w:rsidRPr="00766911" w:rsidR="00137944" w:rsidTr="001A3783" w14:paraId="6AB1DF93"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noWrap/>
            <w:vAlign w:val="center"/>
            <w:hideMark/>
          </w:tcPr>
          <w:p w:rsidRPr="00D64065" w:rsidR="00137944" w:rsidP="001A3783" w:rsidRDefault="00137944" w14:paraId="1DCF4F01" w14:textId="77777777">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HEB</w:t>
            </w:r>
          </w:p>
        </w:tc>
        <w:tc>
          <w:tcPr>
            <w:tcW w:w="2551" w:type="dxa"/>
            <w:tcBorders>
              <w:top w:val="single" w:color="auto" w:sz="4" w:space="0"/>
              <w:left w:val="single" w:color="auto" w:sz="4" w:space="0"/>
              <w:right w:val="single" w:color="auto" w:sz="4" w:space="0"/>
            </w:tcBorders>
            <w:shd w:val="clear" w:color="auto" w:fill="auto"/>
            <w:noWrap/>
            <w:vAlign w:val="center"/>
            <w:hideMark/>
          </w:tcPr>
          <w:p w:rsidRPr="00D64065" w:rsidR="00137944" w:rsidP="001A3783" w:rsidRDefault="00137944" w14:paraId="3516971B" w14:textId="7FD8AABF">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Minder dan €</w:t>
            </w:r>
            <w:r>
              <w:rPr>
                <w:rFonts w:eastAsia="Times New Roman" w:cs="Calibri"/>
                <w:color w:val="000000"/>
                <w:szCs w:val="18"/>
                <w:lang w:val="nl-NL" w:eastAsia="nl-NL"/>
              </w:rPr>
              <w:t> </w:t>
            </w:r>
            <w:r w:rsidR="00226EDF">
              <w:rPr>
                <w:rFonts w:eastAsia="Times New Roman" w:cs="Calibri"/>
                <w:color w:val="000000"/>
                <w:szCs w:val="18"/>
                <w:lang w:val="nl-NL" w:eastAsia="nl-NL"/>
              </w:rPr>
              <w:t>33.749</w:t>
            </w:r>
            <w:r w:rsidRPr="00D64065">
              <w:rPr>
                <w:rFonts w:eastAsia="Times New Roman" w:cs="Calibri"/>
                <w:color w:val="000000"/>
                <w:szCs w:val="18"/>
                <w:lang w:val="nl-NL" w:eastAsia="nl-NL"/>
              </w:rPr>
              <w:t>**</w:t>
            </w:r>
          </w:p>
        </w:tc>
        <w:tc>
          <w:tcPr>
            <w:tcW w:w="2284" w:type="dxa"/>
            <w:tcBorders>
              <w:top w:val="single" w:color="auto" w:sz="4" w:space="0"/>
              <w:left w:val="single" w:color="auto" w:sz="4" w:space="0"/>
            </w:tcBorders>
            <w:shd w:val="clear" w:color="auto" w:fill="auto"/>
            <w:noWrap/>
            <w:vAlign w:val="center"/>
            <w:hideMark/>
          </w:tcPr>
          <w:p w:rsidRPr="00D64065" w:rsidR="00137944" w:rsidP="001A3783" w:rsidRDefault="00B123E7" w14:paraId="3EAFB40F" w14:textId="4E86E713">
            <w:pPr>
              <w:spacing w:line="240" w:lineRule="auto"/>
              <w:jc w:val="center"/>
              <w:rPr>
                <w:rFonts w:eastAsia="Times New Roman" w:cs="Calibri"/>
                <w:color w:val="000000"/>
                <w:szCs w:val="18"/>
                <w:lang w:val="nl-NL" w:eastAsia="nl-NL"/>
              </w:rPr>
            </w:pP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w:t>
            </w:r>
          </w:p>
        </w:tc>
        <w:tc>
          <w:tcPr>
            <w:tcW w:w="2284" w:type="dxa"/>
            <w:tcBorders>
              <w:top w:val="single" w:color="auto" w:sz="4" w:space="0"/>
            </w:tcBorders>
            <w:shd w:val="clear" w:color="auto" w:fill="auto"/>
            <w:noWrap/>
            <w:vAlign w:val="center"/>
            <w:hideMark/>
          </w:tcPr>
          <w:p w:rsidRPr="00D64065" w:rsidR="00137944" w:rsidP="001A3783" w:rsidRDefault="00B123E7" w14:paraId="759B87B3" w14:textId="4C9999F6">
            <w:pPr>
              <w:spacing w:line="240" w:lineRule="auto"/>
              <w:jc w:val="center"/>
              <w:rPr>
                <w:rFonts w:eastAsia="Times New Roman" w:cs="Calibri"/>
                <w:color w:val="000000"/>
                <w:szCs w:val="18"/>
                <w:lang w:val="nl-NL" w:eastAsia="nl-NL"/>
              </w:rPr>
            </w:pPr>
            <w:r w:rsidRPr="00B123E7">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w:t>
            </w:r>
          </w:p>
        </w:tc>
      </w:tr>
      <w:tr w:rsidRPr="00766911" w:rsidR="00137944" w:rsidTr="001A3783" w14:paraId="68259175"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44DB0CDA"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2288EA1A" w14:textId="0B7735AA">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45.000</w:t>
            </w:r>
          </w:p>
        </w:tc>
        <w:tc>
          <w:tcPr>
            <w:tcW w:w="2284" w:type="dxa"/>
            <w:tcBorders>
              <w:left w:val="single" w:color="auto" w:sz="4" w:space="0"/>
            </w:tcBorders>
            <w:shd w:val="clear" w:color="auto" w:fill="auto"/>
            <w:noWrap/>
            <w:vAlign w:val="center"/>
            <w:hideMark/>
          </w:tcPr>
          <w:p w:rsidRPr="00D64065" w:rsidR="00137944" w:rsidP="001A3783" w:rsidRDefault="00B123E7" w14:paraId="7989B84A" w14:textId="41CEF6EF">
            <w:pPr>
              <w:spacing w:line="240" w:lineRule="auto"/>
              <w:jc w:val="center"/>
              <w:rPr>
                <w:rFonts w:eastAsia="Times New Roman" w:cs="Calibri"/>
                <w:color w:val="000000"/>
                <w:szCs w:val="18"/>
                <w:lang w:val="nl-NL" w:eastAsia="nl-NL"/>
              </w:rPr>
            </w:pPr>
            <w:r w:rsidRPr="00B123E7">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150</w:t>
            </w:r>
          </w:p>
        </w:tc>
        <w:tc>
          <w:tcPr>
            <w:tcW w:w="2284" w:type="dxa"/>
            <w:shd w:val="clear" w:color="auto" w:fill="auto"/>
            <w:noWrap/>
            <w:vAlign w:val="center"/>
            <w:hideMark/>
          </w:tcPr>
          <w:p w:rsidRPr="00D64065" w:rsidR="00137944" w:rsidP="001A3783" w:rsidRDefault="00B123E7" w14:paraId="336FEEB6" w14:textId="59C0AEE8">
            <w:pPr>
              <w:spacing w:line="240" w:lineRule="auto"/>
              <w:jc w:val="center"/>
              <w:rPr>
                <w:rFonts w:eastAsia="Times New Roman" w:cs="Calibri"/>
                <w:color w:val="000000"/>
                <w:szCs w:val="18"/>
                <w:lang w:val="nl-NL" w:eastAsia="nl-NL"/>
              </w:rPr>
            </w:pPr>
            <w:r w:rsidRPr="00B123E7">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450</w:t>
            </w:r>
          </w:p>
        </w:tc>
      </w:tr>
      <w:tr w:rsidRPr="00766911" w:rsidR="00137944" w:rsidTr="001A3783" w14:paraId="0BD60670"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044A3170"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2D5759CC" w14:textId="18DE632F">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55.000</w:t>
            </w:r>
          </w:p>
        </w:tc>
        <w:tc>
          <w:tcPr>
            <w:tcW w:w="2284" w:type="dxa"/>
            <w:tcBorders>
              <w:left w:val="single" w:color="auto" w:sz="4" w:space="0"/>
            </w:tcBorders>
            <w:shd w:val="clear" w:color="auto" w:fill="auto"/>
            <w:noWrap/>
            <w:vAlign w:val="center"/>
            <w:hideMark/>
          </w:tcPr>
          <w:p w:rsidRPr="00D64065" w:rsidR="00137944" w:rsidP="001A3783" w:rsidRDefault="00B123E7" w14:paraId="0B1CC539" w14:textId="268FC4C3">
            <w:pPr>
              <w:spacing w:line="240" w:lineRule="auto"/>
              <w:jc w:val="center"/>
              <w:rPr>
                <w:rFonts w:eastAsia="Times New Roman" w:cs="Calibri"/>
                <w:color w:val="000000"/>
                <w:szCs w:val="18"/>
                <w:lang w:val="nl-NL" w:eastAsia="nl-NL"/>
              </w:rPr>
            </w:pPr>
            <w:r w:rsidRPr="00B123E7">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283</w:t>
            </w:r>
          </w:p>
        </w:tc>
        <w:tc>
          <w:tcPr>
            <w:tcW w:w="2284" w:type="dxa"/>
            <w:shd w:val="clear" w:color="auto" w:fill="auto"/>
            <w:noWrap/>
            <w:vAlign w:val="center"/>
            <w:hideMark/>
          </w:tcPr>
          <w:p w:rsidRPr="00D64065" w:rsidR="00137944" w:rsidP="001A3783" w:rsidRDefault="00B123E7" w14:paraId="69C6D493" w14:textId="747C39A3">
            <w:pPr>
              <w:spacing w:line="240" w:lineRule="auto"/>
              <w:jc w:val="center"/>
              <w:rPr>
                <w:rFonts w:eastAsia="Times New Roman" w:cs="Calibri"/>
                <w:color w:val="000000"/>
                <w:szCs w:val="18"/>
                <w:lang w:val="nl-NL" w:eastAsia="nl-NL"/>
              </w:rPr>
            </w:pPr>
            <w:r w:rsidRPr="00B123E7">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850</w:t>
            </w:r>
          </w:p>
        </w:tc>
      </w:tr>
      <w:tr w:rsidRPr="00766911" w:rsidR="00137944" w:rsidTr="001A3783" w14:paraId="3DD47EF5"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2CC1B3E8"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bottom w:val="single" w:color="auto" w:sz="4" w:space="0"/>
              <w:right w:val="single" w:color="auto" w:sz="4" w:space="0"/>
            </w:tcBorders>
            <w:shd w:val="clear" w:color="auto" w:fill="auto"/>
            <w:noWrap/>
            <w:vAlign w:val="center"/>
            <w:hideMark/>
          </w:tcPr>
          <w:p w:rsidRPr="00D64065" w:rsidR="00137944" w:rsidP="001A3783" w:rsidRDefault="00137944" w14:paraId="1E1F8E1F" w14:textId="5CBC2962">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Meer dan €</w:t>
            </w:r>
            <w:r>
              <w:rPr>
                <w:rFonts w:eastAsia="Times New Roman" w:cs="Calibri"/>
                <w:color w:val="000000"/>
                <w:szCs w:val="18"/>
                <w:lang w:val="nl-NL" w:eastAsia="nl-NL"/>
              </w:rPr>
              <w:t> </w:t>
            </w:r>
            <w:r w:rsidR="00FD259A">
              <w:rPr>
                <w:rFonts w:eastAsia="Times New Roman" w:cs="Calibri"/>
                <w:color w:val="000000"/>
                <w:szCs w:val="18"/>
                <w:lang w:val="nl-NL" w:eastAsia="nl-NL"/>
              </w:rPr>
              <w:t>66.623</w:t>
            </w:r>
            <w:r w:rsidRPr="00D64065">
              <w:rPr>
                <w:rFonts w:eastAsia="Times New Roman" w:cs="Calibri"/>
                <w:color w:val="000000"/>
                <w:szCs w:val="18"/>
                <w:lang w:val="nl-NL" w:eastAsia="nl-NL"/>
              </w:rPr>
              <w:t>**</w:t>
            </w:r>
          </w:p>
        </w:tc>
        <w:tc>
          <w:tcPr>
            <w:tcW w:w="2284" w:type="dxa"/>
            <w:tcBorders>
              <w:left w:val="single" w:color="auto" w:sz="4" w:space="0"/>
              <w:bottom w:val="single" w:color="auto" w:sz="4" w:space="0"/>
            </w:tcBorders>
            <w:shd w:val="clear" w:color="auto" w:fill="auto"/>
            <w:noWrap/>
            <w:vAlign w:val="center"/>
            <w:hideMark/>
          </w:tcPr>
          <w:p w:rsidRPr="00D64065" w:rsidR="00137944" w:rsidP="001A3783" w:rsidRDefault="00B123E7" w14:paraId="3B9BEFA3" w14:textId="6CFA6358">
            <w:pPr>
              <w:spacing w:line="240" w:lineRule="auto"/>
              <w:jc w:val="center"/>
              <w:rPr>
                <w:rFonts w:eastAsia="Times New Roman" w:cs="Calibri"/>
                <w:color w:val="000000"/>
                <w:szCs w:val="18"/>
                <w:lang w:val="nl-NL" w:eastAsia="nl-NL"/>
              </w:rPr>
            </w:pPr>
            <w:r w:rsidRPr="00B123E7">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567</w:t>
            </w:r>
          </w:p>
        </w:tc>
        <w:tc>
          <w:tcPr>
            <w:tcW w:w="2284" w:type="dxa"/>
            <w:tcBorders>
              <w:bottom w:val="single" w:color="auto" w:sz="4" w:space="0"/>
            </w:tcBorders>
            <w:shd w:val="clear" w:color="auto" w:fill="auto"/>
            <w:noWrap/>
            <w:vAlign w:val="center"/>
            <w:hideMark/>
          </w:tcPr>
          <w:p w:rsidRPr="00D64065" w:rsidR="00137944" w:rsidP="001A3783" w:rsidRDefault="002F3B7C" w14:paraId="684518C7" w14:textId="46F382DB">
            <w:pPr>
              <w:spacing w:line="240" w:lineRule="auto"/>
              <w:jc w:val="center"/>
              <w:rPr>
                <w:rFonts w:eastAsia="Times New Roman" w:cs="Calibri"/>
                <w:color w:val="000000"/>
                <w:szCs w:val="18"/>
                <w:lang w:val="nl-NL" w:eastAsia="nl-NL"/>
              </w:rPr>
            </w:pPr>
            <w:r>
              <w:rPr>
                <w:rFonts w:eastAsia="Times New Roman" w:cs="Calibri"/>
                <w:color w:val="000000"/>
                <w:szCs w:val="18"/>
                <w:lang w:val="nl-NL" w:eastAsia="nl-NL"/>
              </w:rPr>
              <w:t xml:space="preserve">  </w:t>
            </w:r>
            <w:r w:rsidRPr="00B123E7" w:rsidR="00B123E7">
              <w:rPr>
                <w:rFonts w:eastAsia="Times New Roman" w:cs="Calibri"/>
                <w:color w:val="000000"/>
                <w:szCs w:val="18"/>
                <w:lang w:val="nl-NL" w:eastAsia="nl-NL"/>
              </w:rPr>
              <w:t>€</w:t>
            </w:r>
            <w:r w:rsidR="00B123E7">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1.700</w:t>
            </w:r>
          </w:p>
        </w:tc>
      </w:tr>
      <w:tr w:rsidRPr="00766911" w:rsidR="00137944" w:rsidTr="001A3783" w14:paraId="04A330FE"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vAlign w:val="center"/>
            <w:hideMark/>
          </w:tcPr>
          <w:p w:rsidRPr="00D64065" w:rsidR="00137944" w:rsidP="001A3783" w:rsidRDefault="00137944" w14:paraId="1C174FBA" w14:textId="77777777">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LEB/VPT/MPT/PGB</w:t>
            </w:r>
          </w:p>
        </w:tc>
        <w:tc>
          <w:tcPr>
            <w:tcW w:w="2551" w:type="dxa"/>
            <w:tcBorders>
              <w:top w:val="single" w:color="auto" w:sz="4" w:space="0"/>
              <w:left w:val="single" w:color="auto" w:sz="4" w:space="0"/>
              <w:right w:val="single" w:color="auto" w:sz="4" w:space="0"/>
            </w:tcBorders>
            <w:shd w:val="clear" w:color="auto" w:fill="auto"/>
            <w:noWrap/>
            <w:vAlign w:val="center"/>
            <w:hideMark/>
          </w:tcPr>
          <w:p w:rsidRPr="00D64065" w:rsidR="00137944" w:rsidP="001A3783" w:rsidRDefault="00137944" w14:paraId="455A5A6D" w14:textId="398C8884">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Minder dan €</w:t>
            </w:r>
            <w:r>
              <w:rPr>
                <w:rFonts w:eastAsia="Times New Roman" w:cs="Calibri"/>
                <w:color w:val="000000"/>
                <w:szCs w:val="18"/>
                <w:lang w:val="nl-NL" w:eastAsia="nl-NL"/>
              </w:rPr>
              <w:t> </w:t>
            </w:r>
            <w:r w:rsidR="00226EDF">
              <w:rPr>
                <w:rFonts w:eastAsia="Times New Roman" w:cs="Calibri"/>
                <w:color w:val="000000"/>
                <w:szCs w:val="18"/>
                <w:lang w:val="nl-NL" w:eastAsia="nl-NL"/>
              </w:rPr>
              <w:t>33.749</w:t>
            </w:r>
            <w:r w:rsidRPr="00D64065">
              <w:rPr>
                <w:rFonts w:eastAsia="Times New Roman" w:cs="Calibri"/>
                <w:color w:val="000000"/>
                <w:szCs w:val="18"/>
                <w:lang w:val="nl-NL" w:eastAsia="nl-NL"/>
              </w:rPr>
              <w:t>**</w:t>
            </w:r>
          </w:p>
        </w:tc>
        <w:tc>
          <w:tcPr>
            <w:tcW w:w="2284" w:type="dxa"/>
            <w:tcBorders>
              <w:top w:val="single" w:color="auto" w:sz="4" w:space="0"/>
              <w:left w:val="single" w:color="auto" w:sz="4" w:space="0"/>
            </w:tcBorders>
            <w:shd w:val="clear" w:color="auto" w:fill="auto"/>
            <w:noWrap/>
            <w:vAlign w:val="center"/>
            <w:hideMark/>
          </w:tcPr>
          <w:p w:rsidRPr="00D64065" w:rsidR="00137944" w:rsidP="001A3783" w:rsidRDefault="002F3B7C" w14:paraId="364BE8DB" w14:textId="16DBFBEC">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w:t>
            </w:r>
          </w:p>
        </w:tc>
        <w:tc>
          <w:tcPr>
            <w:tcW w:w="2284" w:type="dxa"/>
            <w:tcBorders>
              <w:top w:val="single" w:color="auto" w:sz="4" w:space="0"/>
            </w:tcBorders>
            <w:shd w:val="clear" w:color="auto" w:fill="auto"/>
            <w:noWrap/>
            <w:vAlign w:val="center"/>
            <w:hideMark/>
          </w:tcPr>
          <w:p w:rsidRPr="00D64065" w:rsidR="00137944" w:rsidP="001A3783" w:rsidRDefault="002F3B7C" w14:paraId="1930EA8F" w14:textId="149B0AAD">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w:t>
            </w:r>
          </w:p>
        </w:tc>
      </w:tr>
      <w:tr w:rsidRPr="00766911" w:rsidR="00137944" w:rsidTr="001A3783" w14:paraId="67CDFAD9"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039B26DE"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722EB4AA" w14:textId="5F5E09B7">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45.000</w:t>
            </w:r>
          </w:p>
        </w:tc>
        <w:tc>
          <w:tcPr>
            <w:tcW w:w="2284" w:type="dxa"/>
            <w:tcBorders>
              <w:left w:val="single" w:color="auto" w:sz="4" w:space="0"/>
            </w:tcBorders>
            <w:shd w:val="clear" w:color="auto" w:fill="auto"/>
            <w:noWrap/>
            <w:vAlign w:val="center"/>
            <w:hideMark/>
          </w:tcPr>
          <w:p w:rsidRPr="00D64065" w:rsidR="00137944" w:rsidP="001A3783" w:rsidRDefault="002F3B7C" w14:paraId="04D5C96F" w14:textId="35A7A28C">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15</w:t>
            </w:r>
          </w:p>
        </w:tc>
        <w:tc>
          <w:tcPr>
            <w:tcW w:w="2284" w:type="dxa"/>
            <w:shd w:val="clear" w:color="auto" w:fill="auto"/>
            <w:noWrap/>
            <w:vAlign w:val="center"/>
            <w:hideMark/>
          </w:tcPr>
          <w:p w:rsidRPr="00D64065" w:rsidR="00137944" w:rsidP="001A3783" w:rsidRDefault="002F3B7C" w14:paraId="189D5B8D" w14:textId="7B13B25E">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45</w:t>
            </w:r>
          </w:p>
        </w:tc>
      </w:tr>
      <w:tr w:rsidRPr="00766911" w:rsidR="00137944" w:rsidTr="001A3783" w14:paraId="4447F7CF"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641D53BC"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54224BA1" w14:textId="3DAEB45D">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55.000</w:t>
            </w:r>
          </w:p>
        </w:tc>
        <w:tc>
          <w:tcPr>
            <w:tcW w:w="2284" w:type="dxa"/>
            <w:tcBorders>
              <w:left w:val="single" w:color="auto" w:sz="4" w:space="0"/>
            </w:tcBorders>
            <w:shd w:val="clear" w:color="auto" w:fill="auto"/>
            <w:noWrap/>
            <w:vAlign w:val="center"/>
            <w:hideMark/>
          </w:tcPr>
          <w:p w:rsidRPr="00D64065" w:rsidR="00137944" w:rsidP="001A3783" w:rsidRDefault="002F3B7C" w14:paraId="42BC54C0" w14:textId="724A2322">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28</w:t>
            </w:r>
          </w:p>
        </w:tc>
        <w:tc>
          <w:tcPr>
            <w:tcW w:w="2284" w:type="dxa"/>
            <w:shd w:val="clear" w:color="auto" w:fill="auto"/>
            <w:noWrap/>
            <w:vAlign w:val="center"/>
            <w:hideMark/>
          </w:tcPr>
          <w:p w:rsidRPr="00D64065" w:rsidR="00137944" w:rsidP="001A3783" w:rsidRDefault="002F3B7C" w14:paraId="4E0C2DDB" w14:textId="2132B6E8">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85</w:t>
            </w:r>
          </w:p>
        </w:tc>
      </w:tr>
      <w:tr w:rsidRPr="00766911" w:rsidR="00137944" w:rsidTr="001A3783" w14:paraId="577B0727"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17FAA475"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bottom w:val="single" w:color="auto" w:sz="4" w:space="0"/>
              <w:right w:val="single" w:color="auto" w:sz="4" w:space="0"/>
            </w:tcBorders>
            <w:shd w:val="clear" w:color="auto" w:fill="auto"/>
            <w:noWrap/>
            <w:vAlign w:val="center"/>
            <w:hideMark/>
          </w:tcPr>
          <w:p w:rsidRPr="00D64065" w:rsidR="00137944" w:rsidP="001A3783" w:rsidRDefault="00137944" w14:paraId="0583D155" w14:textId="319F96F5">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Meer dan €</w:t>
            </w:r>
            <w:r>
              <w:rPr>
                <w:rFonts w:eastAsia="Times New Roman" w:cs="Calibri"/>
                <w:color w:val="000000"/>
                <w:szCs w:val="18"/>
                <w:lang w:val="nl-NL" w:eastAsia="nl-NL"/>
              </w:rPr>
              <w:t> </w:t>
            </w:r>
            <w:r w:rsidR="00FD259A">
              <w:rPr>
                <w:rFonts w:eastAsia="Times New Roman" w:cs="Calibri"/>
                <w:color w:val="000000"/>
                <w:szCs w:val="18"/>
                <w:lang w:val="nl-NL" w:eastAsia="nl-NL"/>
              </w:rPr>
              <w:t>66.623</w:t>
            </w:r>
            <w:r w:rsidRPr="00D64065">
              <w:rPr>
                <w:rFonts w:eastAsia="Times New Roman" w:cs="Calibri"/>
                <w:color w:val="000000"/>
                <w:szCs w:val="18"/>
                <w:lang w:val="nl-NL" w:eastAsia="nl-NL"/>
              </w:rPr>
              <w:t>**</w:t>
            </w:r>
          </w:p>
        </w:tc>
        <w:tc>
          <w:tcPr>
            <w:tcW w:w="2284" w:type="dxa"/>
            <w:tcBorders>
              <w:left w:val="single" w:color="auto" w:sz="4" w:space="0"/>
              <w:bottom w:val="single" w:color="auto" w:sz="4" w:space="0"/>
            </w:tcBorders>
            <w:shd w:val="clear" w:color="auto" w:fill="auto"/>
            <w:noWrap/>
            <w:vAlign w:val="center"/>
            <w:hideMark/>
          </w:tcPr>
          <w:p w:rsidRPr="00D64065" w:rsidR="00137944" w:rsidP="001A3783" w:rsidRDefault="002F3B7C" w14:paraId="2D025F87" w14:textId="6EB5A2CD">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57</w:t>
            </w:r>
          </w:p>
        </w:tc>
        <w:tc>
          <w:tcPr>
            <w:tcW w:w="2284" w:type="dxa"/>
            <w:tcBorders>
              <w:bottom w:val="single" w:color="auto" w:sz="4" w:space="0"/>
            </w:tcBorders>
            <w:shd w:val="clear" w:color="auto" w:fill="auto"/>
            <w:noWrap/>
            <w:vAlign w:val="center"/>
            <w:hideMark/>
          </w:tcPr>
          <w:p w:rsidRPr="00D64065" w:rsidR="00137944" w:rsidP="001A3783" w:rsidRDefault="002F3B7C" w14:paraId="4F1799FB" w14:textId="5DC5FD78">
            <w:pPr>
              <w:spacing w:line="240" w:lineRule="auto"/>
              <w:jc w:val="center"/>
              <w:rPr>
                <w:rFonts w:eastAsia="Times New Roman" w:cs="Calibri"/>
                <w:color w:val="000000"/>
                <w:szCs w:val="18"/>
                <w:lang w:val="nl-NL" w:eastAsia="nl-NL"/>
              </w:rPr>
            </w:pPr>
            <w:r>
              <w:rPr>
                <w:rFonts w:eastAsia="Times New Roman" w:cs="Calibri"/>
                <w:color w:val="000000"/>
                <w:szCs w:val="18"/>
                <w:lang w:val="nl-NL" w:eastAsia="nl-NL"/>
              </w:rPr>
              <w:t xml:space="preserve">  </w:t>
            </w: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170</w:t>
            </w:r>
          </w:p>
        </w:tc>
      </w:tr>
      <w:tr w:rsidRPr="00766911" w:rsidR="00137944" w:rsidTr="001A3783" w14:paraId="73EA88B0" w14:textId="77777777">
        <w:trPr>
          <w:trHeight w:val="300"/>
        </w:trPr>
        <w:tc>
          <w:tcPr>
            <w:tcW w:w="8927" w:type="dxa"/>
            <w:gridSpan w:val="4"/>
            <w:tcBorders>
              <w:top w:val="single" w:color="auto" w:sz="4" w:space="0"/>
              <w:bottom w:val="single" w:color="auto" w:sz="4" w:space="0"/>
            </w:tcBorders>
            <w:shd w:val="clear" w:color="000000" w:fill="D9D9D9"/>
            <w:noWrap/>
            <w:vAlign w:val="center"/>
            <w:hideMark/>
          </w:tcPr>
          <w:p w:rsidRPr="00D64065" w:rsidR="00137944" w:rsidP="001A3783" w:rsidRDefault="00137944" w14:paraId="25CE3C42" w14:textId="18FD953E">
            <w:pPr>
              <w:spacing w:line="240" w:lineRule="auto"/>
              <w:rPr>
                <w:rFonts w:eastAsia="Times New Roman" w:cs="Calibri"/>
                <w:color w:val="000000"/>
                <w:szCs w:val="18"/>
                <w:lang w:val="nl-NL" w:eastAsia="nl-NL"/>
              </w:rPr>
            </w:pPr>
            <w:r w:rsidRPr="00D64065">
              <w:rPr>
                <w:rFonts w:eastAsia="Times New Roman" w:cs="Calibri"/>
                <w:color w:val="000000"/>
                <w:szCs w:val="18"/>
                <w:lang w:val="nl-NL" w:eastAsia="nl-NL"/>
              </w:rPr>
              <w:t>Meerpersoonshuishoudens*** onder de inkomensgrens</w:t>
            </w:r>
          </w:p>
        </w:tc>
      </w:tr>
      <w:tr w:rsidRPr="00766911" w:rsidR="00137944" w:rsidTr="001A3783" w14:paraId="6D152BD7"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noWrap/>
            <w:vAlign w:val="center"/>
            <w:hideMark/>
          </w:tcPr>
          <w:p w:rsidRPr="00D64065" w:rsidR="00137944" w:rsidP="001A3783" w:rsidRDefault="00137944" w14:paraId="078ACA8B" w14:textId="77777777">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HEB****</w:t>
            </w:r>
          </w:p>
        </w:tc>
        <w:tc>
          <w:tcPr>
            <w:tcW w:w="2551" w:type="dxa"/>
            <w:tcBorders>
              <w:top w:val="single" w:color="auto" w:sz="4" w:space="0"/>
              <w:left w:val="single" w:color="auto" w:sz="4" w:space="0"/>
              <w:right w:val="single" w:color="auto" w:sz="4" w:space="0"/>
            </w:tcBorders>
            <w:shd w:val="clear" w:color="auto" w:fill="auto"/>
            <w:noWrap/>
            <w:vAlign w:val="center"/>
            <w:hideMark/>
          </w:tcPr>
          <w:p w:rsidRPr="00D64065" w:rsidR="00137944" w:rsidP="001A3783" w:rsidRDefault="00137944" w14:paraId="7288DAAF" w14:textId="526F0314">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Minder dan €</w:t>
            </w:r>
            <w:r>
              <w:rPr>
                <w:rFonts w:eastAsia="Times New Roman" w:cs="Calibri"/>
                <w:color w:val="000000"/>
                <w:szCs w:val="18"/>
                <w:lang w:val="nl-NL" w:eastAsia="nl-NL"/>
              </w:rPr>
              <w:t> </w:t>
            </w:r>
            <w:r w:rsidR="00FD259A">
              <w:rPr>
                <w:rFonts w:eastAsia="Times New Roman" w:cs="Calibri"/>
                <w:color w:val="000000"/>
                <w:szCs w:val="18"/>
                <w:lang w:val="nl-NL" w:eastAsia="nl-NL"/>
              </w:rPr>
              <w:t>67.497</w:t>
            </w:r>
            <w:r w:rsidRPr="00D64065">
              <w:rPr>
                <w:rFonts w:eastAsia="Times New Roman" w:cs="Calibri"/>
                <w:color w:val="000000"/>
                <w:szCs w:val="18"/>
                <w:lang w:val="nl-NL" w:eastAsia="nl-NL"/>
              </w:rPr>
              <w:t>**</w:t>
            </w:r>
          </w:p>
        </w:tc>
        <w:tc>
          <w:tcPr>
            <w:tcW w:w="2284" w:type="dxa"/>
            <w:tcBorders>
              <w:top w:val="single" w:color="auto" w:sz="4" w:space="0"/>
              <w:left w:val="single" w:color="auto" w:sz="4" w:space="0"/>
            </w:tcBorders>
            <w:shd w:val="clear" w:color="auto" w:fill="auto"/>
            <w:noWrap/>
            <w:vAlign w:val="center"/>
            <w:hideMark/>
          </w:tcPr>
          <w:p w:rsidRPr="00D64065" w:rsidR="00137944" w:rsidP="001A3783" w:rsidRDefault="00137944" w14:paraId="073A6184" w14:textId="77777777">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p>
        </w:tc>
        <w:tc>
          <w:tcPr>
            <w:tcW w:w="2284" w:type="dxa"/>
            <w:tcBorders>
              <w:top w:val="single" w:color="auto" w:sz="4" w:space="0"/>
            </w:tcBorders>
            <w:shd w:val="clear" w:color="auto" w:fill="auto"/>
            <w:noWrap/>
            <w:vAlign w:val="center"/>
            <w:hideMark/>
          </w:tcPr>
          <w:p w:rsidRPr="00D64065" w:rsidR="00137944" w:rsidP="001A3783" w:rsidRDefault="00137944" w14:paraId="65BBB4D5" w14:textId="77777777">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p>
        </w:tc>
      </w:tr>
      <w:tr w:rsidRPr="00766911" w:rsidR="00137944" w:rsidTr="001A3783" w14:paraId="098FB3C8"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603FB67D"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0748BC18" w14:textId="07D5FA73">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90.000</w:t>
            </w:r>
          </w:p>
        </w:tc>
        <w:tc>
          <w:tcPr>
            <w:tcW w:w="2284" w:type="dxa"/>
            <w:tcBorders>
              <w:left w:val="single" w:color="auto" w:sz="4" w:space="0"/>
            </w:tcBorders>
            <w:shd w:val="clear" w:color="auto" w:fill="auto"/>
            <w:noWrap/>
            <w:vAlign w:val="center"/>
            <w:hideMark/>
          </w:tcPr>
          <w:p w:rsidRPr="00D64065" w:rsidR="00137944" w:rsidP="001A3783" w:rsidRDefault="002F3B7C" w14:paraId="0C64A0AA" w14:textId="36F5BBA2">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300</w:t>
            </w:r>
          </w:p>
        </w:tc>
        <w:tc>
          <w:tcPr>
            <w:tcW w:w="2284" w:type="dxa"/>
            <w:shd w:val="clear" w:color="auto" w:fill="auto"/>
            <w:noWrap/>
            <w:vAlign w:val="center"/>
            <w:hideMark/>
          </w:tcPr>
          <w:p w:rsidRPr="00D64065" w:rsidR="00137944" w:rsidP="001A3783" w:rsidRDefault="002F3B7C" w14:paraId="0B74593A" w14:textId="0C2C15FD">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900</w:t>
            </w:r>
          </w:p>
        </w:tc>
      </w:tr>
      <w:tr w:rsidRPr="00766911" w:rsidR="00137944" w:rsidTr="001A3783" w14:paraId="26164BB1"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68F0AB7D"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73EFBE36" w14:textId="1254401D">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110.000</w:t>
            </w:r>
          </w:p>
        </w:tc>
        <w:tc>
          <w:tcPr>
            <w:tcW w:w="2284" w:type="dxa"/>
            <w:tcBorders>
              <w:left w:val="single" w:color="auto" w:sz="4" w:space="0"/>
            </w:tcBorders>
            <w:shd w:val="clear" w:color="auto" w:fill="auto"/>
            <w:noWrap/>
            <w:vAlign w:val="center"/>
            <w:hideMark/>
          </w:tcPr>
          <w:p w:rsidRPr="00D64065" w:rsidR="00137944" w:rsidP="001A3783" w:rsidRDefault="002F3B7C" w14:paraId="4F611BB9" w14:textId="452C4AAA">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567</w:t>
            </w:r>
          </w:p>
        </w:tc>
        <w:tc>
          <w:tcPr>
            <w:tcW w:w="2284" w:type="dxa"/>
            <w:shd w:val="clear" w:color="auto" w:fill="auto"/>
            <w:noWrap/>
            <w:vAlign w:val="center"/>
            <w:hideMark/>
          </w:tcPr>
          <w:p w:rsidRPr="00D64065" w:rsidR="00137944" w:rsidP="001A3783" w:rsidRDefault="002F3B7C" w14:paraId="5B7156A8" w14:textId="4F392317">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1.700</w:t>
            </w:r>
          </w:p>
        </w:tc>
      </w:tr>
      <w:tr w:rsidRPr="00766911" w:rsidR="00137944" w:rsidTr="001A3783" w14:paraId="257943F1"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406284EA"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bottom w:val="single" w:color="auto" w:sz="4" w:space="0"/>
              <w:right w:val="single" w:color="auto" w:sz="4" w:space="0"/>
            </w:tcBorders>
            <w:shd w:val="clear" w:color="auto" w:fill="auto"/>
            <w:noWrap/>
            <w:vAlign w:val="center"/>
            <w:hideMark/>
          </w:tcPr>
          <w:p w:rsidRPr="00D64065" w:rsidR="00137944" w:rsidP="001A3783" w:rsidRDefault="00137944" w14:paraId="1E91E704" w14:textId="5E040032">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Meer dan €</w:t>
            </w:r>
            <w:r>
              <w:rPr>
                <w:rFonts w:eastAsia="Times New Roman" w:cs="Calibri"/>
                <w:color w:val="000000"/>
                <w:szCs w:val="18"/>
                <w:lang w:val="nl-NL" w:eastAsia="nl-NL"/>
              </w:rPr>
              <w:t> </w:t>
            </w:r>
            <w:r w:rsidR="00FD259A">
              <w:rPr>
                <w:rFonts w:eastAsia="Times New Roman" w:cs="Calibri"/>
                <w:color w:val="000000"/>
                <w:szCs w:val="18"/>
                <w:lang w:val="nl-NL" w:eastAsia="nl-NL"/>
              </w:rPr>
              <w:t>133.247</w:t>
            </w:r>
            <w:r w:rsidRPr="00D64065">
              <w:rPr>
                <w:rFonts w:eastAsia="Times New Roman" w:cs="Calibri"/>
                <w:color w:val="000000"/>
                <w:szCs w:val="18"/>
                <w:lang w:val="nl-NL" w:eastAsia="nl-NL"/>
              </w:rPr>
              <w:t>**</w:t>
            </w:r>
          </w:p>
        </w:tc>
        <w:tc>
          <w:tcPr>
            <w:tcW w:w="2284" w:type="dxa"/>
            <w:tcBorders>
              <w:left w:val="single" w:color="auto" w:sz="4" w:space="0"/>
              <w:bottom w:val="single" w:color="auto" w:sz="4" w:space="0"/>
            </w:tcBorders>
            <w:shd w:val="clear" w:color="auto" w:fill="auto"/>
            <w:noWrap/>
            <w:vAlign w:val="center"/>
            <w:hideMark/>
          </w:tcPr>
          <w:p w:rsidRPr="00D64065" w:rsidR="00137944" w:rsidP="001A3783" w:rsidRDefault="002F3B7C" w14:paraId="5E584E68" w14:textId="548A6743">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1.133</w:t>
            </w:r>
          </w:p>
        </w:tc>
        <w:tc>
          <w:tcPr>
            <w:tcW w:w="2284" w:type="dxa"/>
            <w:tcBorders>
              <w:bottom w:val="single" w:color="auto" w:sz="4" w:space="0"/>
            </w:tcBorders>
            <w:shd w:val="clear" w:color="auto" w:fill="auto"/>
            <w:noWrap/>
            <w:vAlign w:val="center"/>
            <w:hideMark/>
          </w:tcPr>
          <w:p w:rsidRPr="00D64065" w:rsidR="00137944" w:rsidP="001A3783" w:rsidRDefault="002F3B7C" w14:paraId="7CC4D055" w14:textId="45AE07AC">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3.400</w:t>
            </w:r>
          </w:p>
        </w:tc>
      </w:tr>
      <w:tr w:rsidRPr="00766911" w:rsidR="00137944" w:rsidTr="001A3783" w14:paraId="626EB23A"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vAlign w:val="center"/>
            <w:hideMark/>
          </w:tcPr>
          <w:p w:rsidRPr="00D64065" w:rsidR="00137944" w:rsidP="001A3783" w:rsidRDefault="00137944" w14:paraId="38304027" w14:textId="77777777">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LEB/VPT/MPT/PGB</w:t>
            </w:r>
          </w:p>
        </w:tc>
        <w:tc>
          <w:tcPr>
            <w:tcW w:w="2551" w:type="dxa"/>
            <w:tcBorders>
              <w:top w:val="single" w:color="auto" w:sz="4" w:space="0"/>
              <w:left w:val="single" w:color="auto" w:sz="4" w:space="0"/>
              <w:right w:val="single" w:color="auto" w:sz="4" w:space="0"/>
            </w:tcBorders>
            <w:shd w:val="clear" w:color="auto" w:fill="auto"/>
            <w:noWrap/>
            <w:vAlign w:val="center"/>
            <w:hideMark/>
          </w:tcPr>
          <w:p w:rsidRPr="00D64065" w:rsidR="00137944" w:rsidP="001A3783" w:rsidRDefault="00137944" w14:paraId="2E19FC93" w14:textId="5A886C02">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Minder dan €</w:t>
            </w:r>
            <w:r>
              <w:rPr>
                <w:rFonts w:eastAsia="Times New Roman" w:cs="Calibri"/>
                <w:color w:val="000000"/>
                <w:szCs w:val="18"/>
                <w:lang w:val="nl-NL" w:eastAsia="nl-NL"/>
              </w:rPr>
              <w:t> </w:t>
            </w:r>
            <w:r w:rsidR="00FD259A">
              <w:rPr>
                <w:rFonts w:eastAsia="Times New Roman" w:cs="Calibri"/>
                <w:color w:val="000000"/>
                <w:szCs w:val="18"/>
                <w:lang w:val="nl-NL" w:eastAsia="nl-NL"/>
              </w:rPr>
              <w:t>67.497</w:t>
            </w:r>
            <w:r w:rsidRPr="00D64065">
              <w:rPr>
                <w:rFonts w:eastAsia="Times New Roman" w:cs="Calibri"/>
                <w:color w:val="000000"/>
                <w:szCs w:val="18"/>
                <w:lang w:val="nl-NL" w:eastAsia="nl-NL"/>
              </w:rPr>
              <w:t>**</w:t>
            </w:r>
          </w:p>
        </w:tc>
        <w:tc>
          <w:tcPr>
            <w:tcW w:w="2284" w:type="dxa"/>
            <w:tcBorders>
              <w:top w:val="single" w:color="auto" w:sz="4" w:space="0"/>
              <w:left w:val="single" w:color="auto" w:sz="4" w:space="0"/>
            </w:tcBorders>
            <w:shd w:val="clear" w:color="auto" w:fill="auto"/>
            <w:noWrap/>
            <w:vAlign w:val="center"/>
            <w:hideMark/>
          </w:tcPr>
          <w:p w:rsidRPr="00D64065" w:rsidR="00137944" w:rsidP="001A3783" w:rsidRDefault="002F3B7C" w14:paraId="35FB562A" w14:textId="114DF457">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w:t>
            </w:r>
          </w:p>
        </w:tc>
        <w:tc>
          <w:tcPr>
            <w:tcW w:w="2284" w:type="dxa"/>
            <w:tcBorders>
              <w:top w:val="single" w:color="auto" w:sz="4" w:space="0"/>
            </w:tcBorders>
            <w:shd w:val="clear" w:color="auto" w:fill="auto"/>
            <w:noWrap/>
            <w:vAlign w:val="center"/>
            <w:hideMark/>
          </w:tcPr>
          <w:p w:rsidRPr="00D64065" w:rsidR="00137944" w:rsidP="001A3783" w:rsidRDefault="002F3B7C" w14:paraId="06255D08" w14:textId="6A8B502C">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w:t>
            </w:r>
          </w:p>
        </w:tc>
      </w:tr>
      <w:tr w:rsidRPr="00766911" w:rsidR="00137944" w:rsidTr="001A3783" w14:paraId="1C6FF8EB"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4BB84F5C"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78C952A9" w14:textId="3EA46D81">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90.000</w:t>
            </w:r>
          </w:p>
        </w:tc>
        <w:tc>
          <w:tcPr>
            <w:tcW w:w="2284" w:type="dxa"/>
            <w:tcBorders>
              <w:left w:val="single" w:color="auto" w:sz="4" w:space="0"/>
            </w:tcBorders>
            <w:shd w:val="clear" w:color="auto" w:fill="auto"/>
            <w:noWrap/>
            <w:vAlign w:val="center"/>
            <w:hideMark/>
          </w:tcPr>
          <w:p w:rsidRPr="00D64065" w:rsidR="00137944" w:rsidP="001A3783" w:rsidRDefault="002F3B7C" w14:paraId="5E752038" w14:textId="4509D377">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30</w:t>
            </w:r>
          </w:p>
        </w:tc>
        <w:tc>
          <w:tcPr>
            <w:tcW w:w="2284" w:type="dxa"/>
            <w:shd w:val="clear" w:color="auto" w:fill="auto"/>
            <w:noWrap/>
            <w:vAlign w:val="center"/>
            <w:hideMark/>
          </w:tcPr>
          <w:p w:rsidRPr="00D64065" w:rsidR="00137944" w:rsidP="001A3783" w:rsidRDefault="002F3B7C" w14:paraId="4E61E3E0" w14:textId="250261C3">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90</w:t>
            </w:r>
          </w:p>
        </w:tc>
      </w:tr>
      <w:tr w:rsidRPr="00766911" w:rsidR="00137944" w:rsidTr="001A3783" w14:paraId="447BF693"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0EAD2278"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right w:val="single" w:color="auto" w:sz="4" w:space="0"/>
            </w:tcBorders>
            <w:shd w:val="clear" w:color="auto" w:fill="auto"/>
            <w:noWrap/>
            <w:vAlign w:val="center"/>
            <w:hideMark/>
          </w:tcPr>
          <w:p w:rsidRPr="00D64065" w:rsidR="00137944" w:rsidP="001A3783" w:rsidRDefault="00137944" w14:paraId="231019EE" w14:textId="628BF1F3">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w:t>
            </w:r>
            <w:r>
              <w:rPr>
                <w:rFonts w:eastAsia="Times New Roman" w:cs="Calibri"/>
                <w:color w:val="000000"/>
                <w:szCs w:val="18"/>
                <w:lang w:val="nl-NL" w:eastAsia="nl-NL"/>
              </w:rPr>
              <w:t> </w:t>
            </w:r>
            <w:r w:rsidR="00FD259A">
              <w:rPr>
                <w:rFonts w:eastAsia="Times New Roman" w:cs="Calibri"/>
                <w:color w:val="000000"/>
                <w:szCs w:val="18"/>
                <w:lang w:val="nl-NL" w:eastAsia="nl-NL"/>
              </w:rPr>
              <w:t>110.000</w:t>
            </w:r>
          </w:p>
        </w:tc>
        <w:tc>
          <w:tcPr>
            <w:tcW w:w="2284" w:type="dxa"/>
            <w:tcBorders>
              <w:left w:val="single" w:color="auto" w:sz="4" w:space="0"/>
            </w:tcBorders>
            <w:shd w:val="clear" w:color="auto" w:fill="auto"/>
            <w:noWrap/>
            <w:vAlign w:val="center"/>
            <w:hideMark/>
          </w:tcPr>
          <w:p w:rsidRPr="00D64065" w:rsidR="00137944" w:rsidP="001A3783" w:rsidRDefault="002F3B7C" w14:paraId="3BBF8C1D" w14:textId="2DCDD996">
            <w:pPr>
              <w:spacing w:line="240" w:lineRule="auto"/>
              <w:jc w:val="center"/>
              <w:rPr>
                <w:rFonts w:eastAsia="Times New Roman" w:cs="Calibri"/>
                <w:color w:val="000000"/>
                <w:szCs w:val="18"/>
                <w:lang w:val="nl-NL" w:eastAsia="nl-NL"/>
              </w:rPr>
            </w:pP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57</w:t>
            </w:r>
          </w:p>
        </w:tc>
        <w:tc>
          <w:tcPr>
            <w:tcW w:w="2284" w:type="dxa"/>
            <w:shd w:val="clear" w:color="auto" w:fill="auto"/>
            <w:noWrap/>
            <w:vAlign w:val="center"/>
            <w:hideMark/>
          </w:tcPr>
          <w:p w:rsidRPr="00D64065" w:rsidR="00137944" w:rsidP="001A3783" w:rsidRDefault="002F3B7C" w14:paraId="3E6F0768" w14:textId="4D210EF5">
            <w:pPr>
              <w:spacing w:line="240" w:lineRule="auto"/>
              <w:jc w:val="center"/>
              <w:rPr>
                <w:rFonts w:eastAsia="Times New Roman" w:cs="Calibri"/>
                <w:color w:val="000000"/>
                <w:szCs w:val="18"/>
                <w:lang w:val="nl-NL" w:eastAsia="nl-NL"/>
              </w:rPr>
            </w:pPr>
            <w:r>
              <w:rPr>
                <w:rFonts w:eastAsia="Times New Roman" w:cs="Calibri"/>
                <w:color w:val="000000"/>
                <w:szCs w:val="18"/>
                <w:lang w:val="nl-NL" w:eastAsia="nl-NL"/>
              </w:rPr>
              <w:t xml:space="preserve"> </w:t>
            </w: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00FD259A">
              <w:rPr>
                <w:rFonts w:eastAsia="Times New Roman" w:cs="Calibri"/>
                <w:color w:val="000000"/>
                <w:szCs w:val="18"/>
                <w:lang w:val="nl-NL" w:eastAsia="nl-NL"/>
              </w:rPr>
              <w:t>170</w:t>
            </w:r>
          </w:p>
        </w:tc>
      </w:tr>
      <w:tr w:rsidRPr="00766911" w:rsidR="00137944" w:rsidTr="001A3783" w14:paraId="41B560FF" w14:textId="77777777">
        <w:trPr>
          <w:trHeight w:val="300"/>
        </w:trPr>
        <w:tc>
          <w:tcPr>
            <w:tcW w:w="1808" w:type="dxa"/>
            <w:vMerge/>
            <w:tcBorders>
              <w:bottom w:val="single" w:color="auto" w:sz="4" w:space="0"/>
              <w:right w:val="single" w:color="auto" w:sz="4" w:space="0"/>
            </w:tcBorders>
            <w:vAlign w:val="center"/>
            <w:hideMark/>
          </w:tcPr>
          <w:p w:rsidRPr="00D64065" w:rsidR="00137944" w:rsidP="001A3783" w:rsidRDefault="00137944" w14:paraId="62AF3E6A" w14:textId="77777777">
            <w:pPr>
              <w:spacing w:line="240" w:lineRule="auto"/>
              <w:jc w:val="center"/>
              <w:rPr>
                <w:rFonts w:eastAsia="Times New Roman" w:cs="Calibri"/>
                <w:color w:val="000000"/>
                <w:szCs w:val="18"/>
                <w:lang w:val="nl-NL" w:eastAsia="nl-NL"/>
              </w:rPr>
            </w:pPr>
          </w:p>
        </w:tc>
        <w:tc>
          <w:tcPr>
            <w:tcW w:w="2551" w:type="dxa"/>
            <w:tcBorders>
              <w:left w:val="single" w:color="auto" w:sz="4" w:space="0"/>
              <w:bottom w:val="single" w:color="auto" w:sz="4" w:space="0"/>
              <w:right w:val="single" w:color="auto" w:sz="4" w:space="0"/>
            </w:tcBorders>
            <w:shd w:val="clear" w:color="auto" w:fill="auto"/>
            <w:noWrap/>
            <w:vAlign w:val="center"/>
            <w:hideMark/>
          </w:tcPr>
          <w:p w:rsidRPr="00D64065" w:rsidR="00137944" w:rsidP="001A3783" w:rsidRDefault="00137944" w14:paraId="77FA609D" w14:textId="0847A114">
            <w:pPr>
              <w:spacing w:line="240" w:lineRule="auto"/>
              <w:jc w:val="center"/>
              <w:rPr>
                <w:rFonts w:eastAsia="Times New Roman" w:cs="Calibri"/>
                <w:color w:val="000000"/>
                <w:szCs w:val="18"/>
                <w:lang w:val="nl-NL" w:eastAsia="nl-NL"/>
              </w:rPr>
            </w:pPr>
            <w:r w:rsidRPr="00D64065">
              <w:rPr>
                <w:rFonts w:eastAsia="Times New Roman" w:cs="Calibri"/>
                <w:color w:val="000000"/>
                <w:szCs w:val="18"/>
                <w:lang w:val="nl-NL" w:eastAsia="nl-NL"/>
              </w:rPr>
              <w:t>Meer dan €</w:t>
            </w:r>
            <w:r>
              <w:rPr>
                <w:rFonts w:eastAsia="Times New Roman" w:cs="Calibri"/>
                <w:color w:val="000000"/>
                <w:szCs w:val="18"/>
                <w:lang w:val="nl-NL" w:eastAsia="nl-NL"/>
              </w:rPr>
              <w:t> </w:t>
            </w:r>
            <w:r w:rsidR="00FD259A">
              <w:rPr>
                <w:rFonts w:eastAsia="Times New Roman" w:cs="Calibri"/>
                <w:color w:val="000000"/>
                <w:szCs w:val="18"/>
                <w:lang w:val="nl-NL" w:eastAsia="nl-NL"/>
              </w:rPr>
              <w:t>133.247</w:t>
            </w:r>
            <w:r w:rsidRPr="00D64065">
              <w:rPr>
                <w:rFonts w:eastAsia="Times New Roman" w:cs="Calibri"/>
                <w:color w:val="000000"/>
                <w:szCs w:val="18"/>
                <w:lang w:val="nl-NL" w:eastAsia="nl-NL"/>
              </w:rPr>
              <w:t>**</w:t>
            </w:r>
          </w:p>
        </w:tc>
        <w:tc>
          <w:tcPr>
            <w:tcW w:w="2284" w:type="dxa"/>
            <w:tcBorders>
              <w:left w:val="single" w:color="auto" w:sz="4" w:space="0"/>
            </w:tcBorders>
            <w:shd w:val="clear" w:color="auto" w:fill="auto"/>
            <w:noWrap/>
            <w:vAlign w:val="center"/>
            <w:hideMark/>
          </w:tcPr>
          <w:p w:rsidRPr="00D64065" w:rsidR="00137944" w:rsidP="001A3783" w:rsidRDefault="002F3B7C" w14:paraId="5B596DC1" w14:textId="61E9C201">
            <w:pPr>
              <w:spacing w:line="240" w:lineRule="auto"/>
              <w:jc w:val="center"/>
              <w:rPr>
                <w:rFonts w:eastAsia="Times New Roman" w:cs="Calibri"/>
                <w:color w:val="000000"/>
                <w:szCs w:val="18"/>
                <w:lang w:val="nl-NL" w:eastAsia="nl-NL"/>
              </w:rPr>
            </w:pPr>
            <w:r>
              <w:rPr>
                <w:rFonts w:eastAsia="Times New Roman" w:cs="Calibri"/>
                <w:color w:val="000000"/>
                <w:szCs w:val="18"/>
                <w:lang w:val="nl-NL" w:eastAsia="nl-NL"/>
              </w:rPr>
              <w:t xml:space="preserve"> </w:t>
            </w: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113</w:t>
            </w:r>
          </w:p>
        </w:tc>
        <w:tc>
          <w:tcPr>
            <w:tcW w:w="2284" w:type="dxa"/>
            <w:shd w:val="clear" w:color="auto" w:fill="auto"/>
            <w:noWrap/>
            <w:vAlign w:val="center"/>
            <w:hideMark/>
          </w:tcPr>
          <w:p w:rsidRPr="00D64065" w:rsidR="00137944" w:rsidP="001A3783" w:rsidRDefault="002F3B7C" w14:paraId="10D475BC" w14:textId="65B89B1D">
            <w:pPr>
              <w:spacing w:line="240" w:lineRule="auto"/>
              <w:jc w:val="center"/>
              <w:rPr>
                <w:rFonts w:eastAsia="Times New Roman" w:cs="Calibri"/>
                <w:color w:val="000000"/>
                <w:szCs w:val="18"/>
                <w:lang w:val="nl-NL" w:eastAsia="nl-NL"/>
              </w:rPr>
            </w:pPr>
            <w:r>
              <w:rPr>
                <w:rFonts w:eastAsia="Times New Roman" w:cs="Calibri"/>
                <w:color w:val="000000"/>
                <w:szCs w:val="18"/>
                <w:lang w:val="nl-NL" w:eastAsia="nl-NL"/>
              </w:rPr>
              <w:t xml:space="preserve"> </w:t>
            </w:r>
            <w:r w:rsidRPr="002F3B7C">
              <w:rPr>
                <w:rFonts w:eastAsia="Times New Roman" w:cs="Calibri"/>
                <w:color w:val="000000"/>
                <w:szCs w:val="18"/>
                <w:lang w:val="nl-NL" w:eastAsia="nl-NL"/>
              </w:rPr>
              <w:t>€</w:t>
            </w:r>
            <w:r>
              <w:rPr>
                <w:rFonts w:eastAsia="Times New Roman" w:cs="Calibri"/>
                <w:color w:val="000000"/>
                <w:szCs w:val="18"/>
                <w:lang w:val="nl-NL" w:eastAsia="nl-NL"/>
              </w:rPr>
              <w:t xml:space="preserve"> </w:t>
            </w:r>
            <w:r w:rsidRPr="00D64065" w:rsidR="00137944">
              <w:rPr>
                <w:rFonts w:eastAsia="Times New Roman" w:cs="Calibri"/>
                <w:color w:val="000000"/>
                <w:szCs w:val="18"/>
                <w:lang w:val="nl-NL" w:eastAsia="nl-NL"/>
              </w:rPr>
              <w:t>340</w:t>
            </w:r>
          </w:p>
        </w:tc>
      </w:tr>
    </w:tbl>
    <w:p w:rsidR="00137944" w:rsidP="00137944" w:rsidRDefault="00137944" w14:paraId="6656FD36" w14:textId="77777777">
      <w:pPr>
        <w:spacing w:line="240" w:lineRule="auto"/>
        <w:ind w:left="1134" w:hanging="1134"/>
        <w:rPr>
          <w:sz w:val="16"/>
          <w:szCs w:val="16"/>
          <w:lang w:val="nl-NL"/>
        </w:rPr>
      </w:pPr>
    </w:p>
    <w:p w:rsidR="00137944" w:rsidP="00137944" w:rsidRDefault="00137944" w14:paraId="323CF402" w14:textId="79723675">
      <w:pPr>
        <w:spacing w:line="240" w:lineRule="auto"/>
        <w:ind w:left="1134" w:hanging="1134"/>
        <w:rPr>
          <w:sz w:val="16"/>
          <w:szCs w:val="16"/>
          <w:lang w:val="nl-NL"/>
        </w:rPr>
      </w:pPr>
      <w:r w:rsidRPr="00CA3071">
        <w:rPr>
          <w:sz w:val="16"/>
          <w:szCs w:val="16"/>
          <w:lang w:val="nl-NL"/>
        </w:rPr>
        <w:t>Afkortingen:</w:t>
      </w:r>
      <w:r>
        <w:rPr>
          <w:sz w:val="16"/>
          <w:szCs w:val="16"/>
          <w:lang w:val="nl-NL"/>
        </w:rPr>
        <w:tab/>
        <w:t xml:space="preserve">EB = eigen bijdrage, </w:t>
      </w:r>
      <w:r w:rsidRPr="00CA3071">
        <w:rPr>
          <w:sz w:val="16"/>
          <w:szCs w:val="16"/>
          <w:lang w:val="nl-NL"/>
        </w:rPr>
        <w:t>HEB = hoge eigen bijdrage, LEB = lage eigen bijdrage voor zorg met verblijf, VPT = volledig pakket thuis, MPT = modulair pakket thuis, PGB = persoonsgebonden budget.</w:t>
      </w:r>
    </w:p>
    <w:p w:rsidRPr="00766911" w:rsidR="00137944" w:rsidP="00137944" w:rsidRDefault="00137944" w14:paraId="6769C013" w14:textId="5E938E95">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De effecten worden getoond voor pensioengerechtigde personen/huishoudens die vanwege de hoogte van het verzamelinkomen recht h</w:t>
      </w:r>
      <w:r>
        <w:rPr>
          <w:sz w:val="16"/>
          <w:szCs w:val="16"/>
          <w:lang w:val="nl-NL"/>
        </w:rPr>
        <w:t>adden</w:t>
      </w:r>
      <w:r w:rsidRPr="00766911">
        <w:rPr>
          <w:sz w:val="16"/>
          <w:szCs w:val="16"/>
          <w:lang w:val="nl-NL"/>
        </w:rPr>
        <w:t xml:space="preserve"> op de CVO (in </w:t>
      </w:r>
      <w:r w:rsidR="00226EDF">
        <w:rPr>
          <w:sz w:val="16"/>
          <w:szCs w:val="16"/>
          <w:lang w:val="nl-NL"/>
        </w:rPr>
        <w:t>2025</w:t>
      </w:r>
      <w:r w:rsidRPr="00766911">
        <w:rPr>
          <w:sz w:val="16"/>
          <w:szCs w:val="16"/>
          <w:lang w:val="nl-NL"/>
        </w:rPr>
        <w:t xml:space="preserve"> </w:t>
      </w:r>
      <w:r>
        <w:rPr>
          <w:sz w:val="16"/>
          <w:szCs w:val="16"/>
          <w:lang w:val="nl-NL"/>
        </w:rPr>
        <w:t>was</w:t>
      </w:r>
      <w:r w:rsidRPr="00766911">
        <w:rPr>
          <w:sz w:val="16"/>
          <w:szCs w:val="16"/>
          <w:lang w:val="nl-NL"/>
        </w:rPr>
        <w:t xml:space="preserve"> dat het geval bij een verzamelinkomen per persoon </w:t>
      </w:r>
      <w:r>
        <w:rPr>
          <w:sz w:val="16"/>
          <w:szCs w:val="16"/>
          <w:lang w:val="nl-NL"/>
        </w:rPr>
        <w:t xml:space="preserve">in </w:t>
      </w:r>
      <w:r w:rsidR="00226EDF">
        <w:rPr>
          <w:sz w:val="16"/>
          <w:szCs w:val="16"/>
          <w:lang w:val="nl-NL"/>
        </w:rPr>
        <w:t>2023</w:t>
      </w:r>
      <w:r>
        <w:rPr>
          <w:sz w:val="16"/>
          <w:szCs w:val="16"/>
          <w:lang w:val="nl-NL"/>
        </w:rPr>
        <w:t xml:space="preserve"> </w:t>
      </w:r>
      <w:r w:rsidRPr="00766911">
        <w:rPr>
          <w:sz w:val="16"/>
          <w:szCs w:val="16"/>
          <w:lang w:val="nl-NL"/>
        </w:rPr>
        <w:t xml:space="preserve">dat lager </w:t>
      </w:r>
      <w:r>
        <w:rPr>
          <w:sz w:val="16"/>
          <w:szCs w:val="16"/>
          <w:lang w:val="nl-NL"/>
        </w:rPr>
        <w:t>was</w:t>
      </w:r>
      <w:r w:rsidRPr="00766911">
        <w:rPr>
          <w:sz w:val="16"/>
          <w:szCs w:val="16"/>
          <w:lang w:val="nl-NL"/>
        </w:rPr>
        <w:t xml:space="preserve"> dan € </w:t>
      </w:r>
      <w:r w:rsidR="00226EDF">
        <w:rPr>
          <w:sz w:val="16"/>
          <w:szCs w:val="16"/>
          <w:lang w:val="nl-NL"/>
        </w:rPr>
        <w:t>22.833</w:t>
      </w:r>
      <w:r w:rsidRPr="00766911">
        <w:rPr>
          <w:sz w:val="16"/>
          <w:szCs w:val="16"/>
          <w:lang w:val="nl-NL"/>
        </w:rPr>
        <w:t>).</w:t>
      </w:r>
    </w:p>
    <w:p w:rsidRPr="00766911" w:rsidR="00137944" w:rsidP="00137944" w:rsidRDefault="00137944" w14:paraId="5EFA8074" w14:textId="206097D8">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Dit zijn de grenzen waarbij respectievelijk het minimale en maximale effect van de CVO w</w:t>
      </w:r>
      <w:r>
        <w:rPr>
          <w:sz w:val="16"/>
          <w:szCs w:val="16"/>
          <w:lang w:val="nl-NL"/>
        </w:rPr>
        <w:t>erd</w:t>
      </w:r>
      <w:r w:rsidRPr="00766911">
        <w:rPr>
          <w:sz w:val="16"/>
          <w:szCs w:val="16"/>
          <w:lang w:val="nl-NL"/>
        </w:rPr>
        <w:t xml:space="preserve"> bereikt (voor de situatie </w:t>
      </w:r>
      <w:r w:rsidR="00226EDF">
        <w:rPr>
          <w:sz w:val="16"/>
          <w:szCs w:val="16"/>
          <w:lang w:val="nl-NL"/>
        </w:rPr>
        <w:t>2025</w:t>
      </w:r>
      <w:r w:rsidRPr="00766911">
        <w:rPr>
          <w:sz w:val="16"/>
          <w:szCs w:val="16"/>
          <w:lang w:val="nl-NL"/>
        </w:rPr>
        <w:t>, waarbij er w</w:t>
      </w:r>
      <w:r>
        <w:rPr>
          <w:sz w:val="16"/>
          <w:szCs w:val="16"/>
          <w:lang w:val="nl-NL"/>
        </w:rPr>
        <w:t>erd</w:t>
      </w:r>
      <w:r w:rsidRPr="00766911">
        <w:rPr>
          <w:sz w:val="16"/>
          <w:szCs w:val="16"/>
          <w:lang w:val="nl-NL"/>
        </w:rPr>
        <w:t xml:space="preserve"> gekeken naar de relevante vermogensgrens in </w:t>
      </w:r>
      <w:r w:rsidR="00226EDF">
        <w:rPr>
          <w:sz w:val="16"/>
          <w:szCs w:val="16"/>
          <w:lang w:val="nl-NL"/>
        </w:rPr>
        <w:t>2023</w:t>
      </w:r>
      <w:r w:rsidRPr="00766911">
        <w:rPr>
          <w:sz w:val="16"/>
          <w:szCs w:val="16"/>
          <w:lang w:val="nl-NL"/>
        </w:rPr>
        <w:t>).</w:t>
      </w:r>
    </w:p>
    <w:p w:rsidRPr="00766911" w:rsidR="00137944" w:rsidP="00137944" w:rsidRDefault="00137944" w14:paraId="4B1EBD07" w14:textId="45084F6E">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Bij meerpersoonshuishoudens is uitgegaan van een 50/50-verdeling van het vermogen over de partners. In de praktijk w</w:t>
      </w:r>
      <w:r>
        <w:rPr>
          <w:sz w:val="16"/>
          <w:szCs w:val="16"/>
          <w:lang w:val="nl-NL"/>
        </w:rPr>
        <w:t>erd</w:t>
      </w:r>
      <w:r w:rsidRPr="00766911">
        <w:rPr>
          <w:sz w:val="16"/>
          <w:szCs w:val="16"/>
          <w:lang w:val="nl-NL"/>
        </w:rPr>
        <w:t xml:space="preserve"> echter uitgegaan van de verdeling die in de fiscaliteit </w:t>
      </w:r>
      <w:r>
        <w:rPr>
          <w:sz w:val="16"/>
          <w:szCs w:val="16"/>
          <w:lang w:val="nl-NL"/>
        </w:rPr>
        <w:t>was</w:t>
      </w:r>
      <w:r w:rsidRPr="00766911">
        <w:rPr>
          <w:sz w:val="16"/>
          <w:szCs w:val="16"/>
          <w:lang w:val="nl-NL"/>
        </w:rPr>
        <w:t xml:space="preserve"> gekozen. Een optimale verdeling in de fiscaliteit </w:t>
      </w:r>
      <w:r>
        <w:rPr>
          <w:sz w:val="16"/>
          <w:szCs w:val="16"/>
          <w:lang w:val="nl-NL"/>
        </w:rPr>
        <w:t>was</w:t>
      </w:r>
      <w:r w:rsidRPr="00766911">
        <w:rPr>
          <w:sz w:val="16"/>
          <w:szCs w:val="16"/>
          <w:lang w:val="nl-NL"/>
        </w:rPr>
        <w:t xml:space="preserve"> niet per definitie ook de optimale verdeling bij de CVO. De bedragen in de tabel geven voor de meerpersoonshuishoudens dan ook de maximale effecten weer.</w:t>
      </w:r>
      <w:r w:rsidRPr="00766911">
        <w:rPr>
          <w:rStyle w:val="Verwijzingopmerking"/>
          <w:lang w:val="nl-NL"/>
        </w:rPr>
        <w:t xml:space="preserve"> </w:t>
      </w:r>
    </w:p>
    <w:p w:rsidRPr="00766911" w:rsidR="00137944" w:rsidP="00137944" w:rsidRDefault="00137944" w14:paraId="75469C0B" w14:textId="77777777">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De HEB bij meerpersoonshuishoudens komt alleen voor indien beide partners zijn opgenomen in een zorginstelling.</w:t>
      </w:r>
    </w:p>
    <w:p w:rsidR="00137944" w:rsidP="00EB0D79" w:rsidRDefault="00137944" w14:paraId="68A55CCE" w14:textId="77777777">
      <w:pPr>
        <w:rPr>
          <w:lang w:val="nl-NL"/>
        </w:rPr>
      </w:pPr>
    </w:p>
    <w:p w:rsidR="00D80BFD" w:rsidP="00EB0D79" w:rsidRDefault="00D30E2B" w14:paraId="20DF1D54" w14:textId="44DDEDE4">
      <w:pPr>
        <w:rPr>
          <w:lang w:val="nl-NL"/>
        </w:rPr>
      </w:pPr>
      <w:r>
        <w:rPr>
          <w:lang w:val="nl-NL"/>
        </w:rPr>
        <w:t xml:space="preserve">Het financiële effect van de afschaffing van de CVO is als volgt. </w:t>
      </w:r>
      <w:r w:rsidRPr="00766911" w:rsidR="00EB0D79">
        <w:rPr>
          <w:lang w:val="nl-NL"/>
        </w:rPr>
        <w:t xml:space="preserve">Voor alleenstaande cliënten </w:t>
      </w:r>
      <w:r w:rsidR="00D80BFD">
        <w:rPr>
          <w:lang w:val="nl-NL"/>
        </w:rPr>
        <w:t xml:space="preserve">onder de hiervoor genoemde inkomensgrens </w:t>
      </w:r>
      <w:r w:rsidRPr="00766911" w:rsidR="00EB0D79">
        <w:rPr>
          <w:lang w:val="nl-NL"/>
        </w:rPr>
        <w:t xml:space="preserve">met een vermogen in </w:t>
      </w:r>
      <w:r w:rsidR="00226EDF">
        <w:rPr>
          <w:lang w:val="nl-NL"/>
        </w:rPr>
        <w:t>2023</w:t>
      </w:r>
      <w:r w:rsidRPr="00766911" w:rsidR="00EB0D79">
        <w:rPr>
          <w:lang w:val="nl-NL"/>
        </w:rPr>
        <w:t xml:space="preserve"> tot € </w:t>
      </w:r>
      <w:r w:rsidR="00226EDF">
        <w:rPr>
          <w:lang w:val="nl-NL"/>
        </w:rPr>
        <w:t>33.749</w:t>
      </w:r>
      <w:r w:rsidRPr="00766911" w:rsidR="00EB0D79">
        <w:rPr>
          <w:lang w:val="nl-NL"/>
        </w:rPr>
        <w:t xml:space="preserve"> bedr</w:t>
      </w:r>
      <w:r w:rsidR="005D00D7">
        <w:rPr>
          <w:lang w:val="nl-NL"/>
        </w:rPr>
        <w:t xml:space="preserve">oeg </w:t>
      </w:r>
      <w:r w:rsidRPr="00766911" w:rsidR="00EB0D79">
        <w:rPr>
          <w:lang w:val="nl-NL"/>
        </w:rPr>
        <w:t xml:space="preserve">de CVO € 0, waarmee de doorwerking op de hoogte van de eigen bijdragen gelijk </w:t>
      </w:r>
      <w:r w:rsidR="005D00D7">
        <w:rPr>
          <w:lang w:val="nl-NL"/>
        </w:rPr>
        <w:t>was</w:t>
      </w:r>
      <w:r w:rsidRPr="00766911" w:rsidR="00EB0D79">
        <w:rPr>
          <w:lang w:val="nl-NL"/>
        </w:rPr>
        <w:t xml:space="preserve"> aan € 0. Bij een vermogen vanaf € </w:t>
      </w:r>
      <w:r w:rsidR="00462722">
        <w:rPr>
          <w:lang w:val="nl-NL"/>
        </w:rPr>
        <w:t>66.623</w:t>
      </w:r>
      <w:r w:rsidRPr="00766911" w:rsidR="00EB0D79">
        <w:rPr>
          <w:lang w:val="nl-NL"/>
        </w:rPr>
        <w:t xml:space="preserve"> w</w:t>
      </w:r>
      <w:r w:rsidR="005D00D7">
        <w:rPr>
          <w:lang w:val="nl-NL"/>
        </w:rPr>
        <w:t>erd</w:t>
      </w:r>
      <w:r w:rsidRPr="00766911" w:rsidR="00EB0D79">
        <w:rPr>
          <w:lang w:val="nl-NL"/>
        </w:rPr>
        <w:t xml:space="preserve"> het maximale bedrag aan CVO bereikt, namelijk € 1.700. Bij de </w:t>
      </w:r>
      <w:r w:rsidR="00C26A07">
        <w:rPr>
          <w:lang w:val="nl-NL"/>
        </w:rPr>
        <w:t>HEB</w:t>
      </w:r>
      <w:r w:rsidRPr="00766911" w:rsidR="00EB0D79">
        <w:rPr>
          <w:lang w:val="nl-NL"/>
        </w:rPr>
        <w:t xml:space="preserve"> werkt</w:t>
      </w:r>
      <w:r w:rsidR="005D00D7">
        <w:rPr>
          <w:lang w:val="nl-NL"/>
        </w:rPr>
        <w:t>e</w:t>
      </w:r>
      <w:r w:rsidRPr="00766911" w:rsidR="00EB0D79">
        <w:rPr>
          <w:lang w:val="nl-NL"/>
        </w:rPr>
        <w:t xml:space="preserve"> dit bedrag geheel door in de uiteindelijke eigen bijdrage per jaar. Bij de </w:t>
      </w:r>
      <w:r w:rsidR="00C26A07">
        <w:rPr>
          <w:lang w:val="nl-NL"/>
        </w:rPr>
        <w:t>LEB</w:t>
      </w:r>
      <w:r w:rsidRPr="00766911" w:rsidR="00EB0D79">
        <w:rPr>
          <w:lang w:val="nl-NL"/>
        </w:rPr>
        <w:t xml:space="preserve"> werkt</w:t>
      </w:r>
      <w:r w:rsidR="005D00D7">
        <w:rPr>
          <w:lang w:val="nl-NL"/>
        </w:rPr>
        <w:t>e</w:t>
      </w:r>
      <w:r w:rsidRPr="00766911" w:rsidR="00EB0D79">
        <w:rPr>
          <w:lang w:val="nl-NL"/>
        </w:rPr>
        <w:t xml:space="preserve"> de CVO middels het marginaal tarief van 10% voor € 170 door op de uiteindelijke eigen bijdrage per jaar (€ 1.700 * 10%). </w:t>
      </w:r>
    </w:p>
    <w:p w:rsidR="00D80BFD" w:rsidP="00EB0D79" w:rsidRDefault="00D80BFD" w14:paraId="2F0C8D0C" w14:textId="40318BD9">
      <w:pPr>
        <w:rPr>
          <w:lang w:val="nl-NL"/>
        </w:rPr>
      </w:pPr>
    </w:p>
    <w:p w:rsidR="00EB0D79" w:rsidP="00EB0D79" w:rsidRDefault="00EB0D79" w14:paraId="0B9A5683" w14:textId="173C1557">
      <w:pPr>
        <w:rPr>
          <w:lang w:val="nl-NL"/>
        </w:rPr>
      </w:pPr>
      <w:r w:rsidRPr="00766911">
        <w:rPr>
          <w:lang w:val="nl-NL"/>
        </w:rPr>
        <w:t>Aangezien de CVO tot € 1.700 k</w:t>
      </w:r>
      <w:r w:rsidR="00137944">
        <w:rPr>
          <w:lang w:val="nl-NL"/>
        </w:rPr>
        <w:t>o</w:t>
      </w:r>
      <w:r w:rsidRPr="00766911">
        <w:rPr>
          <w:lang w:val="nl-NL"/>
        </w:rPr>
        <w:t xml:space="preserve">n oplopen, zou het in één keer afschaffen van de CVO grote financiële effecten hebben. Daarom is ervoor gekozen om de CVO in drie stappen af te bouwen. Voor een alleenstaande cliënt met de maximale CVO en een </w:t>
      </w:r>
      <w:r w:rsidR="00C26A07">
        <w:rPr>
          <w:lang w:val="nl-NL"/>
        </w:rPr>
        <w:t>HEB</w:t>
      </w:r>
      <w:r w:rsidRPr="00766911">
        <w:rPr>
          <w:lang w:val="nl-NL"/>
        </w:rPr>
        <w:t xml:space="preserve"> </w:t>
      </w:r>
      <w:r w:rsidR="008462AB">
        <w:rPr>
          <w:lang w:val="nl-NL"/>
        </w:rPr>
        <w:t>betekent</w:t>
      </w:r>
      <w:r w:rsidRPr="00766911" w:rsidR="008462AB">
        <w:rPr>
          <w:lang w:val="nl-NL"/>
        </w:rPr>
        <w:t xml:space="preserve"> </w:t>
      </w:r>
      <w:r w:rsidRPr="00766911">
        <w:rPr>
          <w:lang w:val="nl-NL"/>
        </w:rPr>
        <w:t>dit in de periode 2026-2028 een jaarlijks gemiddelde toename van</w:t>
      </w:r>
      <w:r w:rsidR="008462AB">
        <w:rPr>
          <w:lang w:val="nl-NL"/>
        </w:rPr>
        <w:t xml:space="preserve"> de</w:t>
      </w:r>
      <w:r w:rsidRPr="00766911">
        <w:rPr>
          <w:lang w:val="nl-NL"/>
        </w:rPr>
        <w:t xml:space="preserve"> eigen bijdrage van € 567. In totaal </w:t>
      </w:r>
      <w:r w:rsidR="008462AB">
        <w:rPr>
          <w:lang w:val="nl-NL"/>
        </w:rPr>
        <w:t>stijgt</w:t>
      </w:r>
      <w:r w:rsidRPr="00766911" w:rsidR="008462AB">
        <w:rPr>
          <w:lang w:val="nl-NL"/>
        </w:rPr>
        <w:t xml:space="preserve"> </w:t>
      </w:r>
      <w:r w:rsidRPr="00766911">
        <w:rPr>
          <w:lang w:val="nl-NL"/>
        </w:rPr>
        <w:t xml:space="preserve">deze eigen bijdrage </w:t>
      </w:r>
      <w:r w:rsidR="00883EED">
        <w:rPr>
          <w:lang w:val="nl-NL"/>
        </w:rPr>
        <w:t xml:space="preserve">na drie jaar </w:t>
      </w:r>
      <w:r w:rsidRPr="00766911">
        <w:rPr>
          <w:lang w:val="nl-NL"/>
        </w:rPr>
        <w:t>met € 1.700</w:t>
      </w:r>
      <w:r w:rsidR="008873D1">
        <w:rPr>
          <w:lang w:val="nl-NL"/>
        </w:rPr>
        <w:t xml:space="preserve"> per jaar</w:t>
      </w:r>
      <w:r w:rsidRPr="00766911">
        <w:rPr>
          <w:lang w:val="nl-NL"/>
        </w:rPr>
        <w:t xml:space="preserve">. Voor een alleenstaande cliënt met de maximale CVO en een </w:t>
      </w:r>
      <w:r w:rsidR="00137944">
        <w:rPr>
          <w:lang w:val="nl-NL"/>
        </w:rPr>
        <w:t>LEB</w:t>
      </w:r>
      <w:r w:rsidRPr="00766911">
        <w:rPr>
          <w:lang w:val="nl-NL"/>
        </w:rPr>
        <w:t xml:space="preserve"> </w:t>
      </w:r>
      <w:r w:rsidR="008462AB">
        <w:rPr>
          <w:lang w:val="nl-NL"/>
        </w:rPr>
        <w:t>betekent</w:t>
      </w:r>
      <w:r w:rsidRPr="00766911" w:rsidR="008462AB">
        <w:rPr>
          <w:lang w:val="nl-NL"/>
        </w:rPr>
        <w:t xml:space="preserve"> </w:t>
      </w:r>
      <w:r w:rsidRPr="00766911">
        <w:rPr>
          <w:lang w:val="nl-NL"/>
        </w:rPr>
        <w:t xml:space="preserve">dit in de periode 2026-2028 een jaarlijks gemiddelde toename van de eigen bijdrage van € 57. In totaal </w:t>
      </w:r>
      <w:r w:rsidR="008462AB">
        <w:rPr>
          <w:lang w:val="nl-NL"/>
        </w:rPr>
        <w:t xml:space="preserve">stijgt </w:t>
      </w:r>
      <w:r w:rsidRPr="00766911">
        <w:rPr>
          <w:lang w:val="nl-NL"/>
        </w:rPr>
        <w:t xml:space="preserve">deze eigen bijdrage </w:t>
      </w:r>
      <w:r w:rsidR="00883EED">
        <w:rPr>
          <w:lang w:val="nl-NL"/>
        </w:rPr>
        <w:t xml:space="preserve">na drie jaar </w:t>
      </w:r>
      <w:r w:rsidRPr="00766911">
        <w:rPr>
          <w:lang w:val="nl-NL"/>
        </w:rPr>
        <w:t>met € 170</w:t>
      </w:r>
      <w:r w:rsidR="008873D1">
        <w:rPr>
          <w:lang w:val="nl-NL"/>
        </w:rPr>
        <w:t xml:space="preserve"> per jaar</w:t>
      </w:r>
      <w:r w:rsidRPr="00766911">
        <w:rPr>
          <w:lang w:val="nl-NL"/>
        </w:rPr>
        <w:t xml:space="preserve">. Voor </w:t>
      </w:r>
      <w:r w:rsidRPr="00766911">
        <w:rPr>
          <w:lang w:val="nl-NL"/>
        </w:rPr>
        <w:lastRenderedPageBreak/>
        <w:t xml:space="preserve">meerpersoonshuishoudens </w:t>
      </w:r>
      <w:r w:rsidR="008462AB">
        <w:rPr>
          <w:lang w:val="nl-NL"/>
        </w:rPr>
        <w:t xml:space="preserve">bedragen </w:t>
      </w:r>
      <w:r w:rsidRPr="00766911">
        <w:rPr>
          <w:lang w:val="nl-NL"/>
        </w:rPr>
        <w:t>de effecten maximaal tweemaal het effect van alleenstaanden.</w:t>
      </w:r>
    </w:p>
    <w:p w:rsidRPr="00766911" w:rsidR="00EB0D79" w:rsidP="00EB0D79" w:rsidRDefault="00EB0D79" w14:paraId="3E720FD7" w14:textId="3072C01A">
      <w:pPr>
        <w:rPr>
          <w:sz w:val="16"/>
          <w:szCs w:val="16"/>
          <w:lang w:val="nl-NL"/>
        </w:rPr>
      </w:pPr>
    </w:p>
    <w:p w:rsidR="00E30992" w:rsidP="00EB0D79" w:rsidRDefault="00EB0D79" w14:paraId="2CB1233C" w14:textId="0DA0EC04">
      <w:pPr>
        <w:rPr>
          <w:szCs w:val="18"/>
          <w:lang w:val="nl-NL"/>
        </w:rPr>
      </w:pPr>
      <w:r w:rsidRPr="00766911">
        <w:rPr>
          <w:szCs w:val="18"/>
          <w:lang w:val="nl-NL"/>
        </w:rPr>
        <w:t>Tabel</w:t>
      </w:r>
      <w:r w:rsidR="00266945">
        <w:rPr>
          <w:szCs w:val="18"/>
          <w:lang w:val="nl-NL"/>
        </w:rPr>
        <w:t xml:space="preserve"> </w:t>
      </w:r>
      <w:r w:rsidR="0099649A">
        <w:rPr>
          <w:szCs w:val="18"/>
          <w:lang w:val="nl-NL"/>
        </w:rPr>
        <w:t>2</w:t>
      </w:r>
      <w:r w:rsidRPr="00766911">
        <w:rPr>
          <w:szCs w:val="18"/>
          <w:lang w:val="nl-NL"/>
        </w:rPr>
        <w:t xml:space="preserve"> toont het aantal huishoudens dat op peildatum 1 januari 2024 in aanmerking kwam voor de CVO </w:t>
      </w:r>
      <w:r w:rsidR="008462AB">
        <w:rPr>
          <w:szCs w:val="18"/>
          <w:lang w:val="nl-NL"/>
        </w:rPr>
        <w:t xml:space="preserve">met betrekking tot eigen bijdragen op grond van </w:t>
      </w:r>
      <w:r w:rsidRPr="00766911">
        <w:rPr>
          <w:szCs w:val="18"/>
          <w:lang w:val="nl-NL"/>
        </w:rPr>
        <w:t xml:space="preserve">de Wlz. Tevens toont de tabel </w:t>
      </w:r>
      <w:r w:rsidR="00BA609A">
        <w:rPr>
          <w:szCs w:val="18"/>
          <w:lang w:val="nl-NL"/>
        </w:rPr>
        <w:t xml:space="preserve">het aandeel </w:t>
      </w:r>
      <w:r w:rsidRPr="00766911">
        <w:rPr>
          <w:szCs w:val="18"/>
          <w:lang w:val="nl-NL"/>
        </w:rPr>
        <w:t xml:space="preserve">huishoudens </w:t>
      </w:r>
      <w:r w:rsidR="00CA256B">
        <w:rPr>
          <w:szCs w:val="18"/>
          <w:lang w:val="nl-NL"/>
        </w:rPr>
        <w:t xml:space="preserve">dat </w:t>
      </w:r>
      <w:r w:rsidRPr="00766911">
        <w:rPr>
          <w:szCs w:val="18"/>
          <w:lang w:val="nl-NL"/>
        </w:rPr>
        <w:t xml:space="preserve">een </w:t>
      </w:r>
      <w:r w:rsidR="0090196D">
        <w:rPr>
          <w:szCs w:val="18"/>
          <w:lang w:val="nl-NL"/>
        </w:rPr>
        <w:t>HEB</w:t>
      </w:r>
      <w:r w:rsidRPr="00766911">
        <w:rPr>
          <w:szCs w:val="18"/>
          <w:lang w:val="nl-NL"/>
        </w:rPr>
        <w:t xml:space="preserve"> </w:t>
      </w:r>
      <w:r w:rsidR="00CA256B">
        <w:rPr>
          <w:szCs w:val="18"/>
          <w:lang w:val="nl-NL"/>
        </w:rPr>
        <w:t xml:space="preserve">of LEB betaalde. </w:t>
      </w:r>
      <w:r w:rsidR="00E30992">
        <w:rPr>
          <w:szCs w:val="18"/>
          <w:lang w:val="nl-NL"/>
        </w:rPr>
        <w:t>In de tabel is het volgende te zien:</w:t>
      </w:r>
    </w:p>
    <w:p w:rsidRPr="000E0204" w:rsidR="000E0204" w:rsidP="004804AD" w:rsidRDefault="00EB0D79" w14:paraId="727998AD" w14:textId="750F8F8B">
      <w:pPr>
        <w:pStyle w:val="Lijstalinea"/>
        <w:numPr>
          <w:ilvl w:val="0"/>
          <w:numId w:val="18"/>
        </w:numPr>
        <w:ind w:left="426" w:hanging="437"/>
        <w:rPr>
          <w:szCs w:val="18"/>
          <w:lang w:val="nl-NL"/>
        </w:rPr>
      </w:pPr>
      <w:r w:rsidRPr="00E30992">
        <w:rPr>
          <w:szCs w:val="18"/>
          <w:lang w:val="nl-NL"/>
        </w:rPr>
        <w:t>25.</w:t>
      </w:r>
      <w:r w:rsidRPr="00E30992" w:rsidR="003659A2">
        <w:rPr>
          <w:szCs w:val="18"/>
          <w:lang w:val="nl-NL"/>
        </w:rPr>
        <w:t>2</w:t>
      </w:r>
      <w:r w:rsidRPr="00E30992">
        <w:rPr>
          <w:szCs w:val="18"/>
          <w:lang w:val="nl-NL"/>
        </w:rPr>
        <w:t>00 alleenstaanden k</w:t>
      </w:r>
      <w:r w:rsidR="00137944">
        <w:rPr>
          <w:szCs w:val="18"/>
          <w:lang w:val="nl-NL"/>
        </w:rPr>
        <w:t>wamen</w:t>
      </w:r>
      <w:r w:rsidRPr="00E30992">
        <w:rPr>
          <w:szCs w:val="18"/>
          <w:lang w:val="nl-NL"/>
        </w:rPr>
        <w:t xml:space="preserve"> in aanmerking voor de CVO, waarvan 15.200 (60%) voor het maximumbedrag van €</w:t>
      </w:r>
      <w:r w:rsidRPr="00E30992" w:rsidR="003659A2">
        <w:rPr>
          <w:szCs w:val="18"/>
          <w:lang w:val="nl-NL"/>
        </w:rPr>
        <w:t xml:space="preserve"> </w:t>
      </w:r>
      <w:r w:rsidRPr="00E30992">
        <w:rPr>
          <w:lang w:val="nl-NL"/>
        </w:rPr>
        <w:t>1.700</w:t>
      </w:r>
      <w:r w:rsidR="00BA609A">
        <w:rPr>
          <w:lang w:val="nl-NL"/>
        </w:rPr>
        <w:t xml:space="preserve"> per jaar</w:t>
      </w:r>
      <w:r w:rsidRPr="00E30992">
        <w:rPr>
          <w:lang w:val="nl-NL"/>
        </w:rPr>
        <w:t xml:space="preserve">. </w:t>
      </w:r>
    </w:p>
    <w:p w:rsidRPr="00E30992" w:rsidR="00E30992" w:rsidP="004804AD" w:rsidRDefault="00EB0D79" w14:paraId="2DE53ACA" w14:textId="7F1E95E7">
      <w:pPr>
        <w:pStyle w:val="Lijstalinea"/>
        <w:numPr>
          <w:ilvl w:val="1"/>
          <w:numId w:val="18"/>
        </w:numPr>
        <w:ind w:left="851" w:hanging="425"/>
        <w:rPr>
          <w:szCs w:val="18"/>
          <w:lang w:val="nl-NL"/>
        </w:rPr>
      </w:pPr>
      <w:r w:rsidRPr="00E30992">
        <w:rPr>
          <w:lang w:val="nl-NL"/>
        </w:rPr>
        <w:t>Van de</w:t>
      </w:r>
      <w:r w:rsidR="00E30992">
        <w:rPr>
          <w:lang w:val="nl-NL"/>
        </w:rPr>
        <w:t>ze 15.200 cliënten</w:t>
      </w:r>
      <w:r w:rsidRPr="00E30992">
        <w:rPr>
          <w:lang w:val="nl-NL"/>
        </w:rPr>
        <w:t xml:space="preserve"> betaal</w:t>
      </w:r>
      <w:r w:rsidR="00137944">
        <w:rPr>
          <w:lang w:val="nl-NL"/>
        </w:rPr>
        <w:t>de</w:t>
      </w:r>
      <w:r w:rsidRPr="00E30992">
        <w:rPr>
          <w:lang w:val="nl-NL"/>
        </w:rPr>
        <w:t xml:space="preserve"> 67% de </w:t>
      </w:r>
      <w:r w:rsidR="00B76BCF">
        <w:rPr>
          <w:lang w:val="nl-NL"/>
        </w:rPr>
        <w:t>HEB</w:t>
      </w:r>
      <w:r w:rsidRPr="00E30992">
        <w:rPr>
          <w:lang w:val="nl-NL"/>
        </w:rPr>
        <w:t xml:space="preserve">, waardoor </w:t>
      </w:r>
      <w:r w:rsidR="00E30992">
        <w:rPr>
          <w:lang w:val="nl-NL"/>
        </w:rPr>
        <w:t xml:space="preserve">voor hen </w:t>
      </w:r>
      <w:r w:rsidRPr="00E30992">
        <w:rPr>
          <w:lang w:val="nl-NL"/>
        </w:rPr>
        <w:t xml:space="preserve">de afbouw van de CVO </w:t>
      </w:r>
      <w:r w:rsidR="008F3BDE">
        <w:rPr>
          <w:lang w:val="nl-NL"/>
        </w:rPr>
        <w:t xml:space="preserve">geleidelijk </w:t>
      </w:r>
      <w:r w:rsidRPr="00E30992">
        <w:rPr>
          <w:lang w:val="nl-NL"/>
        </w:rPr>
        <w:t xml:space="preserve">tot een stijging van de eigen bijdrage met € 1.700 per jaar </w:t>
      </w:r>
      <w:r w:rsidR="008F3BDE">
        <w:rPr>
          <w:lang w:val="nl-NL"/>
        </w:rPr>
        <w:t>leidt</w:t>
      </w:r>
      <w:r w:rsidRPr="00E30992">
        <w:rPr>
          <w:lang w:val="nl-NL"/>
        </w:rPr>
        <w:t xml:space="preserve">. </w:t>
      </w:r>
      <w:r w:rsidR="003D4789">
        <w:rPr>
          <w:lang w:val="nl-NL"/>
        </w:rPr>
        <w:t>Voor de overige 33% van deze cliënten stijgt de eigen bijdrage na afschaffing van de CVO met € 170 per jaar.</w:t>
      </w:r>
    </w:p>
    <w:p w:rsidRPr="000E0204" w:rsidR="000E0204" w:rsidP="004804AD" w:rsidRDefault="00EB0D79" w14:paraId="672E6F4B" w14:textId="2EA85D6D">
      <w:pPr>
        <w:pStyle w:val="Lijstalinea"/>
        <w:numPr>
          <w:ilvl w:val="0"/>
          <w:numId w:val="18"/>
        </w:numPr>
        <w:ind w:left="426" w:hanging="426"/>
        <w:rPr>
          <w:szCs w:val="18"/>
          <w:lang w:val="nl-NL"/>
        </w:rPr>
      </w:pPr>
      <w:r w:rsidRPr="00E30992">
        <w:rPr>
          <w:lang w:val="nl-NL"/>
        </w:rPr>
        <w:t>9.000 meerpersoonshuishoudens k</w:t>
      </w:r>
      <w:r w:rsidR="00137944">
        <w:rPr>
          <w:lang w:val="nl-NL"/>
        </w:rPr>
        <w:t>wamen</w:t>
      </w:r>
      <w:r w:rsidRPr="00E30992">
        <w:rPr>
          <w:lang w:val="nl-NL"/>
        </w:rPr>
        <w:t xml:space="preserve"> in aanmerking voor de CVO, waarvan 5.000 huishoudens (56%) een CVO van € 1.700 </w:t>
      </w:r>
      <w:r w:rsidR="00137944">
        <w:rPr>
          <w:lang w:val="nl-NL"/>
        </w:rPr>
        <w:t xml:space="preserve">kregen </w:t>
      </w:r>
      <w:r w:rsidRPr="00E30992">
        <w:rPr>
          <w:lang w:val="nl-NL"/>
        </w:rPr>
        <w:t xml:space="preserve">en 1.100 (12%) een CVO van € 3.400. </w:t>
      </w:r>
    </w:p>
    <w:p w:rsidRPr="00834C64" w:rsidR="00EB0D79" w:rsidP="004804AD" w:rsidRDefault="00EB0D79" w14:paraId="38D67BF4" w14:textId="41CC6B6F">
      <w:pPr>
        <w:pStyle w:val="Lijstalinea"/>
        <w:numPr>
          <w:ilvl w:val="1"/>
          <w:numId w:val="18"/>
        </w:numPr>
        <w:ind w:left="851" w:hanging="425"/>
        <w:rPr>
          <w:szCs w:val="18"/>
          <w:lang w:val="nl-NL"/>
        </w:rPr>
      </w:pPr>
      <w:r w:rsidRPr="000E0204">
        <w:rPr>
          <w:lang w:val="nl-NL"/>
        </w:rPr>
        <w:t xml:space="preserve">Bij de meerpersoonshuishoudens is zichtbaar dat het aandeel huishoudens dat de </w:t>
      </w:r>
      <w:r w:rsidR="00B76BCF">
        <w:rPr>
          <w:lang w:val="nl-NL"/>
        </w:rPr>
        <w:t>HEB</w:t>
      </w:r>
      <w:r w:rsidRPr="000E0204">
        <w:rPr>
          <w:lang w:val="nl-NL"/>
        </w:rPr>
        <w:t xml:space="preserve"> betaal</w:t>
      </w:r>
      <w:r w:rsidR="00137944">
        <w:rPr>
          <w:lang w:val="nl-NL"/>
        </w:rPr>
        <w:t>de</w:t>
      </w:r>
      <w:r w:rsidRPr="000E0204">
        <w:rPr>
          <w:lang w:val="nl-NL"/>
        </w:rPr>
        <w:t xml:space="preserve"> zeer laag </w:t>
      </w:r>
      <w:r w:rsidR="00137944">
        <w:rPr>
          <w:lang w:val="nl-NL"/>
        </w:rPr>
        <w:t>lag</w:t>
      </w:r>
      <w:r w:rsidRPr="000E0204">
        <w:rPr>
          <w:lang w:val="nl-NL"/>
        </w:rPr>
        <w:t xml:space="preserve">. Dit betekent dat er slechts een zeer beperkt aantal huishoudens </w:t>
      </w:r>
      <w:r w:rsidR="0062678B">
        <w:rPr>
          <w:lang w:val="nl-NL"/>
        </w:rPr>
        <w:t>is</w:t>
      </w:r>
      <w:r w:rsidRPr="000E0204" w:rsidR="0062678B">
        <w:rPr>
          <w:lang w:val="nl-NL"/>
        </w:rPr>
        <w:t xml:space="preserve"> </w:t>
      </w:r>
      <w:r w:rsidRPr="000E0204">
        <w:rPr>
          <w:lang w:val="nl-NL"/>
        </w:rPr>
        <w:t xml:space="preserve">waarbij de hoogte van de CVO volledig </w:t>
      </w:r>
      <w:r w:rsidR="0062678B">
        <w:rPr>
          <w:lang w:val="nl-NL"/>
        </w:rPr>
        <w:t xml:space="preserve">doorwerkt </w:t>
      </w:r>
      <w:r w:rsidRPr="000E0204">
        <w:rPr>
          <w:lang w:val="nl-NL"/>
        </w:rPr>
        <w:t>in de eigen bijdrage. Het overgrote deel betaal</w:t>
      </w:r>
      <w:r w:rsidR="00137944">
        <w:rPr>
          <w:lang w:val="nl-NL"/>
        </w:rPr>
        <w:t>de</w:t>
      </w:r>
      <w:r w:rsidRPr="000E0204">
        <w:rPr>
          <w:lang w:val="nl-NL"/>
        </w:rPr>
        <w:t xml:space="preserve"> de </w:t>
      </w:r>
      <w:r w:rsidR="00B76BCF">
        <w:rPr>
          <w:lang w:val="nl-NL"/>
        </w:rPr>
        <w:t>LEB</w:t>
      </w:r>
      <w:r w:rsidRPr="000E0204">
        <w:rPr>
          <w:lang w:val="nl-NL"/>
        </w:rPr>
        <w:t xml:space="preserve"> waarbij de CVO </w:t>
      </w:r>
      <w:r w:rsidRPr="000E0204" w:rsidR="00E30992">
        <w:rPr>
          <w:lang w:val="nl-NL"/>
        </w:rPr>
        <w:t xml:space="preserve">niet </w:t>
      </w:r>
      <w:r w:rsidR="00CA256B">
        <w:rPr>
          <w:lang w:val="nl-NL"/>
        </w:rPr>
        <w:t>voor 100%</w:t>
      </w:r>
      <w:r w:rsidRPr="000E0204" w:rsidR="00E30992">
        <w:rPr>
          <w:lang w:val="nl-NL"/>
        </w:rPr>
        <w:t xml:space="preserve">, maar </w:t>
      </w:r>
      <w:r w:rsidRPr="000E0204" w:rsidR="00C10481">
        <w:rPr>
          <w:lang w:val="nl-NL"/>
        </w:rPr>
        <w:t xml:space="preserve">– vanwege het marginale tarief – </w:t>
      </w:r>
      <w:r w:rsidRPr="000E0204">
        <w:rPr>
          <w:lang w:val="nl-NL"/>
        </w:rPr>
        <w:t xml:space="preserve">voor 10% </w:t>
      </w:r>
      <w:r w:rsidR="0062678B">
        <w:rPr>
          <w:lang w:val="nl-NL"/>
        </w:rPr>
        <w:t>doorwerkt</w:t>
      </w:r>
      <w:r w:rsidRPr="000E0204" w:rsidR="0062678B">
        <w:rPr>
          <w:lang w:val="nl-NL"/>
        </w:rPr>
        <w:t xml:space="preserve"> </w:t>
      </w:r>
      <w:r w:rsidRPr="000E0204">
        <w:rPr>
          <w:lang w:val="nl-NL"/>
        </w:rPr>
        <w:t>in de eigen bijdrage.</w:t>
      </w:r>
    </w:p>
    <w:p w:rsidRPr="00834C64" w:rsidR="00834C64" w:rsidP="005720C9" w:rsidRDefault="00834C64" w14:paraId="22D8CB73" w14:textId="71D2F7A5">
      <w:pPr>
        <w:pStyle w:val="Lijstalinea"/>
        <w:numPr>
          <w:ilvl w:val="0"/>
          <w:numId w:val="18"/>
        </w:numPr>
        <w:ind w:left="426"/>
        <w:rPr>
          <w:szCs w:val="18"/>
          <w:lang w:val="nl-NL"/>
        </w:rPr>
      </w:pPr>
      <w:r>
        <w:rPr>
          <w:szCs w:val="18"/>
          <w:lang w:val="nl-NL"/>
        </w:rPr>
        <w:t xml:space="preserve">Hoewel de eigen bijdragen door afbouw van de CVO fors </w:t>
      </w:r>
      <w:r w:rsidR="0062678B">
        <w:rPr>
          <w:szCs w:val="18"/>
          <w:lang w:val="nl-NL"/>
        </w:rPr>
        <w:t xml:space="preserve">kunnen </w:t>
      </w:r>
      <w:r>
        <w:rPr>
          <w:szCs w:val="18"/>
          <w:lang w:val="nl-NL"/>
        </w:rPr>
        <w:t xml:space="preserve">toenemen, </w:t>
      </w:r>
      <w:r w:rsidR="0062678B">
        <w:rPr>
          <w:szCs w:val="18"/>
          <w:lang w:val="nl-NL"/>
        </w:rPr>
        <w:t xml:space="preserve">worden </w:t>
      </w:r>
      <w:r>
        <w:rPr>
          <w:szCs w:val="18"/>
          <w:lang w:val="nl-NL"/>
        </w:rPr>
        <w:t xml:space="preserve">deze effecten draagbaar geacht. Het idee achter eigen bijdragen die afhankelijk </w:t>
      </w:r>
      <w:r w:rsidR="00633F12">
        <w:rPr>
          <w:szCs w:val="18"/>
          <w:lang w:val="nl-NL"/>
        </w:rPr>
        <w:t xml:space="preserve">zijn </w:t>
      </w:r>
      <w:r>
        <w:rPr>
          <w:szCs w:val="18"/>
          <w:lang w:val="nl-NL"/>
        </w:rPr>
        <w:t xml:space="preserve">van zowel inkomen als vermogen, is dat men ook vanuit vermogen bijdraagt aan de financiering van de zorg. Indien het inkomen niet </w:t>
      </w:r>
      <w:r w:rsidR="00633F12">
        <w:rPr>
          <w:szCs w:val="18"/>
          <w:lang w:val="nl-NL"/>
        </w:rPr>
        <w:t xml:space="preserve">toereikend </w:t>
      </w:r>
      <w:r>
        <w:rPr>
          <w:szCs w:val="18"/>
          <w:lang w:val="nl-NL"/>
        </w:rPr>
        <w:t xml:space="preserve">is om de eigen bijdrage </w:t>
      </w:r>
      <w:r w:rsidR="00633F12">
        <w:rPr>
          <w:szCs w:val="18"/>
          <w:lang w:val="nl-NL"/>
        </w:rPr>
        <w:t>van</w:t>
      </w:r>
      <w:r>
        <w:rPr>
          <w:szCs w:val="18"/>
          <w:lang w:val="nl-NL"/>
        </w:rPr>
        <w:t xml:space="preserve"> te betalen</w:t>
      </w:r>
      <w:r w:rsidR="008C338F">
        <w:rPr>
          <w:szCs w:val="18"/>
          <w:lang w:val="nl-NL"/>
        </w:rPr>
        <w:t xml:space="preserve"> (voornamelijk bij de HEB)</w:t>
      </w:r>
      <w:r>
        <w:rPr>
          <w:szCs w:val="18"/>
          <w:lang w:val="nl-NL"/>
        </w:rPr>
        <w:t>, dan w</w:t>
      </w:r>
      <w:r w:rsidR="00CA256B">
        <w:rPr>
          <w:szCs w:val="18"/>
          <w:lang w:val="nl-NL"/>
        </w:rPr>
        <w:t>ordt</w:t>
      </w:r>
      <w:r>
        <w:rPr>
          <w:szCs w:val="18"/>
          <w:lang w:val="nl-NL"/>
        </w:rPr>
        <w:t xml:space="preserve"> men geacht hier een deel van het vermogen voor in te zetten.</w:t>
      </w:r>
      <w:r w:rsidR="008C338F">
        <w:rPr>
          <w:szCs w:val="18"/>
          <w:lang w:val="nl-NL"/>
        </w:rPr>
        <w:t xml:space="preserve"> Cliënten die </w:t>
      </w:r>
      <w:r w:rsidR="00CA256B">
        <w:rPr>
          <w:szCs w:val="18"/>
          <w:lang w:val="nl-NL"/>
        </w:rPr>
        <w:t xml:space="preserve">geconfronteerd </w:t>
      </w:r>
      <w:r w:rsidR="0062678B">
        <w:rPr>
          <w:szCs w:val="18"/>
          <w:lang w:val="nl-NL"/>
        </w:rPr>
        <w:t xml:space="preserve">worden </w:t>
      </w:r>
      <w:r w:rsidR="008C338F">
        <w:rPr>
          <w:szCs w:val="18"/>
          <w:lang w:val="nl-NL"/>
        </w:rPr>
        <w:t xml:space="preserve">met een verhoging van de eigen bijdrage door afbouw van de CVO </w:t>
      </w:r>
      <w:r w:rsidR="0062678B">
        <w:rPr>
          <w:szCs w:val="18"/>
          <w:lang w:val="nl-NL"/>
        </w:rPr>
        <w:t xml:space="preserve">hebben </w:t>
      </w:r>
      <w:r w:rsidR="008C338F">
        <w:rPr>
          <w:szCs w:val="18"/>
          <w:lang w:val="nl-NL"/>
        </w:rPr>
        <w:t>een vermogen van minstens € </w:t>
      </w:r>
      <w:r w:rsidR="00226EDF">
        <w:rPr>
          <w:szCs w:val="18"/>
          <w:lang w:val="nl-NL"/>
        </w:rPr>
        <w:t>33.749</w:t>
      </w:r>
      <w:r w:rsidR="00633F12">
        <w:rPr>
          <w:szCs w:val="18"/>
          <w:lang w:val="nl-NL"/>
        </w:rPr>
        <w:t xml:space="preserve">, waardoor de effecten van de afbouw van de CVO </w:t>
      </w:r>
      <w:r w:rsidR="00CA256B">
        <w:rPr>
          <w:szCs w:val="18"/>
          <w:lang w:val="nl-NL"/>
        </w:rPr>
        <w:t xml:space="preserve">draagbaar </w:t>
      </w:r>
      <w:r w:rsidR="0062678B">
        <w:rPr>
          <w:szCs w:val="18"/>
          <w:lang w:val="nl-NL"/>
        </w:rPr>
        <w:t xml:space="preserve">worden </w:t>
      </w:r>
      <w:r w:rsidR="00CA256B">
        <w:rPr>
          <w:szCs w:val="18"/>
          <w:lang w:val="nl-NL"/>
        </w:rPr>
        <w:t>geacht</w:t>
      </w:r>
      <w:r w:rsidR="00633F12">
        <w:rPr>
          <w:szCs w:val="18"/>
          <w:lang w:val="nl-NL"/>
        </w:rPr>
        <w:t>.</w:t>
      </w:r>
    </w:p>
    <w:p w:rsidR="00834C64" w:rsidP="00EB0D79" w:rsidRDefault="00834C64" w14:paraId="0B4E3BEE" w14:textId="77777777">
      <w:pPr>
        <w:rPr>
          <w:i/>
          <w:iCs/>
          <w:lang w:val="nl-NL"/>
        </w:rPr>
      </w:pPr>
    </w:p>
    <w:p w:rsidRPr="00766911" w:rsidR="00EB0D79" w:rsidP="00EB0D79" w:rsidRDefault="00EB0D79" w14:paraId="0FF5F601" w14:textId="1E0B1A23">
      <w:pPr>
        <w:rPr>
          <w:i/>
          <w:iCs/>
          <w:lang w:val="nl-NL"/>
        </w:rPr>
      </w:pPr>
      <w:r w:rsidRPr="00766911">
        <w:rPr>
          <w:i/>
          <w:iCs/>
          <w:lang w:val="nl-NL"/>
        </w:rPr>
        <w:t xml:space="preserve">Tabel </w:t>
      </w:r>
      <w:r w:rsidR="0099649A">
        <w:rPr>
          <w:i/>
          <w:iCs/>
          <w:lang w:val="nl-NL"/>
        </w:rPr>
        <w:t>2</w:t>
      </w:r>
      <w:r w:rsidRPr="00766911">
        <w:rPr>
          <w:i/>
          <w:iCs/>
          <w:lang w:val="nl-NL"/>
        </w:rPr>
        <w:t xml:space="preserve">: Aantal huishoudens met CVO in Wlz (peildatum 1 januari 2024, aantallen afgerond op </w:t>
      </w:r>
      <w:r w:rsidRPr="000A3D9A">
        <w:rPr>
          <w:i/>
          <w:iCs/>
          <w:szCs w:val="18"/>
          <w:lang w:val="nl-NL"/>
        </w:rPr>
        <w:t>honderdtallen)</w:t>
      </w:r>
      <w:r w:rsidRPr="000A3D9A">
        <w:rPr>
          <w:rStyle w:val="Voetnootmarkering"/>
          <w:i/>
          <w:iCs/>
          <w:szCs w:val="18"/>
          <w:lang w:val="nl-NL"/>
        </w:rPr>
        <w:footnoteReference w:id="7"/>
      </w:r>
    </w:p>
    <w:p w:rsidR="00DE11F9" w:rsidRDefault="00DE11F9" w14:paraId="399ACEC7" w14:textId="77777777">
      <w:pPr>
        <w:ind w:left="1134" w:hanging="1134"/>
        <w:rPr>
          <w:sz w:val="16"/>
          <w:szCs w:val="16"/>
          <w:lang w:val="nl-NL"/>
        </w:rPr>
      </w:pPr>
    </w:p>
    <w:tbl>
      <w:tblPr>
        <w:tblW w:w="7989"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865"/>
        <w:gridCol w:w="1531"/>
        <w:gridCol w:w="1531"/>
        <w:gridCol w:w="1531"/>
        <w:gridCol w:w="1531"/>
      </w:tblGrid>
      <w:tr w:rsidRPr="00DE11F9" w:rsidR="00DE11F9" w:rsidTr="005720C9" w14:paraId="3ED15931" w14:textId="77777777">
        <w:trPr>
          <w:trHeight w:val="290"/>
        </w:trPr>
        <w:tc>
          <w:tcPr>
            <w:tcW w:w="1865" w:type="dxa"/>
            <w:tcBorders>
              <w:top w:val="single" w:color="auto" w:sz="4" w:space="0"/>
              <w:bottom w:val="nil"/>
              <w:right w:val="single" w:color="auto" w:sz="4" w:space="0"/>
            </w:tcBorders>
            <w:shd w:val="clear" w:color="auto" w:fill="auto"/>
            <w:noWrap/>
            <w:vAlign w:val="center"/>
            <w:hideMark/>
          </w:tcPr>
          <w:p w:rsidRPr="005720C9" w:rsidR="00DE11F9" w:rsidP="005720C9" w:rsidRDefault="00DE11F9" w14:paraId="11E9B47B"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Hoogte CVO</w:t>
            </w:r>
          </w:p>
        </w:tc>
        <w:tc>
          <w:tcPr>
            <w:tcW w:w="6124" w:type="dxa"/>
            <w:gridSpan w:val="4"/>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074A0C95" w14:textId="1523DBDE">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Alleenstaanden</w:t>
            </w:r>
          </w:p>
        </w:tc>
      </w:tr>
      <w:tr w:rsidRPr="00DE11F9" w:rsidR="00DE11F9" w:rsidTr="005720C9" w14:paraId="5A0D2AF0" w14:textId="77777777">
        <w:trPr>
          <w:trHeight w:val="290"/>
        </w:trPr>
        <w:tc>
          <w:tcPr>
            <w:tcW w:w="1865" w:type="dxa"/>
            <w:tcBorders>
              <w:top w:val="nil"/>
              <w:bottom w:val="single" w:color="auto" w:sz="4" w:space="0"/>
              <w:right w:val="single" w:color="auto" w:sz="4" w:space="0"/>
            </w:tcBorders>
            <w:shd w:val="clear" w:color="auto" w:fill="auto"/>
            <w:noWrap/>
            <w:vAlign w:val="center"/>
            <w:hideMark/>
          </w:tcPr>
          <w:p w:rsidRPr="005720C9" w:rsidR="00DE11F9" w:rsidP="005720C9" w:rsidRDefault="00DE11F9" w14:paraId="005774F6" w14:textId="5BDFD3B7">
            <w:pPr>
              <w:spacing w:line="240" w:lineRule="auto"/>
              <w:jc w:val="center"/>
              <w:rPr>
                <w:rFonts w:eastAsia="Times New Roman" w:cs="Calibri"/>
                <w:b/>
                <w:bCs/>
                <w:color w:val="000000"/>
                <w:szCs w:val="18"/>
                <w:lang w:val="nl-NL" w:eastAsia="nl-NL"/>
              </w:rPr>
            </w:pP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362EB1C6"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w:t>
            </w:r>
          </w:p>
        </w:tc>
        <w:tc>
          <w:tcPr>
            <w:tcW w:w="1531" w:type="dxa"/>
            <w:tcBorders>
              <w:top w:val="single" w:color="auto" w:sz="4" w:space="0"/>
              <w:bottom w:val="single" w:color="auto" w:sz="4" w:space="0"/>
              <w:right w:val="single" w:color="auto" w:sz="4" w:space="0"/>
            </w:tcBorders>
            <w:shd w:val="clear" w:color="auto" w:fill="auto"/>
            <w:noWrap/>
            <w:vAlign w:val="center"/>
            <w:hideMark/>
          </w:tcPr>
          <w:p w:rsidRPr="005720C9" w:rsidR="00DE11F9" w:rsidP="005720C9" w:rsidRDefault="00DE11F9" w14:paraId="3866B972"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 (%)</w:t>
            </w: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57E51B56"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HEB</w:t>
            </w:r>
          </w:p>
        </w:tc>
        <w:tc>
          <w:tcPr>
            <w:tcW w:w="1531" w:type="dxa"/>
            <w:tcBorders>
              <w:top w:val="single" w:color="auto" w:sz="4" w:space="0"/>
              <w:bottom w:val="single" w:color="auto" w:sz="4" w:space="0"/>
            </w:tcBorders>
            <w:shd w:val="clear" w:color="auto" w:fill="auto"/>
            <w:noWrap/>
            <w:vAlign w:val="center"/>
            <w:hideMark/>
          </w:tcPr>
          <w:p w:rsidRPr="005720C9" w:rsidR="00DE11F9" w:rsidP="005720C9" w:rsidRDefault="00DE11F9" w14:paraId="0B5692AE"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LEB</w:t>
            </w:r>
          </w:p>
        </w:tc>
      </w:tr>
      <w:tr w:rsidRPr="00DE11F9" w:rsidR="00DE11F9" w:rsidTr="005720C9" w14:paraId="3227A2D4" w14:textId="77777777">
        <w:trPr>
          <w:trHeight w:val="290"/>
        </w:trPr>
        <w:tc>
          <w:tcPr>
            <w:tcW w:w="1865" w:type="dxa"/>
            <w:tcBorders>
              <w:top w:val="single" w:color="auto" w:sz="4" w:space="0"/>
              <w:bottom w:val="nil"/>
              <w:right w:val="single" w:color="auto" w:sz="4" w:space="0"/>
            </w:tcBorders>
            <w:shd w:val="clear" w:color="auto" w:fill="auto"/>
            <w:noWrap/>
            <w:vAlign w:val="center"/>
            <w:hideMark/>
          </w:tcPr>
          <w:p w:rsidRPr="005720C9" w:rsidR="00DE11F9" w:rsidP="005720C9" w:rsidRDefault="00DE11F9" w14:paraId="771370BD"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€ 1 - € 499</w:t>
            </w:r>
          </w:p>
        </w:tc>
        <w:tc>
          <w:tcPr>
            <w:tcW w:w="1531" w:type="dxa"/>
            <w:tcBorders>
              <w:top w:val="single" w:color="auto" w:sz="4" w:space="0"/>
              <w:left w:val="single" w:color="auto" w:sz="4" w:space="0"/>
            </w:tcBorders>
            <w:shd w:val="clear" w:color="auto" w:fill="auto"/>
            <w:noWrap/>
            <w:vAlign w:val="center"/>
            <w:hideMark/>
          </w:tcPr>
          <w:p w:rsidRPr="005720C9" w:rsidR="00DE11F9" w:rsidP="005720C9" w:rsidRDefault="00DE11F9" w14:paraId="3FD8F1DB" w14:textId="45EC430F">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5.100</w:t>
            </w:r>
          </w:p>
        </w:tc>
        <w:tc>
          <w:tcPr>
            <w:tcW w:w="1531" w:type="dxa"/>
            <w:tcBorders>
              <w:top w:val="single" w:color="auto" w:sz="4" w:space="0"/>
              <w:right w:val="single" w:color="auto" w:sz="4" w:space="0"/>
            </w:tcBorders>
            <w:shd w:val="clear" w:color="auto" w:fill="auto"/>
            <w:noWrap/>
            <w:vAlign w:val="center"/>
            <w:hideMark/>
          </w:tcPr>
          <w:p w:rsidRPr="005720C9" w:rsidR="00DE11F9" w:rsidP="005720C9" w:rsidRDefault="00DE11F9" w14:paraId="00C32751"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w:t>
            </w:r>
          </w:p>
        </w:tc>
        <w:tc>
          <w:tcPr>
            <w:tcW w:w="1531" w:type="dxa"/>
            <w:tcBorders>
              <w:top w:val="single" w:color="auto" w:sz="4" w:space="0"/>
              <w:left w:val="single" w:color="auto" w:sz="4" w:space="0"/>
            </w:tcBorders>
            <w:shd w:val="clear" w:color="auto" w:fill="auto"/>
            <w:noWrap/>
            <w:vAlign w:val="center"/>
            <w:hideMark/>
          </w:tcPr>
          <w:p w:rsidRPr="005720C9" w:rsidR="00DE11F9" w:rsidP="005720C9" w:rsidRDefault="00DE11F9" w14:paraId="59C81036"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78%</w:t>
            </w:r>
          </w:p>
        </w:tc>
        <w:tc>
          <w:tcPr>
            <w:tcW w:w="1531" w:type="dxa"/>
            <w:tcBorders>
              <w:top w:val="single" w:color="auto" w:sz="4" w:space="0"/>
            </w:tcBorders>
            <w:shd w:val="clear" w:color="auto" w:fill="auto"/>
            <w:noWrap/>
            <w:vAlign w:val="center"/>
            <w:hideMark/>
          </w:tcPr>
          <w:p w:rsidRPr="005720C9" w:rsidR="00DE11F9" w:rsidP="005720C9" w:rsidRDefault="00DE11F9" w14:paraId="6B22D3E3"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22%</w:t>
            </w:r>
          </w:p>
        </w:tc>
      </w:tr>
      <w:tr w:rsidRPr="00DE11F9" w:rsidR="00DE11F9" w:rsidTr="005720C9" w14:paraId="4DDA6CA0" w14:textId="77777777">
        <w:trPr>
          <w:trHeight w:val="290"/>
        </w:trPr>
        <w:tc>
          <w:tcPr>
            <w:tcW w:w="1865" w:type="dxa"/>
            <w:tcBorders>
              <w:top w:val="nil"/>
              <w:bottom w:val="nil"/>
              <w:right w:val="single" w:color="auto" w:sz="4" w:space="0"/>
            </w:tcBorders>
            <w:shd w:val="clear" w:color="auto" w:fill="auto"/>
            <w:noWrap/>
            <w:vAlign w:val="center"/>
            <w:hideMark/>
          </w:tcPr>
          <w:p w:rsidRPr="005720C9" w:rsidR="00DE11F9" w:rsidP="005720C9" w:rsidRDefault="00DE11F9" w14:paraId="359E6021"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€ 500 - € 999</w:t>
            </w:r>
          </w:p>
        </w:tc>
        <w:tc>
          <w:tcPr>
            <w:tcW w:w="1531" w:type="dxa"/>
            <w:tcBorders>
              <w:left w:val="single" w:color="auto" w:sz="4" w:space="0"/>
            </w:tcBorders>
            <w:shd w:val="clear" w:color="auto" w:fill="auto"/>
            <w:noWrap/>
            <w:vAlign w:val="center"/>
            <w:hideMark/>
          </w:tcPr>
          <w:p w:rsidRPr="005720C9" w:rsidR="00DE11F9" w:rsidP="005720C9" w:rsidRDefault="00DE11F9" w14:paraId="17DAA5E9" w14:textId="7DFC9BA8">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2.800</w:t>
            </w:r>
          </w:p>
        </w:tc>
        <w:tc>
          <w:tcPr>
            <w:tcW w:w="1531" w:type="dxa"/>
            <w:tcBorders>
              <w:right w:val="single" w:color="auto" w:sz="4" w:space="0"/>
            </w:tcBorders>
            <w:shd w:val="clear" w:color="auto" w:fill="auto"/>
            <w:noWrap/>
            <w:vAlign w:val="center"/>
            <w:hideMark/>
          </w:tcPr>
          <w:p w:rsidRPr="005720C9" w:rsidR="00DE11F9" w:rsidP="005720C9" w:rsidRDefault="00DE11F9" w14:paraId="3A1B9FE8"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11%</w:t>
            </w:r>
          </w:p>
        </w:tc>
        <w:tc>
          <w:tcPr>
            <w:tcW w:w="1531" w:type="dxa"/>
            <w:tcBorders>
              <w:left w:val="single" w:color="auto" w:sz="4" w:space="0"/>
            </w:tcBorders>
            <w:shd w:val="clear" w:color="auto" w:fill="auto"/>
            <w:noWrap/>
            <w:vAlign w:val="center"/>
            <w:hideMark/>
          </w:tcPr>
          <w:p w:rsidRPr="005720C9" w:rsidR="00DE11F9" w:rsidP="005720C9" w:rsidRDefault="00DE11F9" w14:paraId="50D24CF7"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80%</w:t>
            </w:r>
          </w:p>
        </w:tc>
        <w:tc>
          <w:tcPr>
            <w:tcW w:w="1531" w:type="dxa"/>
            <w:shd w:val="clear" w:color="auto" w:fill="auto"/>
            <w:noWrap/>
            <w:vAlign w:val="center"/>
            <w:hideMark/>
          </w:tcPr>
          <w:p w:rsidRPr="005720C9" w:rsidR="00DE11F9" w:rsidP="005720C9" w:rsidRDefault="00DE11F9" w14:paraId="2EDF76B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w:t>
            </w:r>
          </w:p>
        </w:tc>
      </w:tr>
      <w:tr w:rsidRPr="00DE11F9" w:rsidR="00DE11F9" w:rsidTr="005720C9" w14:paraId="2F75894E" w14:textId="77777777">
        <w:trPr>
          <w:trHeight w:val="290"/>
        </w:trPr>
        <w:tc>
          <w:tcPr>
            <w:tcW w:w="1865" w:type="dxa"/>
            <w:tcBorders>
              <w:top w:val="nil"/>
              <w:bottom w:val="nil"/>
              <w:right w:val="single" w:color="auto" w:sz="4" w:space="0"/>
            </w:tcBorders>
            <w:shd w:val="clear" w:color="auto" w:fill="auto"/>
            <w:noWrap/>
            <w:vAlign w:val="center"/>
            <w:hideMark/>
          </w:tcPr>
          <w:p w:rsidRPr="005720C9" w:rsidR="00DE11F9" w:rsidP="005720C9" w:rsidRDefault="00DE11F9" w14:paraId="4F8612A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€ 1.000 - € 1.699</w:t>
            </w:r>
          </w:p>
        </w:tc>
        <w:tc>
          <w:tcPr>
            <w:tcW w:w="1531" w:type="dxa"/>
            <w:tcBorders>
              <w:left w:val="single" w:color="auto" w:sz="4" w:space="0"/>
            </w:tcBorders>
            <w:shd w:val="clear" w:color="auto" w:fill="auto"/>
            <w:noWrap/>
            <w:vAlign w:val="center"/>
            <w:hideMark/>
          </w:tcPr>
          <w:p w:rsidRPr="005720C9" w:rsidR="00DE11F9" w:rsidP="005720C9" w:rsidRDefault="00DE11F9" w14:paraId="6586C3BF" w14:textId="2EE8B84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2.000</w:t>
            </w:r>
          </w:p>
        </w:tc>
        <w:tc>
          <w:tcPr>
            <w:tcW w:w="1531" w:type="dxa"/>
            <w:tcBorders>
              <w:right w:val="single" w:color="auto" w:sz="4" w:space="0"/>
            </w:tcBorders>
            <w:shd w:val="clear" w:color="auto" w:fill="auto"/>
            <w:noWrap/>
            <w:vAlign w:val="center"/>
            <w:hideMark/>
          </w:tcPr>
          <w:p w:rsidRPr="005720C9" w:rsidR="00DE11F9" w:rsidP="005720C9" w:rsidRDefault="00DE11F9" w14:paraId="7E1054DE"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w:t>
            </w:r>
          </w:p>
        </w:tc>
        <w:tc>
          <w:tcPr>
            <w:tcW w:w="1531" w:type="dxa"/>
            <w:tcBorders>
              <w:left w:val="single" w:color="auto" w:sz="4" w:space="0"/>
            </w:tcBorders>
            <w:shd w:val="clear" w:color="auto" w:fill="auto"/>
            <w:noWrap/>
            <w:vAlign w:val="center"/>
            <w:hideMark/>
          </w:tcPr>
          <w:p w:rsidRPr="005720C9" w:rsidR="00DE11F9" w:rsidP="005720C9" w:rsidRDefault="00DE11F9" w14:paraId="5394CAB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81%</w:t>
            </w:r>
          </w:p>
        </w:tc>
        <w:tc>
          <w:tcPr>
            <w:tcW w:w="1531" w:type="dxa"/>
            <w:shd w:val="clear" w:color="auto" w:fill="auto"/>
            <w:noWrap/>
            <w:vAlign w:val="center"/>
            <w:hideMark/>
          </w:tcPr>
          <w:p w:rsidRPr="005720C9" w:rsidR="00DE11F9" w:rsidP="005720C9" w:rsidRDefault="00DE11F9" w14:paraId="0E3201A3"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19%</w:t>
            </w:r>
          </w:p>
        </w:tc>
      </w:tr>
      <w:tr w:rsidRPr="00DE11F9" w:rsidR="00DE11F9" w:rsidTr="005720C9" w14:paraId="22F73637" w14:textId="77777777">
        <w:trPr>
          <w:trHeight w:val="290"/>
        </w:trPr>
        <w:tc>
          <w:tcPr>
            <w:tcW w:w="1865" w:type="dxa"/>
            <w:tcBorders>
              <w:top w:val="nil"/>
              <w:bottom w:val="single" w:color="auto" w:sz="4" w:space="0"/>
              <w:right w:val="single" w:color="auto" w:sz="4" w:space="0"/>
            </w:tcBorders>
            <w:shd w:val="clear" w:color="auto" w:fill="auto"/>
            <w:noWrap/>
            <w:vAlign w:val="center"/>
            <w:hideMark/>
          </w:tcPr>
          <w:p w:rsidRPr="005720C9" w:rsidR="00DE11F9" w:rsidP="005720C9" w:rsidRDefault="00DE11F9" w14:paraId="4B214CED"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€ 1.700</w:t>
            </w:r>
          </w:p>
        </w:tc>
        <w:tc>
          <w:tcPr>
            <w:tcW w:w="1531" w:type="dxa"/>
            <w:tcBorders>
              <w:left w:val="single" w:color="auto" w:sz="4" w:space="0"/>
              <w:bottom w:val="single" w:color="auto" w:sz="4" w:space="0"/>
            </w:tcBorders>
            <w:shd w:val="clear" w:color="auto" w:fill="auto"/>
            <w:noWrap/>
            <w:vAlign w:val="center"/>
            <w:hideMark/>
          </w:tcPr>
          <w:p w:rsidRPr="005720C9" w:rsidR="00DE11F9" w:rsidP="005720C9" w:rsidRDefault="00DE11F9" w14:paraId="579106E6" w14:textId="396765A6">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15.200</w:t>
            </w:r>
          </w:p>
        </w:tc>
        <w:tc>
          <w:tcPr>
            <w:tcW w:w="1531" w:type="dxa"/>
            <w:tcBorders>
              <w:bottom w:val="single" w:color="auto" w:sz="4" w:space="0"/>
              <w:right w:val="single" w:color="auto" w:sz="4" w:space="0"/>
            </w:tcBorders>
            <w:shd w:val="clear" w:color="auto" w:fill="auto"/>
            <w:noWrap/>
            <w:vAlign w:val="center"/>
            <w:hideMark/>
          </w:tcPr>
          <w:p w:rsidRPr="005720C9" w:rsidR="00DE11F9" w:rsidP="005720C9" w:rsidRDefault="00DE11F9" w14:paraId="71C2877C"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60%</w:t>
            </w:r>
          </w:p>
        </w:tc>
        <w:tc>
          <w:tcPr>
            <w:tcW w:w="1531" w:type="dxa"/>
            <w:tcBorders>
              <w:left w:val="single" w:color="auto" w:sz="4" w:space="0"/>
              <w:bottom w:val="single" w:color="auto" w:sz="4" w:space="0"/>
            </w:tcBorders>
            <w:shd w:val="clear" w:color="auto" w:fill="auto"/>
            <w:noWrap/>
            <w:vAlign w:val="center"/>
            <w:hideMark/>
          </w:tcPr>
          <w:p w:rsidRPr="005720C9" w:rsidR="00DE11F9" w:rsidP="005720C9" w:rsidRDefault="00DE11F9" w14:paraId="4ED48965"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67%</w:t>
            </w:r>
          </w:p>
        </w:tc>
        <w:tc>
          <w:tcPr>
            <w:tcW w:w="1531" w:type="dxa"/>
            <w:tcBorders>
              <w:bottom w:val="single" w:color="auto" w:sz="4" w:space="0"/>
            </w:tcBorders>
            <w:shd w:val="clear" w:color="auto" w:fill="auto"/>
            <w:noWrap/>
            <w:vAlign w:val="center"/>
            <w:hideMark/>
          </w:tcPr>
          <w:p w:rsidRPr="005720C9" w:rsidR="00DE11F9" w:rsidP="005720C9" w:rsidRDefault="00DE11F9" w14:paraId="4AA7D084"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33%</w:t>
            </w:r>
          </w:p>
        </w:tc>
      </w:tr>
      <w:tr w:rsidRPr="00DE11F9" w:rsidR="00DE11F9" w:rsidTr="005720C9" w14:paraId="56C34753" w14:textId="77777777">
        <w:trPr>
          <w:trHeight w:val="290"/>
        </w:trPr>
        <w:tc>
          <w:tcPr>
            <w:tcW w:w="1865" w:type="dxa"/>
            <w:tcBorders>
              <w:top w:val="single" w:color="auto" w:sz="4" w:space="0"/>
              <w:bottom w:val="single" w:color="auto" w:sz="4" w:space="0"/>
              <w:right w:val="single" w:color="auto" w:sz="4" w:space="0"/>
            </w:tcBorders>
            <w:shd w:val="clear" w:color="auto" w:fill="auto"/>
            <w:noWrap/>
            <w:vAlign w:val="center"/>
            <w:hideMark/>
          </w:tcPr>
          <w:p w:rsidRPr="005720C9" w:rsidR="00DE11F9" w:rsidP="005720C9" w:rsidRDefault="00DE11F9" w14:paraId="00E7A2CB"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Totaal</w:t>
            </w: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515CEBCF" w14:textId="5441DAB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25.200</w:t>
            </w:r>
          </w:p>
        </w:tc>
        <w:tc>
          <w:tcPr>
            <w:tcW w:w="1531" w:type="dxa"/>
            <w:tcBorders>
              <w:top w:val="single" w:color="auto" w:sz="4" w:space="0"/>
              <w:bottom w:val="single" w:color="auto" w:sz="4" w:space="0"/>
              <w:right w:val="single" w:color="auto" w:sz="4" w:space="0"/>
            </w:tcBorders>
            <w:shd w:val="clear" w:color="auto" w:fill="auto"/>
            <w:noWrap/>
            <w:vAlign w:val="center"/>
            <w:hideMark/>
          </w:tcPr>
          <w:p w:rsidRPr="005720C9" w:rsidR="00DE11F9" w:rsidP="005720C9" w:rsidRDefault="00DE11F9" w14:paraId="74CF4887"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4F1E50AA"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72%</w:t>
            </w:r>
          </w:p>
        </w:tc>
        <w:tc>
          <w:tcPr>
            <w:tcW w:w="1531" w:type="dxa"/>
            <w:tcBorders>
              <w:top w:val="single" w:color="auto" w:sz="4" w:space="0"/>
              <w:bottom w:val="single" w:color="auto" w:sz="4" w:space="0"/>
            </w:tcBorders>
            <w:shd w:val="clear" w:color="auto" w:fill="auto"/>
            <w:noWrap/>
            <w:vAlign w:val="center"/>
            <w:hideMark/>
          </w:tcPr>
          <w:p w:rsidRPr="005720C9" w:rsidR="00DE11F9" w:rsidP="005720C9" w:rsidRDefault="00DE11F9" w14:paraId="590959B5"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28%</w:t>
            </w:r>
          </w:p>
        </w:tc>
      </w:tr>
      <w:tr w:rsidRPr="00DE11F9" w:rsidR="00DE11F9" w:rsidTr="005720C9" w14:paraId="1522D000" w14:textId="77777777">
        <w:trPr>
          <w:trHeight w:val="290"/>
        </w:trPr>
        <w:tc>
          <w:tcPr>
            <w:tcW w:w="1865" w:type="dxa"/>
            <w:tcBorders>
              <w:top w:val="single" w:color="auto" w:sz="4" w:space="0"/>
              <w:bottom w:val="nil"/>
              <w:right w:val="single" w:color="auto" w:sz="4" w:space="0"/>
            </w:tcBorders>
            <w:shd w:val="clear" w:color="auto" w:fill="auto"/>
            <w:noWrap/>
            <w:vAlign w:val="center"/>
            <w:hideMark/>
          </w:tcPr>
          <w:p w:rsidRPr="005720C9" w:rsidR="00DE11F9" w:rsidP="005720C9" w:rsidRDefault="00DE11F9" w14:paraId="1C941B70" w14:textId="7D6F8AB8">
            <w:pPr>
              <w:spacing w:line="240" w:lineRule="auto"/>
              <w:jc w:val="center"/>
              <w:rPr>
                <w:rFonts w:ascii="Calibri" w:hAnsi="Calibri" w:eastAsia="Times New Roman" w:cs="Calibri"/>
                <w:color w:val="000000"/>
                <w:szCs w:val="18"/>
                <w:lang w:val="nl-NL" w:eastAsia="nl-NL"/>
              </w:rPr>
            </w:pPr>
          </w:p>
        </w:tc>
        <w:tc>
          <w:tcPr>
            <w:tcW w:w="6124" w:type="dxa"/>
            <w:gridSpan w:val="4"/>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3276DDAC" w14:textId="25824E48">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Meerpersoonshuishoudens</w:t>
            </w:r>
          </w:p>
        </w:tc>
      </w:tr>
      <w:tr w:rsidRPr="00DE11F9" w:rsidR="00DE11F9" w:rsidTr="005720C9" w14:paraId="38A2D573" w14:textId="77777777">
        <w:trPr>
          <w:trHeight w:val="290"/>
        </w:trPr>
        <w:tc>
          <w:tcPr>
            <w:tcW w:w="1865" w:type="dxa"/>
            <w:tcBorders>
              <w:top w:val="nil"/>
              <w:bottom w:val="single" w:color="auto" w:sz="4" w:space="0"/>
              <w:right w:val="single" w:color="auto" w:sz="4" w:space="0"/>
            </w:tcBorders>
            <w:shd w:val="clear" w:color="auto" w:fill="auto"/>
            <w:noWrap/>
            <w:vAlign w:val="center"/>
            <w:hideMark/>
          </w:tcPr>
          <w:p w:rsidRPr="005720C9" w:rsidR="00DE11F9" w:rsidP="005720C9" w:rsidRDefault="00DE11F9" w14:paraId="73925289" w14:textId="00CA3A74">
            <w:pPr>
              <w:spacing w:line="240" w:lineRule="auto"/>
              <w:jc w:val="center"/>
              <w:rPr>
                <w:rFonts w:ascii="Calibri" w:hAnsi="Calibri" w:eastAsia="Times New Roman" w:cs="Calibri"/>
                <w:color w:val="000000"/>
                <w:szCs w:val="18"/>
                <w:lang w:val="nl-NL" w:eastAsia="nl-NL"/>
              </w:rPr>
            </w:pP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4F7536FF"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w:t>
            </w:r>
          </w:p>
        </w:tc>
        <w:tc>
          <w:tcPr>
            <w:tcW w:w="1531" w:type="dxa"/>
            <w:tcBorders>
              <w:top w:val="single" w:color="auto" w:sz="4" w:space="0"/>
              <w:bottom w:val="single" w:color="auto" w:sz="4" w:space="0"/>
              <w:right w:val="single" w:color="auto" w:sz="4" w:space="0"/>
            </w:tcBorders>
            <w:shd w:val="clear" w:color="auto" w:fill="auto"/>
            <w:noWrap/>
            <w:vAlign w:val="center"/>
            <w:hideMark/>
          </w:tcPr>
          <w:p w:rsidRPr="005720C9" w:rsidR="00DE11F9" w:rsidP="005720C9" w:rsidRDefault="00DE11F9" w14:paraId="5ECBBDC2"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 (%)</w:t>
            </w: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493BB59C"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HEB</w:t>
            </w:r>
          </w:p>
        </w:tc>
        <w:tc>
          <w:tcPr>
            <w:tcW w:w="1531" w:type="dxa"/>
            <w:tcBorders>
              <w:top w:val="single" w:color="auto" w:sz="4" w:space="0"/>
              <w:bottom w:val="single" w:color="auto" w:sz="4" w:space="0"/>
            </w:tcBorders>
            <w:shd w:val="clear" w:color="auto" w:fill="auto"/>
            <w:noWrap/>
            <w:vAlign w:val="center"/>
            <w:hideMark/>
          </w:tcPr>
          <w:p w:rsidRPr="005720C9" w:rsidR="00DE11F9" w:rsidP="005720C9" w:rsidRDefault="00DE11F9" w14:paraId="12B2FE5C"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LEB</w:t>
            </w:r>
          </w:p>
        </w:tc>
      </w:tr>
      <w:tr w:rsidRPr="00DE11F9" w:rsidR="00DE11F9" w:rsidTr="005720C9" w14:paraId="623D9261" w14:textId="77777777">
        <w:trPr>
          <w:trHeight w:val="290"/>
        </w:trPr>
        <w:tc>
          <w:tcPr>
            <w:tcW w:w="1865" w:type="dxa"/>
            <w:tcBorders>
              <w:top w:val="single" w:color="auto" w:sz="4" w:space="0"/>
              <w:bottom w:val="nil"/>
              <w:right w:val="single" w:color="auto" w:sz="4" w:space="0"/>
            </w:tcBorders>
            <w:shd w:val="clear" w:color="auto" w:fill="auto"/>
            <w:noWrap/>
            <w:vAlign w:val="center"/>
            <w:hideMark/>
          </w:tcPr>
          <w:p w:rsidRPr="005720C9" w:rsidR="00DE11F9" w:rsidP="005720C9" w:rsidRDefault="00DE11F9" w14:paraId="3C3C7593"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€ 1 - € 499</w:t>
            </w:r>
          </w:p>
        </w:tc>
        <w:tc>
          <w:tcPr>
            <w:tcW w:w="1531" w:type="dxa"/>
            <w:tcBorders>
              <w:top w:val="single" w:color="auto" w:sz="4" w:space="0"/>
              <w:left w:val="single" w:color="auto" w:sz="4" w:space="0"/>
            </w:tcBorders>
            <w:shd w:val="clear" w:color="auto" w:fill="auto"/>
            <w:noWrap/>
            <w:vAlign w:val="center"/>
            <w:hideMark/>
          </w:tcPr>
          <w:p w:rsidRPr="005720C9" w:rsidR="00DE11F9" w:rsidP="005720C9" w:rsidRDefault="00DE11F9" w14:paraId="767764F0" w14:textId="1CC415D8">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1.200</w:t>
            </w:r>
          </w:p>
        </w:tc>
        <w:tc>
          <w:tcPr>
            <w:tcW w:w="1531" w:type="dxa"/>
            <w:tcBorders>
              <w:top w:val="single" w:color="auto" w:sz="4" w:space="0"/>
              <w:right w:val="single" w:color="auto" w:sz="4" w:space="0"/>
            </w:tcBorders>
            <w:shd w:val="clear" w:color="auto" w:fill="auto"/>
            <w:noWrap/>
            <w:vAlign w:val="center"/>
            <w:hideMark/>
          </w:tcPr>
          <w:p w:rsidRPr="005720C9" w:rsidR="00DE11F9" w:rsidP="005720C9" w:rsidRDefault="00DE11F9" w14:paraId="5D68318A"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14%</w:t>
            </w:r>
          </w:p>
        </w:tc>
        <w:tc>
          <w:tcPr>
            <w:tcW w:w="1531" w:type="dxa"/>
            <w:tcBorders>
              <w:top w:val="single" w:color="auto" w:sz="4" w:space="0"/>
              <w:left w:val="single" w:color="auto" w:sz="4" w:space="0"/>
            </w:tcBorders>
            <w:shd w:val="clear" w:color="auto" w:fill="auto"/>
            <w:noWrap/>
            <w:vAlign w:val="center"/>
            <w:hideMark/>
          </w:tcPr>
          <w:p w:rsidRPr="005720C9" w:rsidR="00DE11F9" w:rsidP="005720C9" w:rsidRDefault="00DE11F9" w14:paraId="014159C5"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531" w:type="dxa"/>
            <w:tcBorders>
              <w:top w:val="single" w:color="auto" w:sz="4" w:space="0"/>
            </w:tcBorders>
            <w:shd w:val="clear" w:color="auto" w:fill="auto"/>
            <w:noWrap/>
            <w:vAlign w:val="center"/>
            <w:hideMark/>
          </w:tcPr>
          <w:p w:rsidRPr="005720C9" w:rsidR="00DE11F9" w:rsidP="005720C9" w:rsidRDefault="00DE11F9" w14:paraId="431D9DDA"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DE11F9" w:rsidR="00DE11F9" w:rsidTr="005720C9" w14:paraId="65C17C82" w14:textId="77777777">
        <w:trPr>
          <w:trHeight w:val="290"/>
        </w:trPr>
        <w:tc>
          <w:tcPr>
            <w:tcW w:w="1865" w:type="dxa"/>
            <w:tcBorders>
              <w:top w:val="nil"/>
              <w:bottom w:val="nil"/>
              <w:right w:val="single" w:color="auto" w:sz="4" w:space="0"/>
            </w:tcBorders>
            <w:shd w:val="clear" w:color="auto" w:fill="auto"/>
            <w:noWrap/>
            <w:vAlign w:val="center"/>
            <w:hideMark/>
          </w:tcPr>
          <w:p w:rsidRPr="005720C9" w:rsidR="00DE11F9" w:rsidP="005720C9" w:rsidRDefault="00DE11F9" w14:paraId="6F2584E7"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€ 500 - € 999</w:t>
            </w:r>
          </w:p>
        </w:tc>
        <w:tc>
          <w:tcPr>
            <w:tcW w:w="1531" w:type="dxa"/>
            <w:tcBorders>
              <w:left w:val="single" w:color="auto" w:sz="4" w:space="0"/>
            </w:tcBorders>
            <w:shd w:val="clear" w:color="auto" w:fill="auto"/>
            <w:noWrap/>
            <w:vAlign w:val="center"/>
            <w:hideMark/>
          </w:tcPr>
          <w:p w:rsidRPr="005720C9" w:rsidR="00DE11F9" w:rsidP="005720C9" w:rsidRDefault="00DE11F9" w14:paraId="0D6880D1" w14:textId="2FE7BB73">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800</w:t>
            </w:r>
          </w:p>
        </w:tc>
        <w:tc>
          <w:tcPr>
            <w:tcW w:w="1531" w:type="dxa"/>
            <w:tcBorders>
              <w:right w:val="single" w:color="auto" w:sz="4" w:space="0"/>
            </w:tcBorders>
            <w:shd w:val="clear" w:color="auto" w:fill="auto"/>
            <w:noWrap/>
            <w:vAlign w:val="center"/>
            <w:hideMark/>
          </w:tcPr>
          <w:p w:rsidRPr="005720C9" w:rsidR="00DE11F9" w:rsidP="005720C9" w:rsidRDefault="00DE11F9" w14:paraId="7D227ECE"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9%</w:t>
            </w:r>
          </w:p>
        </w:tc>
        <w:tc>
          <w:tcPr>
            <w:tcW w:w="1531" w:type="dxa"/>
            <w:tcBorders>
              <w:left w:val="single" w:color="auto" w:sz="4" w:space="0"/>
            </w:tcBorders>
            <w:shd w:val="clear" w:color="auto" w:fill="auto"/>
            <w:noWrap/>
            <w:vAlign w:val="center"/>
            <w:hideMark/>
          </w:tcPr>
          <w:p w:rsidRPr="005720C9" w:rsidR="00DE11F9" w:rsidP="005720C9" w:rsidRDefault="00DE11F9" w14:paraId="2F679D7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531" w:type="dxa"/>
            <w:shd w:val="clear" w:color="auto" w:fill="auto"/>
            <w:noWrap/>
            <w:vAlign w:val="center"/>
            <w:hideMark/>
          </w:tcPr>
          <w:p w:rsidRPr="005720C9" w:rsidR="00DE11F9" w:rsidP="005720C9" w:rsidRDefault="00DE11F9" w14:paraId="3510EF84"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DE11F9" w:rsidR="00DE11F9" w:rsidTr="005720C9" w14:paraId="416CAFFB" w14:textId="77777777">
        <w:trPr>
          <w:trHeight w:val="290"/>
        </w:trPr>
        <w:tc>
          <w:tcPr>
            <w:tcW w:w="1865" w:type="dxa"/>
            <w:tcBorders>
              <w:top w:val="nil"/>
              <w:bottom w:val="nil"/>
              <w:right w:val="single" w:color="auto" w:sz="4" w:space="0"/>
            </w:tcBorders>
            <w:shd w:val="clear" w:color="auto" w:fill="auto"/>
            <w:noWrap/>
            <w:vAlign w:val="center"/>
            <w:hideMark/>
          </w:tcPr>
          <w:p w:rsidRPr="005720C9" w:rsidR="00DE11F9" w:rsidP="005720C9" w:rsidRDefault="00DE11F9" w14:paraId="4AD2741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€ 1.000 - € 1.699</w:t>
            </w:r>
          </w:p>
        </w:tc>
        <w:tc>
          <w:tcPr>
            <w:tcW w:w="1531" w:type="dxa"/>
            <w:tcBorders>
              <w:left w:val="single" w:color="auto" w:sz="4" w:space="0"/>
            </w:tcBorders>
            <w:shd w:val="clear" w:color="auto" w:fill="auto"/>
            <w:noWrap/>
            <w:vAlign w:val="center"/>
            <w:hideMark/>
          </w:tcPr>
          <w:p w:rsidRPr="005720C9" w:rsidR="00DE11F9" w:rsidP="005720C9" w:rsidRDefault="00DE11F9" w14:paraId="06BCBA01" w14:textId="209BD0D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700</w:t>
            </w:r>
          </w:p>
        </w:tc>
        <w:tc>
          <w:tcPr>
            <w:tcW w:w="1531" w:type="dxa"/>
            <w:tcBorders>
              <w:right w:val="single" w:color="auto" w:sz="4" w:space="0"/>
            </w:tcBorders>
            <w:shd w:val="clear" w:color="auto" w:fill="auto"/>
            <w:noWrap/>
            <w:vAlign w:val="center"/>
            <w:hideMark/>
          </w:tcPr>
          <w:p w:rsidRPr="005720C9" w:rsidR="00DE11F9" w:rsidP="005720C9" w:rsidRDefault="00DE11F9" w14:paraId="11386074"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w:t>
            </w:r>
          </w:p>
        </w:tc>
        <w:tc>
          <w:tcPr>
            <w:tcW w:w="1531" w:type="dxa"/>
            <w:tcBorders>
              <w:left w:val="single" w:color="auto" w:sz="4" w:space="0"/>
            </w:tcBorders>
            <w:shd w:val="clear" w:color="auto" w:fill="auto"/>
            <w:noWrap/>
            <w:vAlign w:val="center"/>
            <w:hideMark/>
          </w:tcPr>
          <w:p w:rsidRPr="005720C9" w:rsidR="00DE11F9" w:rsidP="005720C9" w:rsidRDefault="00DE11F9" w14:paraId="3AD8FC6F"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w:t>
            </w:r>
          </w:p>
        </w:tc>
        <w:tc>
          <w:tcPr>
            <w:tcW w:w="1531" w:type="dxa"/>
            <w:shd w:val="clear" w:color="auto" w:fill="auto"/>
            <w:noWrap/>
            <w:vAlign w:val="center"/>
            <w:hideMark/>
          </w:tcPr>
          <w:p w:rsidRPr="005720C9" w:rsidR="00DE11F9" w:rsidP="005720C9" w:rsidRDefault="00DE11F9" w14:paraId="3159144E"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99%</w:t>
            </w:r>
          </w:p>
        </w:tc>
      </w:tr>
      <w:tr w:rsidRPr="00DE11F9" w:rsidR="00DE11F9" w:rsidTr="005720C9" w14:paraId="4DE82A9F" w14:textId="77777777">
        <w:trPr>
          <w:trHeight w:val="290"/>
        </w:trPr>
        <w:tc>
          <w:tcPr>
            <w:tcW w:w="1865" w:type="dxa"/>
            <w:tcBorders>
              <w:top w:val="nil"/>
              <w:bottom w:val="nil"/>
              <w:right w:val="single" w:color="auto" w:sz="4" w:space="0"/>
            </w:tcBorders>
            <w:shd w:val="clear" w:color="auto" w:fill="auto"/>
            <w:noWrap/>
            <w:vAlign w:val="center"/>
            <w:hideMark/>
          </w:tcPr>
          <w:p w:rsidRPr="005720C9" w:rsidR="00DE11F9" w:rsidP="005720C9" w:rsidRDefault="00DE11F9" w14:paraId="01A7FA24"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€ 1.700</w:t>
            </w:r>
          </w:p>
        </w:tc>
        <w:tc>
          <w:tcPr>
            <w:tcW w:w="1531" w:type="dxa"/>
            <w:tcBorders>
              <w:left w:val="single" w:color="auto" w:sz="4" w:space="0"/>
            </w:tcBorders>
            <w:shd w:val="clear" w:color="auto" w:fill="auto"/>
            <w:noWrap/>
            <w:vAlign w:val="center"/>
            <w:hideMark/>
          </w:tcPr>
          <w:p w:rsidRPr="005720C9" w:rsidR="00DE11F9" w:rsidP="005720C9" w:rsidRDefault="00DE11F9" w14:paraId="2433F545" w14:textId="59BDB40C">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5.000</w:t>
            </w:r>
          </w:p>
        </w:tc>
        <w:tc>
          <w:tcPr>
            <w:tcW w:w="1531" w:type="dxa"/>
            <w:tcBorders>
              <w:right w:val="single" w:color="auto" w:sz="4" w:space="0"/>
            </w:tcBorders>
            <w:shd w:val="clear" w:color="auto" w:fill="auto"/>
            <w:noWrap/>
            <w:vAlign w:val="center"/>
            <w:hideMark/>
          </w:tcPr>
          <w:p w:rsidRPr="005720C9" w:rsidR="00DE11F9" w:rsidP="005720C9" w:rsidRDefault="00DE11F9" w14:paraId="785528C3"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56%</w:t>
            </w:r>
          </w:p>
        </w:tc>
        <w:tc>
          <w:tcPr>
            <w:tcW w:w="1531" w:type="dxa"/>
            <w:tcBorders>
              <w:left w:val="single" w:color="auto" w:sz="4" w:space="0"/>
            </w:tcBorders>
            <w:shd w:val="clear" w:color="auto" w:fill="auto"/>
            <w:noWrap/>
            <w:vAlign w:val="center"/>
            <w:hideMark/>
          </w:tcPr>
          <w:p w:rsidRPr="005720C9" w:rsidR="00DE11F9" w:rsidP="005720C9" w:rsidRDefault="00DE11F9" w14:paraId="7609BE3B"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531" w:type="dxa"/>
            <w:shd w:val="clear" w:color="auto" w:fill="auto"/>
            <w:noWrap/>
            <w:vAlign w:val="center"/>
            <w:hideMark/>
          </w:tcPr>
          <w:p w:rsidRPr="005720C9" w:rsidR="00DE11F9" w:rsidP="005720C9" w:rsidRDefault="00DE11F9" w14:paraId="6ED3C98D"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DE11F9" w:rsidR="00DE11F9" w:rsidTr="005720C9" w14:paraId="6E48A472" w14:textId="77777777">
        <w:trPr>
          <w:trHeight w:val="290"/>
        </w:trPr>
        <w:tc>
          <w:tcPr>
            <w:tcW w:w="1865" w:type="dxa"/>
            <w:tcBorders>
              <w:top w:val="nil"/>
              <w:bottom w:val="nil"/>
              <w:right w:val="single" w:color="auto" w:sz="4" w:space="0"/>
            </w:tcBorders>
            <w:shd w:val="clear" w:color="auto" w:fill="auto"/>
            <w:noWrap/>
            <w:vAlign w:val="center"/>
            <w:hideMark/>
          </w:tcPr>
          <w:p w:rsidRPr="005720C9" w:rsidR="00DE11F9" w:rsidP="005720C9" w:rsidRDefault="00DE11F9" w14:paraId="5EB7EE1A"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€ 1.701 - € 3.399</w:t>
            </w:r>
          </w:p>
        </w:tc>
        <w:tc>
          <w:tcPr>
            <w:tcW w:w="1531" w:type="dxa"/>
            <w:tcBorders>
              <w:left w:val="single" w:color="auto" w:sz="4" w:space="0"/>
            </w:tcBorders>
            <w:shd w:val="clear" w:color="auto" w:fill="auto"/>
            <w:noWrap/>
            <w:vAlign w:val="center"/>
            <w:hideMark/>
          </w:tcPr>
          <w:p w:rsidRPr="005720C9" w:rsidR="00DE11F9" w:rsidP="005720C9" w:rsidRDefault="00DE11F9" w14:paraId="51363B34" w14:textId="702B26CB">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200</w:t>
            </w:r>
          </w:p>
        </w:tc>
        <w:tc>
          <w:tcPr>
            <w:tcW w:w="1531" w:type="dxa"/>
            <w:tcBorders>
              <w:right w:val="single" w:color="auto" w:sz="4" w:space="0"/>
            </w:tcBorders>
            <w:shd w:val="clear" w:color="auto" w:fill="auto"/>
            <w:noWrap/>
            <w:vAlign w:val="center"/>
            <w:hideMark/>
          </w:tcPr>
          <w:p w:rsidRPr="005720C9" w:rsidR="00DE11F9" w:rsidP="005720C9" w:rsidRDefault="00DE11F9" w14:paraId="288A18FA"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3%</w:t>
            </w:r>
          </w:p>
        </w:tc>
        <w:tc>
          <w:tcPr>
            <w:tcW w:w="1531" w:type="dxa"/>
            <w:tcBorders>
              <w:left w:val="single" w:color="auto" w:sz="4" w:space="0"/>
            </w:tcBorders>
            <w:shd w:val="clear" w:color="auto" w:fill="auto"/>
            <w:noWrap/>
            <w:vAlign w:val="center"/>
            <w:hideMark/>
          </w:tcPr>
          <w:p w:rsidRPr="005720C9" w:rsidR="00DE11F9" w:rsidP="005720C9" w:rsidRDefault="00DE11F9" w14:paraId="54ECF58D"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531" w:type="dxa"/>
            <w:shd w:val="clear" w:color="auto" w:fill="auto"/>
            <w:noWrap/>
            <w:vAlign w:val="center"/>
            <w:hideMark/>
          </w:tcPr>
          <w:p w:rsidRPr="005720C9" w:rsidR="00DE11F9" w:rsidP="005720C9" w:rsidRDefault="00DE11F9" w14:paraId="21950E0C"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DE11F9" w:rsidR="00DE11F9" w:rsidTr="005720C9" w14:paraId="03D779BB" w14:textId="77777777">
        <w:trPr>
          <w:trHeight w:val="290"/>
        </w:trPr>
        <w:tc>
          <w:tcPr>
            <w:tcW w:w="1865" w:type="dxa"/>
            <w:tcBorders>
              <w:top w:val="nil"/>
              <w:bottom w:val="single" w:color="auto" w:sz="4" w:space="0"/>
              <w:right w:val="single" w:color="auto" w:sz="4" w:space="0"/>
            </w:tcBorders>
            <w:shd w:val="clear" w:color="auto" w:fill="auto"/>
            <w:noWrap/>
            <w:vAlign w:val="center"/>
            <w:hideMark/>
          </w:tcPr>
          <w:p w:rsidRPr="005720C9" w:rsidR="00DE11F9" w:rsidP="005720C9" w:rsidRDefault="00DE11F9" w14:paraId="73D98B31"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€ 3.400</w:t>
            </w:r>
          </w:p>
        </w:tc>
        <w:tc>
          <w:tcPr>
            <w:tcW w:w="1531" w:type="dxa"/>
            <w:tcBorders>
              <w:left w:val="single" w:color="auto" w:sz="4" w:space="0"/>
              <w:bottom w:val="single" w:color="auto" w:sz="4" w:space="0"/>
            </w:tcBorders>
            <w:shd w:val="clear" w:color="auto" w:fill="auto"/>
            <w:noWrap/>
            <w:vAlign w:val="center"/>
            <w:hideMark/>
          </w:tcPr>
          <w:p w:rsidRPr="005720C9" w:rsidR="00DE11F9" w:rsidP="005720C9" w:rsidRDefault="00DE11F9" w14:paraId="7BBDD8A6" w14:textId="3282F42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1.100</w:t>
            </w:r>
          </w:p>
        </w:tc>
        <w:tc>
          <w:tcPr>
            <w:tcW w:w="1531" w:type="dxa"/>
            <w:tcBorders>
              <w:bottom w:val="single" w:color="auto" w:sz="4" w:space="0"/>
              <w:right w:val="single" w:color="auto" w:sz="4" w:space="0"/>
            </w:tcBorders>
            <w:shd w:val="clear" w:color="auto" w:fill="auto"/>
            <w:noWrap/>
            <w:vAlign w:val="center"/>
            <w:hideMark/>
          </w:tcPr>
          <w:p w:rsidRPr="005720C9" w:rsidR="00DE11F9" w:rsidP="005720C9" w:rsidRDefault="00DE11F9" w14:paraId="3D2D5044"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12%</w:t>
            </w:r>
          </w:p>
        </w:tc>
        <w:tc>
          <w:tcPr>
            <w:tcW w:w="1531" w:type="dxa"/>
            <w:tcBorders>
              <w:left w:val="single" w:color="auto" w:sz="4" w:space="0"/>
              <w:bottom w:val="single" w:color="auto" w:sz="4" w:space="0"/>
            </w:tcBorders>
            <w:shd w:val="clear" w:color="auto" w:fill="auto"/>
            <w:noWrap/>
            <w:vAlign w:val="center"/>
            <w:hideMark/>
          </w:tcPr>
          <w:p w:rsidRPr="005720C9" w:rsidR="00DE11F9" w:rsidP="005720C9" w:rsidRDefault="00DE11F9" w14:paraId="0E6D1334"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531" w:type="dxa"/>
            <w:tcBorders>
              <w:bottom w:val="single" w:color="auto" w:sz="4" w:space="0"/>
            </w:tcBorders>
            <w:shd w:val="clear" w:color="auto" w:fill="auto"/>
            <w:noWrap/>
            <w:vAlign w:val="center"/>
            <w:hideMark/>
          </w:tcPr>
          <w:p w:rsidRPr="005720C9" w:rsidR="00DE11F9" w:rsidP="005720C9" w:rsidRDefault="00DE11F9" w14:paraId="098664D8"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DE11F9" w:rsidR="00DE11F9" w:rsidTr="005720C9" w14:paraId="4E1D15DB" w14:textId="77777777">
        <w:trPr>
          <w:trHeight w:val="290"/>
        </w:trPr>
        <w:tc>
          <w:tcPr>
            <w:tcW w:w="1865" w:type="dxa"/>
            <w:tcBorders>
              <w:top w:val="single" w:color="auto" w:sz="4" w:space="0"/>
              <w:bottom w:val="single" w:color="auto" w:sz="4" w:space="0"/>
              <w:right w:val="single" w:color="auto" w:sz="4" w:space="0"/>
            </w:tcBorders>
            <w:shd w:val="clear" w:color="auto" w:fill="auto"/>
            <w:noWrap/>
            <w:vAlign w:val="center"/>
            <w:hideMark/>
          </w:tcPr>
          <w:p w:rsidRPr="005720C9" w:rsidR="00DE11F9" w:rsidP="005720C9" w:rsidRDefault="00DE11F9" w14:paraId="7C65A471"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Totaal</w:t>
            </w: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62627504" w14:textId="76481A5E">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9.000</w:t>
            </w:r>
          </w:p>
        </w:tc>
        <w:tc>
          <w:tcPr>
            <w:tcW w:w="1531" w:type="dxa"/>
            <w:tcBorders>
              <w:top w:val="single" w:color="auto" w:sz="4" w:space="0"/>
              <w:bottom w:val="single" w:color="auto" w:sz="4" w:space="0"/>
              <w:right w:val="single" w:color="auto" w:sz="4" w:space="0"/>
            </w:tcBorders>
            <w:shd w:val="clear" w:color="auto" w:fill="auto"/>
            <w:noWrap/>
            <w:vAlign w:val="center"/>
            <w:hideMark/>
          </w:tcPr>
          <w:p w:rsidRPr="005720C9" w:rsidR="00DE11F9" w:rsidP="005720C9" w:rsidRDefault="00DE11F9" w14:paraId="762FFEEE"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c>
          <w:tcPr>
            <w:tcW w:w="1531" w:type="dxa"/>
            <w:tcBorders>
              <w:top w:val="single" w:color="auto" w:sz="4" w:space="0"/>
              <w:left w:val="single" w:color="auto" w:sz="4" w:space="0"/>
              <w:bottom w:val="single" w:color="auto" w:sz="4" w:space="0"/>
            </w:tcBorders>
            <w:shd w:val="clear" w:color="auto" w:fill="auto"/>
            <w:noWrap/>
            <w:vAlign w:val="center"/>
            <w:hideMark/>
          </w:tcPr>
          <w:p w:rsidRPr="005720C9" w:rsidR="00DE11F9" w:rsidP="005720C9" w:rsidRDefault="00DE11F9" w14:paraId="2A53E08E"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531" w:type="dxa"/>
            <w:tcBorders>
              <w:top w:val="single" w:color="auto" w:sz="4" w:space="0"/>
              <w:bottom w:val="single" w:color="auto" w:sz="4" w:space="0"/>
            </w:tcBorders>
            <w:shd w:val="clear" w:color="auto" w:fill="auto"/>
            <w:noWrap/>
            <w:vAlign w:val="center"/>
            <w:hideMark/>
          </w:tcPr>
          <w:p w:rsidRPr="005720C9" w:rsidR="00DE11F9" w:rsidP="005720C9" w:rsidRDefault="00DE11F9" w14:paraId="6EDA773B"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bl>
    <w:p w:rsidR="00834C64" w:rsidP="00D64065" w:rsidRDefault="00834C64" w14:paraId="04B19F01" w14:textId="77777777">
      <w:pPr>
        <w:ind w:left="1134" w:hanging="1134"/>
        <w:rPr>
          <w:sz w:val="16"/>
          <w:szCs w:val="16"/>
          <w:lang w:val="nl-NL"/>
        </w:rPr>
      </w:pPr>
    </w:p>
    <w:p w:rsidR="00D553A2" w:rsidRDefault="00D553A2" w14:paraId="0B659B15" w14:textId="77777777">
      <w:pPr>
        <w:rPr>
          <w:i/>
          <w:iCs/>
          <w:szCs w:val="18"/>
          <w:lang w:val="nl-NL"/>
        </w:rPr>
      </w:pPr>
      <w:r>
        <w:rPr>
          <w:i/>
          <w:iCs/>
          <w:szCs w:val="18"/>
          <w:lang w:val="nl-NL"/>
        </w:rPr>
        <w:br w:type="page"/>
      </w:r>
    </w:p>
    <w:p w:rsidRPr="00805158" w:rsidR="00E30992" w:rsidP="00EB0D79" w:rsidRDefault="00944A1E" w14:paraId="5CCB16CA" w14:textId="76E35CA2">
      <w:pPr>
        <w:rPr>
          <w:i/>
          <w:iCs/>
          <w:szCs w:val="18"/>
          <w:lang w:val="nl-NL"/>
        </w:rPr>
      </w:pPr>
      <w:r>
        <w:rPr>
          <w:i/>
          <w:iCs/>
          <w:szCs w:val="18"/>
          <w:lang w:val="nl-NL"/>
        </w:rPr>
        <w:lastRenderedPageBreak/>
        <w:t>Afschaffing van de EVV</w:t>
      </w:r>
    </w:p>
    <w:p w:rsidR="00E30992" w:rsidP="00EB0D79" w:rsidRDefault="00E30992" w14:paraId="3A6EC0EA" w14:textId="46DCB375">
      <w:pPr>
        <w:rPr>
          <w:szCs w:val="18"/>
          <w:lang w:val="nl-NL"/>
        </w:rPr>
      </w:pPr>
    </w:p>
    <w:p w:rsidR="00266945" w:rsidP="00EB0D79" w:rsidRDefault="00EB0D79" w14:paraId="7385B317" w14:textId="15148159">
      <w:pPr>
        <w:rPr>
          <w:szCs w:val="18"/>
          <w:lang w:val="nl-NL"/>
        </w:rPr>
      </w:pPr>
      <w:r w:rsidRPr="00766911">
        <w:rPr>
          <w:szCs w:val="18"/>
          <w:lang w:val="nl-NL"/>
        </w:rPr>
        <w:t xml:space="preserve">Door de afschaffing van de EVV </w:t>
      </w:r>
      <w:r w:rsidR="00C6166A">
        <w:rPr>
          <w:szCs w:val="18"/>
          <w:lang w:val="nl-NL"/>
        </w:rPr>
        <w:t xml:space="preserve">zijn </w:t>
      </w:r>
      <w:r w:rsidRPr="00766911">
        <w:rPr>
          <w:szCs w:val="18"/>
          <w:lang w:val="nl-NL"/>
        </w:rPr>
        <w:t xml:space="preserve">de eigen bijdragen voor </w:t>
      </w:r>
      <w:r w:rsidR="00C6166A">
        <w:rPr>
          <w:szCs w:val="18"/>
          <w:lang w:val="nl-NL"/>
        </w:rPr>
        <w:t xml:space="preserve">een deel van de </w:t>
      </w:r>
      <w:r w:rsidRPr="00766911">
        <w:rPr>
          <w:szCs w:val="18"/>
          <w:lang w:val="nl-NL"/>
        </w:rPr>
        <w:t xml:space="preserve">niet-pensioengerechtigde cliënten voor zorg op grond van de Wlz en beschermd wonen en opvang op grond van de Wmo 2015 </w:t>
      </w:r>
      <w:r w:rsidR="00C6166A">
        <w:rPr>
          <w:szCs w:val="18"/>
          <w:lang w:val="nl-NL"/>
        </w:rPr>
        <w:t>gestegen</w:t>
      </w:r>
      <w:r w:rsidRPr="00766911">
        <w:rPr>
          <w:szCs w:val="18"/>
          <w:lang w:val="nl-NL"/>
        </w:rPr>
        <w:t xml:space="preserve">. Óf er sprake </w:t>
      </w:r>
      <w:r w:rsidR="005A4D5C">
        <w:rPr>
          <w:szCs w:val="18"/>
          <w:lang w:val="nl-NL"/>
        </w:rPr>
        <w:t>is</w:t>
      </w:r>
      <w:r w:rsidRPr="00766911" w:rsidR="005A4D5C">
        <w:rPr>
          <w:szCs w:val="18"/>
          <w:lang w:val="nl-NL"/>
        </w:rPr>
        <w:t xml:space="preserve"> </w:t>
      </w:r>
      <w:r w:rsidRPr="00766911">
        <w:rPr>
          <w:szCs w:val="18"/>
          <w:lang w:val="nl-NL"/>
        </w:rPr>
        <w:t>van een toename van de eigen bijdrage</w:t>
      </w:r>
      <w:r w:rsidR="0090196D">
        <w:rPr>
          <w:szCs w:val="18"/>
          <w:lang w:val="nl-NL"/>
        </w:rPr>
        <w:t xml:space="preserve"> en hoe hoog deze stijging </w:t>
      </w:r>
      <w:r w:rsidR="005A4D5C">
        <w:rPr>
          <w:szCs w:val="18"/>
          <w:lang w:val="nl-NL"/>
        </w:rPr>
        <w:t>is</w:t>
      </w:r>
      <w:r w:rsidR="0090196D">
        <w:rPr>
          <w:szCs w:val="18"/>
          <w:lang w:val="nl-NL"/>
        </w:rPr>
        <w:t>,</w:t>
      </w:r>
      <w:r w:rsidRPr="00766911">
        <w:rPr>
          <w:szCs w:val="18"/>
          <w:lang w:val="nl-NL"/>
        </w:rPr>
        <w:t xml:space="preserve"> </w:t>
      </w:r>
      <w:r w:rsidR="005A4D5C">
        <w:rPr>
          <w:szCs w:val="18"/>
          <w:lang w:val="nl-NL"/>
        </w:rPr>
        <w:t xml:space="preserve">hangt </w:t>
      </w:r>
      <w:r w:rsidR="00C6166A">
        <w:rPr>
          <w:szCs w:val="18"/>
          <w:lang w:val="nl-NL"/>
        </w:rPr>
        <w:t xml:space="preserve">af </w:t>
      </w:r>
      <w:r w:rsidRPr="00766911">
        <w:rPr>
          <w:szCs w:val="18"/>
          <w:lang w:val="nl-NL"/>
        </w:rPr>
        <w:t>van verschillende factoren</w:t>
      </w:r>
      <w:r w:rsidR="00053154">
        <w:rPr>
          <w:szCs w:val="18"/>
          <w:lang w:val="nl-NL"/>
        </w:rPr>
        <w:t>. Factoren die een rol spelen zijn of er</w:t>
      </w:r>
      <w:r w:rsidR="005A4D5C">
        <w:rPr>
          <w:szCs w:val="18"/>
          <w:lang w:val="nl-NL"/>
        </w:rPr>
        <w:t xml:space="preserve"> </w:t>
      </w:r>
      <w:r w:rsidRPr="00766911">
        <w:rPr>
          <w:szCs w:val="18"/>
          <w:lang w:val="nl-NL"/>
        </w:rPr>
        <w:t xml:space="preserve">een </w:t>
      </w:r>
      <w:r w:rsidR="005A4D5C">
        <w:rPr>
          <w:szCs w:val="18"/>
          <w:lang w:val="nl-NL"/>
        </w:rPr>
        <w:t xml:space="preserve">eventuele </w:t>
      </w:r>
      <w:r w:rsidRPr="00766911">
        <w:rPr>
          <w:szCs w:val="18"/>
          <w:lang w:val="nl-NL"/>
        </w:rPr>
        <w:t xml:space="preserve">partner (en </w:t>
      </w:r>
      <w:r w:rsidR="005A4D5C">
        <w:rPr>
          <w:szCs w:val="18"/>
          <w:lang w:val="nl-NL"/>
        </w:rPr>
        <w:t>diens</w:t>
      </w:r>
      <w:r w:rsidRPr="00766911" w:rsidR="005A4D5C">
        <w:rPr>
          <w:szCs w:val="18"/>
          <w:lang w:val="nl-NL"/>
        </w:rPr>
        <w:t xml:space="preserve"> </w:t>
      </w:r>
      <w:r w:rsidRPr="00766911">
        <w:rPr>
          <w:szCs w:val="18"/>
          <w:lang w:val="nl-NL"/>
        </w:rPr>
        <w:t>leeftijd en zorggebruik)</w:t>
      </w:r>
      <w:r w:rsidR="00053154">
        <w:rPr>
          <w:szCs w:val="18"/>
          <w:lang w:val="nl-NL"/>
        </w:rPr>
        <w:t xml:space="preserve"> is</w:t>
      </w:r>
      <w:r w:rsidRPr="00766911">
        <w:rPr>
          <w:szCs w:val="18"/>
          <w:lang w:val="nl-NL"/>
        </w:rPr>
        <w:t xml:space="preserve">, de hoogte van het </w:t>
      </w:r>
      <w:r w:rsidR="0090196D">
        <w:rPr>
          <w:szCs w:val="18"/>
          <w:lang w:val="nl-NL"/>
        </w:rPr>
        <w:t xml:space="preserve">verzamelinkomen, de hoogte van het </w:t>
      </w:r>
      <w:r w:rsidRPr="00766911">
        <w:rPr>
          <w:szCs w:val="18"/>
          <w:lang w:val="nl-NL"/>
        </w:rPr>
        <w:t>vermogen (en eventueel de verdeling ervan over de partners) en het type eigen bijdrage</w:t>
      </w:r>
      <w:r w:rsidR="00724283">
        <w:rPr>
          <w:szCs w:val="18"/>
          <w:lang w:val="nl-NL"/>
        </w:rPr>
        <w:t xml:space="preserve"> (</w:t>
      </w:r>
      <w:r w:rsidR="0090196D">
        <w:rPr>
          <w:szCs w:val="18"/>
          <w:lang w:val="nl-NL"/>
        </w:rPr>
        <w:t>HEB of LEB</w:t>
      </w:r>
      <w:r w:rsidR="00724283">
        <w:rPr>
          <w:szCs w:val="18"/>
          <w:lang w:val="nl-NL"/>
        </w:rPr>
        <w:t>)</w:t>
      </w:r>
      <w:r w:rsidRPr="00766911">
        <w:rPr>
          <w:szCs w:val="18"/>
          <w:lang w:val="nl-NL"/>
        </w:rPr>
        <w:t xml:space="preserve">. </w:t>
      </w:r>
    </w:p>
    <w:p w:rsidR="00266945" w:rsidP="00EB0D79" w:rsidRDefault="00266945" w14:paraId="32A8A2BD" w14:textId="3C1494C8">
      <w:pPr>
        <w:rPr>
          <w:szCs w:val="18"/>
          <w:lang w:val="nl-NL"/>
        </w:rPr>
      </w:pPr>
    </w:p>
    <w:p w:rsidR="00B76BCF" w:rsidP="00EB0D79" w:rsidRDefault="00B42BA2" w14:paraId="64E4105B" w14:textId="21293240">
      <w:pPr>
        <w:rPr>
          <w:szCs w:val="18"/>
          <w:lang w:val="nl-NL"/>
        </w:rPr>
      </w:pPr>
      <w:r>
        <w:rPr>
          <w:szCs w:val="18"/>
          <w:lang w:val="nl-NL"/>
        </w:rPr>
        <w:t>Figuur 2 en t</w:t>
      </w:r>
      <w:r w:rsidRPr="00766911" w:rsidR="00EB0D79">
        <w:rPr>
          <w:szCs w:val="18"/>
          <w:lang w:val="nl-NL"/>
        </w:rPr>
        <w:t xml:space="preserve">abel </w:t>
      </w:r>
      <w:r w:rsidR="0099649A">
        <w:rPr>
          <w:szCs w:val="18"/>
          <w:lang w:val="nl-NL"/>
        </w:rPr>
        <w:t>3</w:t>
      </w:r>
      <w:r w:rsidRPr="00766911" w:rsidR="00EB0D79">
        <w:rPr>
          <w:szCs w:val="18"/>
          <w:lang w:val="nl-NL"/>
        </w:rPr>
        <w:t xml:space="preserve"> to</w:t>
      </w:r>
      <w:r>
        <w:rPr>
          <w:szCs w:val="18"/>
          <w:lang w:val="nl-NL"/>
        </w:rPr>
        <w:t>nen</w:t>
      </w:r>
      <w:r w:rsidRPr="00766911" w:rsidR="00EB0D79">
        <w:rPr>
          <w:szCs w:val="18"/>
          <w:lang w:val="nl-NL"/>
        </w:rPr>
        <w:t xml:space="preserve"> het effect van de afschaffing van de EVV op de hoogte van de eigen bijdrage voor zorg op grond van de Wlz en beschermd wonen op grond van de Wmo 2015 vanaf 2026 voor een aantal combinaties van huishoudtype (alleenstaande</w:t>
      </w:r>
      <w:r w:rsidR="00B76BCF">
        <w:rPr>
          <w:szCs w:val="18"/>
          <w:lang w:val="nl-NL"/>
        </w:rPr>
        <w:t xml:space="preserve"> </w:t>
      </w:r>
      <w:r w:rsidRPr="00766911" w:rsidR="00EB0D79">
        <w:rPr>
          <w:szCs w:val="18"/>
          <w:lang w:val="nl-NL"/>
        </w:rPr>
        <w:t>of meerpersoonshuishoudens), type eigen bijdrage (</w:t>
      </w:r>
      <w:r w:rsidR="00B76BCF">
        <w:rPr>
          <w:szCs w:val="18"/>
          <w:lang w:val="nl-NL"/>
        </w:rPr>
        <w:t>HEB of LEB</w:t>
      </w:r>
      <w:r w:rsidRPr="00766911" w:rsidR="00EB0D79">
        <w:rPr>
          <w:szCs w:val="18"/>
          <w:lang w:val="nl-NL"/>
        </w:rPr>
        <w:t xml:space="preserve">) en vermogen. </w:t>
      </w:r>
    </w:p>
    <w:p w:rsidR="00B76BCF" w:rsidP="00EB0D79" w:rsidRDefault="00B76BCF" w14:paraId="6622DB55" w14:textId="1B8B3252">
      <w:pPr>
        <w:rPr>
          <w:szCs w:val="18"/>
          <w:lang w:val="nl-NL"/>
        </w:rPr>
      </w:pPr>
    </w:p>
    <w:p w:rsidR="00C6166A" w:rsidP="00C6166A" w:rsidRDefault="002874A3" w14:paraId="6CA559B5" w14:textId="33D0F032">
      <w:pPr>
        <w:rPr>
          <w:i/>
          <w:iCs/>
          <w:lang w:val="nl-NL"/>
        </w:rPr>
      </w:pPr>
      <w:r>
        <w:rPr>
          <w:noProof/>
        </w:rPr>
        <w:drawing>
          <wp:anchor distT="0" distB="0" distL="114300" distR="114300" simplePos="0" relativeHeight="251670528" behindDoc="0" locked="0" layoutInCell="1" allowOverlap="1" wp14:editId="74227E09" wp14:anchorId="719B769E">
            <wp:simplePos x="0" y="0"/>
            <wp:positionH relativeFrom="column">
              <wp:posOffset>0</wp:posOffset>
            </wp:positionH>
            <wp:positionV relativeFrom="paragraph">
              <wp:posOffset>152400</wp:posOffset>
            </wp:positionV>
            <wp:extent cx="5579745" cy="3599815"/>
            <wp:effectExtent l="0" t="0" r="1905" b="635"/>
            <wp:wrapSquare wrapText="bothSides"/>
            <wp:docPr id="1926863431" name="Grafiek 1">
              <a:extLst xmlns:a="http://schemas.openxmlformats.org/drawingml/2006/main">
                <a:ext uri="{FF2B5EF4-FFF2-40B4-BE49-F238E27FC236}">
                  <a16:creationId xmlns:a16="http://schemas.microsoft.com/office/drawing/2014/main" id="{1918F681-A9CF-429D-804A-6EBAC59A00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275BE4" w:rsidR="00C6166A">
        <w:rPr>
          <w:i/>
          <w:iCs/>
          <w:lang w:val="nl-NL"/>
        </w:rPr>
        <w:t xml:space="preserve">Figuur </w:t>
      </w:r>
      <w:r w:rsidR="00C6166A">
        <w:rPr>
          <w:i/>
          <w:iCs/>
          <w:lang w:val="nl-NL"/>
        </w:rPr>
        <w:t>2</w:t>
      </w:r>
      <w:r w:rsidRPr="00275BE4" w:rsidR="00C6166A">
        <w:rPr>
          <w:i/>
          <w:iCs/>
          <w:lang w:val="nl-NL"/>
        </w:rPr>
        <w:t xml:space="preserve">: </w:t>
      </w:r>
      <w:r w:rsidR="00C6166A">
        <w:rPr>
          <w:i/>
          <w:iCs/>
          <w:lang w:val="nl-NL"/>
        </w:rPr>
        <w:t xml:space="preserve">Totale </w:t>
      </w:r>
      <w:r w:rsidRPr="00275BE4" w:rsidR="00C6166A">
        <w:rPr>
          <w:i/>
          <w:iCs/>
          <w:lang w:val="nl-NL"/>
        </w:rPr>
        <w:t xml:space="preserve">toename eigen bijdrage </w:t>
      </w:r>
      <w:r w:rsidR="0099649A">
        <w:rPr>
          <w:i/>
          <w:iCs/>
          <w:lang w:val="nl-NL"/>
        </w:rPr>
        <w:t>per jaar in</w:t>
      </w:r>
      <w:r w:rsidR="00C6166A">
        <w:rPr>
          <w:i/>
          <w:iCs/>
          <w:lang w:val="nl-NL"/>
        </w:rPr>
        <w:t xml:space="preserve"> 2026</w:t>
      </w:r>
      <w:r w:rsidRPr="00275BE4" w:rsidR="00C6166A">
        <w:rPr>
          <w:i/>
          <w:iCs/>
          <w:lang w:val="nl-NL"/>
        </w:rPr>
        <w:t xml:space="preserve"> </w:t>
      </w:r>
      <w:r w:rsidR="0099649A">
        <w:rPr>
          <w:i/>
          <w:iCs/>
          <w:lang w:val="nl-NL"/>
        </w:rPr>
        <w:t xml:space="preserve">na </w:t>
      </w:r>
      <w:r w:rsidRPr="00275BE4" w:rsidR="00C6166A">
        <w:rPr>
          <w:i/>
          <w:iCs/>
          <w:lang w:val="nl-NL"/>
        </w:rPr>
        <w:t>af</w:t>
      </w:r>
      <w:r w:rsidR="00C6166A">
        <w:rPr>
          <w:i/>
          <w:iCs/>
          <w:lang w:val="nl-NL"/>
        </w:rPr>
        <w:t>schaffing EVV</w:t>
      </w:r>
    </w:p>
    <w:p w:rsidRPr="00275BE4" w:rsidR="00C6166A" w:rsidP="00C6166A" w:rsidRDefault="00C6166A" w14:paraId="22B70C84" w14:textId="4FE99920">
      <w:pPr>
        <w:ind w:left="1134" w:hanging="1134"/>
        <w:rPr>
          <w:sz w:val="16"/>
          <w:szCs w:val="16"/>
          <w:lang w:val="nl-NL"/>
        </w:rPr>
      </w:pPr>
      <w:r w:rsidRPr="00CA3071">
        <w:rPr>
          <w:sz w:val="16"/>
          <w:szCs w:val="16"/>
          <w:lang w:val="nl-NL"/>
        </w:rPr>
        <w:t>Afkortingen:</w:t>
      </w:r>
      <w:r>
        <w:rPr>
          <w:sz w:val="16"/>
          <w:szCs w:val="16"/>
          <w:lang w:val="nl-NL"/>
        </w:rPr>
        <w:tab/>
        <w:t xml:space="preserve">EB = eigen bijdrage, </w:t>
      </w:r>
      <w:r w:rsidRPr="00CA3071">
        <w:rPr>
          <w:sz w:val="16"/>
          <w:szCs w:val="16"/>
          <w:lang w:val="nl-NL"/>
        </w:rPr>
        <w:t>HEB = hoge eigen bijdrage, LEB = lage eigen bijdrage</w:t>
      </w:r>
      <w:r>
        <w:rPr>
          <w:noProof/>
          <w:sz w:val="16"/>
          <w:szCs w:val="16"/>
          <w:lang w:val="nl-NL"/>
        </w:rPr>
        <w:t xml:space="preserve"> </w:t>
      </w:r>
    </w:p>
    <w:p w:rsidRPr="00766911" w:rsidR="00C6166A" w:rsidP="00C6166A" w:rsidRDefault="00C6166A" w14:paraId="6367FB3E" w14:textId="196089AE">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Bij meerpersoonshuishoudens is uitgegaan van een 50/50-verdeling van het vermogen over de partners. In de praktijk w</w:t>
      </w:r>
      <w:r>
        <w:rPr>
          <w:sz w:val="16"/>
          <w:szCs w:val="16"/>
          <w:lang w:val="nl-NL"/>
        </w:rPr>
        <w:t>erd</w:t>
      </w:r>
      <w:r w:rsidRPr="00766911">
        <w:rPr>
          <w:sz w:val="16"/>
          <w:szCs w:val="16"/>
          <w:lang w:val="nl-NL"/>
        </w:rPr>
        <w:t xml:space="preserve"> echter uitgegaan van de verdeling die in de fiscaliteit </w:t>
      </w:r>
      <w:r>
        <w:rPr>
          <w:sz w:val="16"/>
          <w:szCs w:val="16"/>
          <w:lang w:val="nl-NL"/>
        </w:rPr>
        <w:t>was</w:t>
      </w:r>
      <w:r w:rsidRPr="00766911">
        <w:rPr>
          <w:sz w:val="16"/>
          <w:szCs w:val="16"/>
          <w:lang w:val="nl-NL"/>
        </w:rPr>
        <w:t xml:space="preserve"> gekozen. Een optimale verdeling in de fiscaliteit </w:t>
      </w:r>
      <w:r>
        <w:rPr>
          <w:sz w:val="16"/>
          <w:szCs w:val="16"/>
          <w:lang w:val="nl-NL"/>
        </w:rPr>
        <w:t>was</w:t>
      </w:r>
      <w:r w:rsidRPr="00766911">
        <w:rPr>
          <w:sz w:val="16"/>
          <w:szCs w:val="16"/>
          <w:lang w:val="nl-NL"/>
        </w:rPr>
        <w:t xml:space="preserve"> niet per definitie ook de optimale verdeling bij de CVO. De bedragen in de </w:t>
      </w:r>
      <w:r w:rsidR="0099649A">
        <w:rPr>
          <w:sz w:val="16"/>
          <w:szCs w:val="16"/>
          <w:lang w:val="nl-NL"/>
        </w:rPr>
        <w:t>figuur</w:t>
      </w:r>
      <w:r w:rsidRPr="00766911" w:rsidR="0099649A">
        <w:rPr>
          <w:sz w:val="16"/>
          <w:szCs w:val="16"/>
          <w:lang w:val="nl-NL"/>
        </w:rPr>
        <w:t xml:space="preserve"> </w:t>
      </w:r>
      <w:r w:rsidRPr="00766911">
        <w:rPr>
          <w:sz w:val="16"/>
          <w:szCs w:val="16"/>
          <w:lang w:val="nl-NL"/>
        </w:rPr>
        <w:t>geven voor de meerpersoonshuishoudens dan ook de maximale effecten weer.</w:t>
      </w:r>
      <w:r w:rsidRPr="00766911">
        <w:rPr>
          <w:rStyle w:val="Verwijzingopmerking"/>
          <w:lang w:val="nl-NL"/>
        </w:rPr>
        <w:t xml:space="preserve"> </w:t>
      </w:r>
    </w:p>
    <w:p w:rsidRPr="00766911" w:rsidR="00C6166A" w:rsidP="00C6166A" w:rsidRDefault="00C6166A" w14:paraId="271E6AD1" w14:textId="77777777">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De HEB bij meerpersoonshuishoudens komt alleen voor indien beide partners zijn opgenomen in een zorginstelling.</w:t>
      </w:r>
    </w:p>
    <w:p w:rsidRPr="00766911" w:rsidR="00C6166A" w:rsidP="00C6166A" w:rsidRDefault="00C6166A" w14:paraId="54F49FFA" w14:textId="77777777">
      <w:pPr>
        <w:rPr>
          <w:szCs w:val="18"/>
          <w:lang w:val="nl-NL"/>
        </w:rPr>
      </w:pPr>
    </w:p>
    <w:p w:rsidR="00D553A2" w:rsidRDefault="00D553A2" w14:paraId="634FFBB9" w14:textId="77777777">
      <w:pPr>
        <w:rPr>
          <w:i/>
          <w:iCs/>
          <w:szCs w:val="18"/>
          <w:lang w:val="nl-NL"/>
        </w:rPr>
      </w:pPr>
      <w:r>
        <w:rPr>
          <w:i/>
          <w:iCs/>
          <w:szCs w:val="18"/>
          <w:lang w:val="nl-NL"/>
        </w:rPr>
        <w:br w:type="page"/>
      </w:r>
    </w:p>
    <w:p w:rsidRPr="00766911" w:rsidR="00C6166A" w:rsidP="00C6166A" w:rsidRDefault="00C6166A" w14:paraId="47AA21AC" w14:textId="53FB1B37">
      <w:pPr>
        <w:rPr>
          <w:i/>
          <w:iCs/>
          <w:szCs w:val="18"/>
          <w:lang w:val="nl-NL"/>
        </w:rPr>
      </w:pPr>
      <w:r w:rsidRPr="00766911">
        <w:rPr>
          <w:i/>
          <w:iCs/>
          <w:szCs w:val="18"/>
          <w:lang w:val="nl-NL"/>
        </w:rPr>
        <w:lastRenderedPageBreak/>
        <w:t xml:space="preserve">Tabel </w:t>
      </w:r>
      <w:r w:rsidR="0099649A">
        <w:rPr>
          <w:i/>
          <w:iCs/>
          <w:szCs w:val="18"/>
          <w:lang w:val="nl-NL"/>
        </w:rPr>
        <w:t>3</w:t>
      </w:r>
      <w:r w:rsidRPr="00766911">
        <w:rPr>
          <w:i/>
          <w:iCs/>
          <w:szCs w:val="18"/>
          <w:lang w:val="nl-NL"/>
        </w:rPr>
        <w:t>: Effecten</w:t>
      </w:r>
      <w:r w:rsidR="0099649A">
        <w:rPr>
          <w:i/>
          <w:iCs/>
          <w:szCs w:val="18"/>
          <w:lang w:val="nl-NL"/>
        </w:rPr>
        <w:t xml:space="preserve"> eigen bijdrage per </w:t>
      </w:r>
      <w:r w:rsidR="005163F1">
        <w:rPr>
          <w:i/>
          <w:iCs/>
          <w:szCs w:val="18"/>
          <w:lang w:val="nl-NL"/>
        </w:rPr>
        <w:t>j</w:t>
      </w:r>
      <w:r w:rsidR="0099649A">
        <w:rPr>
          <w:i/>
          <w:iCs/>
          <w:szCs w:val="18"/>
          <w:lang w:val="nl-NL"/>
        </w:rPr>
        <w:t>aar in 2026 na</w:t>
      </w:r>
      <w:r w:rsidRPr="00766911">
        <w:rPr>
          <w:i/>
          <w:iCs/>
          <w:szCs w:val="18"/>
          <w:lang w:val="nl-NL"/>
        </w:rPr>
        <w:t xml:space="preserve"> afschaffing EVV (afgerond op hele euro’s)</w:t>
      </w:r>
      <w:r w:rsidRPr="00766911">
        <w:rPr>
          <w:rStyle w:val="Voetnootmarkering"/>
          <w:rFonts w:eastAsia="Times New Roman" w:cs="Calibri"/>
          <w:color w:val="000000"/>
          <w:sz w:val="16"/>
          <w:szCs w:val="16"/>
          <w:lang w:val="nl-NL" w:eastAsia="nl-NL"/>
        </w:rPr>
        <w:t xml:space="preserve"> </w:t>
      </w:r>
    </w:p>
    <w:p w:rsidRPr="00766911" w:rsidR="00C6166A" w:rsidP="00C6166A" w:rsidRDefault="00C6166A" w14:paraId="64DA93E1" w14:textId="77777777">
      <w:pPr>
        <w:rPr>
          <w:lang w:val="nl-NL"/>
        </w:rPr>
      </w:pPr>
    </w:p>
    <w:tbl>
      <w:tblPr>
        <w:tblW w:w="6644"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808"/>
        <w:gridCol w:w="2551"/>
        <w:gridCol w:w="2285"/>
      </w:tblGrid>
      <w:tr w:rsidRPr="00AE3EDE" w:rsidR="00C6166A" w:rsidTr="001A3783" w14:paraId="44D123F7" w14:textId="77777777">
        <w:trPr>
          <w:trHeight w:val="600"/>
        </w:trPr>
        <w:tc>
          <w:tcPr>
            <w:tcW w:w="1808" w:type="dxa"/>
            <w:tcBorders>
              <w:top w:val="single" w:color="auto" w:sz="4" w:space="0"/>
              <w:bottom w:val="single" w:color="auto" w:sz="4" w:space="0"/>
              <w:right w:val="single" w:color="auto" w:sz="4" w:space="0"/>
            </w:tcBorders>
            <w:shd w:val="clear" w:color="auto" w:fill="auto"/>
            <w:vAlign w:val="center"/>
            <w:hideMark/>
          </w:tcPr>
          <w:p w:rsidRPr="00F14AF4" w:rsidR="00C6166A" w:rsidP="001A3783" w:rsidRDefault="00C6166A" w14:paraId="30681B1F" w14:textId="77777777">
            <w:pPr>
              <w:spacing w:line="240" w:lineRule="auto"/>
              <w:jc w:val="center"/>
              <w:rPr>
                <w:rFonts w:eastAsia="Times New Roman" w:cs="Calibri"/>
                <w:b/>
                <w:bCs/>
                <w:color w:val="000000"/>
                <w:szCs w:val="18"/>
                <w:lang w:val="nl-NL" w:eastAsia="nl-NL"/>
              </w:rPr>
            </w:pPr>
            <w:r w:rsidRPr="00F14AF4">
              <w:rPr>
                <w:rFonts w:eastAsia="Times New Roman" w:cs="Calibri"/>
                <w:b/>
                <w:bCs/>
                <w:color w:val="000000"/>
                <w:szCs w:val="18"/>
                <w:lang w:val="nl-NL" w:eastAsia="nl-NL"/>
              </w:rPr>
              <w:t>Type EB</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14AF4" w:rsidR="00C6166A" w:rsidP="001A3783" w:rsidRDefault="00C6166A" w14:paraId="24E53BD2" w14:textId="77777777">
            <w:pPr>
              <w:spacing w:line="240" w:lineRule="auto"/>
              <w:jc w:val="center"/>
              <w:rPr>
                <w:rFonts w:eastAsia="Times New Roman" w:cs="Calibri"/>
                <w:b/>
                <w:bCs/>
                <w:color w:val="000000"/>
                <w:szCs w:val="18"/>
                <w:lang w:val="nl-NL" w:eastAsia="nl-NL"/>
              </w:rPr>
            </w:pPr>
            <w:r w:rsidRPr="00F14AF4">
              <w:rPr>
                <w:rFonts w:eastAsia="Times New Roman" w:cs="Calibri"/>
                <w:b/>
                <w:bCs/>
                <w:color w:val="000000"/>
                <w:szCs w:val="18"/>
                <w:lang w:val="nl-NL" w:eastAsia="nl-NL"/>
              </w:rPr>
              <w:t>Vermogen</w:t>
            </w:r>
          </w:p>
        </w:tc>
        <w:tc>
          <w:tcPr>
            <w:tcW w:w="2285" w:type="dxa"/>
            <w:tcBorders>
              <w:top w:val="single" w:color="auto" w:sz="4" w:space="0"/>
              <w:left w:val="single" w:color="auto" w:sz="4" w:space="0"/>
              <w:bottom w:val="single" w:color="auto" w:sz="4" w:space="0"/>
            </w:tcBorders>
            <w:shd w:val="clear" w:color="auto" w:fill="auto"/>
            <w:vAlign w:val="center"/>
            <w:hideMark/>
          </w:tcPr>
          <w:p w:rsidRPr="00F14AF4" w:rsidR="00C6166A" w:rsidP="001A3783" w:rsidRDefault="00C6166A" w14:paraId="0934ACAD" w14:textId="7C29C3CF">
            <w:pPr>
              <w:spacing w:line="240" w:lineRule="auto"/>
              <w:jc w:val="center"/>
              <w:rPr>
                <w:rFonts w:eastAsia="Times New Roman" w:cs="Calibri"/>
                <w:b/>
                <w:bCs/>
                <w:color w:val="000000"/>
                <w:szCs w:val="18"/>
                <w:lang w:val="nl-NL" w:eastAsia="nl-NL"/>
              </w:rPr>
            </w:pPr>
            <w:r w:rsidRPr="00F14AF4">
              <w:rPr>
                <w:rFonts w:eastAsia="Times New Roman" w:cs="Calibri"/>
                <w:b/>
                <w:bCs/>
                <w:color w:val="000000"/>
                <w:szCs w:val="18"/>
                <w:lang w:val="nl-NL" w:eastAsia="nl-NL"/>
              </w:rPr>
              <w:t xml:space="preserve">Toename EB </w:t>
            </w:r>
            <w:r w:rsidR="0099649A">
              <w:rPr>
                <w:rFonts w:eastAsia="Times New Roman" w:cs="Calibri"/>
                <w:b/>
                <w:bCs/>
                <w:color w:val="000000"/>
                <w:szCs w:val="18"/>
                <w:lang w:val="nl-NL" w:eastAsia="nl-NL"/>
              </w:rPr>
              <w:t>per jaar in</w:t>
            </w:r>
            <w:r w:rsidRPr="00F14AF4">
              <w:rPr>
                <w:rFonts w:eastAsia="Times New Roman" w:cs="Calibri"/>
                <w:b/>
                <w:bCs/>
                <w:color w:val="000000"/>
                <w:szCs w:val="18"/>
                <w:lang w:val="nl-NL" w:eastAsia="nl-NL"/>
              </w:rPr>
              <w:t xml:space="preserve"> 2026</w:t>
            </w:r>
          </w:p>
        </w:tc>
      </w:tr>
      <w:tr w:rsidRPr="00766911" w:rsidR="00C6166A" w:rsidTr="001A3783" w14:paraId="70E841E3" w14:textId="77777777">
        <w:trPr>
          <w:trHeight w:val="300"/>
        </w:trPr>
        <w:tc>
          <w:tcPr>
            <w:tcW w:w="6644" w:type="dxa"/>
            <w:gridSpan w:val="3"/>
            <w:tcBorders>
              <w:top w:val="single" w:color="auto" w:sz="4" w:space="0"/>
              <w:bottom w:val="single" w:color="auto" w:sz="4" w:space="0"/>
            </w:tcBorders>
            <w:shd w:val="clear" w:color="000000" w:fill="D9D9D9"/>
            <w:noWrap/>
            <w:vAlign w:val="center"/>
            <w:hideMark/>
          </w:tcPr>
          <w:p w:rsidRPr="00F14AF4" w:rsidR="00C6166A" w:rsidP="001A3783" w:rsidRDefault="00C6166A" w14:paraId="265DA0A3" w14:textId="77777777">
            <w:pPr>
              <w:spacing w:line="240" w:lineRule="auto"/>
              <w:rPr>
                <w:rFonts w:eastAsia="Times New Roman" w:cs="Calibri"/>
                <w:color w:val="000000"/>
                <w:szCs w:val="18"/>
                <w:lang w:val="nl-NL" w:eastAsia="nl-NL"/>
              </w:rPr>
            </w:pPr>
            <w:r w:rsidRPr="00F14AF4">
              <w:rPr>
                <w:rFonts w:eastAsia="Times New Roman" w:cs="Calibri"/>
                <w:color w:val="000000"/>
                <w:szCs w:val="18"/>
                <w:lang w:val="nl-NL" w:eastAsia="nl-NL"/>
              </w:rPr>
              <w:t>Alleenstaanden</w:t>
            </w:r>
          </w:p>
        </w:tc>
      </w:tr>
      <w:tr w:rsidRPr="00766911" w:rsidR="00C6166A" w:rsidTr="001A3783" w14:paraId="0D329FE4"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noWrap/>
            <w:vAlign w:val="center"/>
            <w:hideMark/>
          </w:tcPr>
          <w:p w:rsidRPr="00F14AF4" w:rsidR="00C6166A" w:rsidP="001A3783" w:rsidRDefault="00C6166A" w14:paraId="193495E8" w14:textId="77777777">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HEB</w:t>
            </w:r>
          </w:p>
        </w:tc>
        <w:tc>
          <w:tcPr>
            <w:tcW w:w="2551" w:type="dxa"/>
            <w:tcBorders>
              <w:top w:val="single" w:color="auto" w:sz="4" w:space="0"/>
              <w:left w:val="single" w:color="auto" w:sz="4" w:space="0"/>
              <w:bottom w:val="nil"/>
              <w:right w:val="single" w:color="auto" w:sz="4" w:space="0"/>
            </w:tcBorders>
            <w:shd w:val="clear" w:color="auto" w:fill="auto"/>
            <w:noWrap/>
            <w:vAlign w:val="center"/>
            <w:hideMark/>
          </w:tcPr>
          <w:p w:rsidRPr="00F14AF4" w:rsidR="00C6166A" w:rsidP="001A3783" w:rsidRDefault="00C6166A" w14:paraId="1167A340" w14:textId="3A3CACB2">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Minder dan €</w:t>
            </w:r>
            <w:r>
              <w:rPr>
                <w:rFonts w:eastAsia="Times New Roman" w:cs="Calibri"/>
                <w:color w:val="000000"/>
                <w:szCs w:val="18"/>
                <w:lang w:val="nl-NL" w:eastAsia="nl-NL"/>
              </w:rPr>
              <w:t> </w:t>
            </w:r>
            <w:r w:rsidR="00654BB2">
              <w:rPr>
                <w:rFonts w:eastAsia="Times New Roman" w:cs="Calibri"/>
                <w:color w:val="000000"/>
                <w:szCs w:val="18"/>
                <w:lang w:val="nl-NL" w:eastAsia="nl-NL"/>
              </w:rPr>
              <w:t>33.749</w:t>
            </w:r>
            <w:r w:rsidRPr="00F14AF4">
              <w:rPr>
                <w:rFonts w:eastAsia="Times New Roman" w:cs="Calibri"/>
                <w:color w:val="000000"/>
                <w:szCs w:val="18"/>
                <w:lang w:val="nl-NL" w:eastAsia="nl-NL"/>
              </w:rPr>
              <w:t>*</w:t>
            </w:r>
          </w:p>
        </w:tc>
        <w:tc>
          <w:tcPr>
            <w:tcW w:w="2285" w:type="dxa"/>
            <w:tcBorders>
              <w:top w:val="single" w:color="auto" w:sz="4" w:space="0"/>
              <w:left w:val="single" w:color="auto" w:sz="4" w:space="0"/>
            </w:tcBorders>
            <w:shd w:val="clear" w:color="auto" w:fill="auto"/>
            <w:noWrap/>
            <w:vAlign w:val="center"/>
            <w:hideMark/>
          </w:tcPr>
          <w:p w:rsidRPr="00F14AF4" w:rsidR="00C6166A" w:rsidP="001A3783" w:rsidRDefault="002054A9" w14:paraId="4FEE8A0B" w14:textId="6997F759">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Pr="00F14AF4" w:rsidR="00C6166A">
              <w:rPr>
                <w:rFonts w:eastAsia="Times New Roman" w:cs="Calibri"/>
                <w:color w:val="000000"/>
                <w:szCs w:val="18"/>
                <w:lang w:val="nl-NL" w:eastAsia="nl-NL"/>
              </w:rPr>
              <w:t>-</w:t>
            </w:r>
          </w:p>
        </w:tc>
      </w:tr>
      <w:tr w:rsidRPr="00766911" w:rsidR="00C6166A" w:rsidTr="001A3783" w14:paraId="4F31A8D0" w14:textId="77777777">
        <w:trPr>
          <w:trHeight w:val="300"/>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6A2CA3C6"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nil"/>
              <w:right w:val="single" w:color="auto" w:sz="4" w:space="0"/>
            </w:tcBorders>
            <w:shd w:val="clear" w:color="auto" w:fill="auto"/>
            <w:noWrap/>
            <w:vAlign w:val="center"/>
            <w:hideMark/>
          </w:tcPr>
          <w:p w:rsidRPr="00F14AF4" w:rsidR="00C6166A" w:rsidP="001A3783" w:rsidRDefault="00C6166A" w14:paraId="4D93DABD" w14:textId="44B9FAC9">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w:t>
            </w:r>
            <w:r>
              <w:rPr>
                <w:rFonts w:eastAsia="Times New Roman" w:cs="Calibri"/>
                <w:color w:val="000000"/>
                <w:szCs w:val="18"/>
                <w:lang w:val="nl-NL" w:eastAsia="nl-NL"/>
              </w:rPr>
              <w:t> </w:t>
            </w:r>
            <w:r w:rsidR="00654BB2">
              <w:rPr>
                <w:rFonts w:eastAsia="Times New Roman" w:cs="Calibri"/>
                <w:color w:val="000000"/>
                <w:szCs w:val="18"/>
                <w:lang w:val="nl-NL" w:eastAsia="nl-NL"/>
              </w:rPr>
              <w:t>40.000</w:t>
            </w:r>
          </w:p>
        </w:tc>
        <w:tc>
          <w:tcPr>
            <w:tcW w:w="2285" w:type="dxa"/>
            <w:tcBorders>
              <w:left w:val="single" w:color="auto" w:sz="4" w:space="0"/>
            </w:tcBorders>
            <w:shd w:val="clear" w:color="auto" w:fill="auto"/>
            <w:noWrap/>
            <w:vAlign w:val="center"/>
            <w:hideMark/>
          </w:tcPr>
          <w:p w:rsidRPr="00F14AF4" w:rsidR="00C6166A" w:rsidP="001A3783" w:rsidRDefault="002054A9" w14:paraId="3C3B6F82" w14:textId="2DD6CDDB">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250</w:t>
            </w:r>
          </w:p>
        </w:tc>
      </w:tr>
      <w:tr w:rsidRPr="00766911" w:rsidR="00C6166A" w:rsidTr="001A3783" w14:paraId="2765C545" w14:textId="77777777">
        <w:trPr>
          <w:trHeight w:val="300"/>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3F26248E"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single" w:color="auto" w:sz="4" w:space="0"/>
              <w:right w:val="single" w:color="auto" w:sz="4" w:space="0"/>
            </w:tcBorders>
            <w:shd w:val="clear" w:color="auto" w:fill="auto"/>
            <w:noWrap/>
            <w:vAlign w:val="center"/>
            <w:hideMark/>
          </w:tcPr>
          <w:p w:rsidRPr="00F14AF4" w:rsidR="00C6166A" w:rsidP="001A3783" w:rsidRDefault="00C6166A" w14:paraId="35553221" w14:textId="24A4266C">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Meer dan €</w:t>
            </w:r>
            <w:r>
              <w:rPr>
                <w:rFonts w:eastAsia="Times New Roman" w:cs="Calibri"/>
                <w:color w:val="000000"/>
                <w:szCs w:val="18"/>
                <w:lang w:val="nl-NL" w:eastAsia="nl-NL"/>
              </w:rPr>
              <w:t> </w:t>
            </w:r>
            <w:r w:rsidR="00654BB2">
              <w:rPr>
                <w:rFonts w:eastAsia="Times New Roman" w:cs="Calibri"/>
                <w:color w:val="000000"/>
                <w:szCs w:val="18"/>
                <w:lang w:val="nl-NL" w:eastAsia="nl-NL"/>
              </w:rPr>
              <w:t>45.281</w:t>
            </w:r>
            <w:r w:rsidRPr="00F14AF4">
              <w:rPr>
                <w:rFonts w:eastAsia="Times New Roman" w:cs="Calibri"/>
                <w:color w:val="000000"/>
                <w:szCs w:val="18"/>
                <w:lang w:val="nl-NL" w:eastAsia="nl-NL"/>
              </w:rPr>
              <w:t>*</w:t>
            </w:r>
          </w:p>
        </w:tc>
        <w:tc>
          <w:tcPr>
            <w:tcW w:w="2285" w:type="dxa"/>
            <w:tcBorders>
              <w:left w:val="single" w:color="auto" w:sz="4" w:space="0"/>
              <w:bottom w:val="single" w:color="auto" w:sz="4" w:space="0"/>
            </w:tcBorders>
            <w:shd w:val="clear" w:color="auto" w:fill="auto"/>
            <w:noWrap/>
            <w:vAlign w:val="center"/>
            <w:hideMark/>
          </w:tcPr>
          <w:p w:rsidRPr="00F14AF4" w:rsidR="00C6166A" w:rsidP="001A3783" w:rsidRDefault="002054A9" w14:paraId="2070EDF6" w14:textId="4862CB3C">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461</w:t>
            </w:r>
          </w:p>
        </w:tc>
      </w:tr>
      <w:tr w:rsidRPr="00766911" w:rsidR="00C6166A" w:rsidTr="001A3783" w14:paraId="129DC93F"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vAlign w:val="center"/>
            <w:hideMark/>
          </w:tcPr>
          <w:p w:rsidRPr="00F14AF4" w:rsidR="00C6166A" w:rsidP="001A3783" w:rsidRDefault="00C6166A" w14:paraId="064DA5D0" w14:textId="77777777">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LEB/VPT/MPT/PGB</w:t>
            </w:r>
          </w:p>
        </w:tc>
        <w:tc>
          <w:tcPr>
            <w:tcW w:w="2551" w:type="dxa"/>
            <w:tcBorders>
              <w:top w:val="single" w:color="auto" w:sz="4" w:space="0"/>
              <w:left w:val="single" w:color="auto" w:sz="4" w:space="0"/>
              <w:bottom w:val="nil"/>
              <w:right w:val="single" w:color="auto" w:sz="4" w:space="0"/>
            </w:tcBorders>
            <w:shd w:val="clear" w:color="auto" w:fill="auto"/>
            <w:noWrap/>
            <w:vAlign w:val="center"/>
            <w:hideMark/>
          </w:tcPr>
          <w:p w:rsidRPr="00F14AF4" w:rsidR="00C6166A" w:rsidP="001A3783" w:rsidRDefault="00C6166A" w14:paraId="6BDEC373" w14:textId="111B9A03">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Minder dan €</w:t>
            </w:r>
            <w:r>
              <w:rPr>
                <w:rFonts w:eastAsia="Times New Roman" w:cs="Calibri"/>
                <w:color w:val="000000"/>
                <w:szCs w:val="18"/>
                <w:lang w:val="nl-NL" w:eastAsia="nl-NL"/>
              </w:rPr>
              <w:t> </w:t>
            </w:r>
            <w:r w:rsidR="00654BB2">
              <w:rPr>
                <w:rFonts w:eastAsia="Times New Roman" w:cs="Calibri"/>
                <w:color w:val="000000"/>
                <w:szCs w:val="18"/>
                <w:lang w:val="nl-NL" w:eastAsia="nl-NL"/>
              </w:rPr>
              <w:t>33.749</w:t>
            </w:r>
            <w:r w:rsidRPr="00F14AF4">
              <w:rPr>
                <w:rFonts w:eastAsia="Times New Roman" w:cs="Calibri"/>
                <w:color w:val="000000"/>
                <w:szCs w:val="18"/>
                <w:lang w:val="nl-NL" w:eastAsia="nl-NL"/>
              </w:rPr>
              <w:t>*</w:t>
            </w:r>
          </w:p>
        </w:tc>
        <w:tc>
          <w:tcPr>
            <w:tcW w:w="2285" w:type="dxa"/>
            <w:tcBorders>
              <w:top w:val="single" w:color="auto" w:sz="4" w:space="0"/>
              <w:left w:val="single" w:color="auto" w:sz="4" w:space="0"/>
            </w:tcBorders>
            <w:shd w:val="clear" w:color="auto" w:fill="auto"/>
            <w:noWrap/>
            <w:vAlign w:val="center"/>
            <w:hideMark/>
          </w:tcPr>
          <w:p w:rsidRPr="00F14AF4" w:rsidR="00C6166A" w:rsidP="001A3783" w:rsidRDefault="002054A9" w14:paraId="5BFCF708" w14:textId="67B712E3">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Pr="00F14AF4" w:rsidR="00C6166A">
              <w:rPr>
                <w:rFonts w:eastAsia="Times New Roman" w:cs="Calibri"/>
                <w:color w:val="000000"/>
                <w:szCs w:val="18"/>
                <w:lang w:val="nl-NL" w:eastAsia="nl-NL"/>
              </w:rPr>
              <w:t>-</w:t>
            </w:r>
          </w:p>
        </w:tc>
      </w:tr>
      <w:tr w:rsidRPr="00766911" w:rsidR="00C6166A" w:rsidTr="001A3783" w14:paraId="12730E04" w14:textId="77777777">
        <w:trPr>
          <w:trHeight w:val="300"/>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4A3E3979"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nil"/>
              <w:right w:val="single" w:color="auto" w:sz="4" w:space="0"/>
            </w:tcBorders>
            <w:shd w:val="clear" w:color="auto" w:fill="auto"/>
            <w:noWrap/>
            <w:vAlign w:val="center"/>
            <w:hideMark/>
          </w:tcPr>
          <w:p w:rsidRPr="00F14AF4" w:rsidR="00C6166A" w:rsidP="001A3783" w:rsidRDefault="00C6166A" w14:paraId="502FAAA7" w14:textId="6AF01711">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w:t>
            </w:r>
            <w:r>
              <w:rPr>
                <w:rFonts w:eastAsia="Times New Roman" w:cs="Calibri"/>
                <w:color w:val="000000"/>
                <w:szCs w:val="18"/>
                <w:lang w:val="nl-NL" w:eastAsia="nl-NL"/>
              </w:rPr>
              <w:t> </w:t>
            </w:r>
            <w:r w:rsidR="00654BB2">
              <w:rPr>
                <w:rFonts w:eastAsia="Times New Roman" w:cs="Calibri"/>
                <w:color w:val="000000"/>
                <w:szCs w:val="18"/>
                <w:lang w:val="nl-NL" w:eastAsia="nl-NL"/>
              </w:rPr>
              <w:t>40.000</w:t>
            </w:r>
          </w:p>
        </w:tc>
        <w:tc>
          <w:tcPr>
            <w:tcW w:w="2285" w:type="dxa"/>
            <w:tcBorders>
              <w:left w:val="single" w:color="auto" w:sz="4" w:space="0"/>
            </w:tcBorders>
            <w:shd w:val="clear" w:color="auto" w:fill="auto"/>
            <w:noWrap/>
            <w:vAlign w:val="center"/>
            <w:hideMark/>
          </w:tcPr>
          <w:p w:rsidRPr="00F14AF4" w:rsidR="00C6166A" w:rsidP="001A3783" w:rsidRDefault="002054A9" w14:paraId="4FB29E63" w14:textId="17B1C6F0">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25</w:t>
            </w:r>
          </w:p>
        </w:tc>
      </w:tr>
      <w:tr w:rsidRPr="00766911" w:rsidR="00C6166A" w:rsidTr="001A3783" w14:paraId="3D777F81" w14:textId="77777777">
        <w:trPr>
          <w:trHeight w:val="300"/>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62ED5EF5"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single" w:color="auto" w:sz="4" w:space="0"/>
              <w:right w:val="single" w:color="auto" w:sz="4" w:space="0"/>
            </w:tcBorders>
            <w:shd w:val="clear" w:color="auto" w:fill="auto"/>
            <w:noWrap/>
            <w:vAlign w:val="center"/>
            <w:hideMark/>
          </w:tcPr>
          <w:p w:rsidRPr="00F14AF4" w:rsidR="00C6166A" w:rsidP="001A3783" w:rsidRDefault="00C6166A" w14:paraId="4760BCFD" w14:textId="1A299E10">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Meer dan €</w:t>
            </w:r>
            <w:r>
              <w:rPr>
                <w:rFonts w:eastAsia="Times New Roman" w:cs="Calibri"/>
                <w:color w:val="000000"/>
                <w:szCs w:val="18"/>
                <w:lang w:val="nl-NL" w:eastAsia="nl-NL"/>
              </w:rPr>
              <w:t> </w:t>
            </w:r>
            <w:r w:rsidR="00654BB2">
              <w:rPr>
                <w:rFonts w:eastAsia="Times New Roman" w:cs="Calibri"/>
                <w:color w:val="000000"/>
                <w:szCs w:val="18"/>
                <w:lang w:val="nl-NL" w:eastAsia="nl-NL"/>
              </w:rPr>
              <w:t>45.281</w:t>
            </w:r>
            <w:r w:rsidRPr="00F14AF4">
              <w:rPr>
                <w:rFonts w:eastAsia="Times New Roman" w:cs="Calibri"/>
                <w:color w:val="000000"/>
                <w:szCs w:val="18"/>
                <w:lang w:val="nl-NL" w:eastAsia="nl-NL"/>
              </w:rPr>
              <w:t>*</w:t>
            </w:r>
          </w:p>
        </w:tc>
        <w:tc>
          <w:tcPr>
            <w:tcW w:w="2285" w:type="dxa"/>
            <w:tcBorders>
              <w:left w:val="single" w:color="auto" w:sz="4" w:space="0"/>
              <w:bottom w:val="single" w:color="auto" w:sz="4" w:space="0"/>
            </w:tcBorders>
            <w:shd w:val="clear" w:color="auto" w:fill="auto"/>
            <w:noWrap/>
            <w:vAlign w:val="center"/>
            <w:hideMark/>
          </w:tcPr>
          <w:p w:rsidRPr="00F14AF4" w:rsidR="00C6166A" w:rsidP="001A3783" w:rsidRDefault="002054A9" w14:paraId="653F0389" w14:textId="49A17A1E">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46</w:t>
            </w:r>
          </w:p>
        </w:tc>
      </w:tr>
      <w:tr w:rsidRPr="00766911" w:rsidR="00C6166A" w:rsidTr="001A3783" w14:paraId="765F794C" w14:textId="77777777">
        <w:trPr>
          <w:trHeight w:val="300"/>
        </w:trPr>
        <w:tc>
          <w:tcPr>
            <w:tcW w:w="6644" w:type="dxa"/>
            <w:gridSpan w:val="3"/>
            <w:tcBorders>
              <w:top w:val="single" w:color="auto" w:sz="4" w:space="0"/>
              <w:bottom w:val="single" w:color="auto" w:sz="4" w:space="0"/>
            </w:tcBorders>
            <w:shd w:val="clear" w:color="000000" w:fill="D9D9D9"/>
            <w:noWrap/>
            <w:vAlign w:val="center"/>
            <w:hideMark/>
          </w:tcPr>
          <w:p w:rsidRPr="00F14AF4" w:rsidR="00C6166A" w:rsidP="001A3783" w:rsidRDefault="00C6166A" w14:paraId="2C633E72" w14:textId="77777777">
            <w:pPr>
              <w:spacing w:line="240" w:lineRule="auto"/>
              <w:rPr>
                <w:rFonts w:eastAsia="Times New Roman" w:cs="Calibri"/>
                <w:color w:val="000000"/>
                <w:szCs w:val="18"/>
                <w:lang w:val="nl-NL" w:eastAsia="nl-NL"/>
              </w:rPr>
            </w:pPr>
            <w:r w:rsidRPr="00F14AF4">
              <w:rPr>
                <w:rFonts w:eastAsia="Times New Roman" w:cs="Calibri"/>
                <w:color w:val="000000"/>
                <w:szCs w:val="18"/>
                <w:lang w:val="nl-NL" w:eastAsia="nl-NL"/>
              </w:rPr>
              <w:t>Meerpersoonshuishoudens**</w:t>
            </w:r>
          </w:p>
        </w:tc>
      </w:tr>
      <w:tr w:rsidRPr="00766911" w:rsidR="00C6166A" w:rsidTr="001A3783" w14:paraId="72FD9DB0"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noWrap/>
            <w:vAlign w:val="center"/>
            <w:hideMark/>
          </w:tcPr>
          <w:p w:rsidRPr="00F14AF4" w:rsidR="00C6166A" w:rsidP="001A3783" w:rsidRDefault="00C6166A" w14:paraId="47BD494D" w14:textId="77777777">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HEB***</w:t>
            </w:r>
          </w:p>
        </w:tc>
        <w:tc>
          <w:tcPr>
            <w:tcW w:w="2551" w:type="dxa"/>
            <w:tcBorders>
              <w:top w:val="single" w:color="auto" w:sz="4" w:space="0"/>
              <w:left w:val="single" w:color="auto" w:sz="4" w:space="0"/>
              <w:bottom w:val="nil"/>
              <w:right w:val="single" w:color="auto" w:sz="4" w:space="0"/>
            </w:tcBorders>
            <w:shd w:val="clear" w:color="auto" w:fill="auto"/>
            <w:noWrap/>
            <w:vAlign w:val="center"/>
            <w:hideMark/>
          </w:tcPr>
          <w:p w:rsidRPr="00F14AF4" w:rsidR="00C6166A" w:rsidP="001A3783" w:rsidRDefault="00C6166A" w14:paraId="43B1F001" w14:textId="11D69586">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Minder dan €</w:t>
            </w:r>
            <w:r>
              <w:rPr>
                <w:rFonts w:eastAsia="Times New Roman" w:cs="Calibri"/>
                <w:color w:val="000000"/>
                <w:szCs w:val="18"/>
                <w:lang w:val="nl-NL" w:eastAsia="nl-NL"/>
              </w:rPr>
              <w:t> </w:t>
            </w:r>
            <w:r w:rsidR="00654BB2">
              <w:rPr>
                <w:rFonts w:eastAsia="Times New Roman" w:cs="Calibri"/>
                <w:color w:val="000000"/>
                <w:szCs w:val="18"/>
                <w:lang w:val="nl-NL" w:eastAsia="nl-NL"/>
              </w:rPr>
              <w:t>67.497</w:t>
            </w:r>
            <w:r w:rsidRPr="00F14AF4">
              <w:rPr>
                <w:rFonts w:eastAsia="Times New Roman" w:cs="Calibri"/>
                <w:color w:val="000000"/>
                <w:szCs w:val="18"/>
                <w:lang w:val="nl-NL" w:eastAsia="nl-NL"/>
              </w:rPr>
              <w:t>*</w:t>
            </w:r>
          </w:p>
        </w:tc>
        <w:tc>
          <w:tcPr>
            <w:tcW w:w="2285" w:type="dxa"/>
            <w:tcBorders>
              <w:top w:val="single" w:color="auto" w:sz="4" w:space="0"/>
              <w:left w:val="single" w:color="auto" w:sz="4" w:space="0"/>
            </w:tcBorders>
            <w:shd w:val="clear" w:color="auto" w:fill="auto"/>
            <w:noWrap/>
            <w:vAlign w:val="center"/>
            <w:hideMark/>
          </w:tcPr>
          <w:p w:rsidRPr="00F14AF4" w:rsidR="00C6166A" w:rsidP="001A3783" w:rsidRDefault="002054A9" w14:paraId="1C5138D2" w14:textId="2AE0EEA5">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Pr="00F14AF4" w:rsidR="00C6166A">
              <w:rPr>
                <w:rFonts w:eastAsia="Times New Roman" w:cs="Calibri"/>
                <w:color w:val="000000"/>
                <w:szCs w:val="18"/>
                <w:lang w:val="nl-NL" w:eastAsia="nl-NL"/>
              </w:rPr>
              <w:t>-</w:t>
            </w:r>
          </w:p>
        </w:tc>
      </w:tr>
      <w:tr w:rsidRPr="00766911" w:rsidR="00C6166A" w:rsidTr="001A3783" w14:paraId="3133D389" w14:textId="77777777">
        <w:trPr>
          <w:trHeight w:val="300"/>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06975B22"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nil"/>
              <w:right w:val="single" w:color="auto" w:sz="4" w:space="0"/>
            </w:tcBorders>
            <w:shd w:val="clear" w:color="auto" w:fill="auto"/>
            <w:noWrap/>
            <w:vAlign w:val="center"/>
            <w:hideMark/>
          </w:tcPr>
          <w:p w:rsidRPr="00F14AF4" w:rsidR="00C6166A" w:rsidP="001A3783" w:rsidRDefault="00C6166A" w14:paraId="778FD3EE" w14:textId="7032EA0D">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w:t>
            </w:r>
            <w:r>
              <w:rPr>
                <w:rFonts w:eastAsia="Times New Roman" w:cs="Calibri"/>
                <w:color w:val="000000"/>
                <w:szCs w:val="18"/>
                <w:lang w:val="nl-NL" w:eastAsia="nl-NL"/>
              </w:rPr>
              <w:t> </w:t>
            </w:r>
            <w:r w:rsidR="00654BB2">
              <w:rPr>
                <w:rFonts w:eastAsia="Times New Roman" w:cs="Calibri"/>
                <w:color w:val="000000"/>
                <w:szCs w:val="18"/>
                <w:lang w:val="nl-NL" w:eastAsia="nl-NL"/>
              </w:rPr>
              <w:t>80.000</w:t>
            </w:r>
          </w:p>
        </w:tc>
        <w:tc>
          <w:tcPr>
            <w:tcW w:w="2285" w:type="dxa"/>
            <w:tcBorders>
              <w:left w:val="single" w:color="auto" w:sz="4" w:space="0"/>
            </w:tcBorders>
            <w:shd w:val="clear" w:color="auto" w:fill="auto"/>
            <w:noWrap/>
            <w:vAlign w:val="center"/>
            <w:hideMark/>
          </w:tcPr>
          <w:p w:rsidRPr="00F14AF4" w:rsidR="00C6166A" w:rsidP="001A3783" w:rsidRDefault="002054A9" w14:paraId="63C25495" w14:textId="6C49F3A6">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500</w:t>
            </w:r>
          </w:p>
        </w:tc>
      </w:tr>
      <w:tr w:rsidRPr="00766911" w:rsidR="00C6166A" w:rsidTr="001A3783" w14:paraId="2C9C477A" w14:textId="77777777">
        <w:trPr>
          <w:trHeight w:val="300"/>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2C470ED4"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single" w:color="auto" w:sz="4" w:space="0"/>
              <w:right w:val="single" w:color="auto" w:sz="4" w:space="0"/>
            </w:tcBorders>
            <w:shd w:val="clear" w:color="auto" w:fill="auto"/>
            <w:noWrap/>
            <w:vAlign w:val="center"/>
            <w:hideMark/>
          </w:tcPr>
          <w:p w:rsidRPr="00F14AF4" w:rsidR="00C6166A" w:rsidP="001A3783" w:rsidRDefault="00C6166A" w14:paraId="3D10AF9C" w14:textId="6C151C1E">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Meer dan €</w:t>
            </w:r>
            <w:r>
              <w:rPr>
                <w:rFonts w:eastAsia="Times New Roman" w:cs="Calibri"/>
                <w:color w:val="000000"/>
                <w:szCs w:val="18"/>
                <w:lang w:val="nl-NL" w:eastAsia="nl-NL"/>
              </w:rPr>
              <w:t> </w:t>
            </w:r>
            <w:r w:rsidR="00654BB2">
              <w:rPr>
                <w:rFonts w:eastAsia="Times New Roman" w:cs="Calibri"/>
                <w:color w:val="000000"/>
                <w:szCs w:val="18"/>
                <w:lang w:val="nl-NL" w:eastAsia="nl-NL"/>
              </w:rPr>
              <w:t>90.563</w:t>
            </w:r>
            <w:r w:rsidRPr="00F14AF4">
              <w:rPr>
                <w:rFonts w:eastAsia="Times New Roman" w:cs="Calibri"/>
                <w:color w:val="000000"/>
                <w:szCs w:val="18"/>
                <w:lang w:val="nl-NL" w:eastAsia="nl-NL"/>
              </w:rPr>
              <w:t>*</w:t>
            </w:r>
          </w:p>
        </w:tc>
        <w:tc>
          <w:tcPr>
            <w:tcW w:w="2285" w:type="dxa"/>
            <w:tcBorders>
              <w:left w:val="single" w:color="auto" w:sz="4" w:space="0"/>
              <w:bottom w:val="single" w:color="auto" w:sz="4" w:space="0"/>
            </w:tcBorders>
            <w:shd w:val="clear" w:color="auto" w:fill="auto"/>
            <w:noWrap/>
            <w:vAlign w:val="center"/>
            <w:hideMark/>
          </w:tcPr>
          <w:p w:rsidRPr="00F14AF4" w:rsidR="00C6166A" w:rsidP="001A3783" w:rsidRDefault="002054A9" w14:paraId="442DD049" w14:textId="00E48BA3">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923</w:t>
            </w:r>
          </w:p>
        </w:tc>
      </w:tr>
      <w:tr w:rsidRPr="00766911" w:rsidR="00C6166A" w:rsidTr="001A3783" w14:paraId="07812DE7" w14:textId="77777777">
        <w:trPr>
          <w:trHeight w:val="300"/>
        </w:trPr>
        <w:tc>
          <w:tcPr>
            <w:tcW w:w="1808" w:type="dxa"/>
            <w:vMerge w:val="restart"/>
            <w:tcBorders>
              <w:top w:val="single" w:color="auto" w:sz="4" w:space="0"/>
              <w:bottom w:val="single" w:color="auto" w:sz="4" w:space="0"/>
              <w:right w:val="single" w:color="auto" w:sz="4" w:space="0"/>
            </w:tcBorders>
            <w:shd w:val="clear" w:color="auto" w:fill="auto"/>
            <w:vAlign w:val="center"/>
            <w:hideMark/>
          </w:tcPr>
          <w:p w:rsidRPr="00F14AF4" w:rsidR="00C6166A" w:rsidP="001A3783" w:rsidRDefault="00C6166A" w14:paraId="026EEDB0" w14:textId="77777777">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LEB/VPT/MPT/PGB</w:t>
            </w:r>
          </w:p>
        </w:tc>
        <w:tc>
          <w:tcPr>
            <w:tcW w:w="2551" w:type="dxa"/>
            <w:tcBorders>
              <w:top w:val="single" w:color="auto" w:sz="4" w:space="0"/>
              <w:left w:val="single" w:color="auto" w:sz="4" w:space="0"/>
              <w:bottom w:val="nil"/>
              <w:right w:val="single" w:color="auto" w:sz="4" w:space="0"/>
            </w:tcBorders>
            <w:shd w:val="clear" w:color="auto" w:fill="auto"/>
            <w:noWrap/>
            <w:vAlign w:val="center"/>
            <w:hideMark/>
          </w:tcPr>
          <w:p w:rsidRPr="00F14AF4" w:rsidR="00C6166A" w:rsidP="001A3783" w:rsidRDefault="00C6166A" w14:paraId="74A12EA8" w14:textId="5ACD8C82">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Minder dan €</w:t>
            </w:r>
            <w:r>
              <w:rPr>
                <w:rFonts w:eastAsia="Times New Roman" w:cs="Calibri"/>
                <w:color w:val="000000"/>
                <w:szCs w:val="18"/>
                <w:lang w:val="nl-NL" w:eastAsia="nl-NL"/>
              </w:rPr>
              <w:t> </w:t>
            </w:r>
            <w:r w:rsidR="00654BB2">
              <w:rPr>
                <w:rFonts w:eastAsia="Times New Roman" w:cs="Calibri"/>
                <w:color w:val="000000"/>
                <w:szCs w:val="18"/>
                <w:lang w:val="nl-NL" w:eastAsia="nl-NL"/>
              </w:rPr>
              <w:t>67.497</w:t>
            </w:r>
            <w:r w:rsidRPr="00F14AF4">
              <w:rPr>
                <w:rFonts w:eastAsia="Times New Roman" w:cs="Calibri"/>
                <w:color w:val="000000"/>
                <w:szCs w:val="18"/>
                <w:lang w:val="nl-NL" w:eastAsia="nl-NL"/>
              </w:rPr>
              <w:t>*</w:t>
            </w:r>
          </w:p>
        </w:tc>
        <w:tc>
          <w:tcPr>
            <w:tcW w:w="2285" w:type="dxa"/>
            <w:tcBorders>
              <w:top w:val="single" w:color="auto" w:sz="4" w:space="0"/>
              <w:left w:val="single" w:color="auto" w:sz="4" w:space="0"/>
            </w:tcBorders>
            <w:shd w:val="clear" w:color="auto" w:fill="auto"/>
            <w:noWrap/>
            <w:vAlign w:val="center"/>
            <w:hideMark/>
          </w:tcPr>
          <w:p w:rsidRPr="00F14AF4" w:rsidR="00C6166A" w:rsidP="001A3783" w:rsidRDefault="002054A9" w14:paraId="6687EC4D" w14:textId="49BC003C">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Pr="00F14AF4" w:rsidR="00C6166A">
              <w:rPr>
                <w:rFonts w:eastAsia="Times New Roman" w:cs="Calibri"/>
                <w:color w:val="000000"/>
                <w:szCs w:val="18"/>
                <w:lang w:val="nl-NL" w:eastAsia="nl-NL"/>
              </w:rPr>
              <w:t>-</w:t>
            </w:r>
          </w:p>
        </w:tc>
      </w:tr>
      <w:tr w:rsidRPr="00766911" w:rsidR="00C6166A" w:rsidTr="00F7405C" w14:paraId="74AA37E2" w14:textId="77777777">
        <w:trPr>
          <w:trHeight w:val="343"/>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01CAA7ED"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nil"/>
              <w:right w:val="single" w:color="auto" w:sz="4" w:space="0"/>
            </w:tcBorders>
            <w:shd w:val="clear" w:color="auto" w:fill="auto"/>
            <w:noWrap/>
            <w:vAlign w:val="center"/>
            <w:hideMark/>
          </w:tcPr>
          <w:p w:rsidRPr="00F14AF4" w:rsidR="00C6166A" w:rsidP="001A3783" w:rsidRDefault="00C6166A" w14:paraId="5698DAA1" w14:textId="1A943C15">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w:t>
            </w:r>
            <w:r>
              <w:rPr>
                <w:rFonts w:eastAsia="Times New Roman" w:cs="Calibri"/>
                <w:color w:val="000000"/>
                <w:szCs w:val="18"/>
                <w:lang w:val="nl-NL" w:eastAsia="nl-NL"/>
              </w:rPr>
              <w:t> </w:t>
            </w:r>
            <w:r w:rsidR="00654BB2">
              <w:rPr>
                <w:rFonts w:eastAsia="Times New Roman" w:cs="Calibri"/>
                <w:color w:val="000000"/>
                <w:szCs w:val="18"/>
                <w:lang w:val="nl-NL" w:eastAsia="nl-NL"/>
              </w:rPr>
              <w:t>80.000</w:t>
            </w:r>
          </w:p>
        </w:tc>
        <w:tc>
          <w:tcPr>
            <w:tcW w:w="2285" w:type="dxa"/>
            <w:tcBorders>
              <w:left w:val="single" w:color="auto" w:sz="4" w:space="0"/>
            </w:tcBorders>
            <w:shd w:val="clear" w:color="auto" w:fill="auto"/>
            <w:noWrap/>
            <w:vAlign w:val="center"/>
            <w:hideMark/>
          </w:tcPr>
          <w:p w:rsidRPr="00F14AF4" w:rsidR="00C6166A" w:rsidP="001A3783" w:rsidRDefault="002054A9" w14:paraId="410840C9" w14:textId="43D1C34D">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50</w:t>
            </w:r>
          </w:p>
        </w:tc>
      </w:tr>
      <w:tr w:rsidRPr="00766911" w:rsidR="00C6166A" w:rsidTr="001A3783" w14:paraId="1DC8B867" w14:textId="77777777">
        <w:trPr>
          <w:trHeight w:val="300"/>
        </w:trPr>
        <w:tc>
          <w:tcPr>
            <w:tcW w:w="1808" w:type="dxa"/>
            <w:vMerge/>
            <w:tcBorders>
              <w:top w:val="nil"/>
              <w:bottom w:val="single" w:color="auto" w:sz="4" w:space="0"/>
              <w:right w:val="single" w:color="auto" w:sz="4" w:space="0"/>
            </w:tcBorders>
            <w:vAlign w:val="center"/>
            <w:hideMark/>
          </w:tcPr>
          <w:p w:rsidRPr="00F14AF4" w:rsidR="00C6166A" w:rsidP="001A3783" w:rsidRDefault="00C6166A" w14:paraId="412EC346" w14:textId="77777777">
            <w:pPr>
              <w:spacing w:line="240" w:lineRule="auto"/>
              <w:jc w:val="center"/>
              <w:rPr>
                <w:rFonts w:eastAsia="Times New Roman" w:cs="Calibri"/>
                <w:color w:val="000000"/>
                <w:szCs w:val="18"/>
                <w:lang w:val="nl-NL" w:eastAsia="nl-NL"/>
              </w:rPr>
            </w:pPr>
          </w:p>
        </w:tc>
        <w:tc>
          <w:tcPr>
            <w:tcW w:w="2551" w:type="dxa"/>
            <w:tcBorders>
              <w:top w:val="nil"/>
              <w:left w:val="single" w:color="auto" w:sz="4" w:space="0"/>
              <w:bottom w:val="single" w:color="auto" w:sz="4" w:space="0"/>
              <w:right w:val="single" w:color="auto" w:sz="4" w:space="0"/>
            </w:tcBorders>
            <w:shd w:val="clear" w:color="auto" w:fill="auto"/>
            <w:noWrap/>
            <w:vAlign w:val="center"/>
            <w:hideMark/>
          </w:tcPr>
          <w:p w:rsidRPr="00F14AF4" w:rsidR="00C6166A" w:rsidP="001A3783" w:rsidRDefault="00C6166A" w14:paraId="3A063D1B" w14:textId="613E3A5C">
            <w:pPr>
              <w:spacing w:line="240" w:lineRule="auto"/>
              <w:jc w:val="center"/>
              <w:rPr>
                <w:rFonts w:eastAsia="Times New Roman" w:cs="Calibri"/>
                <w:color w:val="000000"/>
                <w:szCs w:val="18"/>
                <w:lang w:val="nl-NL" w:eastAsia="nl-NL"/>
              </w:rPr>
            </w:pPr>
            <w:r w:rsidRPr="00F14AF4">
              <w:rPr>
                <w:rFonts w:eastAsia="Times New Roman" w:cs="Calibri"/>
                <w:color w:val="000000"/>
                <w:szCs w:val="18"/>
                <w:lang w:val="nl-NL" w:eastAsia="nl-NL"/>
              </w:rPr>
              <w:t>Meer dan €</w:t>
            </w:r>
            <w:r>
              <w:rPr>
                <w:rFonts w:eastAsia="Times New Roman" w:cs="Calibri"/>
                <w:color w:val="000000"/>
                <w:szCs w:val="18"/>
                <w:lang w:val="nl-NL" w:eastAsia="nl-NL"/>
              </w:rPr>
              <w:t> </w:t>
            </w:r>
            <w:r w:rsidR="00654BB2">
              <w:rPr>
                <w:rFonts w:eastAsia="Times New Roman" w:cs="Calibri"/>
                <w:color w:val="000000"/>
                <w:szCs w:val="18"/>
                <w:lang w:val="nl-NL" w:eastAsia="nl-NL"/>
              </w:rPr>
              <w:t>90.563</w:t>
            </w:r>
            <w:r w:rsidRPr="00F14AF4">
              <w:rPr>
                <w:rFonts w:eastAsia="Times New Roman" w:cs="Calibri"/>
                <w:color w:val="000000"/>
                <w:szCs w:val="18"/>
                <w:lang w:val="nl-NL" w:eastAsia="nl-NL"/>
              </w:rPr>
              <w:t>*</w:t>
            </w:r>
          </w:p>
        </w:tc>
        <w:tc>
          <w:tcPr>
            <w:tcW w:w="2285" w:type="dxa"/>
            <w:tcBorders>
              <w:left w:val="single" w:color="auto" w:sz="4" w:space="0"/>
            </w:tcBorders>
            <w:shd w:val="clear" w:color="auto" w:fill="auto"/>
            <w:noWrap/>
            <w:vAlign w:val="center"/>
            <w:hideMark/>
          </w:tcPr>
          <w:p w:rsidRPr="00F14AF4" w:rsidR="00C6166A" w:rsidP="001A3783" w:rsidRDefault="002054A9" w14:paraId="1C630522" w14:textId="2B51D003">
            <w:pPr>
              <w:spacing w:line="240" w:lineRule="auto"/>
              <w:jc w:val="center"/>
              <w:rPr>
                <w:rFonts w:eastAsia="Times New Roman" w:cs="Calibri"/>
                <w:color w:val="000000"/>
                <w:szCs w:val="18"/>
                <w:lang w:val="nl-NL" w:eastAsia="nl-NL"/>
              </w:rPr>
            </w:pPr>
            <w:r w:rsidRPr="002054A9">
              <w:rPr>
                <w:rFonts w:eastAsia="Times New Roman" w:cs="Calibri"/>
                <w:color w:val="000000"/>
                <w:szCs w:val="18"/>
                <w:lang w:val="nl-NL" w:eastAsia="nl-NL"/>
              </w:rPr>
              <w:t>€</w:t>
            </w:r>
            <w:r>
              <w:rPr>
                <w:rFonts w:eastAsia="Times New Roman" w:cs="Calibri"/>
                <w:color w:val="000000"/>
                <w:szCs w:val="18"/>
                <w:lang w:val="nl-NL" w:eastAsia="nl-NL"/>
              </w:rPr>
              <w:t xml:space="preserve"> </w:t>
            </w:r>
            <w:r w:rsidR="00654BB2">
              <w:rPr>
                <w:rFonts w:eastAsia="Times New Roman" w:cs="Calibri"/>
                <w:color w:val="000000"/>
                <w:szCs w:val="18"/>
                <w:lang w:val="nl-NL" w:eastAsia="nl-NL"/>
              </w:rPr>
              <w:t>92</w:t>
            </w:r>
          </w:p>
        </w:tc>
      </w:tr>
    </w:tbl>
    <w:p w:rsidR="00C6166A" w:rsidP="00C6166A" w:rsidRDefault="00C6166A" w14:paraId="38571319" w14:textId="77777777">
      <w:pPr>
        <w:spacing w:line="240" w:lineRule="auto"/>
        <w:ind w:left="1134" w:hanging="1134"/>
        <w:rPr>
          <w:sz w:val="16"/>
          <w:szCs w:val="16"/>
          <w:lang w:val="nl-NL"/>
        </w:rPr>
      </w:pPr>
    </w:p>
    <w:p w:rsidR="00C6166A" w:rsidP="00C6166A" w:rsidRDefault="00C6166A" w14:paraId="7F846B16" w14:textId="1BFC56BA">
      <w:pPr>
        <w:spacing w:line="240" w:lineRule="auto"/>
        <w:ind w:left="1134" w:hanging="1134"/>
        <w:rPr>
          <w:sz w:val="16"/>
          <w:szCs w:val="16"/>
          <w:lang w:val="nl-NL"/>
        </w:rPr>
      </w:pPr>
      <w:r w:rsidRPr="00FB66B6">
        <w:rPr>
          <w:sz w:val="16"/>
          <w:szCs w:val="16"/>
          <w:lang w:val="nl-NL"/>
        </w:rPr>
        <w:t>Afkortingen:</w:t>
      </w:r>
      <w:r>
        <w:rPr>
          <w:sz w:val="16"/>
          <w:szCs w:val="16"/>
          <w:lang w:val="nl-NL"/>
        </w:rPr>
        <w:tab/>
        <w:t xml:space="preserve">EB = eigen bijdrage, </w:t>
      </w:r>
      <w:r w:rsidRPr="00FB66B6">
        <w:rPr>
          <w:sz w:val="16"/>
          <w:szCs w:val="16"/>
          <w:lang w:val="nl-NL"/>
        </w:rPr>
        <w:t>HEB = hoge eigen bijdrage, LEB = lage eigen bijdrage voor zorg met verblijf, VPT = volledig pakket thuis, MPT = modulair pakket thuis, PGB = persoonsgebonden budget.</w:t>
      </w:r>
    </w:p>
    <w:p w:rsidRPr="00766911" w:rsidR="00C6166A" w:rsidP="00C6166A" w:rsidRDefault="00C6166A" w14:paraId="160D365D" w14:textId="2DBC31C9">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 xml:space="preserve">Dit zijn de grenzen waarbij respectievelijk het minimale en maximale effect van de </w:t>
      </w:r>
      <w:r>
        <w:rPr>
          <w:sz w:val="16"/>
          <w:szCs w:val="16"/>
          <w:lang w:val="nl-NL"/>
        </w:rPr>
        <w:t>EVV</w:t>
      </w:r>
      <w:r w:rsidRPr="00766911">
        <w:rPr>
          <w:sz w:val="16"/>
          <w:szCs w:val="16"/>
          <w:lang w:val="nl-NL"/>
        </w:rPr>
        <w:t xml:space="preserve"> </w:t>
      </w:r>
      <w:r>
        <w:rPr>
          <w:sz w:val="16"/>
          <w:szCs w:val="16"/>
          <w:lang w:val="nl-NL"/>
        </w:rPr>
        <w:t>werd</w:t>
      </w:r>
      <w:r w:rsidRPr="00766911">
        <w:rPr>
          <w:sz w:val="16"/>
          <w:szCs w:val="16"/>
          <w:lang w:val="nl-NL"/>
        </w:rPr>
        <w:t xml:space="preserve"> bereikt (voor de situatie </w:t>
      </w:r>
      <w:r w:rsidR="00226EDF">
        <w:rPr>
          <w:sz w:val="16"/>
          <w:szCs w:val="16"/>
          <w:lang w:val="nl-NL"/>
        </w:rPr>
        <w:t>2025</w:t>
      </w:r>
      <w:r w:rsidRPr="00766911">
        <w:rPr>
          <w:sz w:val="16"/>
          <w:szCs w:val="16"/>
          <w:lang w:val="nl-NL"/>
        </w:rPr>
        <w:t xml:space="preserve">, waarbij er wordt gekeken naar de relevante vermogensgrens in </w:t>
      </w:r>
      <w:r w:rsidR="00226EDF">
        <w:rPr>
          <w:sz w:val="16"/>
          <w:szCs w:val="16"/>
          <w:lang w:val="nl-NL"/>
        </w:rPr>
        <w:t>2023</w:t>
      </w:r>
      <w:r w:rsidRPr="00766911">
        <w:rPr>
          <w:sz w:val="16"/>
          <w:szCs w:val="16"/>
          <w:lang w:val="nl-NL"/>
        </w:rPr>
        <w:t>).</w:t>
      </w:r>
    </w:p>
    <w:p w:rsidRPr="00766911" w:rsidR="00C6166A" w:rsidP="00C6166A" w:rsidRDefault="00C6166A" w14:paraId="13EB3B92" w14:textId="64933630">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Bij meerpersoonshuishoudens is uitgegaan van een 50/50-verdeling van het vermogen over de partners. In de praktijk w</w:t>
      </w:r>
      <w:r>
        <w:rPr>
          <w:sz w:val="16"/>
          <w:szCs w:val="16"/>
          <w:lang w:val="nl-NL"/>
        </w:rPr>
        <w:t>erd</w:t>
      </w:r>
      <w:r w:rsidRPr="00766911">
        <w:rPr>
          <w:sz w:val="16"/>
          <w:szCs w:val="16"/>
          <w:lang w:val="nl-NL"/>
        </w:rPr>
        <w:t xml:space="preserve"> echter uitgegaan van de verdeling die in de fiscaliteit </w:t>
      </w:r>
      <w:r>
        <w:rPr>
          <w:sz w:val="16"/>
          <w:szCs w:val="16"/>
          <w:lang w:val="nl-NL"/>
        </w:rPr>
        <w:t>was</w:t>
      </w:r>
      <w:r w:rsidRPr="00766911">
        <w:rPr>
          <w:sz w:val="16"/>
          <w:szCs w:val="16"/>
          <w:lang w:val="nl-NL"/>
        </w:rPr>
        <w:t xml:space="preserve"> gekozen. Een optimale verdeling in de fiscaliteit </w:t>
      </w:r>
      <w:r>
        <w:rPr>
          <w:sz w:val="16"/>
          <w:szCs w:val="16"/>
          <w:lang w:val="nl-NL"/>
        </w:rPr>
        <w:t>was</w:t>
      </w:r>
      <w:r w:rsidRPr="00766911">
        <w:rPr>
          <w:sz w:val="16"/>
          <w:szCs w:val="16"/>
          <w:lang w:val="nl-NL"/>
        </w:rPr>
        <w:t xml:space="preserve"> niet per definitie ook de optimale verdeling bij de CVO. De bedragen in de tabel geven voor de meerpersoonshuishoudens dan ook de maximale effecten weer.</w:t>
      </w:r>
    </w:p>
    <w:p w:rsidRPr="00766911" w:rsidR="00C6166A" w:rsidP="00C6166A" w:rsidRDefault="00C6166A" w14:paraId="425902D7" w14:textId="77777777">
      <w:pPr>
        <w:spacing w:line="240" w:lineRule="auto"/>
        <w:ind w:left="1134" w:hanging="1134"/>
        <w:rPr>
          <w:sz w:val="16"/>
          <w:szCs w:val="16"/>
          <w:lang w:val="nl-NL"/>
        </w:rPr>
      </w:pPr>
      <w:r w:rsidRPr="00766911">
        <w:rPr>
          <w:sz w:val="16"/>
          <w:szCs w:val="16"/>
          <w:lang w:val="nl-NL"/>
        </w:rPr>
        <w:t>***</w:t>
      </w:r>
      <w:r>
        <w:rPr>
          <w:sz w:val="16"/>
          <w:szCs w:val="16"/>
          <w:lang w:val="nl-NL"/>
        </w:rPr>
        <w:tab/>
      </w:r>
      <w:r w:rsidRPr="00766911">
        <w:rPr>
          <w:sz w:val="16"/>
          <w:szCs w:val="16"/>
          <w:lang w:val="nl-NL"/>
        </w:rPr>
        <w:t>De HEB bij meerpersoonshuishoudens komt alleen voor indien beide partners zijn opgenomen in een zorginstelling.</w:t>
      </w:r>
    </w:p>
    <w:p w:rsidR="00C6166A" w:rsidP="00EB0D79" w:rsidRDefault="00C6166A" w14:paraId="4D1032C0" w14:textId="77777777">
      <w:pPr>
        <w:rPr>
          <w:szCs w:val="18"/>
          <w:lang w:val="nl-NL"/>
        </w:rPr>
      </w:pPr>
    </w:p>
    <w:p w:rsidRPr="00766911" w:rsidR="00EB0D79" w:rsidP="00EB0D79" w:rsidRDefault="00EB0D79" w14:paraId="7ED91A25" w14:textId="62E8BE35">
      <w:pPr>
        <w:rPr>
          <w:b/>
          <w:bCs/>
          <w:szCs w:val="18"/>
          <w:lang w:val="nl-NL"/>
        </w:rPr>
      </w:pPr>
      <w:r w:rsidRPr="00766911">
        <w:rPr>
          <w:szCs w:val="18"/>
          <w:lang w:val="nl-NL"/>
        </w:rPr>
        <w:t xml:space="preserve">Voor alleenstaande cliënten met een vermogen in </w:t>
      </w:r>
      <w:r w:rsidR="00226EDF">
        <w:rPr>
          <w:szCs w:val="18"/>
          <w:lang w:val="nl-NL"/>
        </w:rPr>
        <w:t>2023</w:t>
      </w:r>
      <w:r w:rsidRPr="00766911">
        <w:rPr>
          <w:szCs w:val="18"/>
          <w:lang w:val="nl-NL"/>
        </w:rPr>
        <w:t xml:space="preserve"> tot € </w:t>
      </w:r>
      <w:r w:rsidR="00226EDF">
        <w:rPr>
          <w:szCs w:val="18"/>
          <w:lang w:val="nl-NL"/>
        </w:rPr>
        <w:t>33.749</w:t>
      </w:r>
      <w:r w:rsidRPr="00766911">
        <w:rPr>
          <w:szCs w:val="18"/>
          <w:lang w:val="nl-NL"/>
        </w:rPr>
        <w:t xml:space="preserve"> bedr</w:t>
      </w:r>
      <w:r w:rsidR="003E63C5">
        <w:rPr>
          <w:szCs w:val="18"/>
          <w:lang w:val="nl-NL"/>
        </w:rPr>
        <w:t>oeg</w:t>
      </w:r>
      <w:r w:rsidRPr="00766911">
        <w:rPr>
          <w:szCs w:val="18"/>
          <w:lang w:val="nl-NL"/>
        </w:rPr>
        <w:t xml:space="preserve"> de EVV € 0. Dit is namelijk de grens tot waar vermogen voor de VIB al </w:t>
      </w:r>
      <w:r w:rsidR="003E63C5">
        <w:rPr>
          <w:szCs w:val="18"/>
          <w:lang w:val="nl-NL"/>
        </w:rPr>
        <w:t>was</w:t>
      </w:r>
      <w:r w:rsidRPr="00766911">
        <w:rPr>
          <w:szCs w:val="18"/>
          <w:lang w:val="nl-NL"/>
        </w:rPr>
        <w:t xml:space="preserve"> vrijgesteld voor de eigen bijdragen. Bij een vermogen van meer dan € </w:t>
      </w:r>
      <w:r w:rsidR="00226EDF">
        <w:rPr>
          <w:szCs w:val="18"/>
          <w:lang w:val="nl-NL"/>
        </w:rPr>
        <w:t>45.282</w:t>
      </w:r>
      <w:r w:rsidRPr="00766911">
        <w:rPr>
          <w:szCs w:val="18"/>
          <w:lang w:val="nl-NL"/>
        </w:rPr>
        <w:t xml:space="preserve"> bereikt</w:t>
      </w:r>
      <w:r w:rsidR="003E63C5">
        <w:rPr>
          <w:szCs w:val="18"/>
          <w:lang w:val="nl-NL"/>
        </w:rPr>
        <w:t>e</w:t>
      </w:r>
      <w:r w:rsidRPr="00766911">
        <w:rPr>
          <w:szCs w:val="18"/>
          <w:lang w:val="nl-NL"/>
        </w:rPr>
        <w:t xml:space="preserve"> de EVV het maximum van €</w:t>
      </w:r>
      <w:r w:rsidR="00226EDF">
        <w:rPr>
          <w:szCs w:val="18"/>
          <w:lang w:val="nl-NL"/>
        </w:rPr>
        <w:t> 11.534</w:t>
      </w:r>
      <w:r w:rsidRPr="00766911">
        <w:rPr>
          <w:szCs w:val="18"/>
          <w:lang w:val="nl-NL"/>
        </w:rPr>
        <w:t xml:space="preserve">. Bij de </w:t>
      </w:r>
      <w:r w:rsidR="00CE0432">
        <w:rPr>
          <w:szCs w:val="18"/>
          <w:lang w:val="nl-NL"/>
        </w:rPr>
        <w:t>HEB</w:t>
      </w:r>
      <w:r w:rsidRPr="00766911">
        <w:rPr>
          <w:szCs w:val="18"/>
          <w:lang w:val="nl-NL"/>
        </w:rPr>
        <w:t xml:space="preserve"> werkt</w:t>
      </w:r>
      <w:r w:rsidR="003E63C5">
        <w:rPr>
          <w:szCs w:val="18"/>
          <w:lang w:val="nl-NL"/>
        </w:rPr>
        <w:t>e</w:t>
      </w:r>
      <w:r w:rsidRPr="00766911">
        <w:rPr>
          <w:szCs w:val="18"/>
          <w:lang w:val="nl-NL"/>
        </w:rPr>
        <w:t xml:space="preserve"> dit bedrag via de VIB van 4% voor € </w:t>
      </w:r>
      <w:r w:rsidR="00226EDF">
        <w:rPr>
          <w:szCs w:val="18"/>
          <w:lang w:val="nl-NL"/>
        </w:rPr>
        <w:t>461</w:t>
      </w:r>
      <w:r w:rsidRPr="00766911">
        <w:rPr>
          <w:szCs w:val="18"/>
          <w:lang w:val="nl-NL"/>
        </w:rPr>
        <w:t xml:space="preserve"> door in de uiteindelijke eigen bijdrage per jaar (€ </w:t>
      </w:r>
      <w:r w:rsidR="00226EDF">
        <w:rPr>
          <w:szCs w:val="18"/>
          <w:lang w:val="nl-NL"/>
        </w:rPr>
        <w:t>11.534</w:t>
      </w:r>
      <w:r w:rsidRPr="00766911">
        <w:rPr>
          <w:szCs w:val="18"/>
          <w:lang w:val="nl-NL"/>
        </w:rPr>
        <w:t xml:space="preserve"> * 4%). Bij de </w:t>
      </w:r>
      <w:r w:rsidR="00CE0432">
        <w:rPr>
          <w:szCs w:val="18"/>
          <w:lang w:val="nl-NL"/>
        </w:rPr>
        <w:t>LEB</w:t>
      </w:r>
      <w:r w:rsidRPr="00766911">
        <w:rPr>
          <w:szCs w:val="18"/>
          <w:lang w:val="nl-NL"/>
        </w:rPr>
        <w:t xml:space="preserve"> werkt</w:t>
      </w:r>
      <w:r w:rsidR="003E63C5">
        <w:rPr>
          <w:szCs w:val="18"/>
          <w:lang w:val="nl-NL"/>
        </w:rPr>
        <w:t>e</w:t>
      </w:r>
      <w:r w:rsidRPr="00766911">
        <w:rPr>
          <w:szCs w:val="18"/>
          <w:lang w:val="nl-NL"/>
        </w:rPr>
        <w:t xml:space="preserve"> de EVV middels de VIB van 4% en het marginaal tarief van 10% voor € </w:t>
      </w:r>
      <w:r w:rsidR="00226EDF">
        <w:rPr>
          <w:szCs w:val="18"/>
          <w:lang w:val="nl-NL"/>
        </w:rPr>
        <w:t>46</w:t>
      </w:r>
      <w:r w:rsidRPr="00766911">
        <w:rPr>
          <w:szCs w:val="18"/>
          <w:lang w:val="nl-NL"/>
        </w:rPr>
        <w:t xml:space="preserve"> door op de uiteindelijke eigen bijdrage per jaar (€ </w:t>
      </w:r>
      <w:r w:rsidR="00226EDF">
        <w:rPr>
          <w:szCs w:val="18"/>
          <w:lang w:val="nl-NL"/>
        </w:rPr>
        <w:t>11.534</w:t>
      </w:r>
      <w:r w:rsidRPr="00766911">
        <w:rPr>
          <w:szCs w:val="18"/>
          <w:lang w:val="nl-NL"/>
        </w:rPr>
        <w:t> * 4% * 10%). Voor meerpersoonshuishoudens bedr</w:t>
      </w:r>
      <w:r w:rsidR="003E63C5">
        <w:rPr>
          <w:szCs w:val="18"/>
          <w:lang w:val="nl-NL"/>
        </w:rPr>
        <w:t>oegen</w:t>
      </w:r>
      <w:r w:rsidRPr="00766911">
        <w:rPr>
          <w:szCs w:val="18"/>
          <w:lang w:val="nl-NL"/>
        </w:rPr>
        <w:t xml:space="preserve"> de effecten maximaal tweemaal het effect van alleenstaanden. </w:t>
      </w:r>
      <w:r w:rsidRPr="00766911">
        <w:rPr>
          <w:bCs/>
          <w:lang w:val="nl-NL"/>
        </w:rPr>
        <w:t xml:space="preserve">Anders dan bij de CVO, </w:t>
      </w:r>
      <w:r w:rsidR="003E63C5">
        <w:rPr>
          <w:bCs/>
          <w:lang w:val="nl-NL"/>
        </w:rPr>
        <w:t>is</w:t>
      </w:r>
      <w:r w:rsidRPr="00766911">
        <w:rPr>
          <w:bCs/>
          <w:lang w:val="nl-NL"/>
        </w:rPr>
        <w:t xml:space="preserve"> de EVV in één keer volledig afgeschaft, omdat hier kleinere financiële effecten </w:t>
      </w:r>
      <w:r w:rsidR="003E63C5">
        <w:rPr>
          <w:bCs/>
          <w:lang w:val="nl-NL"/>
        </w:rPr>
        <w:t>mee gepaard gingen</w:t>
      </w:r>
      <w:r w:rsidRPr="00766911">
        <w:rPr>
          <w:bCs/>
          <w:lang w:val="nl-NL"/>
        </w:rPr>
        <w:t>.</w:t>
      </w:r>
    </w:p>
    <w:p w:rsidRPr="00766911" w:rsidR="00EB0D79" w:rsidP="00EB0D79" w:rsidRDefault="00EB0D79" w14:paraId="78B5D048" w14:textId="30D21987">
      <w:pPr>
        <w:rPr>
          <w:lang w:val="nl-NL"/>
        </w:rPr>
      </w:pPr>
    </w:p>
    <w:p w:rsidR="00724283" w:rsidP="00EB0D79" w:rsidRDefault="00EB0D79" w14:paraId="4E529ACC" w14:textId="1A9B9DAE">
      <w:pPr>
        <w:rPr>
          <w:lang w:val="nl-NL"/>
        </w:rPr>
      </w:pPr>
      <w:r w:rsidRPr="00766911">
        <w:rPr>
          <w:lang w:val="nl-NL"/>
        </w:rPr>
        <w:t xml:space="preserve">Tabel </w:t>
      </w:r>
      <w:r w:rsidR="0099649A">
        <w:rPr>
          <w:lang w:val="nl-NL"/>
        </w:rPr>
        <w:t>4</w:t>
      </w:r>
      <w:r w:rsidRPr="00766911">
        <w:rPr>
          <w:lang w:val="nl-NL"/>
        </w:rPr>
        <w:t xml:space="preserve"> toont het aantal huishoudens dat op peildatum 1 januari 2024 in aanmerking kwam voor de EVV </w:t>
      </w:r>
      <w:r w:rsidR="0099649A">
        <w:rPr>
          <w:lang w:val="nl-NL"/>
        </w:rPr>
        <w:t>met betrekking tot eigen bijdragen voor zorg op grond van</w:t>
      </w:r>
      <w:r w:rsidRPr="00766911" w:rsidR="0099649A">
        <w:rPr>
          <w:lang w:val="nl-NL"/>
        </w:rPr>
        <w:t xml:space="preserve"> </w:t>
      </w:r>
      <w:r w:rsidRPr="00766911">
        <w:rPr>
          <w:lang w:val="nl-NL"/>
        </w:rPr>
        <w:t xml:space="preserve">de Wlz of beschermd wonen </w:t>
      </w:r>
      <w:r w:rsidR="0099649A">
        <w:rPr>
          <w:lang w:val="nl-NL"/>
        </w:rPr>
        <w:t xml:space="preserve">op grond van </w:t>
      </w:r>
      <w:r w:rsidRPr="00766911">
        <w:rPr>
          <w:lang w:val="nl-NL"/>
        </w:rPr>
        <w:t xml:space="preserve">de Wmo 2015. Tevens toont de tabel </w:t>
      </w:r>
      <w:r w:rsidR="0099649A">
        <w:rPr>
          <w:lang w:val="nl-NL"/>
        </w:rPr>
        <w:t>het aandeel</w:t>
      </w:r>
      <w:r w:rsidR="00CA256B">
        <w:rPr>
          <w:lang w:val="nl-NL"/>
        </w:rPr>
        <w:t xml:space="preserve"> </w:t>
      </w:r>
      <w:r w:rsidRPr="00766911">
        <w:rPr>
          <w:lang w:val="nl-NL"/>
        </w:rPr>
        <w:t xml:space="preserve">huishoudens dat </w:t>
      </w:r>
      <w:r w:rsidR="00CA256B">
        <w:rPr>
          <w:lang w:val="nl-NL"/>
        </w:rPr>
        <w:t xml:space="preserve">een HEB of LEB </w:t>
      </w:r>
      <w:r w:rsidRPr="00766911">
        <w:rPr>
          <w:lang w:val="nl-NL"/>
        </w:rPr>
        <w:t>betaal</w:t>
      </w:r>
      <w:r w:rsidR="00CA256B">
        <w:rPr>
          <w:lang w:val="nl-NL"/>
        </w:rPr>
        <w:t>de.</w:t>
      </w:r>
      <w:r w:rsidRPr="00766911">
        <w:rPr>
          <w:lang w:val="nl-NL"/>
        </w:rPr>
        <w:t xml:space="preserve"> </w:t>
      </w:r>
      <w:r w:rsidR="00CA256B">
        <w:rPr>
          <w:lang w:val="nl-NL"/>
        </w:rPr>
        <w:t>In de tabel is het volgende te zien:</w:t>
      </w:r>
    </w:p>
    <w:p w:rsidR="00724283" w:rsidP="004804AD" w:rsidRDefault="00EB0D79" w14:paraId="136EE8AF" w14:textId="0B156647">
      <w:pPr>
        <w:pStyle w:val="Lijstalinea"/>
        <w:numPr>
          <w:ilvl w:val="0"/>
          <w:numId w:val="18"/>
        </w:numPr>
        <w:ind w:left="426" w:hanging="426"/>
        <w:rPr>
          <w:lang w:val="nl-NL"/>
        </w:rPr>
      </w:pPr>
      <w:r w:rsidRPr="00724283">
        <w:rPr>
          <w:lang w:val="nl-NL"/>
        </w:rPr>
        <w:t xml:space="preserve">Respectievelijk 22.400 en 200 alleenstaande cliënten in de Wlz en beschermd wonen in de Wmo 2015 kwamen in aanmerking voor de maximale EVV. </w:t>
      </w:r>
    </w:p>
    <w:p w:rsidR="00724283" w:rsidP="004804AD" w:rsidRDefault="00EB0D79" w14:paraId="4CB9730E" w14:textId="4EA04B9B">
      <w:pPr>
        <w:pStyle w:val="Lijstalinea"/>
        <w:numPr>
          <w:ilvl w:val="1"/>
          <w:numId w:val="18"/>
        </w:numPr>
        <w:ind w:left="851" w:hanging="426"/>
        <w:rPr>
          <w:lang w:val="nl-NL"/>
        </w:rPr>
      </w:pPr>
      <w:r w:rsidRPr="00724283">
        <w:rPr>
          <w:lang w:val="nl-NL"/>
        </w:rPr>
        <w:t>78% en 88% van deze cliënten beta</w:t>
      </w:r>
      <w:r w:rsidR="00CA256B">
        <w:rPr>
          <w:lang w:val="nl-NL"/>
        </w:rPr>
        <w:t>a</w:t>
      </w:r>
      <w:r w:rsidRPr="00724283">
        <w:rPr>
          <w:lang w:val="nl-NL"/>
        </w:rPr>
        <w:t>l</w:t>
      </w:r>
      <w:r w:rsidR="00CA256B">
        <w:rPr>
          <w:lang w:val="nl-NL"/>
        </w:rPr>
        <w:t>d</w:t>
      </w:r>
      <w:r w:rsidRPr="00724283">
        <w:rPr>
          <w:lang w:val="nl-NL"/>
        </w:rPr>
        <w:t xml:space="preserve">en de </w:t>
      </w:r>
      <w:r w:rsidR="00B76BCF">
        <w:rPr>
          <w:lang w:val="nl-NL"/>
        </w:rPr>
        <w:t>HEB</w:t>
      </w:r>
      <w:r w:rsidRPr="00724283">
        <w:rPr>
          <w:lang w:val="nl-NL"/>
        </w:rPr>
        <w:t xml:space="preserve">, waardoor de afschaffing van de EVV tot een stijging van de eigen bijdrage </w:t>
      </w:r>
      <w:r w:rsidRPr="00724283" w:rsidR="003659A2">
        <w:rPr>
          <w:lang w:val="nl-NL"/>
        </w:rPr>
        <w:t xml:space="preserve">op jaarbasis </w:t>
      </w:r>
      <w:r w:rsidRPr="00724283">
        <w:rPr>
          <w:lang w:val="nl-NL"/>
        </w:rPr>
        <w:t>met € </w:t>
      </w:r>
      <w:r w:rsidR="00226EDF">
        <w:rPr>
          <w:lang w:val="nl-NL"/>
        </w:rPr>
        <w:t>461</w:t>
      </w:r>
      <w:r w:rsidRPr="00724283">
        <w:rPr>
          <w:lang w:val="nl-NL"/>
        </w:rPr>
        <w:t xml:space="preserve"> </w:t>
      </w:r>
      <w:r w:rsidR="00CA256B">
        <w:rPr>
          <w:lang w:val="nl-NL"/>
        </w:rPr>
        <w:t>heeft geleid.</w:t>
      </w:r>
    </w:p>
    <w:p w:rsidR="00724283" w:rsidP="004804AD" w:rsidRDefault="00EB0D79" w14:paraId="38C0E557" w14:textId="25F46AE0">
      <w:pPr>
        <w:pStyle w:val="Lijstalinea"/>
        <w:numPr>
          <w:ilvl w:val="0"/>
          <w:numId w:val="18"/>
        </w:numPr>
        <w:ind w:left="426" w:hanging="426"/>
        <w:rPr>
          <w:lang w:val="nl-NL"/>
        </w:rPr>
      </w:pPr>
      <w:r w:rsidRPr="00724283">
        <w:rPr>
          <w:lang w:val="nl-NL"/>
        </w:rPr>
        <w:t>In de Wlz k</w:t>
      </w:r>
      <w:r w:rsidR="00CA256B">
        <w:rPr>
          <w:lang w:val="nl-NL"/>
        </w:rPr>
        <w:t>wamen</w:t>
      </w:r>
      <w:r w:rsidRPr="00724283">
        <w:rPr>
          <w:lang w:val="nl-NL"/>
        </w:rPr>
        <w:t xml:space="preserve"> 1.200 meerpersoonshuishoudens in aanmerking voor de EVV, waarvan voor 500 huishoudens één keer de maximale EVV </w:t>
      </w:r>
      <w:r w:rsidR="00CA256B">
        <w:rPr>
          <w:lang w:val="nl-NL"/>
        </w:rPr>
        <w:t xml:space="preserve">van toepassing was, </w:t>
      </w:r>
      <w:r w:rsidRPr="00724283">
        <w:rPr>
          <w:lang w:val="nl-NL"/>
        </w:rPr>
        <w:t xml:space="preserve">voor 400 huishoudens tweemaal de maximale EVV en voor 300 huishoudens een ander bedrag. De aantallen voor beschermd wonen in de Wmo 2015 </w:t>
      </w:r>
      <w:r w:rsidR="00CA256B">
        <w:rPr>
          <w:lang w:val="nl-NL"/>
        </w:rPr>
        <w:t>waren</w:t>
      </w:r>
      <w:r w:rsidRPr="00724283">
        <w:rPr>
          <w:lang w:val="nl-NL"/>
        </w:rPr>
        <w:t xml:space="preserve"> zeer beperkt. </w:t>
      </w:r>
    </w:p>
    <w:p w:rsidR="00EB0D79" w:rsidP="004804AD" w:rsidRDefault="00EB0D79" w14:paraId="72044108" w14:textId="40770778">
      <w:pPr>
        <w:pStyle w:val="Lijstalinea"/>
        <w:numPr>
          <w:ilvl w:val="1"/>
          <w:numId w:val="18"/>
        </w:numPr>
        <w:ind w:left="851" w:hanging="426"/>
        <w:rPr>
          <w:lang w:val="nl-NL"/>
        </w:rPr>
      </w:pPr>
      <w:r w:rsidRPr="00724283">
        <w:rPr>
          <w:lang w:val="nl-NL"/>
        </w:rPr>
        <w:lastRenderedPageBreak/>
        <w:t>Bij de</w:t>
      </w:r>
      <w:r w:rsidRPr="00724283" w:rsidR="005417AE">
        <w:rPr>
          <w:lang w:val="nl-NL"/>
        </w:rPr>
        <w:t xml:space="preserve"> </w:t>
      </w:r>
      <w:r w:rsidRPr="00724283">
        <w:rPr>
          <w:lang w:val="nl-NL"/>
        </w:rPr>
        <w:t xml:space="preserve">meerpersoonshuishoudens is zichtbaar dat het aandeel huishoudens dat de </w:t>
      </w:r>
      <w:r w:rsidR="00B76BCF">
        <w:rPr>
          <w:lang w:val="nl-NL"/>
        </w:rPr>
        <w:t>HEB</w:t>
      </w:r>
      <w:r w:rsidRPr="00724283">
        <w:rPr>
          <w:lang w:val="nl-NL"/>
        </w:rPr>
        <w:t xml:space="preserve"> betaal</w:t>
      </w:r>
      <w:r w:rsidR="00CA256B">
        <w:rPr>
          <w:lang w:val="nl-NL"/>
        </w:rPr>
        <w:t>de</w:t>
      </w:r>
      <w:r w:rsidRPr="00724283">
        <w:rPr>
          <w:lang w:val="nl-NL"/>
        </w:rPr>
        <w:t xml:space="preserve"> zeer laag l</w:t>
      </w:r>
      <w:r w:rsidR="00CA256B">
        <w:rPr>
          <w:lang w:val="nl-NL"/>
        </w:rPr>
        <w:t>ag</w:t>
      </w:r>
      <w:r w:rsidRPr="00724283" w:rsidR="003659A2">
        <w:rPr>
          <w:lang w:val="nl-NL"/>
        </w:rPr>
        <w:t>.</w:t>
      </w:r>
      <w:r w:rsidRPr="00724283">
        <w:rPr>
          <w:lang w:val="nl-NL"/>
        </w:rPr>
        <w:t xml:space="preserve"> Dit betekent dat er slechts een zeer beperkt aantal huishoudens </w:t>
      </w:r>
      <w:r w:rsidR="00CA256B">
        <w:rPr>
          <w:lang w:val="nl-NL"/>
        </w:rPr>
        <w:t>was</w:t>
      </w:r>
      <w:r w:rsidRPr="00724283">
        <w:rPr>
          <w:lang w:val="nl-NL"/>
        </w:rPr>
        <w:t xml:space="preserve"> waarbij de hoogte van de EVV </w:t>
      </w:r>
      <w:r w:rsidR="00CA256B">
        <w:rPr>
          <w:lang w:val="nl-NL"/>
        </w:rPr>
        <w:t xml:space="preserve">voor </w:t>
      </w:r>
      <w:r w:rsidR="000E0204">
        <w:rPr>
          <w:lang w:val="nl-NL"/>
        </w:rPr>
        <w:t>100%</w:t>
      </w:r>
      <w:r w:rsidRPr="00724283" w:rsidR="000E0204">
        <w:rPr>
          <w:lang w:val="nl-NL"/>
        </w:rPr>
        <w:t xml:space="preserve"> </w:t>
      </w:r>
      <w:r w:rsidRPr="00724283">
        <w:rPr>
          <w:lang w:val="nl-NL"/>
        </w:rPr>
        <w:t>doorwerkt</w:t>
      </w:r>
      <w:r w:rsidR="00CA256B">
        <w:rPr>
          <w:lang w:val="nl-NL"/>
        </w:rPr>
        <w:t>e</w:t>
      </w:r>
      <w:r w:rsidRPr="00724283">
        <w:rPr>
          <w:lang w:val="nl-NL"/>
        </w:rPr>
        <w:t xml:space="preserve"> in de eigen bijdrage. Het overgrote deel betaal</w:t>
      </w:r>
      <w:r w:rsidR="00CA256B">
        <w:rPr>
          <w:lang w:val="nl-NL"/>
        </w:rPr>
        <w:t>de</w:t>
      </w:r>
      <w:r w:rsidRPr="00724283">
        <w:rPr>
          <w:lang w:val="nl-NL"/>
        </w:rPr>
        <w:t xml:space="preserve"> de </w:t>
      </w:r>
      <w:r w:rsidR="00B76BCF">
        <w:rPr>
          <w:lang w:val="nl-NL"/>
        </w:rPr>
        <w:t>LEB</w:t>
      </w:r>
      <w:r w:rsidRPr="00724283">
        <w:rPr>
          <w:lang w:val="nl-NL"/>
        </w:rPr>
        <w:t xml:space="preserve"> waarbij de EVV </w:t>
      </w:r>
      <w:r w:rsidR="000E0204">
        <w:rPr>
          <w:lang w:val="nl-NL"/>
        </w:rPr>
        <w:t xml:space="preserve">– vanwege het marginale tarief – </w:t>
      </w:r>
      <w:r w:rsidRPr="00724283">
        <w:rPr>
          <w:lang w:val="nl-NL"/>
        </w:rPr>
        <w:t>voor 10% meetel</w:t>
      </w:r>
      <w:r w:rsidR="00CA256B">
        <w:rPr>
          <w:lang w:val="nl-NL"/>
        </w:rPr>
        <w:t>de</w:t>
      </w:r>
      <w:r w:rsidRPr="00724283">
        <w:rPr>
          <w:lang w:val="nl-NL"/>
        </w:rPr>
        <w:t xml:space="preserve"> in de eigen bijdrage.</w:t>
      </w:r>
    </w:p>
    <w:p w:rsidRPr="00633F12" w:rsidR="00633F12" w:rsidP="005720C9" w:rsidRDefault="00633F12" w14:paraId="4B26D9C6" w14:textId="4E3F9673">
      <w:pPr>
        <w:pStyle w:val="Lijstalinea"/>
        <w:numPr>
          <w:ilvl w:val="0"/>
          <w:numId w:val="18"/>
        </w:numPr>
        <w:ind w:left="426"/>
        <w:rPr>
          <w:szCs w:val="18"/>
          <w:lang w:val="nl-NL"/>
        </w:rPr>
      </w:pPr>
      <w:r>
        <w:rPr>
          <w:szCs w:val="18"/>
          <w:lang w:val="nl-NL"/>
        </w:rPr>
        <w:t>Hoewel de eigen bijdragen door afschaffing van de EVV k</w:t>
      </w:r>
      <w:r w:rsidR="00CA256B">
        <w:rPr>
          <w:szCs w:val="18"/>
          <w:lang w:val="nl-NL"/>
        </w:rPr>
        <w:t>onden</w:t>
      </w:r>
      <w:r>
        <w:rPr>
          <w:szCs w:val="18"/>
          <w:lang w:val="nl-NL"/>
        </w:rPr>
        <w:t xml:space="preserve"> toenemen, </w:t>
      </w:r>
      <w:r w:rsidR="00D47949">
        <w:rPr>
          <w:szCs w:val="18"/>
          <w:lang w:val="nl-NL"/>
        </w:rPr>
        <w:t xml:space="preserve">worden </w:t>
      </w:r>
      <w:r>
        <w:rPr>
          <w:szCs w:val="18"/>
          <w:lang w:val="nl-NL"/>
        </w:rPr>
        <w:t xml:space="preserve">deze effecten draagbaar geacht. Het idee achter eigen bijdragen die afhankelijk zijn van zowel inkomen als vermogen, is dat men ook vanuit vermogen bijdraagt aan de financiering van de zorg. Indien het inkomen niet toereikend is om de eigen bijdrage van te betalen (voornamelijk bij de HEB), dan wordt men geacht hier een deel van het vermogen voor in te zetten. Cliënten die </w:t>
      </w:r>
      <w:r w:rsidR="00CA256B">
        <w:rPr>
          <w:szCs w:val="18"/>
          <w:lang w:val="nl-NL"/>
        </w:rPr>
        <w:t xml:space="preserve">geconfronteerd werden </w:t>
      </w:r>
      <w:r>
        <w:rPr>
          <w:szCs w:val="18"/>
          <w:lang w:val="nl-NL"/>
        </w:rPr>
        <w:t>met een verhoging van de eigen bijdrage door afschaffing van de EVV h</w:t>
      </w:r>
      <w:r w:rsidR="00CA256B">
        <w:rPr>
          <w:szCs w:val="18"/>
          <w:lang w:val="nl-NL"/>
        </w:rPr>
        <w:t>adden</w:t>
      </w:r>
      <w:r>
        <w:rPr>
          <w:szCs w:val="18"/>
          <w:lang w:val="nl-NL"/>
        </w:rPr>
        <w:t xml:space="preserve"> een vermogen van minstens € </w:t>
      </w:r>
      <w:r w:rsidR="00226EDF">
        <w:rPr>
          <w:szCs w:val="18"/>
          <w:lang w:val="nl-NL"/>
        </w:rPr>
        <w:t>33.749</w:t>
      </w:r>
      <w:r>
        <w:rPr>
          <w:szCs w:val="18"/>
          <w:lang w:val="nl-NL"/>
        </w:rPr>
        <w:t xml:space="preserve">, waardoor de effecten van de afschaffing van de EVV </w:t>
      </w:r>
      <w:r w:rsidR="00CA256B">
        <w:rPr>
          <w:szCs w:val="18"/>
          <w:lang w:val="nl-NL"/>
        </w:rPr>
        <w:t xml:space="preserve">draagbaar </w:t>
      </w:r>
      <w:r w:rsidR="00D47949">
        <w:rPr>
          <w:szCs w:val="18"/>
          <w:lang w:val="nl-NL"/>
        </w:rPr>
        <w:t xml:space="preserve">worden </w:t>
      </w:r>
      <w:r w:rsidR="00CA256B">
        <w:rPr>
          <w:szCs w:val="18"/>
          <w:lang w:val="nl-NL"/>
        </w:rPr>
        <w:t>geacht</w:t>
      </w:r>
      <w:r>
        <w:rPr>
          <w:szCs w:val="18"/>
          <w:lang w:val="nl-NL"/>
        </w:rPr>
        <w:t>.</w:t>
      </w:r>
    </w:p>
    <w:p w:rsidRPr="00766911" w:rsidR="00EB0D79" w:rsidP="00EB0D79" w:rsidRDefault="00EB0D79" w14:paraId="283FB8E2" w14:textId="209A7FA9">
      <w:pPr>
        <w:rPr>
          <w:lang w:val="nl-NL"/>
        </w:rPr>
      </w:pPr>
    </w:p>
    <w:p w:rsidRPr="00766911" w:rsidR="00EB0D79" w:rsidP="00EB0D79" w:rsidRDefault="00EB0D79" w14:paraId="2FA47C03" w14:textId="2ED3AF2C">
      <w:pPr>
        <w:rPr>
          <w:i/>
          <w:iCs/>
          <w:lang w:val="nl-NL"/>
        </w:rPr>
      </w:pPr>
      <w:r w:rsidRPr="00766911">
        <w:rPr>
          <w:i/>
          <w:iCs/>
          <w:lang w:val="nl-NL"/>
        </w:rPr>
        <w:t xml:space="preserve">Tabel </w:t>
      </w:r>
      <w:r w:rsidR="0099649A">
        <w:rPr>
          <w:i/>
          <w:iCs/>
          <w:lang w:val="nl-NL"/>
        </w:rPr>
        <w:t>4</w:t>
      </w:r>
      <w:r w:rsidRPr="00766911">
        <w:rPr>
          <w:i/>
          <w:iCs/>
          <w:lang w:val="nl-NL"/>
        </w:rPr>
        <w:t>: Aantal huishoudens met EVV (peildatum 1 januari 2024, aantallen afgerond op honderdtallen)</w:t>
      </w:r>
    </w:p>
    <w:tbl>
      <w:tblPr>
        <w:tblW w:w="9015"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531"/>
        <w:gridCol w:w="1247"/>
        <w:gridCol w:w="1247"/>
        <w:gridCol w:w="1248"/>
        <w:gridCol w:w="1247"/>
        <w:gridCol w:w="1247"/>
        <w:gridCol w:w="1248"/>
      </w:tblGrid>
      <w:tr w:rsidRPr="00694CD8" w:rsidR="00694CD8" w:rsidTr="005720C9" w14:paraId="127A17FC" w14:textId="77777777">
        <w:trPr>
          <w:trHeight w:val="290"/>
        </w:trPr>
        <w:tc>
          <w:tcPr>
            <w:tcW w:w="1531" w:type="dxa"/>
            <w:tcBorders>
              <w:top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06A36E6B" w14:textId="33C1DFB4">
            <w:pPr>
              <w:spacing w:line="240" w:lineRule="auto"/>
              <w:jc w:val="center"/>
              <w:rPr>
                <w:rFonts w:eastAsia="Times New Roman" w:cs="Calibri"/>
                <w:b/>
                <w:bCs/>
                <w:color w:val="000000"/>
                <w:szCs w:val="18"/>
                <w:lang w:val="nl-NL" w:eastAsia="nl-NL"/>
              </w:rPr>
            </w:pPr>
          </w:p>
        </w:tc>
        <w:tc>
          <w:tcPr>
            <w:tcW w:w="37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7CF67716" w14:textId="0B7A1E24">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Wlz</w:t>
            </w:r>
          </w:p>
        </w:tc>
        <w:tc>
          <w:tcPr>
            <w:tcW w:w="3742" w:type="dxa"/>
            <w:gridSpan w:val="3"/>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3505B92D" w14:textId="48EBF67A">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Beschermd wonen Wmo 2015</w:t>
            </w:r>
          </w:p>
        </w:tc>
      </w:tr>
      <w:tr w:rsidRPr="00694CD8" w:rsidR="00694CD8" w:rsidTr="005720C9" w14:paraId="5D962049" w14:textId="77777777">
        <w:trPr>
          <w:trHeight w:val="290"/>
        </w:trPr>
        <w:tc>
          <w:tcPr>
            <w:tcW w:w="1531" w:type="dxa"/>
            <w:tcBorders>
              <w:top w:val="single" w:color="auto" w:sz="4" w:space="0"/>
              <w:bottom w:val="nil"/>
              <w:right w:val="single" w:color="auto" w:sz="4" w:space="0"/>
            </w:tcBorders>
            <w:shd w:val="clear" w:color="auto" w:fill="auto"/>
            <w:noWrap/>
            <w:vAlign w:val="center"/>
            <w:hideMark/>
          </w:tcPr>
          <w:p w:rsidRPr="005720C9" w:rsidR="00694CD8" w:rsidP="005720C9" w:rsidRDefault="00694CD8" w14:paraId="37D90A05" w14:textId="6C86725A">
            <w:pPr>
              <w:spacing w:line="240" w:lineRule="auto"/>
              <w:jc w:val="center"/>
              <w:rPr>
                <w:rFonts w:eastAsia="Times New Roman" w:cs="Calibri"/>
                <w:b/>
                <w:bCs/>
                <w:color w:val="000000"/>
                <w:szCs w:val="18"/>
                <w:lang w:val="nl-NL" w:eastAsia="nl-NL"/>
              </w:rPr>
            </w:pPr>
            <w:r w:rsidRPr="00275BE4">
              <w:rPr>
                <w:rFonts w:eastAsia="Times New Roman" w:cs="Calibri"/>
                <w:b/>
                <w:bCs/>
                <w:color w:val="000000"/>
                <w:szCs w:val="18"/>
                <w:lang w:val="nl-NL" w:eastAsia="nl-NL"/>
              </w:rPr>
              <w:t>Hoogte EVV</w:t>
            </w:r>
          </w:p>
        </w:tc>
        <w:tc>
          <w:tcPr>
            <w:tcW w:w="37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12AC7AE5" w14:textId="1EF6BCA3">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Alleenstaanden</w:t>
            </w:r>
          </w:p>
        </w:tc>
        <w:tc>
          <w:tcPr>
            <w:tcW w:w="3742" w:type="dxa"/>
            <w:gridSpan w:val="3"/>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4F9E35F0" w14:textId="1E2E98E0">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Alleenstaanden</w:t>
            </w:r>
          </w:p>
        </w:tc>
      </w:tr>
      <w:tr w:rsidRPr="00694CD8" w:rsidR="00694CD8" w:rsidTr="005720C9" w14:paraId="161677DF" w14:textId="77777777">
        <w:trPr>
          <w:trHeight w:val="290"/>
        </w:trPr>
        <w:tc>
          <w:tcPr>
            <w:tcW w:w="1531" w:type="dxa"/>
            <w:tcBorders>
              <w:top w:val="nil"/>
              <w:bottom w:val="single" w:color="auto" w:sz="4" w:space="0"/>
              <w:right w:val="single" w:color="auto" w:sz="4" w:space="0"/>
            </w:tcBorders>
            <w:shd w:val="clear" w:color="auto" w:fill="auto"/>
            <w:noWrap/>
            <w:vAlign w:val="center"/>
            <w:hideMark/>
          </w:tcPr>
          <w:p w:rsidRPr="005720C9" w:rsidR="00694CD8" w:rsidP="005720C9" w:rsidRDefault="00694CD8" w14:paraId="15876F76" w14:textId="175410E3">
            <w:pPr>
              <w:spacing w:line="240" w:lineRule="auto"/>
              <w:jc w:val="center"/>
              <w:rPr>
                <w:rFonts w:eastAsia="Times New Roman" w:cs="Calibri"/>
                <w:b/>
                <w:bCs/>
                <w:color w:val="000000"/>
                <w:szCs w:val="18"/>
                <w:lang w:val="nl-NL" w:eastAsia="nl-NL"/>
              </w:rPr>
            </w:pP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07CBB57F"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2CFE8262"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HEB</w:t>
            </w:r>
          </w:p>
        </w:tc>
        <w:tc>
          <w:tcPr>
            <w:tcW w:w="1248" w:type="dxa"/>
            <w:tcBorders>
              <w:top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3ADCBAC0"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LEB</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40F526BA"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17DB7248"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HEB</w:t>
            </w:r>
          </w:p>
        </w:tc>
        <w:tc>
          <w:tcPr>
            <w:tcW w:w="1248" w:type="dxa"/>
            <w:tcBorders>
              <w:top w:val="single" w:color="auto" w:sz="4" w:space="0"/>
              <w:bottom w:val="single" w:color="auto" w:sz="4" w:space="0"/>
            </w:tcBorders>
            <w:shd w:val="clear" w:color="auto" w:fill="auto"/>
            <w:noWrap/>
            <w:vAlign w:val="center"/>
            <w:hideMark/>
          </w:tcPr>
          <w:p w:rsidRPr="005720C9" w:rsidR="00694CD8" w:rsidP="005720C9" w:rsidRDefault="00694CD8" w14:paraId="58BBFD49"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LEB</w:t>
            </w:r>
          </w:p>
        </w:tc>
      </w:tr>
      <w:tr w:rsidRPr="00694CD8" w:rsidR="00694CD8" w:rsidTr="005720C9" w14:paraId="7410B8E6" w14:textId="77777777">
        <w:trPr>
          <w:trHeight w:val="290"/>
        </w:trPr>
        <w:tc>
          <w:tcPr>
            <w:tcW w:w="1531" w:type="dxa"/>
            <w:tcBorders>
              <w:top w:val="single" w:color="auto" w:sz="4" w:space="0"/>
              <w:right w:val="single" w:color="auto" w:sz="4" w:space="0"/>
            </w:tcBorders>
            <w:shd w:val="clear" w:color="auto" w:fill="auto"/>
            <w:noWrap/>
            <w:vAlign w:val="center"/>
            <w:hideMark/>
          </w:tcPr>
          <w:p w:rsidRPr="005720C9" w:rsidR="00694CD8" w:rsidP="005720C9" w:rsidRDefault="00694CD8" w14:paraId="34BB8F7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Eenmalig maximale EVV</w:t>
            </w:r>
          </w:p>
        </w:tc>
        <w:tc>
          <w:tcPr>
            <w:tcW w:w="1247" w:type="dxa"/>
            <w:tcBorders>
              <w:top w:val="single" w:color="auto" w:sz="4" w:space="0"/>
              <w:left w:val="single" w:color="auto" w:sz="4" w:space="0"/>
              <w:right w:val="single" w:color="auto" w:sz="4" w:space="0"/>
            </w:tcBorders>
            <w:shd w:val="clear" w:color="auto" w:fill="auto"/>
            <w:noWrap/>
            <w:vAlign w:val="center"/>
            <w:hideMark/>
          </w:tcPr>
          <w:p w:rsidRPr="005720C9" w:rsidR="00694CD8" w:rsidP="005720C9" w:rsidRDefault="00694CD8" w14:paraId="1A7BDC5E" w14:textId="3EF54E4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22.400</w:t>
            </w:r>
          </w:p>
        </w:tc>
        <w:tc>
          <w:tcPr>
            <w:tcW w:w="1247" w:type="dxa"/>
            <w:tcBorders>
              <w:top w:val="single" w:color="auto" w:sz="4" w:space="0"/>
              <w:left w:val="single" w:color="auto" w:sz="4" w:space="0"/>
            </w:tcBorders>
            <w:shd w:val="clear" w:color="auto" w:fill="auto"/>
            <w:noWrap/>
            <w:vAlign w:val="center"/>
            <w:hideMark/>
          </w:tcPr>
          <w:p w:rsidRPr="005720C9" w:rsidR="00694CD8" w:rsidP="005720C9" w:rsidRDefault="00694CD8" w14:paraId="1CC1B99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78%</w:t>
            </w:r>
          </w:p>
        </w:tc>
        <w:tc>
          <w:tcPr>
            <w:tcW w:w="1248" w:type="dxa"/>
            <w:tcBorders>
              <w:top w:val="single" w:color="auto" w:sz="4" w:space="0"/>
              <w:right w:val="single" w:color="auto" w:sz="4" w:space="0"/>
            </w:tcBorders>
            <w:shd w:val="clear" w:color="auto" w:fill="auto"/>
            <w:noWrap/>
            <w:vAlign w:val="center"/>
            <w:hideMark/>
          </w:tcPr>
          <w:p w:rsidRPr="005720C9" w:rsidR="00694CD8" w:rsidP="005720C9" w:rsidRDefault="00694CD8" w14:paraId="4EF9E5F1"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22%</w:t>
            </w:r>
          </w:p>
        </w:tc>
        <w:tc>
          <w:tcPr>
            <w:tcW w:w="1247" w:type="dxa"/>
            <w:tcBorders>
              <w:top w:val="single" w:color="auto" w:sz="4" w:space="0"/>
              <w:left w:val="single" w:color="auto" w:sz="4" w:space="0"/>
              <w:right w:val="single" w:color="auto" w:sz="4" w:space="0"/>
            </w:tcBorders>
            <w:shd w:val="clear" w:color="auto" w:fill="auto"/>
            <w:noWrap/>
            <w:vAlign w:val="center"/>
            <w:hideMark/>
          </w:tcPr>
          <w:p w:rsidRPr="005720C9" w:rsidR="00694CD8" w:rsidP="005720C9" w:rsidRDefault="00694CD8" w14:paraId="63F733B4" w14:textId="04D9B040">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200</w:t>
            </w:r>
          </w:p>
        </w:tc>
        <w:tc>
          <w:tcPr>
            <w:tcW w:w="1247" w:type="dxa"/>
            <w:tcBorders>
              <w:top w:val="single" w:color="auto" w:sz="4" w:space="0"/>
              <w:left w:val="single" w:color="auto" w:sz="4" w:space="0"/>
            </w:tcBorders>
            <w:shd w:val="clear" w:color="auto" w:fill="auto"/>
            <w:noWrap/>
            <w:vAlign w:val="center"/>
            <w:hideMark/>
          </w:tcPr>
          <w:p w:rsidRPr="005720C9" w:rsidR="00694CD8" w:rsidP="005720C9" w:rsidRDefault="00694CD8" w14:paraId="1D87627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88%</w:t>
            </w:r>
          </w:p>
        </w:tc>
        <w:tc>
          <w:tcPr>
            <w:tcW w:w="1248" w:type="dxa"/>
            <w:tcBorders>
              <w:top w:val="single" w:color="auto" w:sz="4" w:space="0"/>
            </w:tcBorders>
            <w:shd w:val="clear" w:color="auto" w:fill="auto"/>
            <w:noWrap/>
            <w:vAlign w:val="center"/>
            <w:hideMark/>
          </w:tcPr>
          <w:p w:rsidRPr="005720C9" w:rsidR="00694CD8" w:rsidP="005720C9" w:rsidRDefault="00694CD8" w14:paraId="6DD98CE1"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12%</w:t>
            </w:r>
          </w:p>
        </w:tc>
      </w:tr>
      <w:tr w:rsidRPr="00694CD8" w:rsidR="00694CD8" w:rsidTr="005720C9" w14:paraId="14D61051" w14:textId="77777777">
        <w:trPr>
          <w:trHeight w:val="290"/>
        </w:trPr>
        <w:tc>
          <w:tcPr>
            <w:tcW w:w="1531" w:type="dxa"/>
            <w:tcBorders>
              <w:bottom w:val="single" w:color="auto" w:sz="4" w:space="0"/>
              <w:right w:val="single" w:color="auto" w:sz="4" w:space="0"/>
            </w:tcBorders>
            <w:shd w:val="clear" w:color="auto" w:fill="auto"/>
            <w:noWrap/>
            <w:vAlign w:val="center"/>
            <w:hideMark/>
          </w:tcPr>
          <w:p w:rsidRPr="005720C9" w:rsidR="00694CD8" w:rsidP="005720C9" w:rsidRDefault="00694CD8" w14:paraId="35BB8D22"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Overig</w:t>
            </w:r>
          </w:p>
        </w:tc>
        <w:tc>
          <w:tcPr>
            <w:tcW w:w="1247" w:type="dxa"/>
            <w:tcBorders>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77222053" w14:textId="1985A74F">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w:t>
            </w:r>
          </w:p>
        </w:tc>
        <w:tc>
          <w:tcPr>
            <w:tcW w:w="1247" w:type="dxa"/>
            <w:tcBorders>
              <w:left w:val="single" w:color="auto" w:sz="4" w:space="0"/>
              <w:bottom w:val="single" w:color="auto" w:sz="4" w:space="0"/>
            </w:tcBorders>
            <w:shd w:val="clear" w:color="auto" w:fill="auto"/>
            <w:noWrap/>
            <w:vAlign w:val="center"/>
            <w:hideMark/>
          </w:tcPr>
          <w:p w:rsidRPr="005720C9" w:rsidR="00694CD8" w:rsidP="005720C9" w:rsidRDefault="00694CD8" w14:paraId="733EFB3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81%</w:t>
            </w:r>
          </w:p>
        </w:tc>
        <w:tc>
          <w:tcPr>
            <w:tcW w:w="1248" w:type="dxa"/>
            <w:tcBorders>
              <w:bottom w:val="single" w:color="auto" w:sz="4" w:space="0"/>
              <w:right w:val="single" w:color="auto" w:sz="4" w:space="0"/>
            </w:tcBorders>
            <w:shd w:val="clear" w:color="auto" w:fill="auto"/>
            <w:noWrap/>
            <w:vAlign w:val="center"/>
            <w:hideMark/>
          </w:tcPr>
          <w:p w:rsidRPr="005720C9" w:rsidR="00694CD8" w:rsidP="005720C9" w:rsidRDefault="00694CD8" w14:paraId="5238A946"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19%</w:t>
            </w:r>
          </w:p>
        </w:tc>
        <w:tc>
          <w:tcPr>
            <w:tcW w:w="1247" w:type="dxa"/>
            <w:tcBorders>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62C2CE1A" w14:textId="6B385D0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w:t>
            </w:r>
          </w:p>
        </w:tc>
        <w:tc>
          <w:tcPr>
            <w:tcW w:w="1247" w:type="dxa"/>
            <w:tcBorders>
              <w:left w:val="single" w:color="auto" w:sz="4" w:space="0"/>
              <w:bottom w:val="single" w:color="auto" w:sz="4" w:space="0"/>
            </w:tcBorders>
            <w:shd w:val="clear" w:color="auto" w:fill="auto"/>
            <w:noWrap/>
            <w:vAlign w:val="center"/>
            <w:hideMark/>
          </w:tcPr>
          <w:p w:rsidRPr="005720C9" w:rsidR="00694CD8" w:rsidP="005720C9" w:rsidRDefault="00694CD8" w14:paraId="666995F5"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c>
          <w:tcPr>
            <w:tcW w:w="1248" w:type="dxa"/>
            <w:tcBorders>
              <w:bottom w:val="single" w:color="auto" w:sz="4" w:space="0"/>
            </w:tcBorders>
            <w:shd w:val="clear" w:color="auto" w:fill="auto"/>
            <w:noWrap/>
            <w:vAlign w:val="center"/>
            <w:hideMark/>
          </w:tcPr>
          <w:p w:rsidRPr="005720C9" w:rsidR="00694CD8" w:rsidP="005720C9" w:rsidRDefault="00694CD8" w14:paraId="7BAAC206"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r>
      <w:tr w:rsidRPr="00694CD8" w:rsidR="00694CD8" w:rsidTr="005720C9" w14:paraId="396FF4DD" w14:textId="77777777">
        <w:trPr>
          <w:trHeight w:val="290"/>
        </w:trPr>
        <w:tc>
          <w:tcPr>
            <w:tcW w:w="1531" w:type="dxa"/>
            <w:tcBorders>
              <w:top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67B80000"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Totaal</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18E4E05C" w14:textId="32D65F1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22.400</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1F7FF387"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78%</w:t>
            </w:r>
          </w:p>
        </w:tc>
        <w:tc>
          <w:tcPr>
            <w:tcW w:w="1248" w:type="dxa"/>
            <w:tcBorders>
              <w:top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0AAE4E2C"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22%</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5BF9B670" w14:textId="47BE95D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200</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15D8D955"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88%</w:t>
            </w:r>
          </w:p>
        </w:tc>
        <w:tc>
          <w:tcPr>
            <w:tcW w:w="1248" w:type="dxa"/>
            <w:tcBorders>
              <w:top w:val="single" w:color="auto" w:sz="4" w:space="0"/>
              <w:bottom w:val="single" w:color="auto" w:sz="4" w:space="0"/>
            </w:tcBorders>
            <w:shd w:val="clear" w:color="auto" w:fill="auto"/>
            <w:noWrap/>
            <w:vAlign w:val="center"/>
            <w:hideMark/>
          </w:tcPr>
          <w:p w:rsidRPr="005720C9" w:rsidR="00694CD8" w:rsidP="005720C9" w:rsidRDefault="00694CD8" w14:paraId="3B1641E9"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12%</w:t>
            </w:r>
          </w:p>
        </w:tc>
      </w:tr>
      <w:tr w:rsidRPr="00694CD8" w:rsidR="00694CD8" w:rsidTr="005720C9" w14:paraId="28E60D1C" w14:textId="77777777">
        <w:trPr>
          <w:trHeight w:val="290"/>
        </w:trPr>
        <w:tc>
          <w:tcPr>
            <w:tcW w:w="1531" w:type="dxa"/>
            <w:tcBorders>
              <w:top w:val="single" w:color="auto" w:sz="4" w:space="0"/>
              <w:bottom w:val="nil"/>
              <w:right w:val="single" w:color="auto" w:sz="4" w:space="0"/>
            </w:tcBorders>
            <w:shd w:val="clear" w:color="auto" w:fill="auto"/>
            <w:noWrap/>
            <w:vAlign w:val="center"/>
            <w:hideMark/>
          </w:tcPr>
          <w:p w:rsidRPr="005720C9" w:rsidR="00694CD8" w:rsidP="005720C9" w:rsidRDefault="00694CD8" w14:paraId="60C3295A" w14:textId="758641D3">
            <w:pPr>
              <w:spacing w:line="240" w:lineRule="auto"/>
              <w:jc w:val="center"/>
              <w:rPr>
                <w:rFonts w:eastAsia="Times New Roman" w:cs="Calibri"/>
                <w:b/>
                <w:bCs/>
                <w:color w:val="000000"/>
                <w:szCs w:val="18"/>
                <w:lang w:val="nl-NL" w:eastAsia="nl-NL"/>
              </w:rPr>
            </w:pPr>
          </w:p>
        </w:tc>
        <w:tc>
          <w:tcPr>
            <w:tcW w:w="37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0363D805" w14:textId="3F954081">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Meerpersoonshuishoudens</w:t>
            </w:r>
          </w:p>
        </w:tc>
        <w:tc>
          <w:tcPr>
            <w:tcW w:w="3742" w:type="dxa"/>
            <w:gridSpan w:val="3"/>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77E63706" w14:textId="1D8E028D">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Meerpersoonshuishoudens</w:t>
            </w:r>
          </w:p>
        </w:tc>
      </w:tr>
      <w:tr w:rsidRPr="00694CD8" w:rsidR="00694CD8" w:rsidTr="005720C9" w14:paraId="5D8AFBA5" w14:textId="77777777">
        <w:trPr>
          <w:trHeight w:val="290"/>
        </w:trPr>
        <w:tc>
          <w:tcPr>
            <w:tcW w:w="1531" w:type="dxa"/>
            <w:tcBorders>
              <w:top w:val="nil"/>
              <w:bottom w:val="single" w:color="auto" w:sz="4" w:space="0"/>
              <w:right w:val="single" w:color="auto" w:sz="4" w:space="0"/>
            </w:tcBorders>
            <w:shd w:val="clear" w:color="auto" w:fill="auto"/>
            <w:noWrap/>
            <w:vAlign w:val="center"/>
            <w:hideMark/>
          </w:tcPr>
          <w:p w:rsidRPr="005720C9" w:rsidR="00694CD8" w:rsidP="005720C9" w:rsidRDefault="00694CD8" w14:paraId="2282E01B" w14:textId="21CC1DD4">
            <w:pPr>
              <w:spacing w:line="240" w:lineRule="auto"/>
              <w:jc w:val="center"/>
              <w:rPr>
                <w:rFonts w:eastAsia="Times New Roman" w:cs="Calibri"/>
                <w:b/>
                <w:bCs/>
                <w:color w:val="000000"/>
                <w:szCs w:val="18"/>
                <w:lang w:val="nl-NL" w:eastAsia="nl-NL"/>
              </w:rPr>
            </w:pP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11DC3BFC"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48F5F3A9"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HEB</w:t>
            </w:r>
          </w:p>
        </w:tc>
        <w:tc>
          <w:tcPr>
            <w:tcW w:w="1248" w:type="dxa"/>
            <w:tcBorders>
              <w:top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1E916E51"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LEB</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4C41DDAF"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Aantal</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15E26EA0"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HEB</w:t>
            </w:r>
          </w:p>
        </w:tc>
        <w:tc>
          <w:tcPr>
            <w:tcW w:w="1248" w:type="dxa"/>
            <w:tcBorders>
              <w:top w:val="single" w:color="auto" w:sz="4" w:space="0"/>
              <w:bottom w:val="single" w:color="auto" w:sz="4" w:space="0"/>
            </w:tcBorders>
            <w:shd w:val="clear" w:color="auto" w:fill="auto"/>
            <w:noWrap/>
            <w:vAlign w:val="center"/>
            <w:hideMark/>
          </w:tcPr>
          <w:p w:rsidRPr="005720C9" w:rsidR="00694CD8" w:rsidP="005720C9" w:rsidRDefault="00694CD8" w14:paraId="2ABAA0C1" w14:textId="77777777">
            <w:pPr>
              <w:spacing w:line="240" w:lineRule="auto"/>
              <w:jc w:val="center"/>
              <w:rPr>
                <w:rFonts w:eastAsia="Times New Roman" w:cs="Calibri"/>
                <w:b/>
                <w:bCs/>
                <w:color w:val="000000"/>
                <w:szCs w:val="18"/>
                <w:lang w:val="nl-NL" w:eastAsia="nl-NL"/>
              </w:rPr>
            </w:pPr>
            <w:r w:rsidRPr="005720C9">
              <w:rPr>
                <w:rFonts w:eastAsia="Times New Roman" w:cs="Calibri"/>
                <w:b/>
                <w:bCs/>
                <w:color w:val="000000"/>
                <w:szCs w:val="18"/>
                <w:lang w:val="nl-NL" w:eastAsia="nl-NL"/>
              </w:rPr>
              <w:t>Aandeel LEB</w:t>
            </w:r>
          </w:p>
        </w:tc>
      </w:tr>
      <w:tr w:rsidRPr="00694CD8" w:rsidR="00694CD8" w:rsidTr="005720C9" w14:paraId="23DAF2E6" w14:textId="77777777">
        <w:trPr>
          <w:trHeight w:val="290"/>
        </w:trPr>
        <w:tc>
          <w:tcPr>
            <w:tcW w:w="1531" w:type="dxa"/>
            <w:tcBorders>
              <w:top w:val="single" w:color="auto" w:sz="4" w:space="0"/>
              <w:right w:val="single" w:color="auto" w:sz="4" w:space="0"/>
            </w:tcBorders>
            <w:shd w:val="clear" w:color="auto" w:fill="auto"/>
            <w:noWrap/>
            <w:vAlign w:val="center"/>
            <w:hideMark/>
          </w:tcPr>
          <w:p w:rsidRPr="005720C9" w:rsidR="00694CD8" w:rsidP="005720C9" w:rsidRDefault="00694CD8" w14:paraId="6099FAF1"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Eenmalig maximale EVV</w:t>
            </w:r>
          </w:p>
        </w:tc>
        <w:tc>
          <w:tcPr>
            <w:tcW w:w="1247" w:type="dxa"/>
            <w:tcBorders>
              <w:top w:val="single" w:color="auto" w:sz="4" w:space="0"/>
              <w:left w:val="single" w:color="auto" w:sz="4" w:space="0"/>
              <w:right w:val="single" w:color="auto" w:sz="4" w:space="0"/>
            </w:tcBorders>
            <w:shd w:val="clear" w:color="auto" w:fill="auto"/>
            <w:noWrap/>
            <w:vAlign w:val="center"/>
            <w:hideMark/>
          </w:tcPr>
          <w:p w:rsidRPr="005720C9" w:rsidR="00694CD8" w:rsidP="005720C9" w:rsidRDefault="00694CD8" w14:paraId="0E3CD5E8" w14:textId="71FC8DDB">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500</w:t>
            </w:r>
          </w:p>
        </w:tc>
        <w:tc>
          <w:tcPr>
            <w:tcW w:w="1247" w:type="dxa"/>
            <w:tcBorders>
              <w:top w:val="single" w:color="auto" w:sz="4" w:space="0"/>
              <w:left w:val="single" w:color="auto" w:sz="4" w:space="0"/>
            </w:tcBorders>
            <w:shd w:val="clear" w:color="auto" w:fill="auto"/>
            <w:noWrap/>
            <w:vAlign w:val="center"/>
            <w:hideMark/>
          </w:tcPr>
          <w:p w:rsidRPr="005720C9" w:rsidR="00694CD8" w:rsidP="005720C9" w:rsidRDefault="00694CD8" w14:paraId="4EE6DD67"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tcBorders>
              <w:top w:val="single" w:color="auto" w:sz="4" w:space="0"/>
              <w:right w:val="single" w:color="auto" w:sz="4" w:space="0"/>
            </w:tcBorders>
            <w:shd w:val="clear" w:color="auto" w:fill="auto"/>
            <w:noWrap/>
            <w:vAlign w:val="center"/>
            <w:hideMark/>
          </w:tcPr>
          <w:p w:rsidRPr="005720C9" w:rsidR="00694CD8" w:rsidP="005720C9" w:rsidRDefault="00694CD8" w14:paraId="09C89422"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c>
          <w:tcPr>
            <w:tcW w:w="1247" w:type="dxa"/>
            <w:tcBorders>
              <w:top w:val="single" w:color="auto" w:sz="4" w:space="0"/>
              <w:left w:val="single" w:color="auto" w:sz="4" w:space="0"/>
              <w:right w:val="single" w:color="auto" w:sz="4" w:space="0"/>
            </w:tcBorders>
            <w:shd w:val="clear" w:color="auto" w:fill="auto"/>
            <w:noWrap/>
            <w:vAlign w:val="center"/>
            <w:hideMark/>
          </w:tcPr>
          <w:p w:rsidRPr="005720C9" w:rsidR="00694CD8" w:rsidP="005720C9" w:rsidRDefault="00694CD8" w14:paraId="6EE79C6A" w14:textId="6D4CF730">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w:t>
            </w:r>
          </w:p>
        </w:tc>
        <w:tc>
          <w:tcPr>
            <w:tcW w:w="1247" w:type="dxa"/>
            <w:tcBorders>
              <w:top w:val="single" w:color="auto" w:sz="4" w:space="0"/>
              <w:left w:val="single" w:color="auto" w:sz="4" w:space="0"/>
            </w:tcBorders>
            <w:shd w:val="clear" w:color="auto" w:fill="auto"/>
            <w:noWrap/>
            <w:vAlign w:val="center"/>
            <w:hideMark/>
          </w:tcPr>
          <w:p w:rsidRPr="005720C9" w:rsidR="00694CD8" w:rsidP="005720C9" w:rsidRDefault="00694CD8" w14:paraId="466873F6"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tcBorders>
              <w:top w:val="single" w:color="auto" w:sz="4" w:space="0"/>
            </w:tcBorders>
            <w:shd w:val="clear" w:color="auto" w:fill="auto"/>
            <w:noWrap/>
            <w:vAlign w:val="center"/>
            <w:hideMark/>
          </w:tcPr>
          <w:p w:rsidRPr="005720C9" w:rsidR="00694CD8" w:rsidP="005720C9" w:rsidRDefault="00694CD8" w14:paraId="30357C1C"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694CD8" w:rsidR="00694CD8" w:rsidTr="005720C9" w14:paraId="447956F1" w14:textId="77777777">
        <w:trPr>
          <w:trHeight w:val="290"/>
        </w:trPr>
        <w:tc>
          <w:tcPr>
            <w:tcW w:w="1531" w:type="dxa"/>
            <w:tcBorders>
              <w:right w:val="single" w:color="auto" w:sz="4" w:space="0"/>
            </w:tcBorders>
            <w:shd w:val="clear" w:color="auto" w:fill="auto"/>
            <w:noWrap/>
            <w:vAlign w:val="center"/>
            <w:hideMark/>
          </w:tcPr>
          <w:p w:rsidRPr="005720C9" w:rsidR="00694CD8" w:rsidP="005720C9" w:rsidRDefault="00694CD8" w14:paraId="50D9308C"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Tweemaal maximale EVV</w:t>
            </w:r>
          </w:p>
        </w:tc>
        <w:tc>
          <w:tcPr>
            <w:tcW w:w="1247" w:type="dxa"/>
            <w:tcBorders>
              <w:left w:val="single" w:color="auto" w:sz="4" w:space="0"/>
              <w:right w:val="single" w:color="auto" w:sz="4" w:space="0"/>
            </w:tcBorders>
            <w:shd w:val="clear" w:color="auto" w:fill="auto"/>
            <w:noWrap/>
            <w:vAlign w:val="center"/>
            <w:hideMark/>
          </w:tcPr>
          <w:p w:rsidRPr="005720C9" w:rsidR="00694CD8" w:rsidP="005720C9" w:rsidRDefault="00694CD8" w14:paraId="372854F5" w14:textId="5D6A8E36">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400</w:t>
            </w:r>
          </w:p>
        </w:tc>
        <w:tc>
          <w:tcPr>
            <w:tcW w:w="1247" w:type="dxa"/>
            <w:tcBorders>
              <w:left w:val="single" w:color="auto" w:sz="4" w:space="0"/>
            </w:tcBorders>
            <w:shd w:val="clear" w:color="auto" w:fill="auto"/>
            <w:noWrap/>
            <w:vAlign w:val="center"/>
            <w:hideMark/>
          </w:tcPr>
          <w:p w:rsidRPr="005720C9" w:rsidR="00694CD8" w:rsidP="005720C9" w:rsidRDefault="00694CD8" w14:paraId="21501CA3"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tcBorders>
              <w:right w:val="single" w:color="auto" w:sz="4" w:space="0"/>
            </w:tcBorders>
            <w:shd w:val="clear" w:color="auto" w:fill="auto"/>
            <w:noWrap/>
            <w:vAlign w:val="center"/>
            <w:hideMark/>
          </w:tcPr>
          <w:p w:rsidRPr="005720C9" w:rsidR="00694CD8" w:rsidP="005720C9" w:rsidRDefault="00694CD8" w14:paraId="196766B2"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c>
          <w:tcPr>
            <w:tcW w:w="1247" w:type="dxa"/>
            <w:tcBorders>
              <w:left w:val="single" w:color="auto" w:sz="4" w:space="0"/>
              <w:right w:val="single" w:color="auto" w:sz="4" w:space="0"/>
            </w:tcBorders>
            <w:shd w:val="clear" w:color="auto" w:fill="auto"/>
            <w:noWrap/>
            <w:vAlign w:val="center"/>
            <w:hideMark/>
          </w:tcPr>
          <w:p w:rsidRPr="005720C9" w:rsidR="00694CD8" w:rsidP="005720C9" w:rsidRDefault="00694CD8" w14:paraId="2EDB6719" w14:textId="03D13BBD">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w:t>
            </w:r>
          </w:p>
        </w:tc>
        <w:tc>
          <w:tcPr>
            <w:tcW w:w="1247" w:type="dxa"/>
            <w:tcBorders>
              <w:left w:val="single" w:color="auto" w:sz="4" w:space="0"/>
            </w:tcBorders>
            <w:shd w:val="clear" w:color="auto" w:fill="auto"/>
            <w:noWrap/>
            <w:vAlign w:val="center"/>
            <w:hideMark/>
          </w:tcPr>
          <w:p w:rsidRPr="005720C9" w:rsidR="00694CD8" w:rsidP="005720C9" w:rsidRDefault="00694CD8" w14:paraId="320EF8E8"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shd w:val="clear" w:color="auto" w:fill="auto"/>
            <w:noWrap/>
            <w:vAlign w:val="center"/>
            <w:hideMark/>
          </w:tcPr>
          <w:p w:rsidRPr="005720C9" w:rsidR="00694CD8" w:rsidP="005720C9" w:rsidRDefault="00694CD8" w14:paraId="036FB96C"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694CD8" w:rsidR="00694CD8" w:rsidTr="005720C9" w14:paraId="43DDFA45" w14:textId="77777777">
        <w:trPr>
          <w:trHeight w:val="290"/>
        </w:trPr>
        <w:tc>
          <w:tcPr>
            <w:tcW w:w="1531" w:type="dxa"/>
            <w:tcBorders>
              <w:bottom w:val="single" w:color="auto" w:sz="4" w:space="0"/>
              <w:right w:val="single" w:color="auto" w:sz="4" w:space="0"/>
            </w:tcBorders>
            <w:shd w:val="clear" w:color="auto" w:fill="auto"/>
            <w:noWrap/>
            <w:vAlign w:val="center"/>
            <w:hideMark/>
          </w:tcPr>
          <w:p w:rsidRPr="005720C9" w:rsidR="00694CD8" w:rsidP="005720C9" w:rsidRDefault="00694CD8" w14:paraId="723AA166"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Overig</w:t>
            </w:r>
          </w:p>
        </w:tc>
        <w:tc>
          <w:tcPr>
            <w:tcW w:w="1247" w:type="dxa"/>
            <w:tcBorders>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4E4ECB34" w14:textId="0D8B27B1">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300</w:t>
            </w:r>
          </w:p>
        </w:tc>
        <w:tc>
          <w:tcPr>
            <w:tcW w:w="1247" w:type="dxa"/>
            <w:tcBorders>
              <w:left w:val="single" w:color="auto" w:sz="4" w:space="0"/>
              <w:bottom w:val="single" w:color="auto" w:sz="4" w:space="0"/>
            </w:tcBorders>
            <w:shd w:val="clear" w:color="auto" w:fill="auto"/>
            <w:noWrap/>
            <w:vAlign w:val="center"/>
            <w:hideMark/>
          </w:tcPr>
          <w:p w:rsidRPr="005720C9" w:rsidR="00694CD8" w:rsidP="005720C9" w:rsidRDefault="00694CD8" w14:paraId="3FD65B30"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tcBorders>
              <w:bottom w:val="single" w:color="auto" w:sz="4" w:space="0"/>
              <w:right w:val="single" w:color="auto" w:sz="4" w:space="0"/>
            </w:tcBorders>
            <w:shd w:val="clear" w:color="auto" w:fill="auto"/>
            <w:noWrap/>
            <w:vAlign w:val="center"/>
            <w:hideMark/>
          </w:tcPr>
          <w:p w:rsidRPr="005720C9" w:rsidR="00694CD8" w:rsidP="005720C9" w:rsidRDefault="00694CD8" w14:paraId="1D751D5A"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c>
          <w:tcPr>
            <w:tcW w:w="1247" w:type="dxa"/>
            <w:tcBorders>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30F3C22A" w14:textId="41885C7E">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w:t>
            </w:r>
          </w:p>
        </w:tc>
        <w:tc>
          <w:tcPr>
            <w:tcW w:w="1247" w:type="dxa"/>
            <w:tcBorders>
              <w:left w:val="single" w:color="auto" w:sz="4" w:space="0"/>
              <w:bottom w:val="single" w:color="auto" w:sz="4" w:space="0"/>
            </w:tcBorders>
            <w:shd w:val="clear" w:color="auto" w:fill="auto"/>
            <w:noWrap/>
            <w:vAlign w:val="center"/>
            <w:hideMark/>
          </w:tcPr>
          <w:p w:rsidRPr="005720C9" w:rsidR="00694CD8" w:rsidP="005720C9" w:rsidRDefault="00694CD8" w14:paraId="126C8F24"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tcBorders>
              <w:bottom w:val="single" w:color="auto" w:sz="4" w:space="0"/>
            </w:tcBorders>
            <w:shd w:val="clear" w:color="auto" w:fill="auto"/>
            <w:noWrap/>
            <w:vAlign w:val="center"/>
            <w:hideMark/>
          </w:tcPr>
          <w:p w:rsidRPr="005720C9" w:rsidR="00694CD8" w:rsidP="005720C9" w:rsidRDefault="00694CD8" w14:paraId="69BC0F4C"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r w:rsidRPr="00694CD8" w:rsidR="00694CD8" w:rsidTr="005720C9" w14:paraId="73999F39" w14:textId="77777777">
        <w:trPr>
          <w:trHeight w:val="290"/>
        </w:trPr>
        <w:tc>
          <w:tcPr>
            <w:tcW w:w="1531" w:type="dxa"/>
            <w:tcBorders>
              <w:top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1DB423E7"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Totaal</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22D20F97" w14:textId="6DF6B463">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1.200</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6FACCFF2"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tcBorders>
              <w:top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53B26AAD"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720C9" w:rsidR="00694CD8" w:rsidP="005720C9" w:rsidRDefault="00694CD8" w14:paraId="7EB3611C" w14:textId="5AA83F82">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w:t>
            </w:r>
          </w:p>
        </w:tc>
        <w:tc>
          <w:tcPr>
            <w:tcW w:w="1247" w:type="dxa"/>
            <w:tcBorders>
              <w:top w:val="single" w:color="auto" w:sz="4" w:space="0"/>
              <w:left w:val="single" w:color="auto" w:sz="4" w:space="0"/>
              <w:bottom w:val="single" w:color="auto" w:sz="4" w:space="0"/>
            </w:tcBorders>
            <w:shd w:val="clear" w:color="auto" w:fill="auto"/>
            <w:noWrap/>
            <w:vAlign w:val="center"/>
            <w:hideMark/>
          </w:tcPr>
          <w:p w:rsidRPr="005720C9" w:rsidR="00694CD8" w:rsidP="005720C9" w:rsidRDefault="00694CD8" w14:paraId="42A16F73"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0%</w:t>
            </w:r>
          </w:p>
        </w:tc>
        <w:tc>
          <w:tcPr>
            <w:tcW w:w="1248" w:type="dxa"/>
            <w:tcBorders>
              <w:top w:val="single" w:color="auto" w:sz="4" w:space="0"/>
              <w:bottom w:val="single" w:color="auto" w:sz="4" w:space="0"/>
            </w:tcBorders>
            <w:shd w:val="clear" w:color="auto" w:fill="auto"/>
            <w:noWrap/>
            <w:vAlign w:val="center"/>
            <w:hideMark/>
          </w:tcPr>
          <w:p w:rsidRPr="005720C9" w:rsidR="00694CD8" w:rsidP="005720C9" w:rsidRDefault="00694CD8" w14:paraId="463D676B"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100%</w:t>
            </w:r>
          </w:p>
        </w:tc>
      </w:tr>
    </w:tbl>
    <w:p w:rsidRPr="00766911" w:rsidR="00EB0D79" w:rsidP="00EB0D79" w:rsidRDefault="00EB0D79" w14:paraId="5436449F" w14:textId="7810FF6A">
      <w:pPr>
        <w:rPr>
          <w:i/>
          <w:iCs/>
          <w:lang w:val="nl-NL"/>
        </w:rPr>
      </w:pPr>
    </w:p>
    <w:p w:rsidRPr="004804AD" w:rsidR="00EB0D79" w:rsidP="00EB0D79" w:rsidRDefault="00621AE8" w14:paraId="20024F04" w14:textId="6AB0C49E">
      <w:pPr>
        <w:rPr>
          <w:bCs/>
          <w:i/>
          <w:iCs/>
          <w:lang w:val="nl-NL"/>
        </w:rPr>
      </w:pPr>
      <w:r w:rsidRPr="004804AD">
        <w:rPr>
          <w:bCs/>
          <w:i/>
          <w:iCs/>
          <w:lang w:val="nl-NL"/>
        </w:rPr>
        <w:t>6</w:t>
      </w:r>
      <w:r w:rsidRPr="004804AD" w:rsidR="00EB0D79">
        <w:rPr>
          <w:bCs/>
          <w:i/>
          <w:iCs/>
          <w:lang w:val="nl-NL"/>
        </w:rPr>
        <w:t>.</w:t>
      </w:r>
      <w:r w:rsidRPr="004804AD">
        <w:rPr>
          <w:bCs/>
          <w:i/>
          <w:iCs/>
          <w:lang w:val="nl-NL"/>
        </w:rPr>
        <w:t>2</w:t>
      </w:r>
      <w:r w:rsidRPr="004804AD" w:rsidR="00EB0D79">
        <w:rPr>
          <w:bCs/>
          <w:i/>
          <w:iCs/>
          <w:lang w:val="nl-NL"/>
        </w:rPr>
        <w:t xml:space="preserve"> Financiële effecten Rijksoverheid</w:t>
      </w:r>
    </w:p>
    <w:p w:rsidRPr="00766911" w:rsidR="00EB0D79" w:rsidP="00EB0D79" w:rsidRDefault="00EB0D79" w14:paraId="139E1A02" w14:textId="22C42DB3">
      <w:pPr>
        <w:rPr>
          <w:bCs/>
          <w:u w:val="single"/>
          <w:lang w:val="nl-NL"/>
        </w:rPr>
      </w:pPr>
    </w:p>
    <w:p w:rsidRPr="00766911" w:rsidR="00EB0D79" w:rsidP="00EB0D79" w:rsidRDefault="00EB0D79" w14:paraId="33587221" w14:textId="384D9D26">
      <w:pPr>
        <w:rPr>
          <w:bCs/>
          <w:lang w:val="nl-NL"/>
        </w:rPr>
      </w:pPr>
      <w:r w:rsidRPr="00766911">
        <w:rPr>
          <w:bCs/>
          <w:lang w:val="nl-NL"/>
        </w:rPr>
        <w:t xml:space="preserve">De afbouw van de CVO en de afschaffing van de EVV zorgen voor toenemende opbrengsten </w:t>
      </w:r>
      <w:r w:rsidR="00CB72B8">
        <w:rPr>
          <w:bCs/>
          <w:lang w:val="nl-NL"/>
        </w:rPr>
        <w:t xml:space="preserve">van eigen bijdragen </w:t>
      </w:r>
      <w:r w:rsidRPr="00766911">
        <w:rPr>
          <w:bCs/>
          <w:lang w:val="nl-NL"/>
        </w:rPr>
        <w:t xml:space="preserve">voor zorg op grond van de Wlz. Aangezien de CVO in drie stappen wordt afgebouwd, neemt de opbrengst </w:t>
      </w:r>
      <w:r w:rsidR="00CB72B8">
        <w:rPr>
          <w:bCs/>
          <w:lang w:val="nl-NL"/>
        </w:rPr>
        <w:t>van eigen bijdragen voor</w:t>
      </w:r>
      <w:r w:rsidRPr="00766911">
        <w:rPr>
          <w:bCs/>
          <w:lang w:val="nl-NL"/>
        </w:rPr>
        <w:t xml:space="preserve"> Wlz</w:t>
      </w:r>
      <w:r w:rsidR="00CB72B8">
        <w:rPr>
          <w:bCs/>
          <w:lang w:val="nl-NL"/>
        </w:rPr>
        <w:t>-zorg</w:t>
      </w:r>
      <w:r w:rsidRPr="00766911">
        <w:rPr>
          <w:bCs/>
          <w:lang w:val="nl-NL"/>
        </w:rPr>
        <w:t xml:space="preserve"> </w:t>
      </w:r>
      <w:r w:rsidR="003B365B">
        <w:rPr>
          <w:bCs/>
          <w:lang w:val="nl-NL"/>
        </w:rPr>
        <w:t xml:space="preserve">naar verwachting </w:t>
      </w:r>
      <w:r w:rsidRPr="00766911">
        <w:rPr>
          <w:bCs/>
          <w:lang w:val="nl-NL"/>
        </w:rPr>
        <w:t xml:space="preserve">geleidelijk toe </w:t>
      </w:r>
      <w:r w:rsidR="00CA5107">
        <w:rPr>
          <w:bCs/>
          <w:lang w:val="nl-NL"/>
        </w:rPr>
        <w:t>met</w:t>
      </w:r>
      <w:r w:rsidRPr="00766911">
        <w:rPr>
          <w:bCs/>
          <w:lang w:val="nl-NL"/>
        </w:rPr>
        <w:t xml:space="preserve"> € </w:t>
      </w:r>
      <w:r w:rsidR="00EF2AF1">
        <w:rPr>
          <w:bCs/>
          <w:lang w:val="nl-NL"/>
        </w:rPr>
        <w:t>7,9</w:t>
      </w:r>
      <w:r w:rsidRPr="00766911">
        <w:rPr>
          <w:bCs/>
          <w:lang w:val="nl-NL"/>
        </w:rPr>
        <w:t xml:space="preserve"> mln in 2026, </w:t>
      </w:r>
      <w:r w:rsidR="00CA5107">
        <w:rPr>
          <w:bCs/>
          <w:lang w:val="nl-NL"/>
        </w:rPr>
        <w:t>met</w:t>
      </w:r>
      <w:r w:rsidRPr="00766911" w:rsidR="00CA5107">
        <w:rPr>
          <w:bCs/>
          <w:lang w:val="nl-NL"/>
        </w:rPr>
        <w:t xml:space="preserve"> </w:t>
      </w:r>
      <w:r w:rsidRPr="00766911">
        <w:rPr>
          <w:bCs/>
          <w:lang w:val="nl-NL"/>
        </w:rPr>
        <w:t>€ </w:t>
      </w:r>
      <w:r w:rsidR="00EF2AF1">
        <w:rPr>
          <w:bCs/>
          <w:lang w:val="nl-NL"/>
        </w:rPr>
        <w:t>16,0</w:t>
      </w:r>
      <w:r w:rsidRPr="00766911">
        <w:rPr>
          <w:bCs/>
          <w:lang w:val="nl-NL"/>
        </w:rPr>
        <w:t xml:space="preserve"> mln in 2027 </w:t>
      </w:r>
      <w:r w:rsidR="00CA5107">
        <w:rPr>
          <w:bCs/>
          <w:lang w:val="nl-NL"/>
        </w:rPr>
        <w:t xml:space="preserve">en </w:t>
      </w:r>
      <w:r w:rsidRPr="00766911">
        <w:rPr>
          <w:bCs/>
          <w:lang w:val="nl-NL"/>
        </w:rPr>
        <w:t xml:space="preserve">structureel </w:t>
      </w:r>
      <w:r w:rsidR="00CA5107">
        <w:rPr>
          <w:bCs/>
          <w:lang w:val="nl-NL"/>
        </w:rPr>
        <w:t xml:space="preserve">met </w:t>
      </w:r>
      <w:r w:rsidRPr="00766911">
        <w:rPr>
          <w:bCs/>
          <w:lang w:val="nl-NL"/>
        </w:rPr>
        <w:t>€ </w:t>
      </w:r>
      <w:r w:rsidR="00EF2AF1">
        <w:rPr>
          <w:bCs/>
          <w:lang w:val="nl-NL"/>
        </w:rPr>
        <w:t>24,4</w:t>
      </w:r>
      <w:r w:rsidRPr="00766911">
        <w:rPr>
          <w:bCs/>
          <w:lang w:val="nl-NL"/>
        </w:rPr>
        <w:t xml:space="preserve"> mln vanaf 2028. Het afschaffen van de EVV leidt tot een </w:t>
      </w:r>
      <w:r w:rsidR="003B365B">
        <w:rPr>
          <w:bCs/>
          <w:lang w:val="nl-NL"/>
        </w:rPr>
        <w:t xml:space="preserve">verwachte </w:t>
      </w:r>
      <w:r w:rsidRPr="00766911">
        <w:rPr>
          <w:bCs/>
          <w:lang w:val="nl-NL"/>
        </w:rPr>
        <w:t xml:space="preserve">toename van de opbrengst </w:t>
      </w:r>
      <w:r w:rsidR="00CB72B8">
        <w:rPr>
          <w:bCs/>
          <w:lang w:val="nl-NL"/>
        </w:rPr>
        <w:t xml:space="preserve">van eigen bijdragen </w:t>
      </w:r>
      <w:r w:rsidRPr="00766911">
        <w:rPr>
          <w:bCs/>
          <w:lang w:val="nl-NL"/>
        </w:rPr>
        <w:t xml:space="preserve">voor zorg op grond van de Wlz van structureel </w:t>
      </w:r>
      <w:r w:rsidR="00EF2AF1">
        <w:rPr>
          <w:bCs/>
          <w:lang w:val="nl-NL"/>
        </w:rPr>
        <w:t xml:space="preserve">circa </w:t>
      </w:r>
      <w:r w:rsidRPr="00766911">
        <w:rPr>
          <w:bCs/>
          <w:lang w:val="nl-NL"/>
        </w:rPr>
        <w:t>€ 6,</w:t>
      </w:r>
      <w:r w:rsidR="00EF2AF1">
        <w:rPr>
          <w:bCs/>
          <w:lang w:val="nl-NL"/>
        </w:rPr>
        <w:t>5</w:t>
      </w:r>
      <w:r w:rsidRPr="00766911">
        <w:rPr>
          <w:bCs/>
          <w:lang w:val="nl-NL"/>
        </w:rPr>
        <w:t xml:space="preserve"> mln vanaf 2026.</w:t>
      </w:r>
    </w:p>
    <w:p w:rsidR="00EF2AF1" w:rsidP="00EB0D79" w:rsidRDefault="00EF2AF1" w14:paraId="404C6982" w14:textId="30DBE83C">
      <w:pPr>
        <w:rPr>
          <w:b/>
          <w:bCs/>
          <w:lang w:val="nl-NL"/>
        </w:rPr>
      </w:pPr>
    </w:p>
    <w:p w:rsidRPr="005720C9" w:rsidR="00EF2AF1" w:rsidP="00EB0D79" w:rsidRDefault="00EF2AF1" w14:paraId="07AFAB79" w14:textId="09F3F28B">
      <w:pPr>
        <w:rPr>
          <w:bCs/>
          <w:i/>
          <w:iCs/>
          <w:lang w:val="nl-NL"/>
        </w:rPr>
      </w:pPr>
      <w:r>
        <w:rPr>
          <w:bCs/>
          <w:i/>
          <w:iCs/>
          <w:lang w:val="nl-NL"/>
        </w:rPr>
        <w:t xml:space="preserve">Tabel </w:t>
      </w:r>
      <w:r w:rsidR="0099649A">
        <w:rPr>
          <w:bCs/>
          <w:i/>
          <w:iCs/>
          <w:lang w:val="nl-NL"/>
        </w:rPr>
        <w:t>5</w:t>
      </w:r>
      <w:r>
        <w:rPr>
          <w:bCs/>
          <w:i/>
          <w:iCs/>
          <w:lang w:val="nl-NL"/>
        </w:rPr>
        <w:t>: Mutatie eigen bijdragen opbrengst Wlz (in mln euro’s, + betekent hogere opbrengsten)</w:t>
      </w:r>
    </w:p>
    <w:tbl>
      <w:tblPr>
        <w:tblW w:w="5668"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417"/>
        <w:gridCol w:w="1417"/>
        <w:gridCol w:w="1417"/>
        <w:gridCol w:w="1417"/>
      </w:tblGrid>
      <w:tr w:rsidRPr="00EF2AF1" w:rsidR="00EF2AF1" w:rsidTr="005720C9" w14:paraId="3C2E087D" w14:textId="77777777">
        <w:trPr>
          <w:trHeight w:val="290"/>
        </w:trPr>
        <w:tc>
          <w:tcPr>
            <w:tcW w:w="1417" w:type="dxa"/>
            <w:tcBorders>
              <w:top w:val="single" w:color="auto" w:sz="4" w:space="0"/>
              <w:bottom w:val="single" w:color="auto" w:sz="4" w:space="0"/>
              <w:right w:val="single" w:color="auto" w:sz="4" w:space="0"/>
            </w:tcBorders>
            <w:shd w:val="clear" w:color="auto" w:fill="FFFFFF" w:themeFill="background1"/>
            <w:noWrap/>
            <w:vAlign w:val="center"/>
            <w:hideMark/>
          </w:tcPr>
          <w:p w:rsidRPr="005720C9" w:rsidR="00EF2AF1" w:rsidP="005720C9" w:rsidRDefault="00EF2AF1" w14:paraId="138CE0E0" w14:textId="03278F41">
            <w:pPr>
              <w:spacing w:line="240" w:lineRule="auto"/>
              <w:jc w:val="center"/>
              <w:rPr>
                <w:rFonts w:eastAsia="Times New Roman" w:cs="Calibri"/>
                <w:szCs w:val="18"/>
                <w:lang w:val="nl-NL" w:eastAsia="nl-NL"/>
              </w:rPr>
            </w:pPr>
          </w:p>
        </w:tc>
        <w:tc>
          <w:tcPr>
            <w:tcW w:w="1417" w:type="dxa"/>
            <w:tcBorders>
              <w:top w:val="single" w:color="auto" w:sz="4" w:space="0"/>
              <w:left w:val="single" w:color="auto" w:sz="4" w:space="0"/>
              <w:bottom w:val="single" w:color="auto" w:sz="4" w:space="0"/>
            </w:tcBorders>
            <w:shd w:val="clear" w:color="auto" w:fill="FFFFFF" w:themeFill="background1"/>
            <w:noWrap/>
            <w:vAlign w:val="center"/>
            <w:hideMark/>
          </w:tcPr>
          <w:p w:rsidRPr="005720C9" w:rsidR="00EF2AF1" w:rsidP="005720C9" w:rsidRDefault="00EF2AF1" w14:paraId="1E9BBA6F"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2026</w:t>
            </w:r>
          </w:p>
        </w:tc>
        <w:tc>
          <w:tcPr>
            <w:tcW w:w="1417" w:type="dxa"/>
            <w:tcBorders>
              <w:top w:val="single" w:color="auto" w:sz="4" w:space="0"/>
              <w:bottom w:val="single" w:color="auto" w:sz="4" w:space="0"/>
            </w:tcBorders>
            <w:shd w:val="clear" w:color="auto" w:fill="FFFFFF" w:themeFill="background1"/>
            <w:noWrap/>
            <w:vAlign w:val="center"/>
            <w:hideMark/>
          </w:tcPr>
          <w:p w:rsidRPr="005720C9" w:rsidR="00EF2AF1" w:rsidP="005720C9" w:rsidRDefault="00EF2AF1" w14:paraId="574BEB9F" w14:textId="77777777">
            <w:pPr>
              <w:spacing w:line="240" w:lineRule="auto"/>
              <w:jc w:val="center"/>
              <w:rPr>
                <w:rFonts w:eastAsia="Times New Roman" w:cs="Calibri"/>
                <w:color w:val="000000"/>
                <w:szCs w:val="18"/>
                <w:lang w:val="nl-NL" w:eastAsia="nl-NL"/>
              </w:rPr>
            </w:pPr>
            <w:r w:rsidRPr="005720C9">
              <w:rPr>
                <w:rFonts w:eastAsia="Times New Roman" w:cs="Calibri"/>
                <w:color w:val="000000"/>
                <w:szCs w:val="18"/>
                <w:lang w:val="nl-NL" w:eastAsia="nl-NL"/>
              </w:rPr>
              <w:t>2027</w:t>
            </w:r>
          </w:p>
        </w:tc>
        <w:tc>
          <w:tcPr>
            <w:tcW w:w="1417" w:type="dxa"/>
            <w:tcBorders>
              <w:top w:val="single" w:color="auto" w:sz="4" w:space="0"/>
              <w:bottom w:val="single" w:color="auto" w:sz="4" w:space="0"/>
            </w:tcBorders>
            <w:shd w:val="clear" w:color="auto" w:fill="FFFFFF" w:themeFill="background1"/>
            <w:noWrap/>
            <w:vAlign w:val="center"/>
            <w:hideMark/>
          </w:tcPr>
          <w:p w:rsidRPr="005720C9" w:rsidR="00EF2AF1" w:rsidP="005720C9" w:rsidRDefault="00EF2AF1" w14:paraId="169B0E8D" w14:textId="287422F4">
            <w:pPr>
              <w:spacing w:line="240" w:lineRule="auto"/>
              <w:jc w:val="center"/>
              <w:rPr>
                <w:rFonts w:eastAsia="Times New Roman" w:cs="Calibri"/>
                <w:szCs w:val="18"/>
                <w:lang w:val="nl-NL" w:eastAsia="nl-NL"/>
              </w:rPr>
            </w:pPr>
            <w:r w:rsidRPr="005720C9">
              <w:rPr>
                <w:rFonts w:eastAsia="Times New Roman" w:cs="Calibri"/>
                <w:szCs w:val="18"/>
                <w:lang w:val="nl-NL" w:eastAsia="nl-NL"/>
              </w:rPr>
              <w:t>2028 = struc.</w:t>
            </w:r>
          </w:p>
        </w:tc>
      </w:tr>
      <w:tr w:rsidRPr="00EF2AF1" w:rsidR="00EF2AF1" w:rsidTr="005720C9" w14:paraId="525391A7" w14:textId="77777777">
        <w:trPr>
          <w:trHeight w:val="290"/>
        </w:trPr>
        <w:tc>
          <w:tcPr>
            <w:tcW w:w="1417" w:type="dxa"/>
            <w:tcBorders>
              <w:top w:val="single" w:color="auto" w:sz="4" w:space="0"/>
              <w:bottom w:val="nil"/>
              <w:right w:val="single" w:color="auto" w:sz="4" w:space="0"/>
            </w:tcBorders>
            <w:shd w:val="clear" w:color="auto" w:fill="FFFFFF" w:themeFill="background1"/>
            <w:noWrap/>
            <w:vAlign w:val="center"/>
            <w:hideMark/>
          </w:tcPr>
          <w:p w:rsidRPr="005720C9" w:rsidR="00EF2AF1" w:rsidP="005720C9" w:rsidRDefault="00EF2AF1" w14:paraId="29EBE4F2" w14:textId="77777777">
            <w:pPr>
              <w:spacing w:line="240" w:lineRule="auto"/>
              <w:jc w:val="center"/>
              <w:rPr>
                <w:rFonts w:eastAsia="Times New Roman" w:cs="Calibri"/>
                <w:szCs w:val="18"/>
                <w:lang w:val="nl-NL" w:eastAsia="nl-NL"/>
              </w:rPr>
            </w:pPr>
            <w:r w:rsidRPr="005720C9">
              <w:rPr>
                <w:rFonts w:eastAsia="Times New Roman" w:cs="Calibri"/>
                <w:szCs w:val="18"/>
                <w:lang w:val="nl-NL" w:eastAsia="nl-NL"/>
              </w:rPr>
              <w:t>Totaal</w:t>
            </w:r>
          </w:p>
        </w:tc>
        <w:tc>
          <w:tcPr>
            <w:tcW w:w="1417" w:type="dxa"/>
            <w:tcBorders>
              <w:top w:val="single" w:color="auto" w:sz="4" w:space="0"/>
              <w:left w:val="single" w:color="auto" w:sz="4" w:space="0"/>
            </w:tcBorders>
            <w:shd w:val="clear" w:color="auto" w:fill="FFFFFF" w:themeFill="background1"/>
            <w:noWrap/>
            <w:vAlign w:val="center"/>
            <w:hideMark/>
          </w:tcPr>
          <w:p w:rsidRPr="005720C9" w:rsidR="00EF2AF1" w:rsidP="005720C9" w:rsidRDefault="00EF2AF1" w14:paraId="59BAEFE1" w14:textId="2ACAB166">
            <w:pPr>
              <w:spacing w:line="240" w:lineRule="auto"/>
              <w:jc w:val="center"/>
              <w:rPr>
                <w:rFonts w:eastAsia="Times New Roman" w:cs="Calibri"/>
                <w:szCs w:val="18"/>
                <w:lang w:val="nl-NL" w:eastAsia="nl-NL"/>
              </w:rPr>
            </w:pPr>
            <w:r w:rsidRPr="005720C9">
              <w:rPr>
                <w:rFonts w:eastAsia="Times New Roman" w:cs="Calibri"/>
                <w:szCs w:val="18"/>
                <w:lang w:val="nl-NL" w:eastAsia="nl-NL"/>
              </w:rPr>
              <w:t>14,2</w:t>
            </w:r>
          </w:p>
        </w:tc>
        <w:tc>
          <w:tcPr>
            <w:tcW w:w="1417" w:type="dxa"/>
            <w:tcBorders>
              <w:top w:val="single" w:color="auto" w:sz="4" w:space="0"/>
            </w:tcBorders>
            <w:shd w:val="clear" w:color="auto" w:fill="FFFFFF" w:themeFill="background1"/>
            <w:noWrap/>
            <w:vAlign w:val="center"/>
            <w:hideMark/>
          </w:tcPr>
          <w:p w:rsidRPr="005720C9" w:rsidR="00EF2AF1" w:rsidP="005720C9" w:rsidRDefault="00EF2AF1" w14:paraId="73916E04" w14:textId="6C7F4A4B">
            <w:pPr>
              <w:spacing w:line="240" w:lineRule="auto"/>
              <w:jc w:val="center"/>
              <w:rPr>
                <w:rFonts w:eastAsia="Times New Roman" w:cs="Calibri"/>
                <w:szCs w:val="18"/>
                <w:lang w:val="nl-NL" w:eastAsia="nl-NL"/>
              </w:rPr>
            </w:pPr>
            <w:r w:rsidRPr="005720C9">
              <w:rPr>
                <w:rFonts w:eastAsia="Times New Roman" w:cs="Calibri"/>
                <w:szCs w:val="18"/>
                <w:lang w:val="nl-NL" w:eastAsia="nl-NL"/>
              </w:rPr>
              <w:t>22,5</w:t>
            </w:r>
          </w:p>
        </w:tc>
        <w:tc>
          <w:tcPr>
            <w:tcW w:w="1417" w:type="dxa"/>
            <w:tcBorders>
              <w:top w:val="single" w:color="auto" w:sz="4" w:space="0"/>
            </w:tcBorders>
            <w:shd w:val="clear" w:color="auto" w:fill="FFFFFF" w:themeFill="background1"/>
            <w:noWrap/>
            <w:vAlign w:val="center"/>
            <w:hideMark/>
          </w:tcPr>
          <w:p w:rsidRPr="005720C9" w:rsidR="00EF2AF1" w:rsidP="005720C9" w:rsidRDefault="00EF2AF1" w14:paraId="2D368325" w14:textId="6B53D31C">
            <w:pPr>
              <w:spacing w:line="240" w:lineRule="auto"/>
              <w:jc w:val="center"/>
              <w:rPr>
                <w:rFonts w:eastAsia="Times New Roman" w:cs="Calibri"/>
                <w:szCs w:val="18"/>
                <w:lang w:val="nl-NL" w:eastAsia="nl-NL"/>
              </w:rPr>
            </w:pPr>
            <w:r w:rsidRPr="005720C9">
              <w:rPr>
                <w:rFonts w:eastAsia="Times New Roman" w:cs="Calibri"/>
                <w:szCs w:val="18"/>
                <w:lang w:val="nl-NL" w:eastAsia="nl-NL"/>
              </w:rPr>
              <w:t>31,0</w:t>
            </w:r>
          </w:p>
        </w:tc>
      </w:tr>
      <w:tr w:rsidRPr="00EF2AF1" w:rsidR="00EF2AF1" w:rsidTr="005720C9" w14:paraId="63E8D7F0" w14:textId="77777777">
        <w:trPr>
          <w:trHeight w:val="290"/>
        </w:trPr>
        <w:tc>
          <w:tcPr>
            <w:tcW w:w="1417" w:type="dxa"/>
            <w:tcBorders>
              <w:top w:val="nil"/>
              <w:bottom w:val="nil"/>
              <w:right w:val="single" w:color="auto" w:sz="4" w:space="0"/>
            </w:tcBorders>
            <w:shd w:val="clear" w:color="auto" w:fill="FFFFFF" w:themeFill="background1"/>
            <w:noWrap/>
            <w:vAlign w:val="center"/>
            <w:hideMark/>
          </w:tcPr>
          <w:p w:rsidRPr="005720C9" w:rsidR="00EF2AF1" w:rsidP="005720C9" w:rsidRDefault="00EF2AF1" w14:paraId="24234C0B" w14:textId="77777777">
            <w:pPr>
              <w:spacing w:line="240" w:lineRule="auto"/>
              <w:jc w:val="center"/>
              <w:rPr>
                <w:rFonts w:eastAsia="Times New Roman" w:cs="Calibri"/>
                <w:szCs w:val="18"/>
                <w:lang w:val="nl-NL" w:eastAsia="nl-NL"/>
              </w:rPr>
            </w:pPr>
            <w:r w:rsidRPr="005720C9">
              <w:rPr>
                <w:rFonts w:eastAsia="Times New Roman" w:cs="Calibri"/>
                <w:szCs w:val="18"/>
                <w:lang w:val="nl-NL" w:eastAsia="nl-NL"/>
              </w:rPr>
              <w:t>w.v. CVO</w:t>
            </w:r>
          </w:p>
        </w:tc>
        <w:tc>
          <w:tcPr>
            <w:tcW w:w="1417" w:type="dxa"/>
            <w:tcBorders>
              <w:left w:val="single" w:color="auto" w:sz="4" w:space="0"/>
            </w:tcBorders>
            <w:shd w:val="clear" w:color="auto" w:fill="FFFFFF" w:themeFill="background1"/>
            <w:noWrap/>
            <w:vAlign w:val="center"/>
            <w:hideMark/>
          </w:tcPr>
          <w:p w:rsidRPr="005720C9" w:rsidR="00EF2AF1" w:rsidP="005720C9" w:rsidRDefault="00EF2AF1" w14:paraId="7928F804" w14:textId="0E72D6D6">
            <w:pPr>
              <w:spacing w:line="240" w:lineRule="auto"/>
              <w:jc w:val="center"/>
              <w:rPr>
                <w:rFonts w:eastAsia="Times New Roman" w:cs="Calibri"/>
                <w:szCs w:val="18"/>
                <w:lang w:val="nl-NL" w:eastAsia="nl-NL"/>
              </w:rPr>
            </w:pPr>
            <w:r w:rsidRPr="005720C9">
              <w:rPr>
                <w:rFonts w:eastAsia="Times New Roman" w:cs="Calibri"/>
                <w:szCs w:val="18"/>
                <w:lang w:val="nl-NL" w:eastAsia="nl-NL"/>
              </w:rPr>
              <w:t>7,9</w:t>
            </w:r>
          </w:p>
        </w:tc>
        <w:tc>
          <w:tcPr>
            <w:tcW w:w="1417" w:type="dxa"/>
            <w:shd w:val="clear" w:color="auto" w:fill="FFFFFF" w:themeFill="background1"/>
            <w:noWrap/>
            <w:vAlign w:val="center"/>
            <w:hideMark/>
          </w:tcPr>
          <w:p w:rsidRPr="005720C9" w:rsidR="00EF2AF1" w:rsidP="005720C9" w:rsidRDefault="00EF2AF1" w14:paraId="33BFB03C" w14:textId="68D5F77D">
            <w:pPr>
              <w:spacing w:line="240" w:lineRule="auto"/>
              <w:jc w:val="center"/>
              <w:rPr>
                <w:rFonts w:eastAsia="Times New Roman" w:cs="Calibri"/>
                <w:szCs w:val="18"/>
                <w:lang w:val="nl-NL" w:eastAsia="nl-NL"/>
              </w:rPr>
            </w:pPr>
            <w:r w:rsidRPr="005720C9">
              <w:rPr>
                <w:rFonts w:eastAsia="Times New Roman" w:cs="Calibri"/>
                <w:szCs w:val="18"/>
                <w:lang w:val="nl-NL" w:eastAsia="nl-NL"/>
              </w:rPr>
              <w:t>16,0</w:t>
            </w:r>
          </w:p>
        </w:tc>
        <w:tc>
          <w:tcPr>
            <w:tcW w:w="1417" w:type="dxa"/>
            <w:shd w:val="clear" w:color="auto" w:fill="FFFFFF" w:themeFill="background1"/>
            <w:noWrap/>
            <w:vAlign w:val="center"/>
            <w:hideMark/>
          </w:tcPr>
          <w:p w:rsidRPr="005720C9" w:rsidR="00EF2AF1" w:rsidP="005720C9" w:rsidRDefault="00EF2AF1" w14:paraId="5BD8AE29" w14:textId="39FE2B45">
            <w:pPr>
              <w:spacing w:line="240" w:lineRule="auto"/>
              <w:jc w:val="center"/>
              <w:rPr>
                <w:rFonts w:eastAsia="Times New Roman" w:cs="Calibri"/>
                <w:szCs w:val="18"/>
                <w:lang w:val="nl-NL" w:eastAsia="nl-NL"/>
              </w:rPr>
            </w:pPr>
            <w:r w:rsidRPr="005720C9">
              <w:rPr>
                <w:rFonts w:eastAsia="Times New Roman" w:cs="Calibri"/>
                <w:szCs w:val="18"/>
                <w:lang w:val="nl-NL" w:eastAsia="nl-NL"/>
              </w:rPr>
              <w:t>24,4</w:t>
            </w:r>
          </w:p>
        </w:tc>
      </w:tr>
      <w:tr w:rsidRPr="00EF2AF1" w:rsidR="00EF2AF1" w:rsidTr="005720C9" w14:paraId="51D8A99B" w14:textId="77777777">
        <w:trPr>
          <w:trHeight w:val="290"/>
        </w:trPr>
        <w:tc>
          <w:tcPr>
            <w:tcW w:w="1417" w:type="dxa"/>
            <w:tcBorders>
              <w:top w:val="nil"/>
              <w:bottom w:val="single" w:color="auto" w:sz="4" w:space="0"/>
              <w:right w:val="single" w:color="auto" w:sz="4" w:space="0"/>
            </w:tcBorders>
            <w:shd w:val="clear" w:color="auto" w:fill="FFFFFF" w:themeFill="background1"/>
            <w:noWrap/>
            <w:vAlign w:val="center"/>
            <w:hideMark/>
          </w:tcPr>
          <w:p w:rsidRPr="005720C9" w:rsidR="00EF2AF1" w:rsidP="005720C9" w:rsidRDefault="00EF2AF1" w14:paraId="2A850008" w14:textId="77777777">
            <w:pPr>
              <w:spacing w:line="240" w:lineRule="auto"/>
              <w:jc w:val="center"/>
              <w:rPr>
                <w:rFonts w:eastAsia="Times New Roman" w:cs="Calibri"/>
                <w:szCs w:val="18"/>
                <w:lang w:val="nl-NL" w:eastAsia="nl-NL"/>
              </w:rPr>
            </w:pPr>
            <w:r w:rsidRPr="005720C9">
              <w:rPr>
                <w:rFonts w:eastAsia="Times New Roman" w:cs="Calibri"/>
                <w:szCs w:val="18"/>
                <w:lang w:val="nl-NL" w:eastAsia="nl-NL"/>
              </w:rPr>
              <w:t>w.v. EVV</w:t>
            </w:r>
          </w:p>
        </w:tc>
        <w:tc>
          <w:tcPr>
            <w:tcW w:w="1417" w:type="dxa"/>
            <w:tcBorders>
              <w:left w:val="single" w:color="auto" w:sz="4" w:space="0"/>
            </w:tcBorders>
            <w:shd w:val="clear" w:color="auto" w:fill="FFFFFF" w:themeFill="background1"/>
            <w:noWrap/>
            <w:vAlign w:val="center"/>
            <w:hideMark/>
          </w:tcPr>
          <w:p w:rsidRPr="005720C9" w:rsidR="00EF2AF1" w:rsidP="005720C9" w:rsidRDefault="00EF2AF1" w14:paraId="4B5EF4D8" w14:textId="2772444D">
            <w:pPr>
              <w:spacing w:line="240" w:lineRule="auto"/>
              <w:jc w:val="center"/>
              <w:rPr>
                <w:rFonts w:eastAsia="Times New Roman" w:cs="Calibri"/>
                <w:szCs w:val="18"/>
                <w:lang w:val="nl-NL" w:eastAsia="nl-NL"/>
              </w:rPr>
            </w:pPr>
            <w:r w:rsidRPr="005720C9">
              <w:rPr>
                <w:rFonts w:eastAsia="Times New Roman" w:cs="Calibri"/>
                <w:szCs w:val="18"/>
                <w:lang w:val="nl-NL" w:eastAsia="nl-NL"/>
              </w:rPr>
              <w:t>6,4</w:t>
            </w:r>
          </w:p>
        </w:tc>
        <w:tc>
          <w:tcPr>
            <w:tcW w:w="1417" w:type="dxa"/>
            <w:shd w:val="clear" w:color="auto" w:fill="FFFFFF" w:themeFill="background1"/>
            <w:noWrap/>
            <w:vAlign w:val="center"/>
            <w:hideMark/>
          </w:tcPr>
          <w:p w:rsidRPr="005720C9" w:rsidR="00EF2AF1" w:rsidP="005720C9" w:rsidRDefault="00EF2AF1" w14:paraId="14E3D651" w14:textId="1D97D26F">
            <w:pPr>
              <w:spacing w:line="240" w:lineRule="auto"/>
              <w:jc w:val="center"/>
              <w:rPr>
                <w:rFonts w:eastAsia="Times New Roman" w:cs="Calibri"/>
                <w:szCs w:val="18"/>
                <w:lang w:val="nl-NL" w:eastAsia="nl-NL"/>
              </w:rPr>
            </w:pPr>
            <w:r w:rsidRPr="005720C9">
              <w:rPr>
                <w:rFonts w:eastAsia="Times New Roman" w:cs="Calibri"/>
                <w:szCs w:val="18"/>
                <w:lang w:val="nl-NL" w:eastAsia="nl-NL"/>
              </w:rPr>
              <w:t>6,5</w:t>
            </w:r>
          </w:p>
        </w:tc>
        <w:tc>
          <w:tcPr>
            <w:tcW w:w="1417" w:type="dxa"/>
            <w:shd w:val="clear" w:color="auto" w:fill="FFFFFF" w:themeFill="background1"/>
            <w:noWrap/>
            <w:vAlign w:val="center"/>
            <w:hideMark/>
          </w:tcPr>
          <w:p w:rsidRPr="005720C9" w:rsidR="00EF2AF1" w:rsidP="005720C9" w:rsidRDefault="00EF2AF1" w14:paraId="03A19EB9" w14:textId="5192376B">
            <w:pPr>
              <w:spacing w:line="240" w:lineRule="auto"/>
              <w:jc w:val="center"/>
              <w:rPr>
                <w:rFonts w:eastAsia="Times New Roman" w:cs="Calibri"/>
                <w:szCs w:val="18"/>
                <w:lang w:val="nl-NL" w:eastAsia="nl-NL"/>
              </w:rPr>
            </w:pPr>
            <w:r w:rsidRPr="005720C9">
              <w:rPr>
                <w:rFonts w:eastAsia="Times New Roman" w:cs="Calibri"/>
                <w:szCs w:val="18"/>
                <w:lang w:val="nl-NL" w:eastAsia="nl-NL"/>
              </w:rPr>
              <w:t>6,6</w:t>
            </w:r>
          </w:p>
        </w:tc>
      </w:tr>
    </w:tbl>
    <w:p w:rsidR="00EB0D79" w:rsidP="008F269F" w:rsidRDefault="00EB0D79" w14:paraId="7CAB2445" w14:textId="3B06844E">
      <w:pPr>
        <w:rPr>
          <w:b/>
          <w:lang w:val="nl-NL"/>
        </w:rPr>
      </w:pPr>
    </w:p>
    <w:p w:rsidR="00EF2AF1" w:rsidP="008F269F" w:rsidRDefault="00EF2AF1" w14:paraId="222A95FD" w14:textId="1970D4E3">
      <w:pPr>
        <w:rPr>
          <w:bCs/>
          <w:lang w:val="nl-NL"/>
        </w:rPr>
      </w:pPr>
      <w:r w:rsidRPr="00766911">
        <w:rPr>
          <w:bCs/>
          <w:lang w:val="nl-NL"/>
        </w:rPr>
        <w:t xml:space="preserve">Zowel de afbouw van de CVO, als de afschaffing van de EVV hebben een nagenoeg nihil effect op de opbrengst </w:t>
      </w:r>
      <w:r>
        <w:rPr>
          <w:bCs/>
          <w:lang w:val="nl-NL"/>
        </w:rPr>
        <w:t xml:space="preserve">van eigen bijdragen </w:t>
      </w:r>
      <w:r w:rsidRPr="00766911">
        <w:rPr>
          <w:bCs/>
          <w:lang w:val="nl-NL"/>
        </w:rPr>
        <w:t xml:space="preserve">op grond van de Wmo 2015. </w:t>
      </w:r>
      <w:r w:rsidR="005E2005">
        <w:rPr>
          <w:bCs/>
          <w:lang w:val="nl-NL"/>
        </w:rPr>
        <w:t xml:space="preserve">Dit komt door </w:t>
      </w:r>
      <w:r w:rsidRPr="00766911">
        <w:rPr>
          <w:bCs/>
          <w:lang w:val="nl-NL"/>
        </w:rPr>
        <w:t>de aanzienlijk lagere cliëntaantallen in beschermd wonen binnen de Wmo 2015 dan in de Wlz</w:t>
      </w:r>
      <w:r w:rsidR="005E2005">
        <w:rPr>
          <w:bCs/>
          <w:lang w:val="nl-NL"/>
        </w:rPr>
        <w:t xml:space="preserve"> en </w:t>
      </w:r>
      <w:r w:rsidRPr="00766911">
        <w:rPr>
          <w:bCs/>
          <w:lang w:val="nl-NL"/>
        </w:rPr>
        <w:t xml:space="preserve">cliënten in beschermd wonen </w:t>
      </w:r>
      <w:r w:rsidR="003B365B">
        <w:rPr>
          <w:bCs/>
          <w:lang w:val="nl-NL"/>
        </w:rPr>
        <w:t xml:space="preserve">en opvang </w:t>
      </w:r>
      <w:r w:rsidRPr="00766911">
        <w:rPr>
          <w:bCs/>
          <w:lang w:val="nl-NL"/>
        </w:rPr>
        <w:t>in de Wmo 2015</w:t>
      </w:r>
      <w:r w:rsidR="005E2005">
        <w:rPr>
          <w:bCs/>
          <w:lang w:val="nl-NL"/>
        </w:rPr>
        <w:t xml:space="preserve"> hebben</w:t>
      </w:r>
      <w:r w:rsidRPr="00766911">
        <w:rPr>
          <w:bCs/>
          <w:lang w:val="nl-NL"/>
        </w:rPr>
        <w:t xml:space="preserve"> doorgaans een lager bijdrageplichtig inkomen. Zoals eerder toegelicht, treedt er pas een effect op in de eigen bijdragen als iemand een vermogen heeft van minstens € </w:t>
      </w:r>
      <w:r w:rsidR="00226EDF">
        <w:rPr>
          <w:bCs/>
          <w:lang w:val="nl-NL"/>
        </w:rPr>
        <w:t>33.749</w:t>
      </w:r>
      <w:r w:rsidRPr="00766911">
        <w:rPr>
          <w:bCs/>
          <w:lang w:val="nl-NL"/>
        </w:rPr>
        <w:t>.</w:t>
      </w:r>
    </w:p>
    <w:bookmarkEnd w:id="2"/>
    <w:p w:rsidRPr="0060352C" w:rsidR="00EF2AF1" w:rsidP="008F269F" w:rsidRDefault="00EF2AF1" w14:paraId="5432014D" w14:textId="77777777">
      <w:pPr>
        <w:rPr>
          <w:b/>
          <w:lang w:val="nl-NL"/>
        </w:rPr>
      </w:pPr>
    </w:p>
    <w:p w:rsidRPr="0060352C" w:rsidR="00C51B42" w:rsidP="008F269F" w:rsidRDefault="007A441B" w14:paraId="34E25DE6" w14:textId="326A5EBB">
      <w:pPr>
        <w:rPr>
          <w:b/>
          <w:lang w:val="nl-NL"/>
        </w:rPr>
      </w:pPr>
      <w:r>
        <w:rPr>
          <w:b/>
          <w:lang w:val="nl-NL"/>
        </w:rPr>
        <w:lastRenderedPageBreak/>
        <w:t>7</w:t>
      </w:r>
      <w:r w:rsidRPr="0060352C" w:rsidR="00C51B42">
        <w:rPr>
          <w:b/>
          <w:lang w:val="nl-NL"/>
        </w:rPr>
        <w:t>. Advies en consultatie</w:t>
      </w:r>
    </w:p>
    <w:p w:rsidRPr="0060352C" w:rsidR="00C51B42" w:rsidP="008F269F" w:rsidRDefault="00C51B42" w14:paraId="2D34FB67" w14:textId="77777777">
      <w:pPr>
        <w:rPr>
          <w:b/>
          <w:lang w:val="nl-NL"/>
        </w:rPr>
      </w:pPr>
    </w:p>
    <w:p w:rsidR="006D617B" w:rsidP="002B22D1" w:rsidRDefault="0099745C" w14:paraId="30438C13" w14:textId="5FF60601">
      <w:pPr>
        <w:rPr>
          <w:bCs/>
          <w:lang w:val="nl-NL"/>
        </w:rPr>
      </w:pPr>
      <w:r w:rsidRPr="0099745C">
        <w:rPr>
          <w:bCs/>
          <w:lang w:val="nl-NL"/>
        </w:rPr>
        <w:t xml:space="preserve">Het </w:t>
      </w:r>
      <w:r>
        <w:rPr>
          <w:bCs/>
          <w:lang w:val="nl-NL"/>
        </w:rPr>
        <w:t xml:space="preserve">ontwerp van dit besluit </w:t>
      </w:r>
      <w:r w:rsidRPr="0099745C">
        <w:rPr>
          <w:bCs/>
          <w:lang w:val="nl-NL"/>
        </w:rPr>
        <w:t xml:space="preserve">is van </w:t>
      </w:r>
      <w:r>
        <w:rPr>
          <w:bCs/>
          <w:lang w:val="nl-NL"/>
        </w:rPr>
        <w:t xml:space="preserve">4 juni </w:t>
      </w:r>
      <w:r w:rsidRPr="0099745C">
        <w:rPr>
          <w:bCs/>
          <w:lang w:val="nl-NL"/>
        </w:rPr>
        <w:t xml:space="preserve">tot en met </w:t>
      </w:r>
      <w:r>
        <w:rPr>
          <w:bCs/>
          <w:lang w:val="nl-NL"/>
        </w:rPr>
        <w:t xml:space="preserve">16 juli </w:t>
      </w:r>
      <w:r w:rsidRPr="0099745C">
        <w:rPr>
          <w:bCs/>
          <w:lang w:val="nl-NL"/>
        </w:rPr>
        <w:t>2024 opengesteld voor internetconsultatie. Te</w:t>
      </w:r>
      <w:r w:rsidR="00DF5370">
        <w:rPr>
          <w:bCs/>
          <w:lang w:val="nl-NL"/>
        </w:rPr>
        <w:t>gelijk</w:t>
      </w:r>
      <w:r w:rsidRPr="0099745C">
        <w:rPr>
          <w:bCs/>
          <w:lang w:val="nl-NL"/>
        </w:rPr>
        <w:t xml:space="preserve"> </w:t>
      </w:r>
      <w:r>
        <w:rPr>
          <w:bCs/>
          <w:lang w:val="nl-NL"/>
        </w:rPr>
        <w:t xml:space="preserve">is het ter toetsing en advisering voorgelegd aan </w:t>
      </w:r>
      <w:r w:rsidR="00466A7F">
        <w:rPr>
          <w:bCs/>
          <w:lang w:val="nl-NL"/>
        </w:rPr>
        <w:t xml:space="preserve">onder meer </w:t>
      </w:r>
      <w:r>
        <w:rPr>
          <w:bCs/>
          <w:lang w:val="nl-NL"/>
        </w:rPr>
        <w:t>het CAK, de Vereniging van Nederlandse Gemeenten (hierna: VNG) en het Adviescollege toetsing regeldruk (hierna: ATR)</w:t>
      </w:r>
      <w:r w:rsidRPr="0099745C">
        <w:rPr>
          <w:bCs/>
          <w:lang w:val="nl-NL"/>
        </w:rPr>
        <w:t>.</w:t>
      </w:r>
      <w:r>
        <w:rPr>
          <w:bCs/>
          <w:lang w:val="nl-NL"/>
        </w:rPr>
        <w:t xml:space="preserve"> De afbouw van de CVO en de afschaffing van de EVV waren opgenomen in </w:t>
      </w:r>
      <w:r w:rsidR="00456FFA">
        <w:rPr>
          <w:bCs/>
          <w:lang w:val="nl-NL"/>
        </w:rPr>
        <w:t>het ontwerp</w:t>
      </w:r>
      <w:r w:rsidR="00731C8B">
        <w:rPr>
          <w:bCs/>
          <w:lang w:val="nl-NL"/>
        </w:rPr>
        <w:t>-</w:t>
      </w:r>
      <w:r>
        <w:rPr>
          <w:bCs/>
          <w:lang w:val="nl-NL"/>
        </w:rPr>
        <w:t xml:space="preserve">Besluit vervanging abonnementstarief Wmo 2015. Om procedurele redenen </w:t>
      </w:r>
      <w:r w:rsidRPr="00DF5370" w:rsidR="00DF5370">
        <w:rPr>
          <w:bCs/>
          <w:lang w:val="nl-NL"/>
        </w:rPr>
        <w:t xml:space="preserve">is de beëindiging van de CVO en de EVV </w:t>
      </w:r>
      <w:r>
        <w:rPr>
          <w:bCs/>
          <w:lang w:val="nl-NL"/>
        </w:rPr>
        <w:t xml:space="preserve">afgesplitst in </w:t>
      </w:r>
      <w:r w:rsidR="00C96ECD">
        <w:rPr>
          <w:bCs/>
          <w:lang w:val="nl-NL"/>
        </w:rPr>
        <w:t xml:space="preserve">onderhavige </w:t>
      </w:r>
      <w:r>
        <w:rPr>
          <w:bCs/>
          <w:lang w:val="nl-NL"/>
        </w:rPr>
        <w:t xml:space="preserve">separate </w:t>
      </w:r>
      <w:r w:rsidR="00097986">
        <w:rPr>
          <w:bCs/>
          <w:lang w:val="nl-NL"/>
        </w:rPr>
        <w:t>algemene maatregel van bestuur</w:t>
      </w:r>
      <w:r>
        <w:rPr>
          <w:bCs/>
          <w:lang w:val="nl-NL"/>
        </w:rPr>
        <w:t xml:space="preserve">. </w:t>
      </w:r>
      <w:bookmarkStart w:name="_Hlk179302567" w:id="4"/>
      <w:r w:rsidRPr="00706BD0" w:rsidR="00706BD0">
        <w:rPr>
          <w:bCs/>
          <w:lang w:val="nl-NL"/>
        </w:rPr>
        <w:t>Samen met (vertegenwoordigers van) de partijen in de uitvoeringsketen</w:t>
      </w:r>
      <w:r w:rsidRPr="002B22D1" w:rsidR="002B22D1">
        <w:rPr>
          <w:bCs/>
          <w:lang w:val="nl-NL"/>
        </w:rPr>
        <w:t xml:space="preserve"> </w:t>
      </w:r>
      <w:r w:rsidR="002B22D1">
        <w:rPr>
          <w:bCs/>
          <w:lang w:val="nl-NL"/>
        </w:rPr>
        <w:t>is de conclusie getrokken dat d</w:t>
      </w:r>
      <w:r w:rsidRPr="00706BD0" w:rsidR="002B22D1">
        <w:rPr>
          <w:bCs/>
          <w:lang w:val="nl-NL"/>
        </w:rPr>
        <w:t xml:space="preserve">e planning om </w:t>
      </w:r>
      <w:r w:rsidR="002B22D1">
        <w:rPr>
          <w:bCs/>
          <w:lang w:val="nl-NL"/>
        </w:rPr>
        <w:t xml:space="preserve">het abonnementstarief </w:t>
      </w:r>
      <w:r w:rsidRPr="00706BD0" w:rsidR="002B22D1">
        <w:rPr>
          <w:bCs/>
          <w:lang w:val="nl-NL"/>
        </w:rPr>
        <w:t xml:space="preserve">per 1 januari 2026 te </w:t>
      </w:r>
      <w:r w:rsidR="002B22D1">
        <w:rPr>
          <w:bCs/>
          <w:lang w:val="nl-NL"/>
        </w:rPr>
        <w:t>vervangen door de ivb</w:t>
      </w:r>
      <w:r w:rsidRPr="00706BD0" w:rsidR="00706BD0">
        <w:rPr>
          <w:bCs/>
          <w:lang w:val="nl-NL"/>
        </w:rPr>
        <w:t xml:space="preserve"> niet meer realistisch is, omdat er voldoende tijd moet zitten tussen de publicatie van </w:t>
      </w:r>
      <w:r w:rsidR="002B22D1">
        <w:rPr>
          <w:bCs/>
          <w:lang w:val="nl-NL"/>
        </w:rPr>
        <w:t>d</w:t>
      </w:r>
      <w:r w:rsidRPr="00706BD0" w:rsidR="00706BD0">
        <w:rPr>
          <w:bCs/>
          <w:lang w:val="nl-NL"/>
        </w:rPr>
        <w:t>e wet en het moment van inwerkingtreding</w:t>
      </w:r>
      <w:r w:rsidR="002B22D1">
        <w:rPr>
          <w:bCs/>
          <w:lang w:val="nl-NL"/>
        </w:rPr>
        <w:t xml:space="preserve"> ervan</w:t>
      </w:r>
      <w:r w:rsidRPr="00706BD0" w:rsidR="00706BD0">
        <w:rPr>
          <w:bCs/>
          <w:lang w:val="nl-NL"/>
        </w:rPr>
        <w:t xml:space="preserve">. Om zowel aan burgers en aanbieders van ondersteuning, als aan uitvoerende partijen – zoals het CAK en gemeenten – de kans te geven zich goed voor te bereiden op </w:t>
      </w:r>
      <w:r w:rsidR="002B22D1">
        <w:rPr>
          <w:bCs/>
          <w:lang w:val="nl-NL"/>
        </w:rPr>
        <w:t>de vervanging van het abonnementstarief</w:t>
      </w:r>
      <w:r w:rsidRPr="00706BD0" w:rsidR="00706BD0">
        <w:rPr>
          <w:bCs/>
          <w:lang w:val="nl-NL"/>
        </w:rPr>
        <w:t xml:space="preserve">, </w:t>
      </w:r>
      <w:r w:rsidR="002B22D1">
        <w:rPr>
          <w:bCs/>
          <w:lang w:val="nl-NL"/>
        </w:rPr>
        <w:t xml:space="preserve">is </w:t>
      </w:r>
      <w:r w:rsidRPr="00706BD0" w:rsidR="00706BD0">
        <w:rPr>
          <w:bCs/>
          <w:lang w:val="nl-NL"/>
        </w:rPr>
        <w:t>de beoogde implementatiedatum opgeschoven naar 1 januari 2027</w:t>
      </w:r>
      <w:r w:rsidR="002B22D1">
        <w:rPr>
          <w:bCs/>
          <w:lang w:val="nl-NL"/>
        </w:rPr>
        <w:t>.</w:t>
      </w:r>
      <w:r w:rsidR="002B22D1">
        <w:rPr>
          <w:rStyle w:val="Voetnootmarkering"/>
          <w:bCs/>
          <w:lang w:val="nl-NL"/>
        </w:rPr>
        <w:footnoteReference w:id="8"/>
      </w:r>
      <w:r w:rsidR="00706BD0">
        <w:rPr>
          <w:bCs/>
          <w:lang w:val="nl-NL"/>
        </w:rPr>
        <w:t xml:space="preserve"> </w:t>
      </w:r>
      <w:r w:rsidR="002B22D1">
        <w:rPr>
          <w:bCs/>
          <w:lang w:val="nl-NL"/>
        </w:rPr>
        <w:t>H</w:t>
      </w:r>
      <w:r w:rsidRPr="00706BD0" w:rsidR="00706BD0">
        <w:rPr>
          <w:bCs/>
          <w:lang w:val="nl-NL"/>
        </w:rPr>
        <w:t xml:space="preserve">et beëindigen van de CVO en de EVV </w:t>
      </w:r>
      <w:r w:rsidRPr="00325E09" w:rsidR="002B22D1">
        <w:rPr>
          <w:bCs/>
          <w:lang w:val="nl-NL"/>
        </w:rPr>
        <w:t xml:space="preserve">wordt </w:t>
      </w:r>
      <w:r w:rsidR="002B22D1">
        <w:rPr>
          <w:bCs/>
          <w:lang w:val="nl-NL"/>
        </w:rPr>
        <w:t xml:space="preserve">ook </w:t>
      </w:r>
      <w:r w:rsidRPr="00325E09" w:rsidR="002B22D1">
        <w:rPr>
          <w:bCs/>
          <w:lang w:val="nl-NL"/>
        </w:rPr>
        <w:t>los van de vervanging van het abonnementstarief</w:t>
      </w:r>
      <w:r w:rsidR="002B22D1">
        <w:rPr>
          <w:bCs/>
          <w:lang w:val="nl-NL"/>
        </w:rPr>
        <w:t xml:space="preserve"> wenselijk geacht</w:t>
      </w:r>
      <w:r w:rsidRPr="00325E09" w:rsidR="002B22D1">
        <w:rPr>
          <w:bCs/>
          <w:lang w:val="nl-NL"/>
        </w:rPr>
        <w:t xml:space="preserve">. </w:t>
      </w:r>
      <w:r w:rsidR="002B22D1">
        <w:rPr>
          <w:bCs/>
          <w:lang w:val="nl-NL"/>
        </w:rPr>
        <w:t>Zoals in paragraaf 2 toegelicht, is d</w:t>
      </w:r>
      <w:r w:rsidRPr="00325E09" w:rsidR="002B22D1">
        <w:rPr>
          <w:bCs/>
          <w:lang w:val="nl-NL"/>
        </w:rPr>
        <w:t>e noodzaak van zowel de CVO, als de EVV is immers achterhaald</w:t>
      </w:r>
      <w:r w:rsidR="002B22D1">
        <w:rPr>
          <w:bCs/>
          <w:lang w:val="nl-NL"/>
        </w:rPr>
        <w:t>.</w:t>
      </w:r>
      <w:r w:rsidR="00745DB6">
        <w:rPr>
          <w:bCs/>
          <w:lang w:val="nl-NL"/>
        </w:rPr>
        <w:t xml:space="preserve"> Door het onder te brengen in een separate algemene maatregel van bestuur, kunnen de CVO en de EVV per 1 januari 2026 beëindigd worden</w:t>
      </w:r>
      <w:r w:rsidRPr="00325E09" w:rsidR="00325E09">
        <w:rPr>
          <w:bCs/>
          <w:lang w:val="nl-NL"/>
        </w:rPr>
        <w:t xml:space="preserve">. </w:t>
      </w:r>
    </w:p>
    <w:p w:rsidR="0099745C" w:rsidP="008F269F" w:rsidRDefault="0099745C" w14:paraId="7CDD3380" w14:textId="2A617B7D">
      <w:pPr>
        <w:rPr>
          <w:bCs/>
          <w:lang w:val="nl-NL"/>
        </w:rPr>
      </w:pPr>
    </w:p>
    <w:p w:rsidRPr="0083058C" w:rsidR="00731C8B" w:rsidP="0083058C" w:rsidRDefault="00731C8B" w14:paraId="266C3CD2" w14:textId="28BB9460">
      <w:pPr>
        <w:rPr>
          <w:bCs/>
          <w:lang w:val="nl-NL"/>
        </w:rPr>
      </w:pPr>
      <w:bookmarkStart w:name="_Hlk180408021" w:id="5"/>
      <w:bookmarkEnd w:id="4"/>
      <w:r w:rsidRPr="0083058C">
        <w:rPr>
          <w:bCs/>
          <w:lang w:val="nl-NL"/>
        </w:rPr>
        <w:t>In het kader van de internetconsultatie heeft Ieder</w:t>
      </w:r>
      <w:r w:rsidR="00DF5370">
        <w:rPr>
          <w:bCs/>
          <w:lang w:val="nl-NL"/>
        </w:rPr>
        <w:t>(in)</w:t>
      </w:r>
      <w:r w:rsidRPr="0083058C">
        <w:rPr>
          <w:bCs/>
          <w:lang w:val="nl-NL"/>
        </w:rPr>
        <w:t xml:space="preserve"> mede namens de Seniorencoalitie (ANBO-PCOB, Koepel Gepensioneerden, NOOM en SOM.Nl), de Patiëntenfederatie Nederland, MantelzorgNL, MIND, Per Saldo, Alzheimer Nederland, Spierziekten Nederland, Wij Staan Op! en Gehandicapten Patiënten Platform Zeist een gezamenlijke reactie gegeven op het voorstel de CVO en de EVV te beëindigen. Ieder</w:t>
      </w:r>
      <w:r w:rsidR="00DF5370">
        <w:rPr>
          <w:bCs/>
          <w:lang w:val="nl-NL"/>
        </w:rPr>
        <w:t>(in)</w:t>
      </w:r>
      <w:r w:rsidRPr="0083058C">
        <w:rPr>
          <w:bCs/>
          <w:lang w:val="nl-NL"/>
        </w:rPr>
        <w:t xml:space="preserve"> merkte in de reactie op dat deze beëindiging bijdraagt </w:t>
      </w:r>
      <w:r w:rsidR="00DF5370">
        <w:rPr>
          <w:bCs/>
          <w:lang w:val="nl-NL"/>
        </w:rPr>
        <w:t>aa</w:t>
      </w:r>
      <w:r w:rsidRPr="0083058C">
        <w:rPr>
          <w:bCs/>
          <w:lang w:val="nl-NL"/>
        </w:rPr>
        <w:t xml:space="preserve">n de stapeling van zorgkosten, aangezien cliënten daardoor een hogere eigen bijdrage gaan betalen. </w:t>
      </w:r>
    </w:p>
    <w:p w:rsidR="00731C8B" w:rsidP="00731C8B" w:rsidRDefault="00731C8B" w14:paraId="09E33510" w14:textId="77777777">
      <w:pPr>
        <w:rPr>
          <w:bCs/>
          <w:lang w:val="nl-NL"/>
        </w:rPr>
      </w:pPr>
    </w:p>
    <w:p w:rsidRPr="004804AD" w:rsidR="0099745C" w:rsidP="008F269F" w:rsidRDefault="00731C8B" w14:paraId="4FAF76A4" w14:textId="637A254B">
      <w:pPr>
        <w:rPr>
          <w:bCs/>
          <w:lang w:val="nl-NL"/>
        </w:rPr>
      </w:pPr>
      <w:r w:rsidRPr="0083058C">
        <w:rPr>
          <w:bCs/>
          <w:lang w:val="nl-NL"/>
        </w:rPr>
        <w:t xml:space="preserve">In reactie hierop merkt de regering op dat de </w:t>
      </w:r>
      <w:r w:rsidRPr="00DF5370" w:rsidR="00DF5370">
        <w:rPr>
          <w:bCs/>
          <w:lang w:val="nl-NL"/>
        </w:rPr>
        <w:t xml:space="preserve">beëindiging </w:t>
      </w:r>
      <w:r w:rsidRPr="0083058C">
        <w:rPr>
          <w:bCs/>
          <w:lang w:val="nl-NL"/>
        </w:rPr>
        <w:t xml:space="preserve">van de CVO en </w:t>
      </w:r>
      <w:r w:rsidR="00DF5370">
        <w:rPr>
          <w:bCs/>
          <w:lang w:val="nl-NL"/>
        </w:rPr>
        <w:t xml:space="preserve">de </w:t>
      </w:r>
      <w:r w:rsidRPr="0083058C">
        <w:rPr>
          <w:bCs/>
          <w:lang w:val="nl-NL"/>
        </w:rPr>
        <w:t xml:space="preserve">EVV alleen een effect heeft op de eigen bijdrage van cliënten met een vermogen van ten minste € </w:t>
      </w:r>
      <w:r w:rsidR="008E24A5">
        <w:rPr>
          <w:bCs/>
          <w:lang w:val="nl-NL"/>
        </w:rPr>
        <w:t>33.749</w:t>
      </w:r>
      <w:r w:rsidRPr="0083058C">
        <w:rPr>
          <w:bCs/>
          <w:lang w:val="nl-NL"/>
        </w:rPr>
        <w:t xml:space="preserve">. Deze effecten worden draagbaar geacht. Het idee achter eigen bijdragen die afhankelijk zijn van zowel inkomen als vermogen, is dat men ook vanuit vermogen bijdraagt aan de financiering van </w:t>
      </w:r>
      <w:r w:rsidR="00466A7F">
        <w:rPr>
          <w:bCs/>
          <w:lang w:val="nl-NL"/>
        </w:rPr>
        <w:t>langdurige</w:t>
      </w:r>
      <w:r w:rsidRPr="0083058C" w:rsidR="00466A7F">
        <w:rPr>
          <w:bCs/>
          <w:lang w:val="nl-NL"/>
        </w:rPr>
        <w:t xml:space="preserve"> </w:t>
      </w:r>
      <w:r w:rsidRPr="0083058C">
        <w:rPr>
          <w:bCs/>
          <w:lang w:val="nl-NL"/>
        </w:rPr>
        <w:t>zorg</w:t>
      </w:r>
      <w:r w:rsidR="00466A7F">
        <w:rPr>
          <w:bCs/>
          <w:lang w:val="nl-NL"/>
        </w:rPr>
        <w:t xml:space="preserve"> en maatschappelijke ondersteuning</w:t>
      </w:r>
      <w:r w:rsidRPr="0083058C">
        <w:rPr>
          <w:bCs/>
          <w:lang w:val="nl-NL"/>
        </w:rPr>
        <w:t>.</w:t>
      </w:r>
      <w:r>
        <w:rPr>
          <w:bCs/>
          <w:lang w:val="nl-NL"/>
        </w:rPr>
        <w:t xml:space="preserve"> Ook is d</w:t>
      </w:r>
      <w:r w:rsidRPr="0083058C">
        <w:rPr>
          <w:bCs/>
          <w:lang w:val="nl-NL"/>
        </w:rPr>
        <w:t>oor meerdere ontwikkelingen in de fiscaliteit en de eigen bijdragen de noodzaak voor de CVO en EVV inmiddels verdwenen.</w:t>
      </w:r>
    </w:p>
    <w:bookmarkEnd w:id="5"/>
    <w:p w:rsidR="00AB4179" w:rsidP="008F269F" w:rsidRDefault="00AB4179" w14:paraId="7715535F" w14:textId="77777777">
      <w:pPr>
        <w:rPr>
          <w:bCs/>
          <w:lang w:val="nl-NL"/>
        </w:rPr>
      </w:pPr>
    </w:p>
    <w:p w:rsidRPr="00DF5370" w:rsidR="00906128" w:rsidP="008F269F" w:rsidRDefault="00DF5370" w14:paraId="039B8495" w14:textId="506449C8">
      <w:pPr>
        <w:rPr>
          <w:bCs/>
          <w:lang w:val="nl-NL"/>
        </w:rPr>
      </w:pPr>
      <w:r w:rsidRPr="00DF5370">
        <w:rPr>
          <w:bCs/>
          <w:lang w:val="nl-NL"/>
        </w:rPr>
        <w:t>Het ATR, het CAK en de VNG hebben in hun adviezen over het Besluit vervanging abonnementstarief Wmo 2015 geen opmerkingen gemaakt over de beëindiging van de CVO en de EVV.</w:t>
      </w:r>
    </w:p>
    <w:p w:rsidR="00906128" w:rsidP="008F269F" w:rsidRDefault="00906128" w14:paraId="5B8C3AB7" w14:textId="77777777">
      <w:pPr>
        <w:rPr>
          <w:b/>
          <w:lang w:val="nl-NL"/>
        </w:rPr>
      </w:pPr>
    </w:p>
    <w:p w:rsidRPr="0060352C" w:rsidR="008F269F" w:rsidP="008F269F" w:rsidRDefault="00D47949" w14:paraId="0FB62FE8" w14:textId="6B7751DB">
      <w:pPr>
        <w:rPr>
          <w:b/>
          <w:lang w:val="nl-NL"/>
        </w:rPr>
      </w:pPr>
      <w:r>
        <w:rPr>
          <w:b/>
          <w:lang w:val="nl-NL"/>
        </w:rPr>
        <w:t>8</w:t>
      </w:r>
      <w:r w:rsidRPr="0060352C" w:rsidR="008F269F">
        <w:rPr>
          <w:b/>
          <w:lang w:val="nl-NL"/>
        </w:rPr>
        <w:t>. Overgangsrecht en inwerkingtreding</w:t>
      </w:r>
    </w:p>
    <w:p w:rsidRPr="0060352C" w:rsidR="008F269F" w:rsidP="008F269F" w:rsidRDefault="008F269F" w14:paraId="5B589C70" w14:textId="77777777">
      <w:pPr>
        <w:rPr>
          <w:bCs/>
          <w:lang w:val="nl-NL"/>
        </w:rPr>
      </w:pPr>
      <w:bookmarkStart w:name="_Hlk106953922" w:id="6"/>
    </w:p>
    <w:p w:rsidRPr="006663D0" w:rsidR="008F269F" w:rsidP="008F269F" w:rsidRDefault="001152CE" w14:paraId="717667A0" w14:textId="516F16C3">
      <w:pPr>
        <w:rPr>
          <w:lang w:val="nl-NL"/>
        </w:rPr>
      </w:pPr>
      <w:r w:rsidRPr="000400D1">
        <w:rPr>
          <w:lang w:val="nl-NL"/>
        </w:rPr>
        <w:t xml:space="preserve">De inwerkingtredingsdatum van dit besluit is 1 januari 2026. </w:t>
      </w:r>
      <w:r w:rsidRPr="006663D0" w:rsidR="008F269F">
        <w:rPr>
          <w:lang w:val="nl-NL"/>
        </w:rPr>
        <w:t xml:space="preserve">Er is voldoende tijd geboden voor de implementatie van het voorliggende besluit. Het besluit is in afstemming met uitvoeringsorganisaties in het voorjaar van 2024 opgesteld, direct waarna de internetconsultatie, toetsing en advisering </w:t>
      </w:r>
      <w:r w:rsidRPr="006663D0">
        <w:rPr>
          <w:lang w:val="nl-NL"/>
        </w:rPr>
        <w:t xml:space="preserve">zijn </w:t>
      </w:r>
      <w:r w:rsidRPr="006663D0" w:rsidR="008F269F">
        <w:rPr>
          <w:lang w:val="nl-NL"/>
        </w:rPr>
        <w:t>gestart.</w:t>
      </w:r>
    </w:p>
    <w:p w:rsidRPr="0060352C" w:rsidR="008F269F" w:rsidP="008F269F" w:rsidRDefault="008F269F" w14:paraId="66725763" w14:textId="251551F0">
      <w:pPr>
        <w:rPr>
          <w:bCs/>
          <w:lang w:val="nl-NL"/>
        </w:rPr>
      </w:pPr>
    </w:p>
    <w:bookmarkEnd w:id="6"/>
    <w:p w:rsidR="008F269F" w:rsidP="008F269F" w:rsidRDefault="004804AD" w14:paraId="316DA9D9" w14:textId="4D51322A">
      <w:pPr>
        <w:rPr>
          <w:lang w:val="nl-NL"/>
        </w:rPr>
      </w:pPr>
      <w:r>
        <w:rPr>
          <w:lang w:val="nl-NL"/>
        </w:rPr>
        <w:t>D</w:t>
      </w:r>
      <w:r w:rsidRPr="0060352C" w:rsidR="008F269F">
        <w:rPr>
          <w:lang w:val="nl-NL"/>
        </w:rPr>
        <w:t xml:space="preserve">e afbouw van de </w:t>
      </w:r>
      <w:r w:rsidR="00750D27">
        <w:rPr>
          <w:lang w:val="nl-NL"/>
        </w:rPr>
        <w:t xml:space="preserve">CVO </w:t>
      </w:r>
      <w:r>
        <w:rPr>
          <w:lang w:val="nl-NL"/>
        </w:rPr>
        <w:t xml:space="preserve">is </w:t>
      </w:r>
      <w:r w:rsidRPr="0060352C" w:rsidR="008F269F">
        <w:rPr>
          <w:lang w:val="nl-NL"/>
        </w:rPr>
        <w:t xml:space="preserve">vervat in overgangsrecht. </w:t>
      </w:r>
      <w:r>
        <w:rPr>
          <w:lang w:val="nl-NL"/>
        </w:rPr>
        <w:t>Dit</w:t>
      </w:r>
      <w:r w:rsidRPr="0060352C" w:rsidR="008F269F">
        <w:rPr>
          <w:lang w:val="nl-NL"/>
        </w:rPr>
        <w:t xml:space="preserve"> wordt uiteengezet in </w:t>
      </w:r>
      <w:r w:rsidR="00D47949">
        <w:rPr>
          <w:lang w:val="nl-NL"/>
        </w:rPr>
        <w:t>het</w:t>
      </w:r>
      <w:r w:rsidRPr="0060352C" w:rsidR="00D47949">
        <w:rPr>
          <w:lang w:val="nl-NL"/>
        </w:rPr>
        <w:t xml:space="preserve"> </w:t>
      </w:r>
      <w:r w:rsidRPr="0060352C" w:rsidR="008F269F">
        <w:rPr>
          <w:lang w:val="nl-NL"/>
        </w:rPr>
        <w:t>artikelsgewijze deel van deze nota van toelichting.</w:t>
      </w:r>
      <w:r>
        <w:rPr>
          <w:lang w:val="nl-NL"/>
        </w:rPr>
        <w:t xml:space="preserve"> V</w:t>
      </w:r>
      <w:r w:rsidRPr="0060352C" w:rsidR="008F269F">
        <w:rPr>
          <w:lang w:val="nl-NL"/>
        </w:rPr>
        <w:t xml:space="preserve">oor het afschaffen van de </w:t>
      </w:r>
      <w:r w:rsidR="00750D27">
        <w:rPr>
          <w:lang w:val="nl-NL"/>
        </w:rPr>
        <w:t>EVV</w:t>
      </w:r>
      <w:r>
        <w:rPr>
          <w:lang w:val="nl-NL"/>
        </w:rPr>
        <w:t xml:space="preserve"> is geen overgangsrecht getroffen</w:t>
      </w:r>
      <w:r w:rsidRPr="0060352C" w:rsidR="008F269F">
        <w:rPr>
          <w:lang w:val="nl-NL"/>
        </w:rPr>
        <w:t xml:space="preserve">. </w:t>
      </w:r>
      <w:r w:rsidR="00096FD1">
        <w:rPr>
          <w:bCs/>
          <w:lang w:val="nl-NL"/>
        </w:rPr>
        <w:t xml:space="preserve">Hier treden </w:t>
      </w:r>
      <w:r w:rsidR="00097986">
        <w:rPr>
          <w:bCs/>
          <w:lang w:val="nl-NL"/>
        </w:rPr>
        <w:t xml:space="preserve">- </w:t>
      </w:r>
      <w:r w:rsidR="00096FD1">
        <w:rPr>
          <w:bCs/>
          <w:lang w:val="nl-NL"/>
        </w:rPr>
        <w:t xml:space="preserve">zoals eerder toegelicht </w:t>
      </w:r>
      <w:r w:rsidR="00097986">
        <w:rPr>
          <w:bCs/>
          <w:lang w:val="nl-NL"/>
        </w:rPr>
        <w:t xml:space="preserve">- </w:t>
      </w:r>
      <w:r w:rsidRPr="00766911" w:rsidR="00096FD1">
        <w:rPr>
          <w:bCs/>
          <w:lang w:val="nl-NL"/>
        </w:rPr>
        <w:t>kleinere financiële effecten op</w:t>
      </w:r>
      <w:r w:rsidR="00096FD1">
        <w:rPr>
          <w:bCs/>
          <w:lang w:val="nl-NL"/>
        </w:rPr>
        <w:t xml:space="preserve"> dan bij het afschaffen van de CVO</w:t>
      </w:r>
      <w:r w:rsidRPr="00766911" w:rsidR="00096FD1">
        <w:rPr>
          <w:bCs/>
          <w:lang w:val="nl-NL"/>
        </w:rPr>
        <w:t>.</w:t>
      </w:r>
    </w:p>
    <w:p w:rsidR="00AB4179" w:rsidP="008F269F" w:rsidRDefault="00AB4179" w14:paraId="27D81957" w14:textId="2689FCA4">
      <w:pPr>
        <w:rPr>
          <w:lang w:val="nl-NL"/>
        </w:rPr>
      </w:pPr>
    </w:p>
    <w:p w:rsidR="00D553A2" w:rsidRDefault="00D553A2" w14:paraId="4C653940" w14:textId="77777777">
      <w:pPr>
        <w:rPr>
          <w:b/>
          <w:bCs/>
          <w:lang w:val="nl-NL"/>
        </w:rPr>
      </w:pPr>
      <w:r>
        <w:rPr>
          <w:b/>
          <w:bCs/>
          <w:lang w:val="nl-NL"/>
        </w:rPr>
        <w:br w:type="page"/>
      </w:r>
    </w:p>
    <w:p w:rsidRPr="00BB78E0" w:rsidR="00AB4179" w:rsidP="00AB4179" w:rsidRDefault="00AB4179" w14:paraId="5F246203" w14:textId="0E78D3E2">
      <w:pPr>
        <w:rPr>
          <w:lang w:val="nl-NL"/>
        </w:rPr>
      </w:pPr>
      <w:r>
        <w:rPr>
          <w:b/>
          <w:bCs/>
          <w:lang w:val="nl-NL"/>
        </w:rPr>
        <w:lastRenderedPageBreak/>
        <w:t>II. Artikelsgewijs</w:t>
      </w:r>
    </w:p>
    <w:p w:rsidR="00AB4179" w:rsidP="00AB4179" w:rsidRDefault="00AB4179" w14:paraId="11D0ED73" w14:textId="77777777">
      <w:pPr>
        <w:rPr>
          <w:lang w:val="nl-NL"/>
        </w:rPr>
      </w:pPr>
    </w:p>
    <w:p w:rsidRPr="00410BBB" w:rsidR="00AB4179" w:rsidP="00AB4179" w:rsidRDefault="00AB4179" w14:paraId="63AFE1A0" w14:textId="77777777">
      <w:pPr>
        <w:rPr>
          <w:b/>
          <w:bCs/>
          <w:lang w:val="nl-NL"/>
        </w:rPr>
      </w:pPr>
      <w:r w:rsidRPr="00410BBB">
        <w:rPr>
          <w:b/>
          <w:bCs/>
          <w:lang w:val="nl-NL"/>
        </w:rPr>
        <w:t xml:space="preserve">Artikel I </w:t>
      </w:r>
    </w:p>
    <w:p w:rsidR="00AB4179" w:rsidP="00AB4179" w:rsidRDefault="00AB4179" w14:paraId="6D6FAE09" w14:textId="77777777">
      <w:pPr>
        <w:rPr>
          <w:lang w:val="nl-NL"/>
        </w:rPr>
      </w:pPr>
    </w:p>
    <w:p w:rsidRPr="00C22900" w:rsidR="00AB4179" w:rsidP="00AB4179" w:rsidRDefault="00AB4179" w14:paraId="70747339" w14:textId="77777777">
      <w:pPr>
        <w:rPr>
          <w:i/>
          <w:iCs/>
          <w:lang w:val="nl-NL"/>
        </w:rPr>
      </w:pPr>
      <w:r w:rsidRPr="00C22900">
        <w:rPr>
          <w:i/>
          <w:iCs/>
          <w:lang w:val="nl-NL"/>
        </w:rPr>
        <w:t>Onderdeel A</w:t>
      </w:r>
    </w:p>
    <w:p w:rsidRPr="00BB78E0" w:rsidR="00AB4179" w:rsidP="00AB4179" w:rsidRDefault="00AB4179" w14:paraId="3E753789" w14:textId="77777777">
      <w:pPr>
        <w:rPr>
          <w:lang w:val="nl-NL"/>
        </w:rPr>
      </w:pPr>
    </w:p>
    <w:p w:rsidR="00AB4179" w:rsidP="00AB4179" w:rsidRDefault="00AB4179" w14:paraId="2782BE04" w14:textId="49F4293E">
      <w:pPr>
        <w:rPr>
          <w:lang w:val="nl-NL"/>
        </w:rPr>
      </w:pPr>
      <w:bookmarkStart w:name="_Hlk163134946" w:id="7"/>
      <w:bookmarkStart w:name="_Hlk163308313" w:id="8"/>
      <w:r>
        <w:rPr>
          <w:lang w:val="nl-NL"/>
        </w:rPr>
        <w:t xml:space="preserve">Vanwege de afschaffing van de </w:t>
      </w:r>
      <w:r w:rsidR="00750D27">
        <w:rPr>
          <w:lang w:val="nl-NL"/>
        </w:rPr>
        <w:t>CVO</w:t>
      </w:r>
      <w:r>
        <w:rPr>
          <w:lang w:val="nl-NL"/>
        </w:rPr>
        <w:t xml:space="preserve"> is het begrip “compensatie vervallen ouderentoeslag” geschrapt</w:t>
      </w:r>
      <w:bookmarkEnd w:id="7"/>
      <w:r w:rsidR="00303869">
        <w:rPr>
          <w:lang w:val="nl-NL"/>
        </w:rPr>
        <w:t xml:space="preserve"> en de verwijzing naar artikel 3.2a </w:t>
      </w:r>
      <w:r w:rsidR="003D6AD7">
        <w:rPr>
          <w:lang w:val="nl-NL"/>
        </w:rPr>
        <w:t>Ub</w:t>
      </w:r>
      <w:r w:rsidR="00303869">
        <w:rPr>
          <w:lang w:val="nl-NL"/>
        </w:rPr>
        <w:t xml:space="preserve"> Wmo 2015 aangepast</w:t>
      </w:r>
      <w:r>
        <w:rPr>
          <w:lang w:val="nl-NL"/>
        </w:rPr>
        <w:t>.</w:t>
      </w:r>
    </w:p>
    <w:bookmarkEnd w:id="8"/>
    <w:p w:rsidR="00AB4179" w:rsidP="00AB4179" w:rsidRDefault="00AB4179" w14:paraId="5DC06489" w14:textId="30EC6EFC">
      <w:pPr>
        <w:rPr>
          <w:lang w:val="nl-NL"/>
        </w:rPr>
      </w:pPr>
    </w:p>
    <w:p w:rsidRPr="00157CF2" w:rsidR="00AB4179" w:rsidP="00AB4179" w:rsidRDefault="00AB4179" w14:paraId="6950CD18" w14:textId="5BA7B745">
      <w:pPr>
        <w:rPr>
          <w:i/>
          <w:iCs/>
          <w:lang w:val="nl-NL"/>
        </w:rPr>
      </w:pPr>
      <w:r w:rsidRPr="00157CF2">
        <w:rPr>
          <w:i/>
          <w:iCs/>
          <w:lang w:val="nl-NL"/>
        </w:rPr>
        <w:t xml:space="preserve">Onderdeel </w:t>
      </w:r>
      <w:r w:rsidR="00E14461">
        <w:rPr>
          <w:i/>
          <w:iCs/>
          <w:lang w:val="nl-NL"/>
        </w:rPr>
        <w:t>B</w:t>
      </w:r>
    </w:p>
    <w:p w:rsidR="00AB4179" w:rsidP="00AB4179" w:rsidRDefault="00AB4179" w14:paraId="5BD8F9A5" w14:textId="77777777">
      <w:pPr>
        <w:rPr>
          <w:lang w:val="nl-NL"/>
        </w:rPr>
      </w:pPr>
    </w:p>
    <w:p w:rsidR="00AB4179" w:rsidP="00AB4179" w:rsidRDefault="00AB4179" w14:paraId="2DEE064F" w14:textId="24E18D2F">
      <w:pPr>
        <w:rPr>
          <w:lang w:val="nl-NL"/>
        </w:rPr>
      </w:pPr>
      <w:r>
        <w:rPr>
          <w:lang w:val="nl-NL"/>
        </w:rPr>
        <w:t xml:space="preserve">Artikel 3.2 </w:t>
      </w:r>
      <w:r w:rsidR="003D6AD7">
        <w:rPr>
          <w:lang w:val="nl-NL"/>
        </w:rPr>
        <w:t>Ub</w:t>
      </w:r>
      <w:r w:rsidR="007F2D23">
        <w:rPr>
          <w:lang w:val="nl-NL"/>
        </w:rPr>
        <w:t xml:space="preserve"> </w:t>
      </w:r>
      <w:r>
        <w:rPr>
          <w:lang w:val="nl-NL"/>
        </w:rPr>
        <w:t xml:space="preserve">Wmo 2015 bepaalt hoe het vermogen wordt berekend dat in aanmerking wordt genomen voor de vaststelling van het bijdrageplichtig inkomen dat daarvan afhankelijk is. </w:t>
      </w:r>
    </w:p>
    <w:p w:rsidR="00AB4179" w:rsidP="00AB4179" w:rsidRDefault="00AB4179" w14:paraId="1F74D699" w14:textId="77777777">
      <w:pPr>
        <w:rPr>
          <w:lang w:val="nl-NL"/>
        </w:rPr>
      </w:pPr>
    </w:p>
    <w:p w:rsidR="00AB4179" w:rsidP="00AB4179" w:rsidRDefault="00AB4179" w14:paraId="60597383" w14:textId="1F36D7E2">
      <w:pPr>
        <w:rPr>
          <w:lang w:val="nl-NL"/>
        </w:rPr>
      </w:pPr>
      <w:r>
        <w:rPr>
          <w:lang w:val="nl-NL"/>
        </w:rPr>
        <w:t xml:space="preserve">Het eerste lid, onderdeel b, regelde de </w:t>
      </w:r>
      <w:r w:rsidR="00750D27">
        <w:rPr>
          <w:lang w:val="nl-NL"/>
        </w:rPr>
        <w:t>EVV</w:t>
      </w:r>
      <w:r>
        <w:rPr>
          <w:lang w:val="nl-NL"/>
        </w:rPr>
        <w:t>. Dit onderdeel is vervallen vanwege het schrappen van deze vermogensvrijstelling. Ten behoeve van de leesbaarheid is het eerste lid opnieuw vastgesteld. Aangezien dat artikellid niet meer uit onderdelen bestaat, is de verwijzing in het vierde en vijfde lid aangepast.</w:t>
      </w:r>
    </w:p>
    <w:p w:rsidR="00AB4179" w:rsidP="00AB4179" w:rsidRDefault="00AB4179" w14:paraId="216F9EAF" w14:textId="77777777">
      <w:pPr>
        <w:rPr>
          <w:lang w:val="nl-NL"/>
        </w:rPr>
      </w:pPr>
    </w:p>
    <w:p w:rsidRPr="000E2EDF" w:rsidR="00AB4179" w:rsidP="00AB4179" w:rsidRDefault="00AB4179" w14:paraId="52275359" w14:textId="35D63155">
      <w:pPr>
        <w:rPr>
          <w:i/>
          <w:iCs/>
          <w:lang w:val="nl-NL"/>
        </w:rPr>
      </w:pPr>
      <w:r w:rsidRPr="000E2EDF">
        <w:rPr>
          <w:i/>
          <w:iCs/>
          <w:lang w:val="nl-NL"/>
        </w:rPr>
        <w:t xml:space="preserve">Onderdeel </w:t>
      </w:r>
      <w:r w:rsidR="00E14461">
        <w:rPr>
          <w:i/>
          <w:iCs/>
          <w:lang w:val="nl-NL"/>
        </w:rPr>
        <w:t>C</w:t>
      </w:r>
    </w:p>
    <w:p w:rsidR="00AB4179" w:rsidP="00AB4179" w:rsidRDefault="00AB4179" w14:paraId="49B56AE0" w14:textId="0AEAFB8E">
      <w:pPr>
        <w:rPr>
          <w:lang w:val="nl-NL"/>
        </w:rPr>
      </w:pPr>
    </w:p>
    <w:p w:rsidR="00AB4179" w:rsidP="00AB4179" w:rsidRDefault="00AB4179" w14:paraId="4FD202A5" w14:textId="0FFFC7E0">
      <w:pPr>
        <w:rPr>
          <w:lang w:val="nl-NL"/>
        </w:rPr>
      </w:pPr>
      <w:bookmarkStart w:name="_Hlk163315085" w:id="9"/>
      <w:r>
        <w:rPr>
          <w:lang w:val="nl-NL"/>
        </w:rPr>
        <w:t xml:space="preserve">Artikel 3.2a </w:t>
      </w:r>
      <w:r w:rsidR="003D6AD7">
        <w:rPr>
          <w:lang w:val="nl-NL"/>
        </w:rPr>
        <w:t>Ub</w:t>
      </w:r>
      <w:r w:rsidR="007F2D23">
        <w:rPr>
          <w:lang w:val="nl-NL"/>
        </w:rPr>
        <w:t xml:space="preserve"> </w:t>
      </w:r>
      <w:r>
        <w:rPr>
          <w:lang w:val="nl-NL"/>
        </w:rPr>
        <w:t xml:space="preserve">Wmo 2015 beschreef de berekening van de </w:t>
      </w:r>
      <w:r w:rsidR="00750D27">
        <w:rPr>
          <w:lang w:val="nl-NL"/>
        </w:rPr>
        <w:t>CVO</w:t>
      </w:r>
      <w:r>
        <w:rPr>
          <w:lang w:val="nl-NL"/>
        </w:rPr>
        <w:t xml:space="preserve">. Met </w:t>
      </w:r>
      <w:r w:rsidRPr="00943D83">
        <w:rPr>
          <w:lang w:val="nl-NL"/>
        </w:rPr>
        <w:t>de afschaffing van de</w:t>
      </w:r>
      <w:r>
        <w:rPr>
          <w:lang w:val="nl-NL"/>
        </w:rPr>
        <w:t>ze</w:t>
      </w:r>
      <w:r w:rsidRPr="00943D83">
        <w:rPr>
          <w:lang w:val="nl-NL"/>
        </w:rPr>
        <w:t xml:space="preserve"> compensatie </w:t>
      </w:r>
      <w:r>
        <w:rPr>
          <w:lang w:val="nl-NL"/>
        </w:rPr>
        <w:t>zijn het eerste en tweede lid van dat artikel overbodig geworden.</w:t>
      </w:r>
      <w:r w:rsidRPr="00693A0E">
        <w:rPr>
          <w:lang w:val="nl-NL"/>
        </w:rPr>
        <w:t xml:space="preserve"> Artikel III bevat het overgangsrecht voor het </w:t>
      </w:r>
      <w:r w:rsidR="000C3496">
        <w:rPr>
          <w:lang w:val="nl-NL"/>
        </w:rPr>
        <w:t>afbouwen</w:t>
      </w:r>
      <w:r w:rsidRPr="00693A0E" w:rsidR="000C3496">
        <w:rPr>
          <w:lang w:val="nl-NL"/>
        </w:rPr>
        <w:t xml:space="preserve"> </w:t>
      </w:r>
      <w:r w:rsidRPr="00693A0E">
        <w:rPr>
          <w:lang w:val="nl-NL"/>
        </w:rPr>
        <w:t xml:space="preserve">van de </w:t>
      </w:r>
      <w:r w:rsidR="00750D27">
        <w:rPr>
          <w:lang w:val="nl-NL"/>
        </w:rPr>
        <w:t>CVO</w:t>
      </w:r>
      <w:r>
        <w:rPr>
          <w:lang w:val="nl-NL"/>
        </w:rPr>
        <w:t>.</w:t>
      </w:r>
    </w:p>
    <w:p w:rsidR="00AB4179" w:rsidP="00AB4179" w:rsidRDefault="00AB4179" w14:paraId="46BC43AA" w14:textId="0D8D70EA">
      <w:pPr>
        <w:rPr>
          <w:lang w:val="nl-NL"/>
        </w:rPr>
      </w:pPr>
    </w:p>
    <w:bookmarkEnd w:id="9"/>
    <w:p w:rsidRPr="00A2130A" w:rsidR="00AB4179" w:rsidP="00AB4179" w:rsidRDefault="00AB4179" w14:paraId="3A1D89B6" w14:textId="46A06FDA">
      <w:pPr>
        <w:rPr>
          <w:i/>
          <w:iCs/>
          <w:lang w:val="nl-NL"/>
        </w:rPr>
      </w:pPr>
      <w:r w:rsidRPr="00A2130A">
        <w:rPr>
          <w:i/>
          <w:iCs/>
          <w:lang w:val="nl-NL"/>
        </w:rPr>
        <w:t xml:space="preserve">Onderdeel </w:t>
      </w:r>
      <w:r w:rsidR="009D4791">
        <w:rPr>
          <w:i/>
          <w:iCs/>
          <w:lang w:val="nl-NL"/>
        </w:rPr>
        <w:t>D</w:t>
      </w:r>
    </w:p>
    <w:p w:rsidR="00AB4179" w:rsidP="00AB4179" w:rsidRDefault="00AB4179" w14:paraId="1A38E512" w14:textId="77777777">
      <w:pPr>
        <w:rPr>
          <w:lang w:val="nl-NL"/>
        </w:rPr>
      </w:pPr>
    </w:p>
    <w:p w:rsidR="00F95455" w:rsidP="00DF6745" w:rsidRDefault="00F95455" w14:paraId="4C22EF62" w14:textId="3A2854F8">
      <w:pPr>
        <w:rPr>
          <w:lang w:val="nl-NL"/>
        </w:rPr>
      </w:pPr>
      <w:r>
        <w:rPr>
          <w:lang w:val="nl-NL"/>
        </w:rPr>
        <w:t>H</w:t>
      </w:r>
      <w:r w:rsidR="00AB4179">
        <w:rPr>
          <w:lang w:val="nl-NL"/>
        </w:rPr>
        <w:t xml:space="preserve">et tweede lid </w:t>
      </w:r>
      <w:r w:rsidR="00E14461">
        <w:rPr>
          <w:lang w:val="nl-NL"/>
        </w:rPr>
        <w:t xml:space="preserve">van artikel 3.7 </w:t>
      </w:r>
      <w:r w:rsidR="003D6AD7">
        <w:rPr>
          <w:lang w:val="nl-NL"/>
        </w:rPr>
        <w:t>Ub</w:t>
      </w:r>
      <w:r w:rsidR="00E14461">
        <w:rPr>
          <w:lang w:val="nl-NL"/>
        </w:rPr>
        <w:t xml:space="preserve"> Wmo 2015 </w:t>
      </w:r>
      <w:r w:rsidR="00AB4179">
        <w:rPr>
          <w:lang w:val="nl-NL"/>
        </w:rPr>
        <w:t xml:space="preserve">is </w:t>
      </w:r>
      <w:r>
        <w:rPr>
          <w:lang w:val="nl-NL"/>
        </w:rPr>
        <w:t>verv</w:t>
      </w:r>
      <w:r w:rsidR="00DF6745">
        <w:rPr>
          <w:lang w:val="nl-NL"/>
        </w:rPr>
        <w:t>allen</w:t>
      </w:r>
      <w:r>
        <w:rPr>
          <w:lang w:val="nl-NL"/>
        </w:rPr>
        <w:t xml:space="preserve"> </w:t>
      </w:r>
      <w:r w:rsidR="00AB4179">
        <w:rPr>
          <w:lang w:val="nl-NL"/>
        </w:rPr>
        <w:t xml:space="preserve">wegens </w:t>
      </w:r>
      <w:r>
        <w:rPr>
          <w:lang w:val="nl-NL"/>
        </w:rPr>
        <w:t xml:space="preserve">het </w:t>
      </w:r>
      <w:r w:rsidRPr="00F95455">
        <w:rPr>
          <w:lang w:val="nl-NL"/>
        </w:rPr>
        <w:t xml:space="preserve">afschaffen van de </w:t>
      </w:r>
      <w:r w:rsidR="00750D27">
        <w:rPr>
          <w:lang w:val="nl-NL"/>
        </w:rPr>
        <w:t>CVO</w:t>
      </w:r>
      <w:r w:rsidRPr="00F95455">
        <w:rPr>
          <w:lang w:val="nl-NL"/>
        </w:rPr>
        <w:t xml:space="preserve"> </w:t>
      </w:r>
      <w:r>
        <w:rPr>
          <w:lang w:val="nl-NL"/>
        </w:rPr>
        <w:t xml:space="preserve">en </w:t>
      </w:r>
      <w:r w:rsidR="00AB4179">
        <w:rPr>
          <w:lang w:val="nl-NL"/>
        </w:rPr>
        <w:t xml:space="preserve">het schrappen van de </w:t>
      </w:r>
      <w:r w:rsidR="00750D27">
        <w:rPr>
          <w:lang w:val="nl-NL"/>
        </w:rPr>
        <w:t>EVV</w:t>
      </w:r>
      <w:r w:rsidR="00AB4179">
        <w:rPr>
          <w:lang w:val="nl-NL"/>
        </w:rPr>
        <w:t>.</w:t>
      </w:r>
      <w:r w:rsidR="00750D27">
        <w:rPr>
          <w:lang w:val="nl-NL"/>
        </w:rPr>
        <w:t xml:space="preserve"> </w:t>
      </w:r>
    </w:p>
    <w:p w:rsidR="00AB4179" w:rsidP="00AB4179" w:rsidRDefault="00AB4179" w14:paraId="420A8ED9" w14:textId="77777777">
      <w:pPr>
        <w:rPr>
          <w:lang w:val="nl-NL"/>
        </w:rPr>
      </w:pPr>
    </w:p>
    <w:p w:rsidRPr="00C4052C" w:rsidR="00AB4179" w:rsidP="00AB4179" w:rsidRDefault="00AB4179" w14:paraId="07904B40" w14:textId="71233B41">
      <w:pPr>
        <w:rPr>
          <w:i/>
          <w:iCs/>
          <w:lang w:val="nl-NL"/>
        </w:rPr>
      </w:pPr>
      <w:r w:rsidRPr="00C4052C">
        <w:rPr>
          <w:i/>
          <w:iCs/>
          <w:lang w:val="nl-NL"/>
        </w:rPr>
        <w:t xml:space="preserve">Onderdeel </w:t>
      </w:r>
      <w:r w:rsidR="009D4791">
        <w:rPr>
          <w:i/>
          <w:iCs/>
          <w:lang w:val="nl-NL"/>
        </w:rPr>
        <w:t>E</w:t>
      </w:r>
    </w:p>
    <w:p w:rsidR="00AB4179" w:rsidP="00AB4179" w:rsidRDefault="00AB4179" w14:paraId="45A38F1F" w14:textId="7C2F64DC">
      <w:pPr>
        <w:rPr>
          <w:lang w:val="nl-NL"/>
        </w:rPr>
      </w:pPr>
    </w:p>
    <w:p w:rsidR="00AB4179" w:rsidP="00AB4179" w:rsidRDefault="00AB4179" w14:paraId="2EB66CEF" w14:textId="0270850A">
      <w:pPr>
        <w:rPr>
          <w:lang w:val="nl-NL"/>
        </w:rPr>
      </w:pPr>
      <w:r>
        <w:rPr>
          <w:lang w:val="nl-NL"/>
        </w:rPr>
        <w:t xml:space="preserve">Het schrappen van artikel 3.13, </w:t>
      </w:r>
      <w:r w:rsidRPr="00ED34F5">
        <w:rPr>
          <w:lang w:val="nl-NL"/>
        </w:rPr>
        <w:t xml:space="preserve">eerste lid, onderdeel </w:t>
      </w:r>
      <w:r>
        <w:rPr>
          <w:lang w:val="nl-NL"/>
        </w:rPr>
        <w:t>b</w:t>
      </w:r>
      <w:r w:rsidRPr="00ED34F5">
        <w:rPr>
          <w:lang w:val="nl-NL"/>
        </w:rPr>
        <w:t xml:space="preserve">, </w:t>
      </w:r>
      <w:r>
        <w:rPr>
          <w:lang w:val="nl-NL"/>
        </w:rPr>
        <w:t xml:space="preserve">vierde en vijfde </w:t>
      </w:r>
      <w:r w:rsidRPr="00ED34F5">
        <w:rPr>
          <w:lang w:val="nl-NL"/>
        </w:rPr>
        <w:t>subonderde</w:t>
      </w:r>
      <w:r>
        <w:rPr>
          <w:lang w:val="nl-NL"/>
        </w:rPr>
        <w:t xml:space="preserve">el, </w:t>
      </w:r>
      <w:r w:rsidR="003D6AD7">
        <w:rPr>
          <w:lang w:val="nl-NL"/>
        </w:rPr>
        <w:t>Ub</w:t>
      </w:r>
      <w:r w:rsidR="009D4791">
        <w:rPr>
          <w:lang w:val="nl-NL"/>
        </w:rPr>
        <w:t xml:space="preserve"> Wmo 2015 </w:t>
      </w:r>
      <w:r>
        <w:rPr>
          <w:lang w:val="nl-NL"/>
        </w:rPr>
        <w:t xml:space="preserve">houdt verband met het </w:t>
      </w:r>
      <w:bookmarkStart w:name="_Hlk169707893" w:id="10"/>
      <w:r>
        <w:rPr>
          <w:lang w:val="nl-NL"/>
        </w:rPr>
        <w:t xml:space="preserve">afschaffen van de </w:t>
      </w:r>
      <w:bookmarkEnd w:id="10"/>
      <w:r w:rsidR="00750D27">
        <w:rPr>
          <w:lang w:val="nl-NL"/>
        </w:rPr>
        <w:t>CVO</w:t>
      </w:r>
      <w:r>
        <w:rPr>
          <w:lang w:val="nl-NL"/>
        </w:rPr>
        <w:t xml:space="preserve">. Artikel III bevat het overgangsrecht voor het </w:t>
      </w:r>
      <w:r w:rsidR="000C3496">
        <w:rPr>
          <w:lang w:val="nl-NL"/>
        </w:rPr>
        <w:t xml:space="preserve">afbouwen </w:t>
      </w:r>
      <w:r>
        <w:rPr>
          <w:lang w:val="nl-NL"/>
        </w:rPr>
        <w:t>van deze compensatie.</w:t>
      </w:r>
    </w:p>
    <w:p w:rsidR="00AB4179" w:rsidP="00AB4179" w:rsidRDefault="00AB4179" w14:paraId="277DCA0B" w14:textId="4D62490C">
      <w:pPr>
        <w:rPr>
          <w:lang w:val="nl-NL"/>
        </w:rPr>
      </w:pPr>
    </w:p>
    <w:p w:rsidRPr="00C4052C" w:rsidR="00AB4179" w:rsidP="00AB4179" w:rsidRDefault="00AB4179" w14:paraId="4B438220" w14:textId="2A0395BC">
      <w:pPr>
        <w:rPr>
          <w:i/>
          <w:iCs/>
          <w:lang w:val="nl-NL"/>
        </w:rPr>
      </w:pPr>
      <w:r w:rsidRPr="00C4052C">
        <w:rPr>
          <w:i/>
          <w:iCs/>
          <w:lang w:val="nl-NL"/>
        </w:rPr>
        <w:t xml:space="preserve">Onderdeel </w:t>
      </w:r>
      <w:r w:rsidR="009D4791">
        <w:rPr>
          <w:i/>
          <w:iCs/>
          <w:lang w:val="nl-NL"/>
        </w:rPr>
        <w:t>F</w:t>
      </w:r>
    </w:p>
    <w:p w:rsidR="00AB4179" w:rsidP="00AB4179" w:rsidRDefault="00AB4179" w14:paraId="77E3F3D7" w14:textId="0B50C17B">
      <w:pPr>
        <w:rPr>
          <w:lang w:val="nl-NL"/>
        </w:rPr>
      </w:pPr>
    </w:p>
    <w:p w:rsidR="00AB4179" w:rsidP="00AB4179" w:rsidRDefault="00AB4179" w14:paraId="7F0E86B9" w14:textId="1B57D8F8">
      <w:pPr>
        <w:rPr>
          <w:lang w:val="nl-NL"/>
        </w:rPr>
      </w:pPr>
      <w:r>
        <w:rPr>
          <w:lang w:val="nl-NL"/>
        </w:rPr>
        <w:t xml:space="preserve">Artikel 3.14a is geschrapt in verband met het afschaffen van de </w:t>
      </w:r>
      <w:r w:rsidR="00750D27">
        <w:rPr>
          <w:lang w:val="nl-NL"/>
        </w:rPr>
        <w:t>CVO</w:t>
      </w:r>
      <w:r>
        <w:rPr>
          <w:lang w:val="nl-NL"/>
        </w:rPr>
        <w:t xml:space="preserve">. </w:t>
      </w:r>
      <w:bookmarkStart w:name="_Hlk163307816" w:id="11"/>
      <w:r>
        <w:rPr>
          <w:lang w:val="nl-NL"/>
        </w:rPr>
        <w:t xml:space="preserve">Artikel III bevat het overgangsrecht voor het </w:t>
      </w:r>
      <w:r w:rsidR="000C3496">
        <w:rPr>
          <w:lang w:val="nl-NL"/>
        </w:rPr>
        <w:t xml:space="preserve">afbouwen </w:t>
      </w:r>
      <w:r>
        <w:rPr>
          <w:lang w:val="nl-NL"/>
        </w:rPr>
        <w:t>van deze compensatie</w:t>
      </w:r>
      <w:bookmarkEnd w:id="11"/>
      <w:r>
        <w:rPr>
          <w:lang w:val="nl-NL"/>
        </w:rPr>
        <w:t>.</w:t>
      </w:r>
    </w:p>
    <w:p w:rsidR="00AB4179" w:rsidP="00AB4179" w:rsidRDefault="00AB4179" w14:paraId="6B535EB7" w14:textId="4FB01AB3">
      <w:pPr>
        <w:rPr>
          <w:lang w:val="nl-NL"/>
        </w:rPr>
      </w:pPr>
    </w:p>
    <w:p w:rsidRPr="000A7D8D" w:rsidR="00AB4179" w:rsidP="00AB4179" w:rsidRDefault="00AB4179" w14:paraId="3599043A" w14:textId="77777777">
      <w:pPr>
        <w:rPr>
          <w:b/>
          <w:bCs/>
          <w:lang w:val="nl-NL"/>
        </w:rPr>
      </w:pPr>
      <w:r w:rsidRPr="000A7D8D">
        <w:rPr>
          <w:b/>
          <w:bCs/>
          <w:lang w:val="nl-NL"/>
        </w:rPr>
        <w:t>Artikel II</w:t>
      </w:r>
    </w:p>
    <w:p w:rsidR="00AB4179" w:rsidP="00AB4179" w:rsidRDefault="00AB4179" w14:paraId="4A43ECB4" w14:textId="77777777">
      <w:pPr>
        <w:rPr>
          <w:lang w:val="nl-NL"/>
        </w:rPr>
      </w:pPr>
    </w:p>
    <w:p w:rsidRPr="002811A1" w:rsidR="00AB4179" w:rsidP="00AB4179" w:rsidRDefault="00AB4179" w14:paraId="4D421CE1" w14:textId="71470B31">
      <w:pPr>
        <w:rPr>
          <w:i/>
          <w:iCs/>
          <w:lang w:val="nl-NL"/>
        </w:rPr>
      </w:pPr>
      <w:r w:rsidRPr="002811A1">
        <w:rPr>
          <w:i/>
          <w:iCs/>
          <w:lang w:val="nl-NL"/>
        </w:rPr>
        <w:t>Onderdeel A</w:t>
      </w:r>
      <w:r>
        <w:rPr>
          <w:i/>
          <w:iCs/>
          <w:lang w:val="nl-NL"/>
        </w:rPr>
        <w:t xml:space="preserve"> </w:t>
      </w:r>
    </w:p>
    <w:p w:rsidR="00AB4179" w:rsidP="00AB4179" w:rsidRDefault="00AB4179" w14:paraId="7C5ABB40" w14:textId="4D855AD3">
      <w:pPr>
        <w:rPr>
          <w:lang w:val="nl-NL"/>
        </w:rPr>
      </w:pPr>
    </w:p>
    <w:p w:rsidR="00AB4179" w:rsidP="00AB4179" w:rsidRDefault="00AB4179" w14:paraId="3FCE8C72" w14:textId="346FAD04">
      <w:pPr>
        <w:rPr>
          <w:lang w:val="nl-NL"/>
        </w:rPr>
      </w:pPr>
      <w:r w:rsidRPr="00F9449B">
        <w:rPr>
          <w:lang w:val="nl-NL"/>
        </w:rPr>
        <w:t xml:space="preserve">Vanwege de afschaffing van de </w:t>
      </w:r>
      <w:r w:rsidR="00750D27">
        <w:rPr>
          <w:lang w:val="nl-NL"/>
        </w:rPr>
        <w:t>CVO</w:t>
      </w:r>
      <w:r w:rsidRPr="00F9449B">
        <w:rPr>
          <w:lang w:val="nl-NL"/>
        </w:rPr>
        <w:t xml:space="preserve"> is het begrip “compensatie vervallen ouderentoeslag” geschrapt</w:t>
      </w:r>
      <w:r w:rsidR="00DF6745">
        <w:rPr>
          <w:lang w:val="nl-NL"/>
        </w:rPr>
        <w:t xml:space="preserve"> en de verwijzing naar artikel 3.3.1.2a Blz aangepast</w:t>
      </w:r>
      <w:r w:rsidRPr="00F9449B">
        <w:rPr>
          <w:lang w:val="nl-NL"/>
        </w:rPr>
        <w:t>.</w:t>
      </w:r>
    </w:p>
    <w:p w:rsidR="00AB4179" w:rsidP="00AB4179" w:rsidRDefault="00AB4179" w14:paraId="71EED78A" w14:textId="60D37114">
      <w:pPr>
        <w:rPr>
          <w:lang w:val="nl-NL"/>
        </w:rPr>
      </w:pPr>
    </w:p>
    <w:p w:rsidRPr="002811A1" w:rsidR="00AB4179" w:rsidP="00AB4179" w:rsidRDefault="00AB4179" w14:paraId="72CFB913" w14:textId="77777777">
      <w:pPr>
        <w:rPr>
          <w:i/>
          <w:iCs/>
          <w:lang w:val="nl-NL"/>
        </w:rPr>
      </w:pPr>
      <w:r w:rsidRPr="002811A1">
        <w:rPr>
          <w:i/>
          <w:iCs/>
          <w:lang w:val="nl-NL"/>
        </w:rPr>
        <w:t xml:space="preserve">Onderdeel </w:t>
      </w:r>
      <w:r>
        <w:rPr>
          <w:i/>
          <w:iCs/>
          <w:lang w:val="nl-NL"/>
        </w:rPr>
        <w:t>B</w:t>
      </w:r>
    </w:p>
    <w:p w:rsidR="00AB4179" w:rsidP="00AB4179" w:rsidRDefault="00AB4179" w14:paraId="25FBF621" w14:textId="77777777">
      <w:pPr>
        <w:rPr>
          <w:lang w:val="nl-NL"/>
        </w:rPr>
      </w:pPr>
    </w:p>
    <w:p w:rsidR="00AB4179" w:rsidP="00AB4179" w:rsidRDefault="00AB4179" w14:paraId="4E1E1CF0" w14:textId="3E4A6E72">
      <w:pPr>
        <w:rPr>
          <w:lang w:val="nl-NL"/>
        </w:rPr>
      </w:pPr>
      <w:r>
        <w:rPr>
          <w:lang w:val="nl-NL"/>
        </w:rPr>
        <w:t>Artikel 3.3.1.2,</w:t>
      </w:r>
      <w:r w:rsidRPr="00274BB0">
        <w:rPr>
          <w:lang w:val="nl-NL"/>
        </w:rPr>
        <w:t xml:space="preserve"> eerste lid, onderdeel b, </w:t>
      </w:r>
      <w:r>
        <w:rPr>
          <w:lang w:val="nl-NL"/>
        </w:rPr>
        <w:t xml:space="preserve">Blz </w:t>
      </w:r>
      <w:r w:rsidRPr="00274BB0">
        <w:rPr>
          <w:lang w:val="nl-NL"/>
        </w:rPr>
        <w:t xml:space="preserve">regelde de </w:t>
      </w:r>
      <w:r w:rsidR="00750D27">
        <w:rPr>
          <w:lang w:val="nl-NL"/>
        </w:rPr>
        <w:t>EVV</w:t>
      </w:r>
      <w:r w:rsidRPr="00274BB0">
        <w:rPr>
          <w:lang w:val="nl-NL"/>
        </w:rPr>
        <w:t>. Dit onderdeel is vervallen vanwege het schrappen van deze vermogensvrijstelling. Ten behoeve van de leesbaarheid is het eerste lid opnieuw vastgesteld. Aangezien dat artikellid niet meer uit onderdelen bestaat, is de verwijzing in het vierde en vijfde lid aangepast.</w:t>
      </w:r>
    </w:p>
    <w:p w:rsidR="00AB4179" w:rsidP="00AB4179" w:rsidRDefault="00AB4179" w14:paraId="744911EE" w14:textId="1FE61263">
      <w:pPr>
        <w:rPr>
          <w:lang w:val="nl-NL"/>
        </w:rPr>
      </w:pPr>
    </w:p>
    <w:p w:rsidR="00AB4179" w:rsidP="00AB4179" w:rsidRDefault="00AB4179" w14:paraId="3241C322" w14:textId="77777777">
      <w:pPr>
        <w:rPr>
          <w:lang w:val="nl-NL"/>
        </w:rPr>
      </w:pPr>
      <w:r>
        <w:rPr>
          <w:lang w:val="nl-NL"/>
        </w:rPr>
        <w:t>Omdat artikel 3.3.2.5 Blz vervalt, is de verwijzing naar die bepaling geschrapt uit artikel 3.3.1.2, derde lid.</w:t>
      </w:r>
    </w:p>
    <w:p w:rsidR="00AB4179" w:rsidP="00AB4179" w:rsidRDefault="00AB4179" w14:paraId="1FE7C9F1" w14:textId="77777777">
      <w:pPr>
        <w:rPr>
          <w:lang w:val="nl-NL"/>
        </w:rPr>
      </w:pPr>
    </w:p>
    <w:p w:rsidRPr="00274BB0" w:rsidR="00AB4179" w:rsidP="00AB4179" w:rsidRDefault="00AB4179" w14:paraId="1A3AED2F" w14:textId="77777777">
      <w:pPr>
        <w:rPr>
          <w:i/>
          <w:iCs/>
          <w:lang w:val="nl-NL"/>
        </w:rPr>
      </w:pPr>
      <w:r w:rsidRPr="00274BB0">
        <w:rPr>
          <w:i/>
          <w:iCs/>
          <w:lang w:val="nl-NL"/>
        </w:rPr>
        <w:lastRenderedPageBreak/>
        <w:t xml:space="preserve">Onderdeel </w:t>
      </w:r>
      <w:r>
        <w:rPr>
          <w:i/>
          <w:iCs/>
          <w:lang w:val="nl-NL"/>
        </w:rPr>
        <w:t>C</w:t>
      </w:r>
    </w:p>
    <w:p w:rsidR="00AB4179" w:rsidP="00AB4179" w:rsidRDefault="00AB4179" w14:paraId="61A9D440" w14:textId="77777777">
      <w:pPr>
        <w:rPr>
          <w:lang w:val="nl-NL"/>
        </w:rPr>
      </w:pPr>
    </w:p>
    <w:p w:rsidRPr="00274BB0" w:rsidR="00AB4179" w:rsidP="00AB4179" w:rsidRDefault="00AB4179" w14:paraId="4B409396" w14:textId="14DF4C2D">
      <w:pPr>
        <w:rPr>
          <w:lang w:val="nl-NL"/>
        </w:rPr>
      </w:pPr>
      <w:r w:rsidRPr="00274BB0">
        <w:rPr>
          <w:lang w:val="nl-NL"/>
        </w:rPr>
        <w:t>Artikel 3</w:t>
      </w:r>
      <w:r>
        <w:rPr>
          <w:lang w:val="nl-NL"/>
        </w:rPr>
        <w:t>.3.1</w:t>
      </w:r>
      <w:r w:rsidRPr="00274BB0">
        <w:rPr>
          <w:lang w:val="nl-NL"/>
        </w:rPr>
        <w:t xml:space="preserve">.2a </w:t>
      </w:r>
      <w:r>
        <w:rPr>
          <w:lang w:val="nl-NL"/>
        </w:rPr>
        <w:t xml:space="preserve">Blz </w:t>
      </w:r>
      <w:r w:rsidRPr="00274BB0">
        <w:rPr>
          <w:lang w:val="nl-NL"/>
        </w:rPr>
        <w:t xml:space="preserve">beschreef de berekening van de </w:t>
      </w:r>
      <w:r w:rsidR="00750D27">
        <w:rPr>
          <w:lang w:val="nl-NL"/>
        </w:rPr>
        <w:t>CVO</w:t>
      </w:r>
      <w:r w:rsidRPr="00274BB0">
        <w:rPr>
          <w:lang w:val="nl-NL"/>
        </w:rPr>
        <w:t xml:space="preserve">. Met de afschaffing van deze compensatie zijn het eerste en tweede lid van dat artikel overbodig geworden. Artikel III bevat het overgangsrecht voor het </w:t>
      </w:r>
      <w:r w:rsidR="000C3496">
        <w:rPr>
          <w:lang w:val="nl-NL"/>
        </w:rPr>
        <w:t>afbouwen</w:t>
      </w:r>
      <w:r w:rsidRPr="00274BB0" w:rsidR="000C3496">
        <w:rPr>
          <w:lang w:val="nl-NL"/>
        </w:rPr>
        <w:t xml:space="preserve"> </w:t>
      </w:r>
      <w:r w:rsidRPr="00274BB0">
        <w:rPr>
          <w:lang w:val="nl-NL"/>
        </w:rPr>
        <w:t xml:space="preserve">van de </w:t>
      </w:r>
      <w:r w:rsidR="00750D27">
        <w:rPr>
          <w:lang w:val="nl-NL"/>
        </w:rPr>
        <w:t>CVO</w:t>
      </w:r>
      <w:r w:rsidRPr="00274BB0">
        <w:rPr>
          <w:lang w:val="nl-NL"/>
        </w:rPr>
        <w:t>.</w:t>
      </w:r>
    </w:p>
    <w:p w:rsidRPr="00274BB0" w:rsidR="00AB4179" w:rsidP="00AB4179" w:rsidRDefault="00AB4179" w14:paraId="076AB065" w14:textId="77777777">
      <w:pPr>
        <w:rPr>
          <w:lang w:val="nl-NL"/>
        </w:rPr>
      </w:pPr>
    </w:p>
    <w:p w:rsidRPr="001F0329" w:rsidR="00AB4179" w:rsidP="00AB4179" w:rsidRDefault="00AB4179" w14:paraId="4BB481C1" w14:textId="575BB8B0">
      <w:pPr>
        <w:rPr>
          <w:i/>
          <w:iCs/>
          <w:lang w:val="nl-NL"/>
        </w:rPr>
      </w:pPr>
      <w:r w:rsidRPr="001F0329">
        <w:rPr>
          <w:i/>
          <w:iCs/>
          <w:lang w:val="nl-NL"/>
        </w:rPr>
        <w:t xml:space="preserve">Onderdeel </w:t>
      </w:r>
      <w:r w:rsidR="009D4791">
        <w:rPr>
          <w:i/>
          <w:iCs/>
          <w:lang w:val="nl-NL"/>
        </w:rPr>
        <w:t>D</w:t>
      </w:r>
    </w:p>
    <w:p w:rsidR="00AB4179" w:rsidP="00AB4179" w:rsidRDefault="00AB4179" w14:paraId="66E2B635" w14:textId="77777777">
      <w:pPr>
        <w:rPr>
          <w:lang w:val="nl-NL"/>
        </w:rPr>
      </w:pPr>
    </w:p>
    <w:p w:rsidR="00AB4179" w:rsidP="00AB4179" w:rsidRDefault="00E14461" w14:paraId="2274FB14" w14:textId="3F99ADE2">
      <w:pPr>
        <w:rPr>
          <w:lang w:val="nl-NL"/>
        </w:rPr>
      </w:pPr>
      <w:r>
        <w:rPr>
          <w:lang w:val="nl-NL"/>
        </w:rPr>
        <w:t>A</w:t>
      </w:r>
      <w:r w:rsidRPr="00274BB0" w:rsidR="00AB4179">
        <w:rPr>
          <w:lang w:val="nl-NL"/>
        </w:rPr>
        <w:t>rtikel 3.3.1.7</w:t>
      </w:r>
      <w:r w:rsidR="00AB4179">
        <w:rPr>
          <w:lang w:val="nl-NL"/>
        </w:rPr>
        <w:t xml:space="preserve">, tweede lid, Blz is vervallen wegens </w:t>
      </w:r>
      <w:r w:rsidR="00F95455">
        <w:rPr>
          <w:lang w:val="nl-NL"/>
        </w:rPr>
        <w:t xml:space="preserve">het afschaffen van de </w:t>
      </w:r>
      <w:r w:rsidR="00C80960">
        <w:rPr>
          <w:lang w:val="nl-NL"/>
        </w:rPr>
        <w:t>CVO en het schrappen van de EVV</w:t>
      </w:r>
      <w:r w:rsidR="00AB4179">
        <w:rPr>
          <w:lang w:val="nl-NL"/>
        </w:rPr>
        <w:t>.</w:t>
      </w:r>
    </w:p>
    <w:p w:rsidR="00AB4179" w:rsidP="00AB4179" w:rsidRDefault="00AB4179" w14:paraId="2EE3B9CF" w14:textId="77777777">
      <w:pPr>
        <w:rPr>
          <w:lang w:val="nl-NL"/>
        </w:rPr>
      </w:pPr>
    </w:p>
    <w:p w:rsidRPr="00274BB0" w:rsidR="00AB4179" w:rsidP="00AB4179" w:rsidRDefault="00AB4179" w14:paraId="715C0BCB" w14:textId="6031D72C">
      <w:pPr>
        <w:rPr>
          <w:i/>
          <w:iCs/>
          <w:lang w:val="nl-NL"/>
        </w:rPr>
      </w:pPr>
      <w:r w:rsidRPr="00274BB0">
        <w:rPr>
          <w:i/>
          <w:iCs/>
          <w:lang w:val="nl-NL"/>
        </w:rPr>
        <w:t xml:space="preserve">Onderdeel </w:t>
      </w:r>
      <w:r w:rsidR="009D4791">
        <w:rPr>
          <w:i/>
          <w:iCs/>
          <w:lang w:val="nl-NL"/>
        </w:rPr>
        <w:t>E</w:t>
      </w:r>
    </w:p>
    <w:p w:rsidR="00AB4179" w:rsidP="00AB4179" w:rsidRDefault="00AB4179" w14:paraId="733D6387" w14:textId="27AC0217">
      <w:pPr>
        <w:rPr>
          <w:lang w:val="nl-NL"/>
        </w:rPr>
      </w:pPr>
    </w:p>
    <w:p w:rsidR="00AB4179" w:rsidP="00AB4179" w:rsidRDefault="00AB4179" w14:paraId="15202AC1" w14:textId="557A0AFA">
      <w:pPr>
        <w:rPr>
          <w:lang w:val="nl-NL"/>
        </w:rPr>
      </w:pPr>
      <w:r>
        <w:rPr>
          <w:lang w:val="nl-NL"/>
        </w:rPr>
        <w:t xml:space="preserve">Artikel 3.3.2.3, </w:t>
      </w:r>
      <w:r w:rsidRPr="00ED34F5">
        <w:rPr>
          <w:lang w:val="nl-NL"/>
        </w:rPr>
        <w:t xml:space="preserve">eerste lid, onderdeel </w:t>
      </w:r>
      <w:r>
        <w:rPr>
          <w:lang w:val="nl-NL"/>
        </w:rPr>
        <w:t>b</w:t>
      </w:r>
      <w:r w:rsidRPr="00ED34F5">
        <w:rPr>
          <w:lang w:val="nl-NL"/>
        </w:rPr>
        <w:t xml:space="preserve">, </w:t>
      </w:r>
      <w:r>
        <w:rPr>
          <w:lang w:val="nl-NL"/>
        </w:rPr>
        <w:t xml:space="preserve">vierde en vijfde </w:t>
      </w:r>
      <w:r w:rsidRPr="00ED34F5">
        <w:rPr>
          <w:lang w:val="nl-NL"/>
        </w:rPr>
        <w:t>subonderde</w:t>
      </w:r>
      <w:r>
        <w:rPr>
          <w:lang w:val="nl-NL"/>
        </w:rPr>
        <w:t xml:space="preserve">el, Blz vervallen in verband met het afschaffen van de </w:t>
      </w:r>
      <w:r w:rsidR="00750D27">
        <w:rPr>
          <w:lang w:val="nl-NL"/>
        </w:rPr>
        <w:t>CVO</w:t>
      </w:r>
      <w:r>
        <w:rPr>
          <w:lang w:val="nl-NL"/>
        </w:rPr>
        <w:t xml:space="preserve">. Om diezelfde reden is artikel 3.3.2.4a geschrapt. Artikel III bevat het overgangsrecht voor het </w:t>
      </w:r>
      <w:r w:rsidR="000C3496">
        <w:rPr>
          <w:lang w:val="nl-NL"/>
        </w:rPr>
        <w:t xml:space="preserve">afbouwen </w:t>
      </w:r>
      <w:r>
        <w:rPr>
          <w:lang w:val="nl-NL"/>
        </w:rPr>
        <w:t xml:space="preserve">van de </w:t>
      </w:r>
      <w:r w:rsidR="00750D27">
        <w:rPr>
          <w:lang w:val="nl-NL"/>
        </w:rPr>
        <w:t>CVO</w:t>
      </w:r>
      <w:r>
        <w:rPr>
          <w:lang w:val="nl-NL"/>
        </w:rPr>
        <w:t>.</w:t>
      </w:r>
    </w:p>
    <w:p w:rsidR="00AB4179" w:rsidP="00AB4179" w:rsidRDefault="00AB4179" w14:paraId="0E14F992" w14:textId="3C4B6948">
      <w:pPr>
        <w:rPr>
          <w:lang w:val="nl-NL"/>
        </w:rPr>
      </w:pPr>
    </w:p>
    <w:p w:rsidRPr="00A4115B" w:rsidR="00AB4179" w:rsidP="00AB4179" w:rsidRDefault="00AB4179" w14:paraId="72B9E9DB" w14:textId="77777777">
      <w:pPr>
        <w:rPr>
          <w:lang w:val="nl-NL"/>
        </w:rPr>
      </w:pPr>
      <w:r w:rsidRPr="00A4115B">
        <w:rPr>
          <w:b/>
          <w:bCs/>
          <w:lang w:val="nl-NL"/>
        </w:rPr>
        <w:t>Artikel III</w:t>
      </w:r>
    </w:p>
    <w:p w:rsidR="00AB4179" w:rsidP="00AB4179" w:rsidRDefault="00AB4179" w14:paraId="614D7257" w14:textId="77777777">
      <w:pPr>
        <w:rPr>
          <w:lang w:val="nl-NL"/>
        </w:rPr>
      </w:pPr>
    </w:p>
    <w:p w:rsidR="00AB4179" w:rsidP="00AB4179" w:rsidRDefault="00AB4179" w14:paraId="73285024" w14:textId="799CE7B1">
      <w:pPr>
        <w:rPr>
          <w:lang w:val="nl-NL"/>
        </w:rPr>
      </w:pPr>
      <w:r>
        <w:rPr>
          <w:lang w:val="nl-NL"/>
        </w:rPr>
        <w:t xml:space="preserve">Het eerste en tweede lid voorzien in overgangsrecht in verband met het afschaffen van de </w:t>
      </w:r>
      <w:r w:rsidR="00750D27">
        <w:rPr>
          <w:lang w:val="nl-NL"/>
        </w:rPr>
        <w:t>CVO</w:t>
      </w:r>
      <w:r>
        <w:rPr>
          <w:lang w:val="nl-NL"/>
        </w:rPr>
        <w:t xml:space="preserve"> bij de berekening van de eigen bijdrage voor een maatwerkvoorziening met beschermd wonen op grond van de Wmo 2015 en van de eigen bijdrage op grond van de Wlz. Deze voorziening wordt in drie stappen afgebouwd. In het eerste jaar is het bedrag van de compensatie </w:t>
      </w:r>
      <w:r w:rsidR="000E6DCC">
        <w:rPr>
          <w:lang w:val="nl-NL"/>
        </w:rPr>
        <w:t>1/3</w:t>
      </w:r>
      <w:r>
        <w:rPr>
          <w:lang w:val="nl-NL"/>
        </w:rPr>
        <w:t xml:space="preserve"> lager, in het tweede jaar </w:t>
      </w:r>
      <w:r w:rsidR="000E6DCC">
        <w:rPr>
          <w:lang w:val="nl-NL"/>
        </w:rPr>
        <w:t>2/3</w:t>
      </w:r>
      <w:r>
        <w:rPr>
          <w:lang w:val="nl-NL"/>
        </w:rPr>
        <w:t xml:space="preserve"> lager en vanaf het derde jaar is er geen compensatie meer voor het vervallen van de ouderentoeslag.</w:t>
      </w:r>
      <w:r w:rsidRPr="00DA0B90">
        <w:rPr>
          <w:lang w:val="nl-NL"/>
        </w:rPr>
        <w:t xml:space="preserve"> </w:t>
      </w:r>
      <w:r w:rsidR="000E6DCC">
        <w:rPr>
          <w:lang w:val="nl-NL"/>
        </w:rPr>
        <w:t xml:space="preserve">De </w:t>
      </w:r>
      <w:r w:rsidR="003A1E49">
        <w:rPr>
          <w:lang w:val="nl-NL"/>
        </w:rPr>
        <w:t xml:space="preserve">bij de berekening </w:t>
      </w:r>
      <w:r w:rsidR="000E6DCC">
        <w:rPr>
          <w:lang w:val="nl-NL"/>
        </w:rPr>
        <w:t xml:space="preserve">toepasselijke bedragen worden in het eerste en tweede jaar op de gebruikelijke wijze geïndexeerd. </w:t>
      </w:r>
      <w:r>
        <w:rPr>
          <w:lang w:val="nl-NL"/>
        </w:rPr>
        <w:t xml:space="preserve">Deze overgangsperiode geldt voor zowel bestaande, als nieuwe cliënten en verzekerden. Wellicht ten overvloede wordt opgemerkt dat de </w:t>
      </w:r>
      <w:r w:rsidR="00750D27">
        <w:rPr>
          <w:lang w:val="nl-NL"/>
        </w:rPr>
        <w:t>CVO</w:t>
      </w:r>
      <w:r>
        <w:rPr>
          <w:lang w:val="nl-NL"/>
        </w:rPr>
        <w:t xml:space="preserve"> in het geheel niet van toepassing is op eigen bijdragen </w:t>
      </w:r>
      <w:r w:rsidR="000C3496">
        <w:rPr>
          <w:lang w:val="nl-NL"/>
        </w:rPr>
        <w:t xml:space="preserve">op grond van de Wmo 2015 </w:t>
      </w:r>
      <w:r>
        <w:rPr>
          <w:lang w:val="nl-NL"/>
        </w:rPr>
        <w:t>voor maatwerkvoorzieningen zonder beschermd wonen.</w:t>
      </w:r>
    </w:p>
    <w:p w:rsidRPr="00A4115B" w:rsidR="00AB4179" w:rsidP="00AB4179" w:rsidRDefault="00AB4179" w14:paraId="6C975B6E" w14:textId="6F9BAB68">
      <w:pPr>
        <w:rPr>
          <w:lang w:val="nl-NL"/>
        </w:rPr>
      </w:pPr>
    </w:p>
    <w:p w:rsidRPr="0056601B" w:rsidR="00AB4179" w:rsidP="00AB4179" w:rsidRDefault="00AB4179" w14:paraId="52604155" w14:textId="77777777">
      <w:pPr>
        <w:rPr>
          <w:b/>
          <w:bCs/>
          <w:lang w:val="nl-NL"/>
        </w:rPr>
      </w:pPr>
      <w:r w:rsidRPr="0056601B">
        <w:rPr>
          <w:b/>
          <w:bCs/>
          <w:lang w:val="nl-NL"/>
        </w:rPr>
        <w:t>Artikel IV</w:t>
      </w:r>
    </w:p>
    <w:p w:rsidR="00AB4179" w:rsidP="00AB4179" w:rsidRDefault="00AB4179" w14:paraId="51B748FF" w14:textId="77777777">
      <w:pPr>
        <w:rPr>
          <w:lang w:val="nl-NL"/>
        </w:rPr>
      </w:pPr>
    </w:p>
    <w:p w:rsidR="00AB4179" w:rsidP="00AB4179" w:rsidRDefault="00056E76" w14:paraId="7F7846C9" w14:textId="4022668C">
      <w:pPr>
        <w:rPr>
          <w:lang w:val="nl-NL"/>
        </w:rPr>
      </w:pPr>
      <w:r>
        <w:rPr>
          <w:lang w:val="nl-NL"/>
        </w:rPr>
        <w:t>Per 2026 wordt de CVO afgebouwd en de EVV afgeschaft</w:t>
      </w:r>
      <w:r w:rsidRPr="00BE613A" w:rsidR="00AB4179">
        <w:rPr>
          <w:lang w:val="nl-NL"/>
        </w:rPr>
        <w:t>.</w:t>
      </w:r>
    </w:p>
    <w:p w:rsidR="00AB4179" w:rsidP="00AB4179" w:rsidRDefault="00AB4179" w14:paraId="4440794A" w14:textId="77777777">
      <w:pPr>
        <w:rPr>
          <w:lang w:val="nl-NL"/>
        </w:rPr>
      </w:pPr>
    </w:p>
    <w:p w:rsidR="00AB4179" w:rsidP="00AB4179" w:rsidRDefault="00AB4179" w14:paraId="36F4C0E7" w14:textId="77777777">
      <w:pPr>
        <w:rPr>
          <w:lang w:val="nl-NL"/>
        </w:rPr>
      </w:pPr>
      <w:r>
        <w:rPr>
          <w:lang w:val="nl-NL"/>
        </w:rPr>
        <w:t>De Staatssecretaris van Volksgezondheid,</w:t>
      </w:r>
    </w:p>
    <w:p w:rsidR="00AB4179" w:rsidP="00AB4179" w:rsidRDefault="00AB4179" w14:paraId="66992685" w14:textId="77777777">
      <w:pPr>
        <w:rPr>
          <w:lang w:val="nl-NL"/>
        </w:rPr>
      </w:pPr>
      <w:r>
        <w:rPr>
          <w:lang w:val="nl-NL"/>
        </w:rPr>
        <w:t>Welzijn en Sport,</w:t>
      </w:r>
    </w:p>
    <w:p w:rsidR="00AB4179" w:rsidP="00AB4179" w:rsidRDefault="00AB4179" w14:paraId="1C67BCE5" w14:textId="77777777">
      <w:pPr>
        <w:rPr>
          <w:lang w:val="nl-NL"/>
        </w:rPr>
      </w:pPr>
    </w:p>
    <w:p w:rsidR="00AB4179" w:rsidP="00AB4179" w:rsidRDefault="00AB4179" w14:paraId="52C66B57" w14:textId="77777777">
      <w:pPr>
        <w:rPr>
          <w:lang w:val="nl-NL"/>
        </w:rPr>
      </w:pPr>
    </w:p>
    <w:p w:rsidRPr="009D4B29" w:rsidR="00AB4179" w:rsidP="008F269F" w:rsidRDefault="00AB4179" w14:paraId="42C5BCB4" w14:textId="77777777">
      <w:pPr>
        <w:rPr>
          <w:lang w:val="nl-NL"/>
        </w:rPr>
      </w:pPr>
    </w:p>
    <w:p w:rsidRPr="009D4B29" w:rsidR="008F269F" w:rsidP="008F269F" w:rsidRDefault="008F269F" w14:paraId="5719AE8A" w14:textId="77777777">
      <w:pPr>
        <w:rPr>
          <w:lang w:val="nl-NL"/>
        </w:rPr>
      </w:pPr>
    </w:p>
    <w:bookmarkEnd w:id="0"/>
    <w:p w:rsidR="00432258" w:rsidP="00432258" w:rsidRDefault="00432258" w14:paraId="6A772B78" w14:textId="77777777">
      <w:pPr>
        <w:rPr>
          <w:bCs/>
          <w:lang w:val="nl-NL"/>
        </w:rPr>
      </w:pPr>
    </w:p>
    <w:sectPr w:rsidR="00432258" w:rsidSect="001E6A24">
      <w:headerReference w:type="even" r:id="rId10"/>
      <w:footerReference w:type="default" r:id="rId11"/>
      <w:head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6714" w14:textId="77777777" w:rsidR="00116B7A" w:rsidRDefault="00116B7A" w:rsidP="00A924BE">
      <w:pPr>
        <w:spacing w:line="240" w:lineRule="auto"/>
      </w:pPr>
      <w:r>
        <w:separator/>
      </w:r>
    </w:p>
    <w:p w14:paraId="5506369E" w14:textId="77777777" w:rsidR="00116B7A" w:rsidRDefault="00116B7A"/>
    <w:p w14:paraId="6A6A28C2" w14:textId="77777777" w:rsidR="00116B7A" w:rsidRDefault="00116B7A"/>
  </w:endnote>
  <w:endnote w:type="continuationSeparator" w:id="0">
    <w:p w14:paraId="791A43A0" w14:textId="77777777" w:rsidR="00116B7A" w:rsidRDefault="00116B7A" w:rsidP="00A924BE">
      <w:pPr>
        <w:spacing w:line="240" w:lineRule="auto"/>
      </w:pPr>
      <w:r>
        <w:continuationSeparator/>
      </w:r>
    </w:p>
    <w:p w14:paraId="7FA15751" w14:textId="77777777" w:rsidR="00116B7A" w:rsidRDefault="00116B7A"/>
    <w:p w14:paraId="6B9FCAEA" w14:textId="77777777" w:rsidR="00116B7A" w:rsidRDefault="00116B7A"/>
  </w:endnote>
  <w:endnote w:type="continuationNotice" w:id="1">
    <w:p w14:paraId="4A3BCC4C" w14:textId="77777777" w:rsidR="00116B7A" w:rsidRDefault="00116B7A">
      <w:pPr>
        <w:spacing w:line="240" w:lineRule="auto"/>
      </w:pPr>
    </w:p>
    <w:p w14:paraId="731967D5" w14:textId="77777777" w:rsidR="00116B7A" w:rsidRDefault="00116B7A"/>
    <w:p w14:paraId="30B1499F" w14:textId="77777777" w:rsidR="00116B7A" w:rsidRDefault="00116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38699444"/>
      <w:docPartObj>
        <w:docPartGallery w:val="Page Numbers (Bottom of Page)"/>
        <w:docPartUnique/>
      </w:docPartObj>
    </w:sdtPr>
    <w:sdtEndPr/>
    <w:sdtContent>
      <w:p w14:paraId="579A4800" w14:textId="5BF23501" w:rsidR="00481D73" w:rsidRPr="00481D73" w:rsidRDefault="00481D73">
        <w:pPr>
          <w:pStyle w:val="Voettekst"/>
          <w:jc w:val="right"/>
          <w:rPr>
            <w:sz w:val="16"/>
            <w:szCs w:val="16"/>
          </w:rPr>
        </w:pPr>
        <w:r w:rsidRPr="00481D73">
          <w:rPr>
            <w:sz w:val="16"/>
            <w:szCs w:val="16"/>
          </w:rPr>
          <w:fldChar w:fldCharType="begin"/>
        </w:r>
        <w:r w:rsidRPr="00481D73">
          <w:rPr>
            <w:sz w:val="16"/>
            <w:szCs w:val="16"/>
          </w:rPr>
          <w:instrText>PAGE   \* MERGEFORMAT</w:instrText>
        </w:r>
        <w:r w:rsidRPr="00481D73">
          <w:rPr>
            <w:sz w:val="16"/>
            <w:szCs w:val="16"/>
          </w:rPr>
          <w:fldChar w:fldCharType="separate"/>
        </w:r>
        <w:r w:rsidRPr="00481D73">
          <w:rPr>
            <w:sz w:val="16"/>
            <w:szCs w:val="16"/>
            <w:lang w:val="nl-NL"/>
          </w:rPr>
          <w:t>2</w:t>
        </w:r>
        <w:r w:rsidRPr="00481D73">
          <w:rPr>
            <w:sz w:val="16"/>
            <w:szCs w:val="16"/>
          </w:rPr>
          <w:fldChar w:fldCharType="end"/>
        </w:r>
      </w:p>
    </w:sdtContent>
  </w:sdt>
  <w:p w14:paraId="6F28388F" w14:textId="77777777" w:rsidR="0060352C" w:rsidRDefault="00603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EE65" w14:textId="77777777" w:rsidR="00116B7A" w:rsidRDefault="00116B7A" w:rsidP="00907BDC">
      <w:pPr>
        <w:spacing w:line="240" w:lineRule="auto"/>
      </w:pPr>
      <w:r>
        <w:separator/>
      </w:r>
    </w:p>
  </w:footnote>
  <w:footnote w:type="continuationSeparator" w:id="0">
    <w:p w14:paraId="2983FEA2" w14:textId="77777777" w:rsidR="00116B7A" w:rsidRDefault="00116B7A" w:rsidP="00A924BE">
      <w:pPr>
        <w:spacing w:line="240" w:lineRule="auto"/>
      </w:pPr>
      <w:r>
        <w:continuationSeparator/>
      </w:r>
    </w:p>
    <w:p w14:paraId="47CC5FB9" w14:textId="77777777" w:rsidR="00116B7A" w:rsidRDefault="00116B7A"/>
    <w:p w14:paraId="06811201" w14:textId="77777777" w:rsidR="00116B7A" w:rsidRDefault="00116B7A"/>
  </w:footnote>
  <w:footnote w:type="continuationNotice" w:id="1">
    <w:p w14:paraId="2A8F6234" w14:textId="77777777" w:rsidR="00116B7A" w:rsidRDefault="00116B7A">
      <w:pPr>
        <w:spacing w:line="240" w:lineRule="auto"/>
      </w:pPr>
    </w:p>
    <w:p w14:paraId="59B71EE2" w14:textId="77777777" w:rsidR="00116B7A" w:rsidRDefault="00116B7A"/>
    <w:p w14:paraId="6128B491" w14:textId="77777777" w:rsidR="00116B7A" w:rsidRDefault="00116B7A"/>
  </w:footnote>
  <w:footnote w:id="2">
    <w:p w14:paraId="1AF61AB1" w14:textId="77777777" w:rsidR="007A0985" w:rsidRPr="00766911" w:rsidRDefault="007A0985" w:rsidP="007A0985">
      <w:pPr>
        <w:pStyle w:val="Voetnoottekst"/>
        <w:rPr>
          <w:sz w:val="16"/>
          <w:szCs w:val="16"/>
          <w:lang w:val="nl-NL"/>
        </w:rPr>
      </w:pPr>
      <w:r w:rsidRPr="00766911">
        <w:rPr>
          <w:rStyle w:val="Voetnootmarkering"/>
          <w:sz w:val="16"/>
          <w:szCs w:val="16"/>
        </w:rPr>
        <w:footnoteRef/>
      </w:r>
      <w:r w:rsidRPr="00766911">
        <w:rPr>
          <w:sz w:val="16"/>
          <w:szCs w:val="16"/>
          <w:lang w:val="nl-NL"/>
        </w:rPr>
        <w:t xml:space="preserve"> Bedrag 2016 in verband met de t-2 systematiek.</w:t>
      </w:r>
    </w:p>
  </w:footnote>
  <w:footnote w:id="3">
    <w:p w14:paraId="6E6ABB95" w14:textId="39B014E8" w:rsidR="007A0985" w:rsidRPr="00766911" w:rsidRDefault="007A0985" w:rsidP="007A0985">
      <w:pPr>
        <w:pStyle w:val="Voetnoottekst"/>
        <w:rPr>
          <w:sz w:val="16"/>
          <w:szCs w:val="16"/>
          <w:lang w:val="nl-NL"/>
        </w:rPr>
      </w:pPr>
      <w:r w:rsidRPr="00766911">
        <w:rPr>
          <w:rStyle w:val="Voetnootmarkering"/>
          <w:sz w:val="16"/>
          <w:szCs w:val="16"/>
        </w:rPr>
        <w:footnoteRef/>
      </w:r>
      <w:r w:rsidRPr="00766911">
        <w:rPr>
          <w:sz w:val="16"/>
          <w:szCs w:val="16"/>
          <w:lang w:val="nl-NL"/>
        </w:rPr>
        <w:t xml:space="preserve"> Bedrag </w:t>
      </w:r>
      <w:r w:rsidR="00226EDF">
        <w:rPr>
          <w:sz w:val="16"/>
          <w:szCs w:val="16"/>
          <w:lang w:val="nl-NL"/>
        </w:rPr>
        <w:t>2023</w:t>
      </w:r>
      <w:r w:rsidRPr="00766911">
        <w:rPr>
          <w:sz w:val="16"/>
          <w:szCs w:val="16"/>
          <w:lang w:val="nl-NL"/>
        </w:rPr>
        <w:t xml:space="preserve"> in verband met de t-2 systematiek.</w:t>
      </w:r>
    </w:p>
  </w:footnote>
  <w:footnote w:id="4">
    <w:p w14:paraId="0FAB47AE" w14:textId="5118F4DE" w:rsidR="007A0985" w:rsidRPr="00766911" w:rsidRDefault="007A0985" w:rsidP="007A0985">
      <w:pPr>
        <w:pStyle w:val="Voetnoottekst"/>
        <w:rPr>
          <w:sz w:val="16"/>
          <w:szCs w:val="16"/>
          <w:lang w:val="nl-NL"/>
        </w:rPr>
      </w:pPr>
      <w:r w:rsidRPr="00766911">
        <w:rPr>
          <w:rStyle w:val="Voetnootmarkering"/>
          <w:sz w:val="16"/>
          <w:szCs w:val="16"/>
        </w:rPr>
        <w:footnoteRef/>
      </w:r>
      <w:r w:rsidRPr="00766911">
        <w:rPr>
          <w:sz w:val="16"/>
          <w:szCs w:val="16"/>
          <w:lang w:val="nl-NL"/>
        </w:rPr>
        <w:t xml:space="preserve"> Bedrag </w:t>
      </w:r>
      <w:r w:rsidR="00226EDF">
        <w:rPr>
          <w:sz w:val="16"/>
          <w:szCs w:val="16"/>
          <w:lang w:val="nl-NL"/>
        </w:rPr>
        <w:t>2023</w:t>
      </w:r>
      <w:r w:rsidRPr="00766911">
        <w:rPr>
          <w:sz w:val="16"/>
          <w:szCs w:val="16"/>
          <w:lang w:val="nl-NL"/>
        </w:rPr>
        <w:t xml:space="preserve"> in verband met de t-2 systematiek.</w:t>
      </w:r>
    </w:p>
  </w:footnote>
  <w:footnote w:id="5">
    <w:p w14:paraId="40344943" w14:textId="7F7B0924" w:rsidR="00AF5DF1" w:rsidRPr="005720C9" w:rsidRDefault="00AF5DF1">
      <w:pPr>
        <w:pStyle w:val="Voetnoottekst"/>
        <w:rPr>
          <w:sz w:val="16"/>
          <w:szCs w:val="16"/>
          <w:lang w:val="nl-NL"/>
        </w:rPr>
      </w:pPr>
      <w:r w:rsidRPr="005720C9">
        <w:rPr>
          <w:rStyle w:val="Voetnootmarkering"/>
          <w:sz w:val="16"/>
          <w:szCs w:val="16"/>
        </w:rPr>
        <w:footnoteRef/>
      </w:r>
      <w:r w:rsidRPr="005720C9">
        <w:rPr>
          <w:sz w:val="16"/>
          <w:szCs w:val="16"/>
          <w:lang w:val="nl-NL"/>
        </w:rPr>
        <w:t xml:space="preserve"> </w:t>
      </w:r>
      <w:r w:rsidR="009B79B3">
        <w:rPr>
          <w:sz w:val="16"/>
          <w:szCs w:val="16"/>
          <w:lang w:val="nl-NL"/>
        </w:rPr>
        <w:t>Zie artikel 3.3.2.2 voor a</w:t>
      </w:r>
      <w:r w:rsidRPr="005720C9">
        <w:rPr>
          <w:sz w:val="16"/>
          <w:szCs w:val="16"/>
          <w:lang w:val="nl-NL"/>
        </w:rPr>
        <w:t xml:space="preserve">ndere uitzonderingssituaties waarbij </w:t>
      </w:r>
      <w:r w:rsidR="009B79B3">
        <w:rPr>
          <w:sz w:val="16"/>
          <w:szCs w:val="16"/>
          <w:lang w:val="nl-NL"/>
        </w:rPr>
        <w:t xml:space="preserve">de </w:t>
      </w:r>
      <w:r w:rsidRPr="005720C9">
        <w:rPr>
          <w:sz w:val="16"/>
          <w:szCs w:val="16"/>
          <w:lang w:val="nl-NL"/>
        </w:rPr>
        <w:t>LEB verschuldigd is</w:t>
      </w:r>
      <w:r w:rsidR="009B79B3">
        <w:rPr>
          <w:sz w:val="16"/>
          <w:szCs w:val="16"/>
          <w:lang w:val="nl-NL"/>
        </w:rPr>
        <w:t xml:space="preserve"> voor zorg met verblijf</w:t>
      </w:r>
      <w:r w:rsidRPr="005720C9">
        <w:rPr>
          <w:sz w:val="16"/>
          <w:szCs w:val="16"/>
          <w:lang w:val="nl-NL"/>
        </w:rPr>
        <w:t>.</w:t>
      </w:r>
    </w:p>
  </w:footnote>
  <w:footnote w:id="6">
    <w:p w14:paraId="20330329" w14:textId="4C5E4F1A" w:rsidR="00EB0D79" w:rsidRPr="00B038FE" w:rsidRDefault="00EB0D79" w:rsidP="00D64065">
      <w:pPr>
        <w:spacing w:line="240" w:lineRule="auto"/>
        <w:rPr>
          <w:bCs/>
          <w:sz w:val="16"/>
          <w:szCs w:val="16"/>
          <w:lang w:val="nl-NL"/>
        </w:rPr>
      </w:pPr>
      <w:r w:rsidRPr="00B038FE">
        <w:rPr>
          <w:rStyle w:val="Voetnootmarkering"/>
          <w:sz w:val="16"/>
          <w:szCs w:val="16"/>
        </w:rPr>
        <w:footnoteRef/>
      </w:r>
      <w:r w:rsidRPr="00B038FE">
        <w:rPr>
          <w:sz w:val="16"/>
          <w:szCs w:val="16"/>
          <w:lang w:val="nl-NL"/>
        </w:rPr>
        <w:t xml:space="preserve"> Of iemand onder of boven de inkomensgrens z</w:t>
      </w:r>
      <w:r w:rsidR="005D00D7">
        <w:rPr>
          <w:sz w:val="16"/>
          <w:szCs w:val="16"/>
          <w:lang w:val="nl-NL"/>
        </w:rPr>
        <w:t>a</w:t>
      </w:r>
      <w:r w:rsidRPr="00B038FE">
        <w:rPr>
          <w:sz w:val="16"/>
          <w:szCs w:val="16"/>
          <w:lang w:val="nl-NL"/>
        </w:rPr>
        <w:t>t, w</w:t>
      </w:r>
      <w:r w:rsidR="005D00D7">
        <w:rPr>
          <w:sz w:val="16"/>
          <w:szCs w:val="16"/>
          <w:lang w:val="nl-NL"/>
        </w:rPr>
        <w:t>erd</w:t>
      </w:r>
      <w:r w:rsidRPr="00B038FE">
        <w:rPr>
          <w:sz w:val="16"/>
          <w:szCs w:val="16"/>
          <w:lang w:val="nl-NL"/>
        </w:rPr>
        <w:t xml:space="preserve"> bekeken door op het verzamelinkomen 4% van de grondslag sparen en beleggen in mindering te brengen. Dit totaal w</w:t>
      </w:r>
      <w:r w:rsidR="005D00D7">
        <w:rPr>
          <w:sz w:val="16"/>
          <w:szCs w:val="16"/>
          <w:lang w:val="nl-NL"/>
        </w:rPr>
        <w:t>erd</w:t>
      </w:r>
      <w:r w:rsidRPr="00B038FE">
        <w:rPr>
          <w:sz w:val="16"/>
          <w:szCs w:val="16"/>
          <w:lang w:val="nl-NL"/>
        </w:rPr>
        <w:t xml:space="preserve"> vervolgens met de inkomensgrens vergeleken.</w:t>
      </w:r>
      <w:r w:rsidR="00EE711D">
        <w:rPr>
          <w:sz w:val="16"/>
          <w:szCs w:val="16"/>
          <w:lang w:val="nl-NL"/>
        </w:rPr>
        <w:t xml:space="preserve"> Bij de HEB wordt rekening gehouden met bepaalde aftrekposten.</w:t>
      </w:r>
    </w:p>
  </w:footnote>
  <w:footnote w:id="7">
    <w:p w14:paraId="11FD9059" w14:textId="6A049E42" w:rsidR="00EB0D79" w:rsidRPr="00766911" w:rsidRDefault="00EB0D79" w:rsidP="00EB0D79">
      <w:pPr>
        <w:pStyle w:val="Voetnoottekst"/>
        <w:rPr>
          <w:sz w:val="16"/>
          <w:szCs w:val="16"/>
          <w:lang w:val="nl-NL"/>
        </w:rPr>
      </w:pPr>
      <w:r w:rsidRPr="00766911">
        <w:rPr>
          <w:rStyle w:val="Voetnootmarkering"/>
          <w:sz w:val="16"/>
          <w:szCs w:val="16"/>
        </w:rPr>
        <w:footnoteRef/>
      </w:r>
      <w:r w:rsidRPr="00766911">
        <w:rPr>
          <w:sz w:val="16"/>
          <w:szCs w:val="16"/>
          <w:lang w:val="nl-NL"/>
        </w:rPr>
        <w:t xml:space="preserve"> Aangezien een zeer beperkt aantal huishoudens met beschermd wonen in de Wmo 2015 in aanmerking k</w:t>
      </w:r>
      <w:r w:rsidR="00C6166A">
        <w:rPr>
          <w:sz w:val="16"/>
          <w:szCs w:val="16"/>
          <w:lang w:val="nl-NL"/>
        </w:rPr>
        <w:t>wam</w:t>
      </w:r>
      <w:r w:rsidRPr="00766911">
        <w:rPr>
          <w:sz w:val="16"/>
          <w:szCs w:val="16"/>
          <w:lang w:val="nl-NL"/>
        </w:rPr>
        <w:t xml:space="preserve"> voor de CVO, toont de tabel uitsluitend aantallen voor de Wlz.</w:t>
      </w:r>
    </w:p>
  </w:footnote>
  <w:footnote w:id="8">
    <w:p w14:paraId="5F06C4EB" w14:textId="7494A4ED" w:rsidR="002B22D1" w:rsidRPr="002B22D1" w:rsidRDefault="002B22D1">
      <w:pPr>
        <w:pStyle w:val="Voetnoottekst"/>
        <w:rPr>
          <w:sz w:val="16"/>
          <w:szCs w:val="16"/>
          <w:lang w:val="nl-NL"/>
        </w:rPr>
      </w:pPr>
      <w:r w:rsidRPr="002B22D1">
        <w:rPr>
          <w:rStyle w:val="Voetnootmarkering"/>
          <w:sz w:val="16"/>
          <w:szCs w:val="16"/>
        </w:rPr>
        <w:footnoteRef/>
      </w:r>
      <w:r w:rsidRPr="002B22D1">
        <w:rPr>
          <w:sz w:val="16"/>
          <w:szCs w:val="16"/>
        </w:rPr>
        <w:t xml:space="preserve"> Kamerstukken II 2024/25, 29 538,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2A39" w14:textId="2BF77F5E" w:rsidR="004A06A3" w:rsidRDefault="00AE3EDE">
    <w:pPr>
      <w:pStyle w:val="Koptekst"/>
    </w:pPr>
    <w:r>
      <w:rPr>
        <w:noProof/>
      </w:rPr>
      <w:pict w14:anchorId="565C3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579" o:spid="_x0000_s1026" type="#_x0000_t136" style="position:absolute;margin-left:0;margin-top:0;width:520.65pt;height:115.7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5008" w14:textId="10D73990" w:rsidR="004A06A3" w:rsidRDefault="00AE3EDE">
    <w:pPr>
      <w:pStyle w:val="Koptekst"/>
    </w:pPr>
    <w:r>
      <w:rPr>
        <w:noProof/>
      </w:rPr>
      <w:pict w14:anchorId="37AA0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578" o:spid="_x0000_s1025" type="#_x0000_t136" style="position:absolute;margin-left:0;margin-top:0;width:520.65pt;height:115.7pt;rotation:315;z-index:-25165721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08720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8AC63AB"/>
    <w:multiLevelType w:val="hybridMultilevel"/>
    <w:tmpl w:val="E78808FE"/>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1846A4"/>
    <w:multiLevelType w:val="hybridMultilevel"/>
    <w:tmpl w:val="626C3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D60FD"/>
    <w:multiLevelType w:val="hybridMultilevel"/>
    <w:tmpl w:val="465C98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093132"/>
    <w:multiLevelType w:val="hybridMultilevel"/>
    <w:tmpl w:val="1BF2768E"/>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934589"/>
    <w:multiLevelType w:val="hybridMultilevel"/>
    <w:tmpl w:val="A2E6D7EE"/>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5056EB"/>
    <w:multiLevelType w:val="multilevel"/>
    <w:tmpl w:val="7CEE17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F529E9"/>
    <w:multiLevelType w:val="hybridMultilevel"/>
    <w:tmpl w:val="29E80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1D584A"/>
    <w:multiLevelType w:val="hybridMultilevel"/>
    <w:tmpl w:val="EA0C5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7D3A51"/>
    <w:multiLevelType w:val="hybridMultilevel"/>
    <w:tmpl w:val="2D66F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D57151"/>
    <w:multiLevelType w:val="hybridMultilevel"/>
    <w:tmpl w:val="77B245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CA5B4F"/>
    <w:multiLevelType w:val="hybridMultilevel"/>
    <w:tmpl w:val="3D4AB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A6E71CA"/>
    <w:multiLevelType w:val="hybridMultilevel"/>
    <w:tmpl w:val="EE549F8E"/>
    <w:lvl w:ilvl="0" w:tplc="3C6AF9DC">
      <w:start w:val="39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AC1426"/>
    <w:multiLevelType w:val="hybridMultilevel"/>
    <w:tmpl w:val="8148316E"/>
    <w:lvl w:ilvl="0" w:tplc="2DBCE90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822700"/>
    <w:multiLevelType w:val="multilevel"/>
    <w:tmpl w:val="B4B88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650472F"/>
    <w:multiLevelType w:val="multilevel"/>
    <w:tmpl w:val="BF6E942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F50CE4"/>
    <w:multiLevelType w:val="hybridMultilevel"/>
    <w:tmpl w:val="06624848"/>
    <w:lvl w:ilvl="0" w:tplc="04130019">
      <w:start w:val="1"/>
      <w:numFmt w:val="lowerLetter"/>
      <w:lvlText w:val="%1."/>
      <w:lvlJc w:val="left"/>
      <w:pPr>
        <w:ind w:left="720" w:hanging="360"/>
      </w:pPr>
      <w:rPr>
        <w:rFonts w:hint="default"/>
      </w:rPr>
    </w:lvl>
    <w:lvl w:ilvl="1" w:tplc="680AA286">
      <w:start w:val="1"/>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C13E26"/>
    <w:multiLevelType w:val="hybridMultilevel"/>
    <w:tmpl w:val="707CBB80"/>
    <w:lvl w:ilvl="0" w:tplc="7E10CC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3A686C"/>
    <w:multiLevelType w:val="hybridMultilevel"/>
    <w:tmpl w:val="5574A478"/>
    <w:lvl w:ilvl="0" w:tplc="3BFCA82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2C42AF"/>
    <w:multiLevelType w:val="hybridMultilevel"/>
    <w:tmpl w:val="E6DE8C8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C5B6133"/>
    <w:multiLevelType w:val="hybridMultilevel"/>
    <w:tmpl w:val="7A74577C"/>
    <w:lvl w:ilvl="0" w:tplc="C7B29D64">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D16832"/>
    <w:multiLevelType w:val="hybridMultilevel"/>
    <w:tmpl w:val="0B20365C"/>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A235F5"/>
    <w:multiLevelType w:val="hybridMultilevel"/>
    <w:tmpl w:val="7C265E9A"/>
    <w:lvl w:ilvl="0" w:tplc="7D742F2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1A5A1F"/>
    <w:multiLevelType w:val="hybridMultilevel"/>
    <w:tmpl w:val="5C1AA5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CF1CD9"/>
    <w:multiLevelType w:val="hybridMultilevel"/>
    <w:tmpl w:val="7A28CA42"/>
    <w:lvl w:ilvl="0" w:tplc="2CD8CC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F16588"/>
    <w:multiLevelType w:val="hybridMultilevel"/>
    <w:tmpl w:val="AD6802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7F12F92"/>
    <w:multiLevelType w:val="hybridMultilevel"/>
    <w:tmpl w:val="C3E00796"/>
    <w:lvl w:ilvl="0" w:tplc="9EAA84F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8723619">
    <w:abstractNumId w:val="1"/>
  </w:num>
  <w:num w:numId="2" w16cid:durableId="1833326991">
    <w:abstractNumId w:val="5"/>
  </w:num>
  <w:num w:numId="3" w16cid:durableId="176820128">
    <w:abstractNumId w:val="24"/>
  </w:num>
  <w:num w:numId="4" w16cid:durableId="170292312">
    <w:abstractNumId w:val="11"/>
  </w:num>
  <w:num w:numId="5" w16cid:durableId="342822051">
    <w:abstractNumId w:val="8"/>
  </w:num>
  <w:num w:numId="6" w16cid:durableId="284191552">
    <w:abstractNumId w:val="19"/>
  </w:num>
  <w:num w:numId="7" w16cid:durableId="1664356273">
    <w:abstractNumId w:val="16"/>
  </w:num>
  <w:num w:numId="8" w16cid:durableId="1809859890">
    <w:abstractNumId w:val="26"/>
  </w:num>
  <w:num w:numId="9" w16cid:durableId="920911988">
    <w:abstractNumId w:val="25"/>
  </w:num>
  <w:num w:numId="10" w16cid:durableId="511385119">
    <w:abstractNumId w:val="15"/>
  </w:num>
  <w:num w:numId="11" w16cid:durableId="1266157361">
    <w:abstractNumId w:val="6"/>
  </w:num>
  <w:num w:numId="12" w16cid:durableId="62946559">
    <w:abstractNumId w:val="7"/>
  </w:num>
  <w:num w:numId="13" w16cid:durableId="229534781">
    <w:abstractNumId w:val="10"/>
  </w:num>
  <w:num w:numId="14" w16cid:durableId="1004281889">
    <w:abstractNumId w:val="23"/>
  </w:num>
  <w:num w:numId="15" w16cid:durableId="1541164052">
    <w:abstractNumId w:val="0"/>
  </w:num>
  <w:num w:numId="16" w16cid:durableId="721296509">
    <w:abstractNumId w:val="3"/>
  </w:num>
  <w:num w:numId="17" w16cid:durableId="368527150">
    <w:abstractNumId w:val="21"/>
  </w:num>
  <w:num w:numId="18" w16cid:durableId="1663121425">
    <w:abstractNumId w:val="20"/>
  </w:num>
  <w:num w:numId="19" w16cid:durableId="488905714">
    <w:abstractNumId w:val="12"/>
  </w:num>
  <w:num w:numId="20" w16cid:durableId="262080001">
    <w:abstractNumId w:val="4"/>
  </w:num>
  <w:num w:numId="21" w16cid:durableId="1641616496">
    <w:abstractNumId w:val="22"/>
  </w:num>
  <w:num w:numId="22" w16cid:durableId="2130777142">
    <w:abstractNumId w:val="9"/>
  </w:num>
  <w:num w:numId="23" w16cid:durableId="615135472">
    <w:abstractNumId w:val="13"/>
  </w:num>
  <w:num w:numId="24" w16cid:durableId="934747708">
    <w:abstractNumId w:val="18"/>
  </w:num>
  <w:num w:numId="25" w16cid:durableId="1065571815">
    <w:abstractNumId w:val="17"/>
  </w:num>
  <w:num w:numId="26" w16cid:durableId="1851598884">
    <w:abstractNumId w:val="14"/>
  </w:num>
  <w:num w:numId="27" w16cid:durableId="120285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9D"/>
    <w:rsid w:val="000003D0"/>
    <w:rsid w:val="0000177C"/>
    <w:rsid w:val="00002575"/>
    <w:rsid w:val="00003FF5"/>
    <w:rsid w:val="00004969"/>
    <w:rsid w:val="00005140"/>
    <w:rsid w:val="00005C88"/>
    <w:rsid w:val="00006D76"/>
    <w:rsid w:val="0000756B"/>
    <w:rsid w:val="000076F2"/>
    <w:rsid w:val="000105CA"/>
    <w:rsid w:val="00011B9D"/>
    <w:rsid w:val="000125B4"/>
    <w:rsid w:val="0001315A"/>
    <w:rsid w:val="00013373"/>
    <w:rsid w:val="00013704"/>
    <w:rsid w:val="00013945"/>
    <w:rsid w:val="0001467A"/>
    <w:rsid w:val="00015015"/>
    <w:rsid w:val="00020E60"/>
    <w:rsid w:val="000229C6"/>
    <w:rsid w:val="0002430E"/>
    <w:rsid w:val="00024DBB"/>
    <w:rsid w:val="00025DFF"/>
    <w:rsid w:val="00026238"/>
    <w:rsid w:val="00026374"/>
    <w:rsid w:val="0002674B"/>
    <w:rsid w:val="00026986"/>
    <w:rsid w:val="00027D95"/>
    <w:rsid w:val="00027E80"/>
    <w:rsid w:val="00030A5C"/>
    <w:rsid w:val="00031193"/>
    <w:rsid w:val="000324D0"/>
    <w:rsid w:val="00032C62"/>
    <w:rsid w:val="00032CE2"/>
    <w:rsid w:val="00032E4A"/>
    <w:rsid w:val="0003332B"/>
    <w:rsid w:val="00035C38"/>
    <w:rsid w:val="00035E6C"/>
    <w:rsid w:val="00036D37"/>
    <w:rsid w:val="000400D1"/>
    <w:rsid w:val="00040516"/>
    <w:rsid w:val="000409CE"/>
    <w:rsid w:val="0004123B"/>
    <w:rsid w:val="000414A4"/>
    <w:rsid w:val="00042B38"/>
    <w:rsid w:val="00046B94"/>
    <w:rsid w:val="00050246"/>
    <w:rsid w:val="000505CA"/>
    <w:rsid w:val="00052175"/>
    <w:rsid w:val="00053154"/>
    <w:rsid w:val="000534A4"/>
    <w:rsid w:val="00054AEF"/>
    <w:rsid w:val="00055C6E"/>
    <w:rsid w:val="00056E76"/>
    <w:rsid w:val="00057AE3"/>
    <w:rsid w:val="000616CC"/>
    <w:rsid w:val="00062A03"/>
    <w:rsid w:val="00064CE9"/>
    <w:rsid w:val="000653E2"/>
    <w:rsid w:val="00065787"/>
    <w:rsid w:val="000657FB"/>
    <w:rsid w:val="00065D24"/>
    <w:rsid w:val="00066607"/>
    <w:rsid w:val="0006687D"/>
    <w:rsid w:val="00066F0B"/>
    <w:rsid w:val="00067285"/>
    <w:rsid w:val="000713D7"/>
    <w:rsid w:val="00071EDA"/>
    <w:rsid w:val="00073844"/>
    <w:rsid w:val="000743CF"/>
    <w:rsid w:val="00074495"/>
    <w:rsid w:val="000750EF"/>
    <w:rsid w:val="000758ED"/>
    <w:rsid w:val="0007713D"/>
    <w:rsid w:val="000774EA"/>
    <w:rsid w:val="00077D87"/>
    <w:rsid w:val="00081919"/>
    <w:rsid w:val="00084075"/>
    <w:rsid w:val="00085BF8"/>
    <w:rsid w:val="00085C54"/>
    <w:rsid w:val="00085D5F"/>
    <w:rsid w:val="00087852"/>
    <w:rsid w:val="00087980"/>
    <w:rsid w:val="0009018A"/>
    <w:rsid w:val="000903F7"/>
    <w:rsid w:val="000909F8"/>
    <w:rsid w:val="00090A5D"/>
    <w:rsid w:val="00092944"/>
    <w:rsid w:val="00093089"/>
    <w:rsid w:val="00093B8D"/>
    <w:rsid w:val="000942B2"/>
    <w:rsid w:val="00095AC1"/>
    <w:rsid w:val="00095D34"/>
    <w:rsid w:val="0009634C"/>
    <w:rsid w:val="00096FD1"/>
    <w:rsid w:val="000972A0"/>
    <w:rsid w:val="00097986"/>
    <w:rsid w:val="000A0523"/>
    <w:rsid w:val="000A0683"/>
    <w:rsid w:val="000A15B4"/>
    <w:rsid w:val="000A3D9A"/>
    <w:rsid w:val="000A4493"/>
    <w:rsid w:val="000A5FB3"/>
    <w:rsid w:val="000A7D8D"/>
    <w:rsid w:val="000A7E03"/>
    <w:rsid w:val="000B0F8F"/>
    <w:rsid w:val="000B1136"/>
    <w:rsid w:val="000B15BB"/>
    <w:rsid w:val="000B4D3E"/>
    <w:rsid w:val="000B514C"/>
    <w:rsid w:val="000B525F"/>
    <w:rsid w:val="000B5273"/>
    <w:rsid w:val="000B5840"/>
    <w:rsid w:val="000B6671"/>
    <w:rsid w:val="000B6E24"/>
    <w:rsid w:val="000C01D7"/>
    <w:rsid w:val="000C1272"/>
    <w:rsid w:val="000C1410"/>
    <w:rsid w:val="000C163F"/>
    <w:rsid w:val="000C2630"/>
    <w:rsid w:val="000C3496"/>
    <w:rsid w:val="000C443C"/>
    <w:rsid w:val="000C4D5C"/>
    <w:rsid w:val="000C6882"/>
    <w:rsid w:val="000D1B19"/>
    <w:rsid w:val="000D295A"/>
    <w:rsid w:val="000D2B18"/>
    <w:rsid w:val="000D2D71"/>
    <w:rsid w:val="000D2F7E"/>
    <w:rsid w:val="000D375A"/>
    <w:rsid w:val="000D3C0B"/>
    <w:rsid w:val="000D47A1"/>
    <w:rsid w:val="000D740D"/>
    <w:rsid w:val="000E01ED"/>
    <w:rsid w:val="000E0204"/>
    <w:rsid w:val="000E0BB6"/>
    <w:rsid w:val="000E0F04"/>
    <w:rsid w:val="000E1044"/>
    <w:rsid w:val="000E19D8"/>
    <w:rsid w:val="000E4261"/>
    <w:rsid w:val="000E67C0"/>
    <w:rsid w:val="000E6C1D"/>
    <w:rsid w:val="000E6DCC"/>
    <w:rsid w:val="000E7E38"/>
    <w:rsid w:val="000F03FD"/>
    <w:rsid w:val="000F0D66"/>
    <w:rsid w:val="000F162B"/>
    <w:rsid w:val="000F19D1"/>
    <w:rsid w:val="000F1A78"/>
    <w:rsid w:val="000F22A1"/>
    <w:rsid w:val="000F2F3F"/>
    <w:rsid w:val="000F3E9B"/>
    <w:rsid w:val="000F3FAD"/>
    <w:rsid w:val="000F4E48"/>
    <w:rsid w:val="000F6650"/>
    <w:rsid w:val="000F68AE"/>
    <w:rsid w:val="000F6A19"/>
    <w:rsid w:val="00100F0B"/>
    <w:rsid w:val="00101A80"/>
    <w:rsid w:val="00101AAC"/>
    <w:rsid w:val="001039C3"/>
    <w:rsid w:val="00105405"/>
    <w:rsid w:val="00105526"/>
    <w:rsid w:val="00107A2F"/>
    <w:rsid w:val="00110EE7"/>
    <w:rsid w:val="001129C0"/>
    <w:rsid w:val="00114312"/>
    <w:rsid w:val="001152CE"/>
    <w:rsid w:val="00115AC6"/>
    <w:rsid w:val="00116B7A"/>
    <w:rsid w:val="0011753F"/>
    <w:rsid w:val="001176D5"/>
    <w:rsid w:val="00120C64"/>
    <w:rsid w:val="00120FFE"/>
    <w:rsid w:val="0012196F"/>
    <w:rsid w:val="00121CD4"/>
    <w:rsid w:val="001227D6"/>
    <w:rsid w:val="0012320A"/>
    <w:rsid w:val="001234BD"/>
    <w:rsid w:val="0012657F"/>
    <w:rsid w:val="001279B2"/>
    <w:rsid w:val="001331F8"/>
    <w:rsid w:val="00133505"/>
    <w:rsid w:val="00133C6E"/>
    <w:rsid w:val="001348A7"/>
    <w:rsid w:val="001348CF"/>
    <w:rsid w:val="00134D23"/>
    <w:rsid w:val="00135110"/>
    <w:rsid w:val="00135A6D"/>
    <w:rsid w:val="001363DC"/>
    <w:rsid w:val="00136597"/>
    <w:rsid w:val="00137916"/>
    <w:rsid w:val="00137944"/>
    <w:rsid w:val="001416F3"/>
    <w:rsid w:val="00141A0E"/>
    <w:rsid w:val="00141F2E"/>
    <w:rsid w:val="00143A3F"/>
    <w:rsid w:val="001444AD"/>
    <w:rsid w:val="00144DF3"/>
    <w:rsid w:val="0014660B"/>
    <w:rsid w:val="001478A3"/>
    <w:rsid w:val="00150883"/>
    <w:rsid w:val="00152E50"/>
    <w:rsid w:val="0015719C"/>
    <w:rsid w:val="00157CF2"/>
    <w:rsid w:val="00160144"/>
    <w:rsid w:val="001601B1"/>
    <w:rsid w:val="00160735"/>
    <w:rsid w:val="0016358B"/>
    <w:rsid w:val="00164C4E"/>
    <w:rsid w:val="00167E68"/>
    <w:rsid w:val="00170392"/>
    <w:rsid w:val="001709F2"/>
    <w:rsid w:val="00171803"/>
    <w:rsid w:val="00171A14"/>
    <w:rsid w:val="00174F71"/>
    <w:rsid w:val="00175A9E"/>
    <w:rsid w:val="001766DD"/>
    <w:rsid w:val="00177AA2"/>
    <w:rsid w:val="00183997"/>
    <w:rsid w:val="00183B3E"/>
    <w:rsid w:val="00183C79"/>
    <w:rsid w:val="001842A1"/>
    <w:rsid w:val="00184A78"/>
    <w:rsid w:val="00186C43"/>
    <w:rsid w:val="001878FE"/>
    <w:rsid w:val="0019007E"/>
    <w:rsid w:val="001900D9"/>
    <w:rsid w:val="00190CFE"/>
    <w:rsid w:val="0019274B"/>
    <w:rsid w:val="00192EDE"/>
    <w:rsid w:val="001932B9"/>
    <w:rsid w:val="001933E0"/>
    <w:rsid w:val="00194C84"/>
    <w:rsid w:val="00196A2F"/>
    <w:rsid w:val="00197445"/>
    <w:rsid w:val="001A005B"/>
    <w:rsid w:val="001A0695"/>
    <w:rsid w:val="001A0A25"/>
    <w:rsid w:val="001A0C91"/>
    <w:rsid w:val="001A1040"/>
    <w:rsid w:val="001A2F6C"/>
    <w:rsid w:val="001A454D"/>
    <w:rsid w:val="001A4F2A"/>
    <w:rsid w:val="001A716F"/>
    <w:rsid w:val="001A73B1"/>
    <w:rsid w:val="001B14CC"/>
    <w:rsid w:val="001B1D39"/>
    <w:rsid w:val="001B264B"/>
    <w:rsid w:val="001B2B87"/>
    <w:rsid w:val="001B363E"/>
    <w:rsid w:val="001B37C3"/>
    <w:rsid w:val="001B3D14"/>
    <w:rsid w:val="001B41CE"/>
    <w:rsid w:val="001B51EF"/>
    <w:rsid w:val="001B6574"/>
    <w:rsid w:val="001B7412"/>
    <w:rsid w:val="001C48EE"/>
    <w:rsid w:val="001C4AF7"/>
    <w:rsid w:val="001C7A2F"/>
    <w:rsid w:val="001C7C8F"/>
    <w:rsid w:val="001D01C5"/>
    <w:rsid w:val="001D079A"/>
    <w:rsid w:val="001E1045"/>
    <w:rsid w:val="001E40A8"/>
    <w:rsid w:val="001E5CC6"/>
    <w:rsid w:val="001E6568"/>
    <w:rsid w:val="001E6A24"/>
    <w:rsid w:val="001E6B27"/>
    <w:rsid w:val="001E6D15"/>
    <w:rsid w:val="001E749E"/>
    <w:rsid w:val="001F0329"/>
    <w:rsid w:val="001F0771"/>
    <w:rsid w:val="001F1509"/>
    <w:rsid w:val="001F1558"/>
    <w:rsid w:val="001F2F7F"/>
    <w:rsid w:val="001F3836"/>
    <w:rsid w:val="001F5D21"/>
    <w:rsid w:val="00200637"/>
    <w:rsid w:val="00201B2C"/>
    <w:rsid w:val="00203EF5"/>
    <w:rsid w:val="00204309"/>
    <w:rsid w:val="002054A9"/>
    <w:rsid w:val="00205E23"/>
    <w:rsid w:val="00205ED9"/>
    <w:rsid w:val="00207D75"/>
    <w:rsid w:val="002114B9"/>
    <w:rsid w:val="002116C1"/>
    <w:rsid w:val="00211B41"/>
    <w:rsid w:val="00213379"/>
    <w:rsid w:val="00213CA1"/>
    <w:rsid w:val="00213CD3"/>
    <w:rsid w:val="00215560"/>
    <w:rsid w:val="00217B1F"/>
    <w:rsid w:val="00221B01"/>
    <w:rsid w:val="00222123"/>
    <w:rsid w:val="002231AB"/>
    <w:rsid w:val="00223A53"/>
    <w:rsid w:val="00223D53"/>
    <w:rsid w:val="002241ED"/>
    <w:rsid w:val="00225729"/>
    <w:rsid w:val="00226321"/>
    <w:rsid w:val="002265B4"/>
    <w:rsid w:val="0022698C"/>
    <w:rsid w:val="00226EDF"/>
    <w:rsid w:val="00227F08"/>
    <w:rsid w:val="00230288"/>
    <w:rsid w:val="002320EF"/>
    <w:rsid w:val="00232C7D"/>
    <w:rsid w:val="0023370A"/>
    <w:rsid w:val="0023409C"/>
    <w:rsid w:val="0023643B"/>
    <w:rsid w:val="00240105"/>
    <w:rsid w:val="00242180"/>
    <w:rsid w:val="002439A9"/>
    <w:rsid w:val="00244917"/>
    <w:rsid w:val="002456EF"/>
    <w:rsid w:val="002456FC"/>
    <w:rsid w:val="00247470"/>
    <w:rsid w:val="00250971"/>
    <w:rsid w:val="0025169C"/>
    <w:rsid w:val="00251884"/>
    <w:rsid w:val="002525F0"/>
    <w:rsid w:val="00254202"/>
    <w:rsid w:val="0025656B"/>
    <w:rsid w:val="00256E46"/>
    <w:rsid w:val="00257F0B"/>
    <w:rsid w:val="00260926"/>
    <w:rsid w:val="00260C16"/>
    <w:rsid w:val="00261B41"/>
    <w:rsid w:val="002624EE"/>
    <w:rsid w:val="00263E49"/>
    <w:rsid w:val="0026548C"/>
    <w:rsid w:val="00266945"/>
    <w:rsid w:val="002669FF"/>
    <w:rsid w:val="00267370"/>
    <w:rsid w:val="00270414"/>
    <w:rsid w:val="00270610"/>
    <w:rsid w:val="00270F62"/>
    <w:rsid w:val="00271462"/>
    <w:rsid w:val="00271AE7"/>
    <w:rsid w:val="00272956"/>
    <w:rsid w:val="002733CA"/>
    <w:rsid w:val="00274BB0"/>
    <w:rsid w:val="00276A57"/>
    <w:rsid w:val="00276B78"/>
    <w:rsid w:val="002811A1"/>
    <w:rsid w:val="00281346"/>
    <w:rsid w:val="00281451"/>
    <w:rsid w:val="00283A18"/>
    <w:rsid w:val="00283E56"/>
    <w:rsid w:val="00284C77"/>
    <w:rsid w:val="00284ED0"/>
    <w:rsid w:val="002874A3"/>
    <w:rsid w:val="002879D6"/>
    <w:rsid w:val="00291692"/>
    <w:rsid w:val="0029594F"/>
    <w:rsid w:val="00295B23"/>
    <w:rsid w:val="00295FB0"/>
    <w:rsid w:val="0029640F"/>
    <w:rsid w:val="002971CB"/>
    <w:rsid w:val="00297C06"/>
    <w:rsid w:val="002A07D0"/>
    <w:rsid w:val="002A36FC"/>
    <w:rsid w:val="002A49C8"/>
    <w:rsid w:val="002A6053"/>
    <w:rsid w:val="002A667E"/>
    <w:rsid w:val="002A6A09"/>
    <w:rsid w:val="002B0750"/>
    <w:rsid w:val="002B22D1"/>
    <w:rsid w:val="002B2F28"/>
    <w:rsid w:val="002B3135"/>
    <w:rsid w:val="002B352F"/>
    <w:rsid w:val="002B69A5"/>
    <w:rsid w:val="002B6F79"/>
    <w:rsid w:val="002B77A4"/>
    <w:rsid w:val="002B7AA2"/>
    <w:rsid w:val="002B7B22"/>
    <w:rsid w:val="002B7BCA"/>
    <w:rsid w:val="002C064E"/>
    <w:rsid w:val="002C0908"/>
    <w:rsid w:val="002C1AD8"/>
    <w:rsid w:val="002C53B5"/>
    <w:rsid w:val="002C763E"/>
    <w:rsid w:val="002D1DC7"/>
    <w:rsid w:val="002D344F"/>
    <w:rsid w:val="002D61DC"/>
    <w:rsid w:val="002D7576"/>
    <w:rsid w:val="002E0132"/>
    <w:rsid w:val="002E1EB2"/>
    <w:rsid w:val="002E300A"/>
    <w:rsid w:val="002E398A"/>
    <w:rsid w:val="002E4C88"/>
    <w:rsid w:val="002E513B"/>
    <w:rsid w:val="002E51D0"/>
    <w:rsid w:val="002E53F2"/>
    <w:rsid w:val="002E73F7"/>
    <w:rsid w:val="002F1A20"/>
    <w:rsid w:val="002F1D6D"/>
    <w:rsid w:val="002F3A18"/>
    <w:rsid w:val="002F3B7C"/>
    <w:rsid w:val="002F4802"/>
    <w:rsid w:val="002F5E3A"/>
    <w:rsid w:val="002F708A"/>
    <w:rsid w:val="002F77B6"/>
    <w:rsid w:val="002F77DE"/>
    <w:rsid w:val="00300972"/>
    <w:rsid w:val="00300A42"/>
    <w:rsid w:val="00301D12"/>
    <w:rsid w:val="00302F51"/>
    <w:rsid w:val="003031B2"/>
    <w:rsid w:val="0030381C"/>
    <w:rsid w:val="00303869"/>
    <w:rsid w:val="0030526C"/>
    <w:rsid w:val="0030659C"/>
    <w:rsid w:val="00307C23"/>
    <w:rsid w:val="003126D0"/>
    <w:rsid w:val="0031348F"/>
    <w:rsid w:val="0031520C"/>
    <w:rsid w:val="00315EC5"/>
    <w:rsid w:val="0031609D"/>
    <w:rsid w:val="00316DC5"/>
    <w:rsid w:val="0031735B"/>
    <w:rsid w:val="0031799C"/>
    <w:rsid w:val="0032173F"/>
    <w:rsid w:val="00321EE6"/>
    <w:rsid w:val="003222A7"/>
    <w:rsid w:val="00322505"/>
    <w:rsid w:val="00322720"/>
    <w:rsid w:val="00325E09"/>
    <w:rsid w:val="00325F4A"/>
    <w:rsid w:val="00326101"/>
    <w:rsid w:val="00330A1D"/>
    <w:rsid w:val="00330AAA"/>
    <w:rsid w:val="003316F0"/>
    <w:rsid w:val="00335A39"/>
    <w:rsid w:val="00335E5C"/>
    <w:rsid w:val="00336AB8"/>
    <w:rsid w:val="003371BD"/>
    <w:rsid w:val="0033739F"/>
    <w:rsid w:val="0033759A"/>
    <w:rsid w:val="00340202"/>
    <w:rsid w:val="00341332"/>
    <w:rsid w:val="00341CA2"/>
    <w:rsid w:val="003420A8"/>
    <w:rsid w:val="003435DD"/>
    <w:rsid w:val="00343740"/>
    <w:rsid w:val="0034486F"/>
    <w:rsid w:val="00344C89"/>
    <w:rsid w:val="00345070"/>
    <w:rsid w:val="00345169"/>
    <w:rsid w:val="0034521E"/>
    <w:rsid w:val="003454A7"/>
    <w:rsid w:val="00350F5D"/>
    <w:rsid w:val="00351123"/>
    <w:rsid w:val="00352A39"/>
    <w:rsid w:val="00352C30"/>
    <w:rsid w:val="00356508"/>
    <w:rsid w:val="00357047"/>
    <w:rsid w:val="00357B5F"/>
    <w:rsid w:val="003632D7"/>
    <w:rsid w:val="00363C6C"/>
    <w:rsid w:val="0036400A"/>
    <w:rsid w:val="003659A2"/>
    <w:rsid w:val="00365ED8"/>
    <w:rsid w:val="00367E69"/>
    <w:rsid w:val="003702FF"/>
    <w:rsid w:val="003718A0"/>
    <w:rsid w:val="00371EB2"/>
    <w:rsid w:val="0037208B"/>
    <w:rsid w:val="00372B88"/>
    <w:rsid w:val="00372DC4"/>
    <w:rsid w:val="003730D8"/>
    <w:rsid w:val="00374050"/>
    <w:rsid w:val="00375A99"/>
    <w:rsid w:val="00375DB6"/>
    <w:rsid w:val="00375E10"/>
    <w:rsid w:val="003803E6"/>
    <w:rsid w:val="003818DE"/>
    <w:rsid w:val="003835D4"/>
    <w:rsid w:val="003841B2"/>
    <w:rsid w:val="00384E72"/>
    <w:rsid w:val="00386DB1"/>
    <w:rsid w:val="0039219C"/>
    <w:rsid w:val="003921B5"/>
    <w:rsid w:val="0039264E"/>
    <w:rsid w:val="003929B1"/>
    <w:rsid w:val="00392D0E"/>
    <w:rsid w:val="0039376A"/>
    <w:rsid w:val="003943D2"/>
    <w:rsid w:val="0039587D"/>
    <w:rsid w:val="003A0D12"/>
    <w:rsid w:val="003A1E49"/>
    <w:rsid w:val="003A450A"/>
    <w:rsid w:val="003A4C17"/>
    <w:rsid w:val="003A50A1"/>
    <w:rsid w:val="003A66E4"/>
    <w:rsid w:val="003A7E02"/>
    <w:rsid w:val="003B0815"/>
    <w:rsid w:val="003B0A3D"/>
    <w:rsid w:val="003B141F"/>
    <w:rsid w:val="003B1A6E"/>
    <w:rsid w:val="003B365B"/>
    <w:rsid w:val="003B3FA4"/>
    <w:rsid w:val="003B4586"/>
    <w:rsid w:val="003B70C4"/>
    <w:rsid w:val="003B7686"/>
    <w:rsid w:val="003B7A03"/>
    <w:rsid w:val="003C02B3"/>
    <w:rsid w:val="003C03C5"/>
    <w:rsid w:val="003C03F3"/>
    <w:rsid w:val="003C0509"/>
    <w:rsid w:val="003C0A18"/>
    <w:rsid w:val="003C0C64"/>
    <w:rsid w:val="003C1B6C"/>
    <w:rsid w:val="003C2639"/>
    <w:rsid w:val="003C32D4"/>
    <w:rsid w:val="003C340F"/>
    <w:rsid w:val="003C6638"/>
    <w:rsid w:val="003C7698"/>
    <w:rsid w:val="003C77FE"/>
    <w:rsid w:val="003C7CC9"/>
    <w:rsid w:val="003D1AA5"/>
    <w:rsid w:val="003D208F"/>
    <w:rsid w:val="003D23B2"/>
    <w:rsid w:val="003D33F7"/>
    <w:rsid w:val="003D4789"/>
    <w:rsid w:val="003D5DAD"/>
    <w:rsid w:val="003D6AD7"/>
    <w:rsid w:val="003D7238"/>
    <w:rsid w:val="003D7E9B"/>
    <w:rsid w:val="003D7F5C"/>
    <w:rsid w:val="003E2244"/>
    <w:rsid w:val="003E3C7E"/>
    <w:rsid w:val="003E3F26"/>
    <w:rsid w:val="003E3FD1"/>
    <w:rsid w:val="003E4563"/>
    <w:rsid w:val="003E4B94"/>
    <w:rsid w:val="003E5BF0"/>
    <w:rsid w:val="003E63C5"/>
    <w:rsid w:val="003E6CCA"/>
    <w:rsid w:val="003E7408"/>
    <w:rsid w:val="003E7E0E"/>
    <w:rsid w:val="003F0686"/>
    <w:rsid w:val="003F0AD3"/>
    <w:rsid w:val="003F1A04"/>
    <w:rsid w:val="003F25A6"/>
    <w:rsid w:val="003F3FFC"/>
    <w:rsid w:val="003F475F"/>
    <w:rsid w:val="003F59D0"/>
    <w:rsid w:val="003F601B"/>
    <w:rsid w:val="003F6F04"/>
    <w:rsid w:val="00400B9B"/>
    <w:rsid w:val="0040176D"/>
    <w:rsid w:val="00401C41"/>
    <w:rsid w:val="00402680"/>
    <w:rsid w:val="004043B1"/>
    <w:rsid w:val="00404C9B"/>
    <w:rsid w:val="00405400"/>
    <w:rsid w:val="004067A2"/>
    <w:rsid w:val="00406A32"/>
    <w:rsid w:val="00406DBA"/>
    <w:rsid w:val="004071C9"/>
    <w:rsid w:val="004074F5"/>
    <w:rsid w:val="004105A6"/>
    <w:rsid w:val="00410BBB"/>
    <w:rsid w:val="00410E6C"/>
    <w:rsid w:val="00413143"/>
    <w:rsid w:val="00416BDA"/>
    <w:rsid w:val="00420197"/>
    <w:rsid w:val="0042124A"/>
    <w:rsid w:val="004216CE"/>
    <w:rsid w:val="00423929"/>
    <w:rsid w:val="004252EE"/>
    <w:rsid w:val="004265F6"/>
    <w:rsid w:val="00431EA1"/>
    <w:rsid w:val="00432214"/>
    <w:rsid w:val="00432258"/>
    <w:rsid w:val="00432AEE"/>
    <w:rsid w:val="0043348E"/>
    <w:rsid w:val="004345CB"/>
    <w:rsid w:val="004354A1"/>
    <w:rsid w:val="0043658B"/>
    <w:rsid w:val="0043738A"/>
    <w:rsid w:val="00442587"/>
    <w:rsid w:val="004433C6"/>
    <w:rsid w:val="00443AED"/>
    <w:rsid w:val="00443D6D"/>
    <w:rsid w:val="00444090"/>
    <w:rsid w:val="00444BC5"/>
    <w:rsid w:val="00444D23"/>
    <w:rsid w:val="0044516F"/>
    <w:rsid w:val="0044521A"/>
    <w:rsid w:val="00446424"/>
    <w:rsid w:val="0045049F"/>
    <w:rsid w:val="004544CC"/>
    <w:rsid w:val="00454572"/>
    <w:rsid w:val="00454CB2"/>
    <w:rsid w:val="00455381"/>
    <w:rsid w:val="00455A73"/>
    <w:rsid w:val="00456FFA"/>
    <w:rsid w:val="00460576"/>
    <w:rsid w:val="0046136D"/>
    <w:rsid w:val="00462722"/>
    <w:rsid w:val="00466A7F"/>
    <w:rsid w:val="004713EB"/>
    <w:rsid w:val="00471F64"/>
    <w:rsid w:val="00473563"/>
    <w:rsid w:val="004735FE"/>
    <w:rsid w:val="0047511B"/>
    <w:rsid w:val="00476587"/>
    <w:rsid w:val="004769F2"/>
    <w:rsid w:val="00477260"/>
    <w:rsid w:val="00477B44"/>
    <w:rsid w:val="004804AD"/>
    <w:rsid w:val="00480961"/>
    <w:rsid w:val="004819CC"/>
    <w:rsid w:val="004819F6"/>
    <w:rsid w:val="00481D2A"/>
    <w:rsid w:val="00481D73"/>
    <w:rsid w:val="00484A29"/>
    <w:rsid w:val="00484D28"/>
    <w:rsid w:val="00485BFA"/>
    <w:rsid w:val="00486BD6"/>
    <w:rsid w:val="00486C71"/>
    <w:rsid w:val="0048737E"/>
    <w:rsid w:val="004873CA"/>
    <w:rsid w:val="004910BA"/>
    <w:rsid w:val="004929BC"/>
    <w:rsid w:val="00492DF0"/>
    <w:rsid w:val="00493194"/>
    <w:rsid w:val="00493E51"/>
    <w:rsid w:val="00493F29"/>
    <w:rsid w:val="00494412"/>
    <w:rsid w:val="0049510B"/>
    <w:rsid w:val="00495D0F"/>
    <w:rsid w:val="004977B7"/>
    <w:rsid w:val="0049787D"/>
    <w:rsid w:val="004A06A3"/>
    <w:rsid w:val="004A08AB"/>
    <w:rsid w:val="004A0E22"/>
    <w:rsid w:val="004A2F06"/>
    <w:rsid w:val="004A331B"/>
    <w:rsid w:val="004A5C08"/>
    <w:rsid w:val="004A5C2B"/>
    <w:rsid w:val="004A68AA"/>
    <w:rsid w:val="004B05A3"/>
    <w:rsid w:val="004B0667"/>
    <w:rsid w:val="004B09F3"/>
    <w:rsid w:val="004B1A54"/>
    <w:rsid w:val="004B40F0"/>
    <w:rsid w:val="004B5248"/>
    <w:rsid w:val="004B724F"/>
    <w:rsid w:val="004C09AA"/>
    <w:rsid w:val="004C2B39"/>
    <w:rsid w:val="004C38B4"/>
    <w:rsid w:val="004C4011"/>
    <w:rsid w:val="004C4AF9"/>
    <w:rsid w:val="004C4DFB"/>
    <w:rsid w:val="004C6E18"/>
    <w:rsid w:val="004C7EFB"/>
    <w:rsid w:val="004D0257"/>
    <w:rsid w:val="004D1A77"/>
    <w:rsid w:val="004D2316"/>
    <w:rsid w:val="004D51FB"/>
    <w:rsid w:val="004D553B"/>
    <w:rsid w:val="004D751D"/>
    <w:rsid w:val="004E28CD"/>
    <w:rsid w:val="004E43F9"/>
    <w:rsid w:val="004E5BAA"/>
    <w:rsid w:val="004E6A7D"/>
    <w:rsid w:val="004E755F"/>
    <w:rsid w:val="004E7808"/>
    <w:rsid w:val="004F0FE6"/>
    <w:rsid w:val="004F1E65"/>
    <w:rsid w:val="004F26A0"/>
    <w:rsid w:val="004F30A5"/>
    <w:rsid w:val="004F5354"/>
    <w:rsid w:val="004F7649"/>
    <w:rsid w:val="004F794C"/>
    <w:rsid w:val="004F7B92"/>
    <w:rsid w:val="00500161"/>
    <w:rsid w:val="0050150E"/>
    <w:rsid w:val="00502925"/>
    <w:rsid w:val="005034EC"/>
    <w:rsid w:val="00504562"/>
    <w:rsid w:val="00504670"/>
    <w:rsid w:val="00505FF0"/>
    <w:rsid w:val="00506D7E"/>
    <w:rsid w:val="00507F16"/>
    <w:rsid w:val="00511116"/>
    <w:rsid w:val="005111EE"/>
    <w:rsid w:val="005138F7"/>
    <w:rsid w:val="005163F1"/>
    <w:rsid w:val="005163FD"/>
    <w:rsid w:val="00516CE4"/>
    <w:rsid w:val="005173BC"/>
    <w:rsid w:val="00522550"/>
    <w:rsid w:val="00523350"/>
    <w:rsid w:val="00524C21"/>
    <w:rsid w:val="00525DCF"/>
    <w:rsid w:val="00526558"/>
    <w:rsid w:val="00527EAA"/>
    <w:rsid w:val="00530392"/>
    <w:rsid w:val="00531638"/>
    <w:rsid w:val="00531ABC"/>
    <w:rsid w:val="00531F82"/>
    <w:rsid w:val="005326E3"/>
    <w:rsid w:val="00533A28"/>
    <w:rsid w:val="00535F03"/>
    <w:rsid w:val="005375E6"/>
    <w:rsid w:val="00537795"/>
    <w:rsid w:val="005417AE"/>
    <w:rsid w:val="00541D5F"/>
    <w:rsid w:val="00541F8A"/>
    <w:rsid w:val="00542232"/>
    <w:rsid w:val="00542F69"/>
    <w:rsid w:val="0054346E"/>
    <w:rsid w:val="00545E0B"/>
    <w:rsid w:val="00545EE6"/>
    <w:rsid w:val="00547154"/>
    <w:rsid w:val="00551874"/>
    <w:rsid w:val="00551B36"/>
    <w:rsid w:val="005520BF"/>
    <w:rsid w:val="00552978"/>
    <w:rsid w:val="00552C80"/>
    <w:rsid w:val="00553190"/>
    <w:rsid w:val="00555905"/>
    <w:rsid w:val="00555C17"/>
    <w:rsid w:val="00557446"/>
    <w:rsid w:val="00557C39"/>
    <w:rsid w:val="0056042F"/>
    <w:rsid w:val="00561398"/>
    <w:rsid w:val="005634AF"/>
    <w:rsid w:val="0056467F"/>
    <w:rsid w:val="00567560"/>
    <w:rsid w:val="00567D6D"/>
    <w:rsid w:val="00571A79"/>
    <w:rsid w:val="005720C9"/>
    <w:rsid w:val="00573EB4"/>
    <w:rsid w:val="0057436C"/>
    <w:rsid w:val="00574A6D"/>
    <w:rsid w:val="00575034"/>
    <w:rsid w:val="00575E67"/>
    <w:rsid w:val="00576297"/>
    <w:rsid w:val="00577164"/>
    <w:rsid w:val="005773B0"/>
    <w:rsid w:val="00577418"/>
    <w:rsid w:val="005774EC"/>
    <w:rsid w:val="00580C2C"/>
    <w:rsid w:val="00581A42"/>
    <w:rsid w:val="00582506"/>
    <w:rsid w:val="00585931"/>
    <w:rsid w:val="00586BF1"/>
    <w:rsid w:val="005904B2"/>
    <w:rsid w:val="00593B08"/>
    <w:rsid w:val="00595278"/>
    <w:rsid w:val="0059564F"/>
    <w:rsid w:val="00596087"/>
    <w:rsid w:val="005960ED"/>
    <w:rsid w:val="0059648E"/>
    <w:rsid w:val="00596F10"/>
    <w:rsid w:val="00597743"/>
    <w:rsid w:val="00597E71"/>
    <w:rsid w:val="005A3742"/>
    <w:rsid w:val="005A3930"/>
    <w:rsid w:val="005A4D5C"/>
    <w:rsid w:val="005A64BC"/>
    <w:rsid w:val="005B045F"/>
    <w:rsid w:val="005B3323"/>
    <w:rsid w:val="005B4FE4"/>
    <w:rsid w:val="005B5690"/>
    <w:rsid w:val="005C023B"/>
    <w:rsid w:val="005C0412"/>
    <w:rsid w:val="005C18EE"/>
    <w:rsid w:val="005C2AC7"/>
    <w:rsid w:val="005C2E45"/>
    <w:rsid w:val="005C363E"/>
    <w:rsid w:val="005C5C68"/>
    <w:rsid w:val="005C5E05"/>
    <w:rsid w:val="005C632C"/>
    <w:rsid w:val="005C6EDA"/>
    <w:rsid w:val="005D00D7"/>
    <w:rsid w:val="005D1255"/>
    <w:rsid w:val="005D254A"/>
    <w:rsid w:val="005D3C3F"/>
    <w:rsid w:val="005E0A1C"/>
    <w:rsid w:val="005E133A"/>
    <w:rsid w:val="005E2005"/>
    <w:rsid w:val="005E3057"/>
    <w:rsid w:val="005E618F"/>
    <w:rsid w:val="005E73A7"/>
    <w:rsid w:val="005E7CBA"/>
    <w:rsid w:val="005F0891"/>
    <w:rsid w:val="005F0EA2"/>
    <w:rsid w:val="005F2944"/>
    <w:rsid w:val="005F2B54"/>
    <w:rsid w:val="005F2C00"/>
    <w:rsid w:val="005F31E1"/>
    <w:rsid w:val="005F3659"/>
    <w:rsid w:val="005F3B6F"/>
    <w:rsid w:val="005F52F6"/>
    <w:rsid w:val="005F561C"/>
    <w:rsid w:val="005F5857"/>
    <w:rsid w:val="005F65A4"/>
    <w:rsid w:val="005F71B4"/>
    <w:rsid w:val="005F78CC"/>
    <w:rsid w:val="005F79BF"/>
    <w:rsid w:val="00601116"/>
    <w:rsid w:val="0060114B"/>
    <w:rsid w:val="0060117D"/>
    <w:rsid w:val="006011E7"/>
    <w:rsid w:val="00601E4E"/>
    <w:rsid w:val="006030F5"/>
    <w:rsid w:val="0060352C"/>
    <w:rsid w:val="0060467C"/>
    <w:rsid w:val="00605F0D"/>
    <w:rsid w:val="0060619D"/>
    <w:rsid w:val="00606CB3"/>
    <w:rsid w:val="00607888"/>
    <w:rsid w:val="006102F1"/>
    <w:rsid w:val="00610AE3"/>
    <w:rsid w:val="006111E6"/>
    <w:rsid w:val="00614569"/>
    <w:rsid w:val="00616739"/>
    <w:rsid w:val="00616928"/>
    <w:rsid w:val="00620152"/>
    <w:rsid w:val="006211BB"/>
    <w:rsid w:val="006215E8"/>
    <w:rsid w:val="00621AE8"/>
    <w:rsid w:val="00621EFB"/>
    <w:rsid w:val="00622C09"/>
    <w:rsid w:val="00623219"/>
    <w:rsid w:val="00623DB8"/>
    <w:rsid w:val="00624D34"/>
    <w:rsid w:val="006253D9"/>
    <w:rsid w:val="0062678B"/>
    <w:rsid w:val="00626ADE"/>
    <w:rsid w:val="006270B8"/>
    <w:rsid w:val="0062782C"/>
    <w:rsid w:val="006314E3"/>
    <w:rsid w:val="00631A9B"/>
    <w:rsid w:val="00632DA4"/>
    <w:rsid w:val="00633F12"/>
    <w:rsid w:val="00634DA9"/>
    <w:rsid w:val="00635BD8"/>
    <w:rsid w:val="00635D42"/>
    <w:rsid w:val="00642515"/>
    <w:rsid w:val="00642FA9"/>
    <w:rsid w:val="00643A43"/>
    <w:rsid w:val="0064416C"/>
    <w:rsid w:val="0064449F"/>
    <w:rsid w:val="00644E31"/>
    <w:rsid w:val="00647381"/>
    <w:rsid w:val="00647E72"/>
    <w:rsid w:val="00650038"/>
    <w:rsid w:val="00651A85"/>
    <w:rsid w:val="00652D1F"/>
    <w:rsid w:val="00652D99"/>
    <w:rsid w:val="0065372C"/>
    <w:rsid w:val="00653803"/>
    <w:rsid w:val="006540F3"/>
    <w:rsid w:val="00654BB2"/>
    <w:rsid w:val="00656D2A"/>
    <w:rsid w:val="0065734D"/>
    <w:rsid w:val="00663442"/>
    <w:rsid w:val="00663DFB"/>
    <w:rsid w:val="006663D0"/>
    <w:rsid w:val="00667132"/>
    <w:rsid w:val="006701B9"/>
    <w:rsid w:val="006709E8"/>
    <w:rsid w:val="006727D0"/>
    <w:rsid w:val="0067356C"/>
    <w:rsid w:val="006736F7"/>
    <w:rsid w:val="006753C4"/>
    <w:rsid w:val="0067656C"/>
    <w:rsid w:val="00677440"/>
    <w:rsid w:val="0068079B"/>
    <w:rsid w:val="00682821"/>
    <w:rsid w:val="00686C25"/>
    <w:rsid w:val="00686E8E"/>
    <w:rsid w:val="00687625"/>
    <w:rsid w:val="00687D3B"/>
    <w:rsid w:val="00687F2E"/>
    <w:rsid w:val="00690312"/>
    <w:rsid w:val="00690728"/>
    <w:rsid w:val="006920FA"/>
    <w:rsid w:val="006926CE"/>
    <w:rsid w:val="00692BC9"/>
    <w:rsid w:val="00693A0E"/>
    <w:rsid w:val="00694CD8"/>
    <w:rsid w:val="00695375"/>
    <w:rsid w:val="0069593E"/>
    <w:rsid w:val="006A017D"/>
    <w:rsid w:val="006A4E4A"/>
    <w:rsid w:val="006A72FF"/>
    <w:rsid w:val="006B0175"/>
    <w:rsid w:val="006B16E5"/>
    <w:rsid w:val="006B2EC9"/>
    <w:rsid w:val="006B3451"/>
    <w:rsid w:val="006B59C3"/>
    <w:rsid w:val="006B78A1"/>
    <w:rsid w:val="006B7AEA"/>
    <w:rsid w:val="006C00CE"/>
    <w:rsid w:val="006C09CE"/>
    <w:rsid w:val="006C0E58"/>
    <w:rsid w:val="006C0E5D"/>
    <w:rsid w:val="006C31EB"/>
    <w:rsid w:val="006C3C9B"/>
    <w:rsid w:val="006C40FF"/>
    <w:rsid w:val="006C4911"/>
    <w:rsid w:val="006C73CD"/>
    <w:rsid w:val="006C7BD5"/>
    <w:rsid w:val="006D2348"/>
    <w:rsid w:val="006D253C"/>
    <w:rsid w:val="006D2654"/>
    <w:rsid w:val="006D5E7D"/>
    <w:rsid w:val="006D617B"/>
    <w:rsid w:val="006D73EB"/>
    <w:rsid w:val="006D7E47"/>
    <w:rsid w:val="006E0B7D"/>
    <w:rsid w:val="006E7392"/>
    <w:rsid w:val="006F2538"/>
    <w:rsid w:val="006F5411"/>
    <w:rsid w:val="006F648F"/>
    <w:rsid w:val="006F7156"/>
    <w:rsid w:val="006F7665"/>
    <w:rsid w:val="006F7CF1"/>
    <w:rsid w:val="00700F0F"/>
    <w:rsid w:val="007025A7"/>
    <w:rsid w:val="007028F2"/>
    <w:rsid w:val="00702C9C"/>
    <w:rsid w:val="007040A3"/>
    <w:rsid w:val="007049E3"/>
    <w:rsid w:val="007054C8"/>
    <w:rsid w:val="00705852"/>
    <w:rsid w:val="00706BD0"/>
    <w:rsid w:val="00707E21"/>
    <w:rsid w:val="00710671"/>
    <w:rsid w:val="00710D6B"/>
    <w:rsid w:val="00710F01"/>
    <w:rsid w:val="00711119"/>
    <w:rsid w:val="00711671"/>
    <w:rsid w:val="0071547E"/>
    <w:rsid w:val="00715DA2"/>
    <w:rsid w:val="007168F0"/>
    <w:rsid w:val="00716C28"/>
    <w:rsid w:val="007210AA"/>
    <w:rsid w:val="00721EC0"/>
    <w:rsid w:val="00722D17"/>
    <w:rsid w:val="00722DD2"/>
    <w:rsid w:val="00722EAA"/>
    <w:rsid w:val="0072343E"/>
    <w:rsid w:val="00724283"/>
    <w:rsid w:val="00725A06"/>
    <w:rsid w:val="00726703"/>
    <w:rsid w:val="0073010C"/>
    <w:rsid w:val="00731C8B"/>
    <w:rsid w:val="00732268"/>
    <w:rsid w:val="0073351B"/>
    <w:rsid w:val="007338CC"/>
    <w:rsid w:val="00735807"/>
    <w:rsid w:val="00735946"/>
    <w:rsid w:val="00736D35"/>
    <w:rsid w:val="00736DF0"/>
    <w:rsid w:val="00737E45"/>
    <w:rsid w:val="0074077D"/>
    <w:rsid w:val="007428CF"/>
    <w:rsid w:val="0074543C"/>
    <w:rsid w:val="00745578"/>
    <w:rsid w:val="00745DB6"/>
    <w:rsid w:val="00745ECE"/>
    <w:rsid w:val="007473D3"/>
    <w:rsid w:val="00750D27"/>
    <w:rsid w:val="00751CF8"/>
    <w:rsid w:val="00753548"/>
    <w:rsid w:val="00753ED2"/>
    <w:rsid w:val="007549FB"/>
    <w:rsid w:val="00756554"/>
    <w:rsid w:val="007574A2"/>
    <w:rsid w:val="00760227"/>
    <w:rsid w:val="007608A0"/>
    <w:rsid w:val="0076104E"/>
    <w:rsid w:val="00761E34"/>
    <w:rsid w:val="00762AF1"/>
    <w:rsid w:val="00763289"/>
    <w:rsid w:val="00764449"/>
    <w:rsid w:val="00767399"/>
    <w:rsid w:val="00770F0F"/>
    <w:rsid w:val="00771C59"/>
    <w:rsid w:val="007730C2"/>
    <w:rsid w:val="0077442B"/>
    <w:rsid w:val="007751BC"/>
    <w:rsid w:val="00777327"/>
    <w:rsid w:val="00777EFF"/>
    <w:rsid w:val="00783C11"/>
    <w:rsid w:val="0078513D"/>
    <w:rsid w:val="0078634C"/>
    <w:rsid w:val="0078771D"/>
    <w:rsid w:val="00790117"/>
    <w:rsid w:val="007911AF"/>
    <w:rsid w:val="00792CEC"/>
    <w:rsid w:val="00792EF1"/>
    <w:rsid w:val="007932E5"/>
    <w:rsid w:val="00793B88"/>
    <w:rsid w:val="00793F14"/>
    <w:rsid w:val="00794AAD"/>
    <w:rsid w:val="00796AE9"/>
    <w:rsid w:val="007A0193"/>
    <w:rsid w:val="007A0985"/>
    <w:rsid w:val="007A0CDA"/>
    <w:rsid w:val="007A1040"/>
    <w:rsid w:val="007A1E5B"/>
    <w:rsid w:val="007A34FF"/>
    <w:rsid w:val="007A441B"/>
    <w:rsid w:val="007A51A9"/>
    <w:rsid w:val="007A6280"/>
    <w:rsid w:val="007A68E4"/>
    <w:rsid w:val="007A7063"/>
    <w:rsid w:val="007A7A7B"/>
    <w:rsid w:val="007B2CB9"/>
    <w:rsid w:val="007B32D9"/>
    <w:rsid w:val="007B3BFC"/>
    <w:rsid w:val="007B576F"/>
    <w:rsid w:val="007C1DF3"/>
    <w:rsid w:val="007C347B"/>
    <w:rsid w:val="007C42EB"/>
    <w:rsid w:val="007C6D14"/>
    <w:rsid w:val="007C6F83"/>
    <w:rsid w:val="007C784B"/>
    <w:rsid w:val="007D3EDE"/>
    <w:rsid w:val="007D4ECC"/>
    <w:rsid w:val="007D5EFF"/>
    <w:rsid w:val="007D6070"/>
    <w:rsid w:val="007D6A40"/>
    <w:rsid w:val="007D6DC4"/>
    <w:rsid w:val="007E3C27"/>
    <w:rsid w:val="007E4927"/>
    <w:rsid w:val="007E4D4E"/>
    <w:rsid w:val="007E613C"/>
    <w:rsid w:val="007E6B4F"/>
    <w:rsid w:val="007E6CC9"/>
    <w:rsid w:val="007E76F9"/>
    <w:rsid w:val="007F0115"/>
    <w:rsid w:val="007F0AAE"/>
    <w:rsid w:val="007F1304"/>
    <w:rsid w:val="007F2ADA"/>
    <w:rsid w:val="007F2D23"/>
    <w:rsid w:val="007F2FF1"/>
    <w:rsid w:val="007F59BF"/>
    <w:rsid w:val="007F5BFD"/>
    <w:rsid w:val="007F6B88"/>
    <w:rsid w:val="00800408"/>
    <w:rsid w:val="0080315C"/>
    <w:rsid w:val="00804021"/>
    <w:rsid w:val="008048CC"/>
    <w:rsid w:val="00805158"/>
    <w:rsid w:val="00805675"/>
    <w:rsid w:val="008066A7"/>
    <w:rsid w:val="008075BB"/>
    <w:rsid w:val="008106F8"/>
    <w:rsid w:val="008108CF"/>
    <w:rsid w:val="00811754"/>
    <w:rsid w:val="008117D2"/>
    <w:rsid w:val="008124CB"/>
    <w:rsid w:val="00812E13"/>
    <w:rsid w:val="008131EE"/>
    <w:rsid w:val="0081536B"/>
    <w:rsid w:val="008169A8"/>
    <w:rsid w:val="00816B7A"/>
    <w:rsid w:val="008177E0"/>
    <w:rsid w:val="008206C8"/>
    <w:rsid w:val="00821F17"/>
    <w:rsid w:val="008230F0"/>
    <w:rsid w:val="00823F98"/>
    <w:rsid w:val="00824755"/>
    <w:rsid w:val="00825C8B"/>
    <w:rsid w:val="00826544"/>
    <w:rsid w:val="00830549"/>
    <w:rsid w:val="0083058C"/>
    <w:rsid w:val="00830710"/>
    <w:rsid w:val="00831489"/>
    <w:rsid w:val="00833951"/>
    <w:rsid w:val="00834C64"/>
    <w:rsid w:val="008357BC"/>
    <w:rsid w:val="00836E4F"/>
    <w:rsid w:val="00840E78"/>
    <w:rsid w:val="00840F4E"/>
    <w:rsid w:val="00841D05"/>
    <w:rsid w:val="00842EDA"/>
    <w:rsid w:val="0084332D"/>
    <w:rsid w:val="0084351D"/>
    <w:rsid w:val="00843799"/>
    <w:rsid w:val="00844DD2"/>
    <w:rsid w:val="008461A1"/>
    <w:rsid w:val="008462AB"/>
    <w:rsid w:val="008476BC"/>
    <w:rsid w:val="00850EF2"/>
    <w:rsid w:val="00851290"/>
    <w:rsid w:val="00853D79"/>
    <w:rsid w:val="00854B75"/>
    <w:rsid w:val="008559D4"/>
    <w:rsid w:val="00855CC8"/>
    <w:rsid w:val="008570AE"/>
    <w:rsid w:val="008605F4"/>
    <w:rsid w:val="00862724"/>
    <w:rsid w:val="00863B4F"/>
    <w:rsid w:val="0086499A"/>
    <w:rsid w:val="00864DFF"/>
    <w:rsid w:val="00865584"/>
    <w:rsid w:val="00865BA0"/>
    <w:rsid w:val="00865D84"/>
    <w:rsid w:val="00866462"/>
    <w:rsid w:val="00870190"/>
    <w:rsid w:val="00871385"/>
    <w:rsid w:val="00871BAE"/>
    <w:rsid w:val="008723A0"/>
    <w:rsid w:val="0087461F"/>
    <w:rsid w:val="0087687A"/>
    <w:rsid w:val="00881776"/>
    <w:rsid w:val="00883EED"/>
    <w:rsid w:val="00884573"/>
    <w:rsid w:val="008845A6"/>
    <w:rsid w:val="008852BB"/>
    <w:rsid w:val="00885698"/>
    <w:rsid w:val="00886AB7"/>
    <w:rsid w:val="00886C73"/>
    <w:rsid w:val="00886D51"/>
    <w:rsid w:val="008873D1"/>
    <w:rsid w:val="008878F5"/>
    <w:rsid w:val="00887928"/>
    <w:rsid w:val="00887DF1"/>
    <w:rsid w:val="008915CA"/>
    <w:rsid w:val="0089293A"/>
    <w:rsid w:val="00896563"/>
    <w:rsid w:val="008966DB"/>
    <w:rsid w:val="008A06AB"/>
    <w:rsid w:val="008A1D69"/>
    <w:rsid w:val="008A25DB"/>
    <w:rsid w:val="008A2D21"/>
    <w:rsid w:val="008A3C33"/>
    <w:rsid w:val="008A543D"/>
    <w:rsid w:val="008A6AA7"/>
    <w:rsid w:val="008A7897"/>
    <w:rsid w:val="008B048F"/>
    <w:rsid w:val="008B128E"/>
    <w:rsid w:val="008B23A6"/>
    <w:rsid w:val="008B30C3"/>
    <w:rsid w:val="008B436F"/>
    <w:rsid w:val="008B4B70"/>
    <w:rsid w:val="008B5065"/>
    <w:rsid w:val="008B59BA"/>
    <w:rsid w:val="008B6CC3"/>
    <w:rsid w:val="008C0CD6"/>
    <w:rsid w:val="008C1403"/>
    <w:rsid w:val="008C1578"/>
    <w:rsid w:val="008C15A3"/>
    <w:rsid w:val="008C3164"/>
    <w:rsid w:val="008C338F"/>
    <w:rsid w:val="008C4D34"/>
    <w:rsid w:val="008C64C8"/>
    <w:rsid w:val="008C6E51"/>
    <w:rsid w:val="008C7872"/>
    <w:rsid w:val="008D044F"/>
    <w:rsid w:val="008D21F6"/>
    <w:rsid w:val="008D2A7D"/>
    <w:rsid w:val="008D2D3E"/>
    <w:rsid w:val="008D3751"/>
    <w:rsid w:val="008D49F4"/>
    <w:rsid w:val="008D516B"/>
    <w:rsid w:val="008D6231"/>
    <w:rsid w:val="008D7951"/>
    <w:rsid w:val="008E24A5"/>
    <w:rsid w:val="008E41F4"/>
    <w:rsid w:val="008E4FAE"/>
    <w:rsid w:val="008E54DA"/>
    <w:rsid w:val="008E5BB9"/>
    <w:rsid w:val="008E7414"/>
    <w:rsid w:val="008E7E33"/>
    <w:rsid w:val="008F023D"/>
    <w:rsid w:val="008F046D"/>
    <w:rsid w:val="008F24D1"/>
    <w:rsid w:val="008F269F"/>
    <w:rsid w:val="008F33D4"/>
    <w:rsid w:val="008F3BDE"/>
    <w:rsid w:val="008F4DE4"/>
    <w:rsid w:val="008F642A"/>
    <w:rsid w:val="0090060B"/>
    <w:rsid w:val="00900B75"/>
    <w:rsid w:val="0090196D"/>
    <w:rsid w:val="00901F57"/>
    <w:rsid w:val="00902F18"/>
    <w:rsid w:val="00904166"/>
    <w:rsid w:val="00905A65"/>
    <w:rsid w:val="00906128"/>
    <w:rsid w:val="00907A21"/>
    <w:rsid w:val="00907BDC"/>
    <w:rsid w:val="00911046"/>
    <w:rsid w:val="00911306"/>
    <w:rsid w:val="00911A5F"/>
    <w:rsid w:val="009126A3"/>
    <w:rsid w:val="009128D0"/>
    <w:rsid w:val="009129FB"/>
    <w:rsid w:val="00913928"/>
    <w:rsid w:val="0091585D"/>
    <w:rsid w:val="00915C39"/>
    <w:rsid w:val="00916198"/>
    <w:rsid w:val="00916AC1"/>
    <w:rsid w:val="00916E43"/>
    <w:rsid w:val="00916F64"/>
    <w:rsid w:val="00917951"/>
    <w:rsid w:val="0092174C"/>
    <w:rsid w:val="009218D1"/>
    <w:rsid w:val="00922610"/>
    <w:rsid w:val="00922982"/>
    <w:rsid w:val="00923CA3"/>
    <w:rsid w:val="0092660D"/>
    <w:rsid w:val="00933929"/>
    <w:rsid w:val="00933AD7"/>
    <w:rsid w:val="00933CB9"/>
    <w:rsid w:val="00934D1C"/>
    <w:rsid w:val="00935AEC"/>
    <w:rsid w:val="00937208"/>
    <w:rsid w:val="00937B82"/>
    <w:rsid w:val="009423C9"/>
    <w:rsid w:val="00942857"/>
    <w:rsid w:val="00942F7A"/>
    <w:rsid w:val="00943D83"/>
    <w:rsid w:val="00944A1E"/>
    <w:rsid w:val="00944BCB"/>
    <w:rsid w:val="00946B84"/>
    <w:rsid w:val="00950DEB"/>
    <w:rsid w:val="009522A3"/>
    <w:rsid w:val="0095313C"/>
    <w:rsid w:val="00954E54"/>
    <w:rsid w:val="00960B26"/>
    <w:rsid w:val="009627EC"/>
    <w:rsid w:val="0096333B"/>
    <w:rsid w:val="009633FE"/>
    <w:rsid w:val="009634FD"/>
    <w:rsid w:val="009637DC"/>
    <w:rsid w:val="00963AC9"/>
    <w:rsid w:val="00963C79"/>
    <w:rsid w:val="00966990"/>
    <w:rsid w:val="00967193"/>
    <w:rsid w:val="009679D2"/>
    <w:rsid w:val="00967BFF"/>
    <w:rsid w:val="009701EB"/>
    <w:rsid w:val="00972D9F"/>
    <w:rsid w:val="0097369E"/>
    <w:rsid w:val="009740EB"/>
    <w:rsid w:val="009750A3"/>
    <w:rsid w:val="009766A7"/>
    <w:rsid w:val="00976E47"/>
    <w:rsid w:val="00976E59"/>
    <w:rsid w:val="0098256A"/>
    <w:rsid w:val="009828C1"/>
    <w:rsid w:val="009837B7"/>
    <w:rsid w:val="0098583B"/>
    <w:rsid w:val="0098584F"/>
    <w:rsid w:val="00985A01"/>
    <w:rsid w:val="00992B74"/>
    <w:rsid w:val="00992BCC"/>
    <w:rsid w:val="00993676"/>
    <w:rsid w:val="009943DB"/>
    <w:rsid w:val="0099469A"/>
    <w:rsid w:val="0099572F"/>
    <w:rsid w:val="009957CA"/>
    <w:rsid w:val="0099649A"/>
    <w:rsid w:val="009968D7"/>
    <w:rsid w:val="009968DE"/>
    <w:rsid w:val="0099745C"/>
    <w:rsid w:val="009A12E8"/>
    <w:rsid w:val="009A1465"/>
    <w:rsid w:val="009A278C"/>
    <w:rsid w:val="009A2F1F"/>
    <w:rsid w:val="009A34E7"/>
    <w:rsid w:val="009A3D60"/>
    <w:rsid w:val="009A497A"/>
    <w:rsid w:val="009A6620"/>
    <w:rsid w:val="009A70F9"/>
    <w:rsid w:val="009B0070"/>
    <w:rsid w:val="009B058F"/>
    <w:rsid w:val="009B0DAC"/>
    <w:rsid w:val="009B272B"/>
    <w:rsid w:val="009B2DE9"/>
    <w:rsid w:val="009B3319"/>
    <w:rsid w:val="009B75D4"/>
    <w:rsid w:val="009B79B3"/>
    <w:rsid w:val="009B7AB0"/>
    <w:rsid w:val="009C000A"/>
    <w:rsid w:val="009C05AD"/>
    <w:rsid w:val="009C0AF9"/>
    <w:rsid w:val="009C0BF4"/>
    <w:rsid w:val="009C1570"/>
    <w:rsid w:val="009C2AF1"/>
    <w:rsid w:val="009C5AAE"/>
    <w:rsid w:val="009D074F"/>
    <w:rsid w:val="009D1CD3"/>
    <w:rsid w:val="009D4791"/>
    <w:rsid w:val="009D486A"/>
    <w:rsid w:val="009D4B29"/>
    <w:rsid w:val="009D69B2"/>
    <w:rsid w:val="009D7071"/>
    <w:rsid w:val="009D750F"/>
    <w:rsid w:val="009E00A2"/>
    <w:rsid w:val="009E16A4"/>
    <w:rsid w:val="009E17D5"/>
    <w:rsid w:val="009E2E28"/>
    <w:rsid w:val="009E389D"/>
    <w:rsid w:val="009E45F1"/>
    <w:rsid w:val="009E50A2"/>
    <w:rsid w:val="009E52FF"/>
    <w:rsid w:val="009E61B5"/>
    <w:rsid w:val="009E6C85"/>
    <w:rsid w:val="009F0543"/>
    <w:rsid w:val="009F139F"/>
    <w:rsid w:val="009F1C2C"/>
    <w:rsid w:val="009F2715"/>
    <w:rsid w:val="009F3DDD"/>
    <w:rsid w:val="009F54EF"/>
    <w:rsid w:val="009F6CFD"/>
    <w:rsid w:val="009F6E60"/>
    <w:rsid w:val="00A0446D"/>
    <w:rsid w:val="00A04DB9"/>
    <w:rsid w:val="00A04F1E"/>
    <w:rsid w:val="00A057F2"/>
    <w:rsid w:val="00A10D54"/>
    <w:rsid w:val="00A12018"/>
    <w:rsid w:val="00A13925"/>
    <w:rsid w:val="00A13AB3"/>
    <w:rsid w:val="00A13F80"/>
    <w:rsid w:val="00A146C6"/>
    <w:rsid w:val="00A15251"/>
    <w:rsid w:val="00A16252"/>
    <w:rsid w:val="00A16763"/>
    <w:rsid w:val="00A17630"/>
    <w:rsid w:val="00A17BF4"/>
    <w:rsid w:val="00A20ADE"/>
    <w:rsid w:val="00A2130A"/>
    <w:rsid w:val="00A22089"/>
    <w:rsid w:val="00A23689"/>
    <w:rsid w:val="00A247C6"/>
    <w:rsid w:val="00A24A06"/>
    <w:rsid w:val="00A26A43"/>
    <w:rsid w:val="00A271B5"/>
    <w:rsid w:val="00A30AC4"/>
    <w:rsid w:val="00A32016"/>
    <w:rsid w:val="00A32507"/>
    <w:rsid w:val="00A341BB"/>
    <w:rsid w:val="00A35C18"/>
    <w:rsid w:val="00A3661B"/>
    <w:rsid w:val="00A36BA4"/>
    <w:rsid w:val="00A37A4E"/>
    <w:rsid w:val="00A40708"/>
    <w:rsid w:val="00A4115B"/>
    <w:rsid w:val="00A41824"/>
    <w:rsid w:val="00A42A76"/>
    <w:rsid w:val="00A433E0"/>
    <w:rsid w:val="00A45EC9"/>
    <w:rsid w:val="00A473E4"/>
    <w:rsid w:val="00A47E16"/>
    <w:rsid w:val="00A508E8"/>
    <w:rsid w:val="00A52ACA"/>
    <w:rsid w:val="00A53E8F"/>
    <w:rsid w:val="00A54F04"/>
    <w:rsid w:val="00A5636E"/>
    <w:rsid w:val="00A56930"/>
    <w:rsid w:val="00A601B5"/>
    <w:rsid w:val="00A613C3"/>
    <w:rsid w:val="00A61ADD"/>
    <w:rsid w:val="00A61AED"/>
    <w:rsid w:val="00A62012"/>
    <w:rsid w:val="00A62505"/>
    <w:rsid w:val="00A62E5F"/>
    <w:rsid w:val="00A62F1B"/>
    <w:rsid w:val="00A65DF5"/>
    <w:rsid w:val="00A66A63"/>
    <w:rsid w:val="00A66EA8"/>
    <w:rsid w:val="00A6799D"/>
    <w:rsid w:val="00A70080"/>
    <w:rsid w:val="00A708C1"/>
    <w:rsid w:val="00A70E0B"/>
    <w:rsid w:val="00A72A2B"/>
    <w:rsid w:val="00A72C47"/>
    <w:rsid w:val="00A74E86"/>
    <w:rsid w:val="00A775BF"/>
    <w:rsid w:val="00A801F2"/>
    <w:rsid w:val="00A827CB"/>
    <w:rsid w:val="00A84EA6"/>
    <w:rsid w:val="00A8541E"/>
    <w:rsid w:val="00A854FA"/>
    <w:rsid w:val="00A85814"/>
    <w:rsid w:val="00A86A07"/>
    <w:rsid w:val="00A86A11"/>
    <w:rsid w:val="00A86D2A"/>
    <w:rsid w:val="00A873B1"/>
    <w:rsid w:val="00A87552"/>
    <w:rsid w:val="00A903F3"/>
    <w:rsid w:val="00A90A97"/>
    <w:rsid w:val="00A921AB"/>
    <w:rsid w:val="00A924BE"/>
    <w:rsid w:val="00A931B5"/>
    <w:rsid w:val="00A93364"/>
    <w:rsid w:val="00A94DD8"/>
    <w:rsid w:val="00AA18DC"/>
    <w:rsid w:val="00AA1A7E"/>
    <w:rsid w:val="00AA306F"/>
    <w:rsid w:val="00AA385F"/>
    <w:rsid w:val="00AA4C62"/>
    <w:rsid w:val="00AA542F"/>
    <w:rsid w:val="00AA6299"/>
    <w:rsid w:val="00AB13FD"/>
    <w:rsid w:val="00AB22C0"/>
    <w:rsid w:val="00AB23EB"/>
    <w:rsid w:val="00AB3450"/>
    <w:rsid w:val="00AB4179"/>
    <w:rsid w:val="00AB545A"/>
    <w:rsid w:val="00AB6BE5"/>
    <w:rsid w:val="00AC06B3"/>
    <w:rsid w:val="00AC0A8E"/>
    <w:rsid w:val="00AC190A"/>
    <w:rsid w:val="00AC2968"/>
    <w:rsid w:val="00AC2F45"/>
    <w:rsid w:val="00AC3515"/>
    <w:rsid w:val="00AC3EF9"/>
    <w:rsid w:val="00AC427E"/>
    <w:rsid w:val="00AC5C77"/>
    <w:rsid w:val="00AC5C8A"/>
    <w:rsid w:val="00AC6822"/>
    <w:rsid w:val="00AC7791"/>
    <w:rsid w:val="00AD0259"/>
    <w:rsid w:val="00AD031A"/>
    <w:rsid w:val="00AD1823"/>
    <w:rsid w:val="00AD22A9"/>
    <w:rsid w:val="00AD25D2"/>
    <w:rsid w:val="00AD26B0"/>
    <w:rsid w:val="00AD3426"/>
    <w:rsid w:val="00AD5929"/>
    <w:rsid w:val="00AD6EC7"/>
    <w:rsid w:val="00AE0E28"/>
    <w:rsid w:val="00AE0EB0"/>
    <w:rsid w:val="00AE13D7"/>
    <w:rsid w:val="00AE1962"/>
    <w:rsid w:val="00AE1A1B"/>
    <w:rsid w:val="00AE3EDE"/>
    <w:rsid w:val="00AE4BB4"/>
    <w:rsid w:val="00AE4C0A"/>
    <w:rsid w:val="00AE513E"/>
    <w:rsid w:val="00AE55B3"/>
    <w:rsid w:val="00AE72F0"/>
    <w:rsid w:val="00AF0A10"/>
    <w:rsid w:val="00AF2B15"/>
    <w:rsid w:val="00AF35C1"/>
    <w:rsid w:val="00AF3B7F"/>
    <w:rsid w:val="00AF4EEA"/>
    <w:rsid w:val="00AF5637"/>
    <w:rsid w:val="00AF5DF1"/>
    <w:rsid w:val="00AF6133"/>
    <w:rsid w:val="00B000A2"/>
    <w:rsid w:val="00B007F3"/>
    <w:rsid w:val="00B00AF8"/>
    <w:rsid w:val="00B010CD"/>
    <w:rsid w:val="00B02A40"/>
    <w:rsid w:val="00B02BAE"/>
    <w:rsid w:val="00B033EC"/>
    <w:rsid w:val="00B038FE"/>
    <w:rsid w:val="00B03CE1"/>
    <w:rsid w:val="00B0407A"/>
    <w:rsid w:val="00B04DAF"/>
    <w:rsid w:val="00B062E4"/>
    <w:rsid w:val="00B06701"/>
    <w:rsid w:val="00B0671D"/>
    <w:rsid w:val="00B06CF7"/>
    <w:rsid w:val="00B071A3"/>
    <w:rsid w:val="00B10771"/>
    <w:rsid w:val="00B10A76"/>
    <w:rsid w:val="00B123E7"/>
    <w:rsid w:val="00B1426D"/>
    <w:rsid w:val="00B147C2"/>
    <w:rsid w:val="00B1493A"/>
    <w:rsid w:val="00B14BE9"/>
    <w:rsid w:val="00B209CF"/>
    <w:rsid w:val="00B23B3F"/>
    <w:rsid w:val="00B2495A"/>
    <w:rsid w:val="00B25B4D"/>
    <w:rsid w:val="00B27CB2"/>
    <w:rsid w:val="00B30686"/>
    <w:rsid w:val="00B30ABE"/>
    <w:rsid w:val="00B312A4"/>
    <w:rsid w:val="00B32ADE"/>
    <w:rsid w:val="00B34043"/>
    <w:rsid w:val="00B34D12"/>
    <w:rsid w:val="00B3580B"/>
    <w:rsid w:val="00B35B2D"/>
    <w:rsid w:val="00B36E49"/>
    <w:rsid w:val="00B400BA"/>
    <w:rsid w:val="00B40407"/>
    <w:rsid w:val="00B41D5C"/>
    <w:rsid w:val="00B42505"/>
    <w:rsid w:val="00B42BA2"/>
    <w:rsid w:val="00B43DA4"/>
    <w:rsid w:val="00B44C7B"/>
    <w:rsid w:val="00B4511B"/>
    <w:rsid w:val="00B45FC6"/>
    <w:rsid w:val="00B4653E"/>
    <w:rsid w:val="00B46CDC"/>
    <w:rsid w:val="00B5028B"/>
    <w:rsid w:val="00B50C7E"/>
    <w:rsid w:val="00B51582"/>
    <w:rsid w:val="00B532FD"/>
    <w:rsid w:val="00B5404D"/>
    <w:rsid w:val="00B56386"/>
    <w:rsid w:val="00B56516"/>
    <w:rsid w:val="00B57291"/>
    <w:rsid w:val="00B579A9"/>
    <w:rsid w:val="00B604D5"/>
    <w:rsid w:val="00B613A6"/>
    <w:rsid w:val="00B617BE"/>
    <w:rsid w:val="00B61C27"/>
    <w:rsid w:val="00B633B6"/>
    <w:rsid w:val="00B63DE6"/>
    <w:rsid w:val="00B646CF"/>
    <w:rsid w:val="00B64C71"/>
    <w:rsid w:val="00B6529E"/>
    <w:rsid w:val="00B66576"/>
    <w:rsid w:val="00B67CEF"/>
    <w:rsid w:val="00B70978"/>
    <w:rsid w:val="00B7182D"/>
    <w:rsid w:val="00B7351C"/>
    <w:rsid w:val="00B735B2"/>
    <w:rsid w:val="00B74EDA"/>
    <w:rsid w:val="00B7643A"/>
    <w:rsid w:val="00B76BCF"/>
    <w:rsid w:val="00B771B2"/>
    <w:rsid w:val="00B77DEB"/>
    <w:rsid w:val="00B82818"/>
    <w:rsid w:val="00B82A6C"/>
    <w:rsid w:val="00B84BD1"/>
    <w:rsid w:val="00B86507"/>
    <w:rsid w:val="00B8714C"/>
    <w:rsid w:val="00B8769B"/>
    <w:rsid w:val="00B9028E"/>
    <w:rsid w:val="00B90A21"/>
    <w:rsid w:val="00B910DE"/>
    <w:rsid w:val="00B9147F"/>
    <w:rsid w:val="00B93F5D"/>
    <w:rsid w:val="00B95705"/>
    <w:rsid w:val="00B96249"/>
    <w:rsid w:val="00B97F8C"/>
    <w:rsid w:val="00BA00AE"/>
    <w:rsid w:val="00BA0759"/>
    <w:rsid w:val="00BA0B7F"/>
    <w:rsid w:val="00BA11A7"/>
    <w:rsid w:val="00BA27CA"/>
    <w:rsid w:val="00BA3CAB"/>
    <w:rsid w:val="00BA3D81"/>
    <w:rsid w:val="00BA3F76"/>
    <w:rsid w:val="00BA4436"/>
    <w:rsid w:val="00BA50B0"/>
    <w:rsid w:val="00BA5A6C"/>
    <w:rsid w:val="00BA609A"/>
    <w:rsid w:val="00BA6E45"/>
    <w:rsid w:val="00BA7433"/>
    <w:rsid w:val="00BB1669"/>
    <w:rsid w:val="00BB21D8"/>
    <w:rsid w:val="00BB26F7"/>
    <w:rsid w:val="00BB30FA"/>
    <w:rsid w:val="00BB31AA"/>
    <w:rsid w:val="00BB3202"/>
    <w:rsid w:val="00BB4C0E"/>
    <w:rsid w:val="00BB6592"/>
    <w:rsid w:val="00BB6C7B"/>
    <w:rsid w:val="00BB6E4C"/>
    <w:rsid w:val="00BB78E0"/>
    <w:rsid w:val="00BC17D2"/>
    <w:rsid w:val="00BC1E3D"/>
    <w:rsid w:val="00BC25EA"/>
    <w:rsid w:val="00BC43C8"/>
    <w:rsid w:val="00BC517D"/>
    <w:rsid w:val="00BC6AEB"/>
    <w:rsid w:val="00BC79ED"/>
    <w:rsid w:val="00BD1652"/>
    <w:rsid w:val="00BD4A4A"/>
    <w:rsid w:val="00BD511F"/>
    <w:rsid w:val="00BD57AA"/>
    <w:rsid w:val="00BD6161"/>
    <w:rsid w:val="00BD6D4E"/>
    <w:rsid w:val="00BD794C"/>
    <w:rsid w:val="00BE0DE7"/>
    <w:rsid w:val="00BE616C"/>
    <w:rsid w:val="00BE73A5"/>
    <w:rsid w:val="00BF05C2"/>
    <w:rsid w:val="00BF07AE"/>
    <w:rsid w:val="00BF10FB"/>
    <w:rsid w:val="00BF1B8D"/>
    <w:rsid w:val="00BF26A7"/>
    <w:rsid w:val="00BF342B"/>
    <w:rsid w:val="00BF35FA"/>
    <w:rsid w:val="00BF3C20"/>
    <w:rsid w:val="00BF4EF2"/>
    <w:rsid w:val="00BF53A9"/>
    <w:rsid w:val="00BF5CAA"/>
    <w:rsid w:val="00BF68FE"/>
    <w:rsid w:val="00BF7405"/>
    <w:rsid w:val="00BF74BF"/>
    <w:rsid w:val="00BF7AE6"/>
    <w:rsid w:val="00C00A9C"/>
    <w:rsid w:val="00C01168"/>
    <w:rsid w:val="00C014BA"/>
    <w:rsid w:val="00C02480"/>
    <w:rsid w:val="00C036D1"/>
    <w:rsid w:val="00C04C5B"/>
    <w:rsid w:val="00C04C6D"/>
    <w:rsid w:val="00C06847"/>
    <w:rsid w:val="00C07430"/>
    <w:rsid w:val="00C10481"/>
    <w:rsid w:val="00C10E87"/>
    <w:rsid w:val="00C1155C"/>
    <w:rsid w:val="00C121C0"/>
    <w:rsid w:val="00C150B1"/>
    <w:rsid w:val="00C16B11"/>
    <w:rsid w:val="00C170A0"/>
    <w:rsid w:val="00C206B8"/>
    <w:rsid w:val="00C213FB"/>
    <w:rsid w:val="00C21469"/>
    <w:rsid w:val="00C21CD2"/>
    <w:rsid w:val="00C22900"/>
    <w:rsid w:val="00C229BC"/>
    <w:rsid w:val="00C22CEE"/>
    <w:rsid w:val="00C233C1"/>
    <w:rsid w:val="00C23DC0"/>
    <w:rsid w:val="00C24DB0"/>
    <w:rsid w:val="00C25AF8"/>
    <w:rsid w:val="00C26A07"/>
    <w:rsid w:val="00C30D34"/>
    <w:rsid w:val="00C31CDD"/>
    <w:rsid w:val="00C32151"/>
    <w:rsid w:val="00C32181"/>
    <w:rsid w:val="00C33761"/>
    <w:rsid w:val="00C340CE"/>
    <w:rsid w:val="00C34E4B"/>
    <w:rsid w:val="00C362CE"/>
    <w:rsid w:val="00C36C77"/>
    <w:rsid w:val="00C370E7"/>
    <w:rsid w:val="00C40415"/>
    <w:rsid w:val="00C40D2C"/>
    <w:rsid w:val="00C41EB8"/>
    <w:rsid w:val="00C426C0"/>
    <w:rsid w:val="00C43FA7"/>
    <w:rsid w:val="00C4409E"/>
    <w:rsid w:val="00C4512A"/>
    <w:rsid w:val="00C45549"/>
    <w:rsid w:val="00C45804"/>
    <w:rsid w:val="00C50E6B"/>
    <w:rsid w:val="00C516D6"/>
    <w:rsid w:val="00C5170E"/>
    <w:rsid w:val="00C51B42"/>
    <w:rsid w:val="00C522DA"/>
    <w:rsid w:val="00C52536"/>
    <w:rsid w:val="00C54200"/>
    <w:rsid w:val="00C57A3E"/>
    <w:rsid w:val="00C57CF0"/>
    <w:rsid w:val="00C60A4A"/>
    <w:rsid w:val="00C60B7C"/>
    <w:rsid w:val="00C6166A"/>
    <w:rsid w:val="00C62017"/>
    <w:rsid w:val="00C6346C"/>
    <w:rsid w:val="00C63606"/>
    <w:rsid w:val="00C638A0"/>
    <w:rsid w:val="00C64999"/>
    <w:rsid w:val="00C651CA"/>
    <w:rsid w:val="00C65D9E"/>
    <w:rsid w:val="00C66466"/>
    <w:rsid w:val="00C668E3"/>
    <w:rsid w:val="00C711F7"/>
    <w:rsid w:val="00C7185C"/>
    <w:rsid w:val="00C7188A"/>
    <w:rsid w:val="00C71BF7"/>
    <w:rsid w:val="00C726F1"/>
    <w:rsid w:val="00C72E68"/>
    <w:rsid w:val="00C73610"/>
    <w:rsid w:val="00C73BB1"/>
    <w:rsid w:val="00C75CC4"/>
    <w:rsid w:val="00C800EA"/>
    <w:rsid w:val="00C80916"/>
    <w:rsid w:val="00C80960"/>
    <w:rsid w:val="00C80F12"/>
    <w:rsid w:val="00C815CC"/>
    <w:rsid w:val="00C8292D"/>
    <w:rsid w:val="00C830A5"/>
    <w:rsid w:val="00C83405"/>
    <w:rsid w:val="00C85076"/>
    <w:rsid w:val="00C90BF8"/>
    <w:rsid w:val="00C92470"/>
    <w:rsid w:val="00C93799"/>
    <w:rsid w:val="00C94585"/>
    <w:rsid w:val="00C951DB"/>
    <w:rsid w:val="00C966BD"/>
    <w:rsid w:val="00C96979"/>
    <w:rsid w:val="00C96ECD"/>
    <w:rsid w:val="00CA2277"/>
    <w:rsid w:val="00CA256B"/>
    <w:rsid w:val="00CA2EFB"/>
    <w:rsid w:val="00CA3984"/>
    <w:rsid w:val="00CA4386"/>
    <w:rsid w:val="00CA4529"/>
    <w:rsid w:val="00CA5058"/>
    <w:rsid w:val="00CA5107"/>
    <w:rsid w:val="00CA55FB"/>
    <w:rsid w:val="00CA5B3A"/>
    <w:rsid w:val="00CA620A"/>
    <w:rsid w:val="00CA74E5"/>
    <w:rsid w:val="00CA7CE0"/>
    <w:rsid w:val="00CB1CD6"/>
    <w:rsid w:val="00CB255E"/>
    <w:rsid w:val="00CB3039"/>
    <w:rsid w:val="00CB46BD"/>
    <w:rsid w:val="00CB6B5D"/>
    <w:rsid w:val="00CB72B8"/>
    <w:rsid w:val="00CC15CE"/>
    <w:rsid w:val="00CC224F"/>
    <w:rsid w:val="00CC260B"/>
    <w:rsid w:val="00CC2982"/>
    <w:rsid w:val="00CC3C42"/>
    <w:rsid w:val="00CC4117"/>
    <w:rsid w:val="00CC4438"/>
    <w:rsid w:val="00CC50F5"/>
    <w:rsid w:val="00CC5613"/>
    <w:rsid w:val="00CC5CEF"/>
    <w:rsid w:val="00CC6A52"/>
    <w:rsid w:val="00CC6F37"/>
    <w:rsid w:val="00CC7339"/>
    <w:rsid w:val="00CD002B"/>
    <w:rsid w:val="00CD1126"/>
    <w:rsid w:val="00CD1768"/>
    <w:rsid w:val="00CD30E0"/>
    <w:rsid w:val="00CD3E34"/>
    <w:rsid w:val="00CD67EE"/>
    <w:rsid w:val="00CD6C35"/>
    <w:rsid w:val="00CD71CC"/>
    <w:rsid w:val="00CD7779"/>
    <w:rsid w:val="00CE03D8"/>
    <w:rsid w:val="00CE0432"/>
    <w:rsid w:val="00CE16C2"/>
    <w:rsid w:val="00CE1BBA"/>
    <w:rsid w:val="00CE1F2F"/>
    <w:rsid w:val="00CE249E"/>
    <w:rsid w:val="00CE2B1A"/>
    <w:rsid w:val="00CE3047"/>
    <w:rsid w:val="00CE3732"/>
    <w:rsid w:val="00CE3FC8"/>
    <w:rsid w:val="00CE4844"/>
    <w:rsid w:val="00CE4C7E"/>
    <w:rsid w:val="00CE501A"/>
    <w:rsid w:val="00CE502A"/>
    <w:rsid w:val="00CE5075"/>
    <w:rsid w:val="00CE59D0"/>
    <w:rsid w:val="00CE6A7E"/>
    <w:rsid w:val="00CE7579"/>
    <w:rsid w:val="00CE7BA1"/>
    <w:rsid w:val="00CF2108"/>
    <w:rsid w:val="00CF2607"/>
    <w:rsid w:val="00CF2801"/>
    <w:rsid w:val="00CF29FB"/>
    <w:rsid w:val="00CF48DF"/>
    <w:rsid w:val="00CF4E18"/>
    <w:rsid w:val="00CF4E7E"/>
    <w:rsid w:val="00CF5C1A"/>
    <w:rsid w:val="00CF5F14"/>
    <w:rsid w:val="00CF6799"/>
    <w:rsid w:val="00CF78F6"/>
    <w:rsid w:val="00D01A9B"/>
    <w:rsid w:val="00D01BA9"/>
    <w:rsid w:val="00D03C0F"/>
    <w:rsid w:val="00D043E9"/>
    <w:rsid w:val="00D047D2"/>
    <w:rsid w:val="00D04E17"/>
    <w:rsid w:val="00D06424"/>
    <w:rsid w:val="00D12AC8"/>
    <w:rsid w:val="00D13BB6"/>
    <w:rsid w:val="00D13BDA"/>
    <w:rsid w:val="00D147E1"/>
    <w:rsid w:val="00D15735"/>
    <w:rsid w:val="00D16264"/>
    <w:rsid w:val="00D1632E"/>
    <w:rsid w:val="00D17D24"/>
    <w:rsid w:val="00D20170"/>
    <w:rsid w:val="00D2023D"/>
    <w:rsid w:val="00D21895"/>
    <w:rsid w:val="00D21CBA"/>
    <w:rsid w:val="00D21F63"/>
    <w:rsid w:val="00D22420"/>
    <w:rsid w:val="00D22F18"/>
    <w:rsid w:val="00D22F8D"/>
    <w:rsid w:val="00D24CAB"/>
    <w:rsid w:val="00D2523A"/>
    <w:rsid w:val="00D25E5B"/>
    <w:rsid w:val="00D27EAC"/>
    <w:rsid w:val="00D3054A"/>
    <w:rsid w:val="00D30E2B"/>
    <w:rsid w:val="00D31218"/>
    <w:rsid w:val="00D3255B"/>
    <w:rsid w:val="00D3355D"/>
    <w:rsid w:val="00D33FA1"/>
    <w:rsid w:val="00D35295"/>
    <w:rsid w:val="00D35D33"/>
    <w:rsid w:val="00D37AAB"/>
    <w:rsid w:val="00D37B5E"/>
    <w:rsid w:val="00D4303C"/>
    <w:rsid w:val="00D458CD"/>
    <w:rsid w:val="00D468F0"/>
    <w:rsid w:val="00D46B8D"/>
    <w:rsid w:val="00D4771B"/>
    <w:rsid w:val="00D47949"/>
    <w:rsid w:val="00D47D57"/>
    <w:rsid w:val="00D5073C"/>
    <w:rsid w:val="00D50745"/>
    <w:rsid w:val="00D50950"/>
    <w:rsid w:val="00D50CFF"/>
    <w:rsid w:val="00D52AF0"/>
    <w:rsid w:val="00D5464A"/>
    <w:rsid w:val="00D54891"/>
    <w:rsid w:val="00D553A2"/>
    <w:rsid w:val="00D559D6"/>
    <w:rsid w:val="00D55D81"/>
    <w:rsid w:val="00D57BA5"/>
    <w:rsid w:val="00D61FC7"/>
    <w:rsid w:val="00D62A2E"/>
    <w:rsid w:val="00D63E07"/>
    <w:rsid w:val="00D64065"/>
    <w:rsid w:val="00D640E0"/>
    <w:rsid w:val="00D658CF"/>
    <w:rsid w:val="00D66899"/>
    <w:rsid w:val="00D66C99"/>
    <w:rsid w:val="00D67083"/>
    <w:rsid w:val="00D70452"/>
    <w:rsid w:val="00D71A45"/>
    <w:rsid w:val="00D726F5"/>
    <w:rsid w:val="00D73C29"/>
    <w:rsid w:val="00D73CDB"/>
    <w:rsid w:val="00D75031"/>
    <w:rsid w:val="00D766BE"/>
    <w:rsid w:val="00D7711C"/>
    <w:rsid w:val="00D77783"/>
    <w:rsid w:val="00D77E9F"/>
    <w:rsid w:val="00D805AD"/>
    <w:rsid w:val="00D80BFD"/>
    <w:rsid w:val="00D8236D"/>
    <w:rsid w:val="00D82DCF"/>
    <w:rsid w:val="00D83D9B"/>
    <w:rsid w:val="00D84404"/>
    <w:rsid w:val="00D85C7B"/>
    <w:rsid w:val="00D927E0"/>
    <w:rsid w:val="00D931F1"/>
    <w:rsid w:val="00D965F5"/>
    <w:rsid w:val="00D97264"/>
    <w:rsid w:val="00DA0B90"/>
    <w:rsid w:val="00DA17FA"/>
    <w:rsid w:val="00DA3B7B"/>
    <w:rsid w:val="00DA581D"/>
    <w:rsid w:val="00DA58B0"/>
    <w:rsid w:val="00DA68F7"/>
    <w:rsid w:val="00DB3A3B"/>
    <w:rsid w:val="00DB3E80"/>
    <w:rsid w:val="00DB44F8"/>
    <w:rsid w:val="00DB457A"/>
    <w:rsid w:val="00DB5777"/>
    <w:rsid w:val="00DB77E9"/>
    <w:rsid w:val="00DB7D5E"/>
    <w:rsid w:val="00DC0682"/>
    <w:rsid w:val="00DC1807"/>
    <w:rsid w:val="00DC4CD7"/>
    <w:rsid w:val="00DC5140"/>
    <w:rsid w:val="00DC5F5D"/>
    <w:rsid w:val="00DD041B"/>
    <w:rsid w:val="00DD0857"/>
    <w:rsid w:val="00DD0E91"/>
    <w:rsid w:val="00DD1150"/>
    <w:rsid w:val="00DD26FC"/>
    <w:rsid w:val="00DD4AE8"/>
    <w:rsid w:val="00DD693E"/>
    <w:rsid w:val="00DD6EF1"/>
    <w:rsid w:val="00DE0052"/>
    <w:rsid w:val="00DE0565"/>
    <w:rsid w:val="00DE11F9"/>
    <w:rsid w:val="00DE1929"/>
    <w:rsid w:val="00DE5D13"/>
    <w:rsid w:val="00DE7E72"/>
    <w:rsid w:val="00DF1301"/>
    <w:rsid w:val="00DF1432"/>
    <w:rsid w:val="00DF306D"/>
    <w:rsid w:val="00DF3210"/>
    <w:rsid w:val="00DF529E"/>
    <w:rsid w:val="00DF5370"/>
    <w:rsid w:val="00DF57BB"/>
    <w:rsid w:val="00DF5C1F"/>
    <w:rsid w:val="00DF6745"/>
    <w:rsid w:val="00DF68F9"/>
    <w:rsid w:val="00DF74CD"/>
    <w:rsid w:val="00DF79B7"/>
    <w:rsid w:val="00E00C6B"/>
    <w:rsid w:val="00E00CD8"/>
    <w:rsid w:val="00E010BE"/>
    <w:rsid w:val="00E01207"/>
    <w:rsid w:val="00E019F6"/>
    <w:rsid w:val="00E02CA6"/>
    <w:rsid w:val="00E050DC"/>
    <w:rsid w:val="00E05A08"/>
    <w:rsid w:val="00E05DE4"/>
    <w:rsid w:val="00E06089"/>
    <w:rsid w:val="00E06F03"/>
    <w:rsid w:val="00E07158"/>
    <w:rsid w:val="00E07625"/>
    <w:rsid w:val="00E10515"/>
    <w:rsid w:val="00E10750"/>
    <w:rsid w:val="00E10A66"/>
    <w:rsid w:val="00E14206"/>
    <w:rsid w:val="00E14461"/>
    <w:rsid w:val="00E160DC"/>
    <w:rsid w:val="00E17217"/>
    <w:rsid w:val="00E21248"/>
    <w:rsid w:val="00E2223E"/>
    <w:rsid w:val="00E23377"/>
    <w:rsid w:val="00E2492E"/>
    <w:rsid w:val="00E2575D"/>
    <w:rsid w:val="00E265D6"/>
    <w:rsid w:val="00E271BE"/>
    <w:rsid w:val="00E3098A"/>
    <w:rsid w:val="00E30992"/>
    <w:rsid w:val="00E32BFD"/>
    <w:rsid w:val="00E333C3"/>
    <w:rsid w:val="00E33577"/>
    <w:rsid w:val="00E34197"/>
    <w:rsid w:val="00E35A70"/>
    <w:rsid w:val="00E3674D"/>
    <w:rsid w:val="00E3751C"/>
    <w:rsid w:val="00E37DA0"/>
    <w:rsid w:val="00E40F2D"/>
    <w:rsid w:val="00E445D4"/>
    <w:rsid w:val="00E448D7"/>
    <w:rsid w:val="00E45A11"/>
    <w:rsid w:val="00E46059"/>
    <w:rsid w:val="00E4626C"/>
    <w:rsid w:val="00E470FC"/>
    <w:rsid w:val="00E47C15"/>
    <w:rsid w:val="00E47F22"/>
    <w:rsid w:val="00E50C89"/>
    <w:rsid w:val="00E54172"/>
    <w:rsid w:val="00E55133"/>
    <w:rsid w:val="00E554BB"/>
    <w:rsid w:val="00E559CB"/>
    <w:rsid w:val="00E56F43"/>
    <w:rsid w:val="00E60AE1"/>
    <w:rsid w:val="00E61A44"/>
    <w:rsid w:val="00E62606"/>
    <w:rsid w:val="00E626E6"/>
    <w:rsid w:val="00E63502"/>
    <w:rsid w:val="00E64C4D"/>
    <w:rsid w:val="00E67E59"/>
    <w:rsid w:val="00E7199F"/>
    <w:rsid w:val="00E73670"/>
    <w:rsid w:val="00E74763"/>
    <w:rsid w:val="00E74CF5"/>
    <w:rsid w:val="00E75E48"/>
    <w:rsid w:val="00E761CE"/>
    <w:rsid w:val="00E761F0"/>
    <w:rsid w:val="00E7637A"/>
    <w:rsid w:val="00E77D0D"/>
    <w:rsid w:val="00E84674"/>
    <w:rsid w:val="00E854C0"/>
    <w:rsid w:val="00E860BD"/>
    <w:rsid w:val="00E86288"/>
    <w:rsid w:val="00E870DD"/>
    <w:rsid w:val="00E87568"/>
    <w:rsid w:val="00E90BD1"/>
    <w:rsid w:val="00E910AA"/>
    <w:rsid w:val="00E915F3"/>
    <w:rsid w:val="00E91E3D"/>
    <w:rsid w:val="00E920F9"/>
    <w:rsid w:val="00E93CD8"/>
    <w:rsid w:val="00E948B7"/>
    <w:rsid w:val="00E97DAC"/>
    <w:rsid w:val="00EA0C18"/>
    <w:rsid w:val="00EA0C61"/>
    <w:rsid w:val="00EA0FC2"/>
    <w:rsid w:val="00EA1245"/>
    <w:rsid w:val="00EA2812"/>
    <w:rsid w:val="00EA31C4"/>
    <w:rsid w:val="00EA3624"/>
    <w:rsid w:val="00EA3732"/>
    <w:rsid w:val="00EA38D7"/>
    <w:rsid w:val="00EA5357"/>
    <w:rsid w:val="00EA6996"/>
    <w:rsid w:val="00EB0D79"/>
    <w:rsid w:val="00EB1126"/>
    <w:rsid w:val="00EB1986"/>
    <w:rsid w:val="00EB1C9A"/>
    <w:rsid w:val="00EB207F"/>
    <w:rsid w:val="00EB24A3"/>
    <w:rsid w:val="00EB3F58"/>
    <w:rsid w:val="00EB47AF"/>
    <w:rsid w:val="00EB5279"/>
    <w:rsid w:val="00EB5459"/>
    <w:rsid w:val="00EB5A86"/>
    <w:rsid w:val="00EB5D16"/>
    <w:rsid w:val="00EB669A"/>
    <w:rsid w:val="00EB7476"/>
    <w:rsid w:val="00EC09E0"/>
    <w:rsid w:val="00EC110C"/>
    <w:rsid w:val="00EC1C8B"/>
    <w:rsid w:val="00EC286B"/>
    <w:rsid w:val="00EC36DA"/>
    <w:rsid w:val="00EC3E69"/>
    <w:rsid w:val="00EC4194"/>
    <w:rsid w:val="00EC44BA"/>
    <w:rsid w:val="00EC5712"/>
    <w:rsid w:val="00EC64D7"/>
    <w:rsid w:val="00EC6E2A"/>
    <w:rsid w:val="00EC7729"/>
    <w:rsid w:val="00ED036E"/>
    <w:rsid w:val="00ED05CA"/>
    <w:rsid w:val="00ED14CE"/>
    <w:rsid w:val="00ED34F5"/>
    <w:rsid w:val="00ED383D"/>
    <w:rsid w:val="00ED3998"/>
    <w:rsid w:val="00ED3FDB"/>
    <w:rsid w:val="00ED5D3B"/>
    <w:rsid w:val="00ED656D"/>
    <w:rsid w:val="00ED6EDB"/>
    <w:rsid w:val="00EE0D81"/>
    <w:rsid w:val="00EE0FF7"/>
    <w:rsid w:val="00EE1E5D"/>
    <w:rsid w:val="00EE1F2D"/>
    <w:rsid w:val="00EE21F0"/>
    <w:rsid w:val="00EE2B83"/>
    <w:rsid w:val="00EE43EF"/>
    <w:rsid w:val="00EE5A1D"/>
    <w:rsid w:val="00EE5AA6"/>
    <w:rsid w:val="00EE5C91"/>
    <w:rsid w:val="00EE617A"/>
    <w:rsid w:val="00EE6E2F"/>
    <w:rsid w:val="00EE711D"/>
    <w:rsid w:val="00EE73EF"/>
    <w:rsid w:val="00EE7AA9"/>
    <w:rsid w:val="00EF0408"/>
    <w:rsid w:val="00EF2AF1"/>
    <w:rsid w:val="00EF2C12"/>
    <w:rsid w:val="00EF2FD0"/>
    <w:rsid w:val="00EF3251"/>
    <w:rsid w:val="00EF36EF"/>
    <w:rsid w:val="00EF4365"/>
    <w:rsid w:val="00EF4849"/>
    <w:rsid w:val="00EF55D6"/>
    <w:rsid w:val="00EF5737"/>
    <w:rsid w:val="00EF5CAB"/>
    <w:rsid w:val="00EF770C"/>
    <w:rsid w:val="00EF7B43"/>
    <w:rsid w:val="00F00B7E"/>
    <w:rsid w:val="00F0157A"/>
    <w:rsid w:val="00F020D1"/>
    <w:rsid w:val="00F0703F"/>
    <w:rsid w:val="00F11881"/>
    <w:rsid w:val="00F11926"/>
    <w:rsid w:val="00F11F5C"/>
    <w:rsid w:val="00F121FD"/>
    <w:rsid w:val="00F12A75"/>
    <w:rsid w:val="00F12F51"/>
    <w:rsid w:val="00F1350D"/>
    <w:rsid w:val="00F14784"/>
    <w:rsid w:val="00F14AF4"/>
    <w:rsid w:val="00F15940"/>
    <w:rsid w:val="00F169B2"/>
    <w:rsid w:val="00F17086"/>
    <w:rsid w:val="00F170A5"/>
    <w:rsid w:val="00F177EE"/>
    <w:rsid w:val="00F20DF9"/>
    <w:rsid w:val="00F224CD"/>
    <w:rsid w:val="00F22E90"/>
    <w:rsid w:val="00F2300D"/>
    <w:rsid w:val="00F23A23"/>
    <w:rsid w:val="00F23D38"/>
    <w:rsid w:val="00F23EF1"/>
    <w:rsid w:val="00F24379"/>
    <w:rsid w:val="00F26939"/>
    <w:rsid w:val="00F273CF"/>
    <w:rsid w:val="00F30ABB"/>
    <w:rsid w:val="00F3118E"/>
    <w:rsid w:val="00F31F01"/>
    <w:rsid w:val="00F33D04"/>
    <w:rsid w:val="00F36E8C"/>
    <w:rsid w:val="00F373AC"/>
    <w:rsid w:val="00F40AFE"/>
    <w:rsid w:val="00F40C87"/>
    <w:rsid w:val="00F40D00"/>
    <w:rsid w:val="00F41BE6"/>
    <w:rsid w:val="00F4203C"/>
    <w:rsid w:val="00F4373D"/>
    <w:rsid w:val="00F44078"/>
    <w:rsid w:val="00F45F97"/>
    <w:rsid w:val="00F47074"/>
    <w:rsid w:val="00F503DB"/>
    <w:rsid w:val="00F50F49"/>
    <w:rsid w:val="00F51466"/>
    <w:rsid w:val="00F51586"/>
    <w:rsid w:val="00F51AAB"/>
    <w:rsid w:val="00F5255C"/>
    <w:rsid w:val="00F5364B"/>
    <w:rsid w:val="00F536A3"/>
    <w:rsid w:val="00F5393F"/>
    <w:rsid w:val="00F54A35"/>
    <w:rsid w:val="00F57D4C"/>
    <w:rsid w:val="00F60633"/>
    <w:rsid w:val="00F60A46"/>
    <w:rsid w:val="00F61234"/>
    <w:rsid w:val="00F61A24"/>
    <w:rsid w:val="00F61B2B"/>
    <w:rsid w:val="00F62E9A"/>
    <w:rsid w:val="00F6387D"/>
    <w:rsid w:val="00F64851"/>
    <w:rsid w:val="00F65752"/>
    <w:rsid w:val="00F6673A"/>
    <w:rsid w:val="00F72BB2"/>
    <w:rsid w:val="00F7405C"/>
    <w:rsid w:val="00F75CC8"/>
    <w:rsid w:val="00F75D17"/>
    <w:rsid w:val="00F76767"/>
    <w:rsid w:val="00F76A01"/>
    <w:rsid w:val="00F76FEA"/>
    <w:rsid w:val="00F77348"/>
    <w:rsid w:val="00F80F22"/>
    <w:rsid w:val="00F8362A"/>
    <w:rsid w:val="00F84B1C"/>
    <w:rsid w:val="00F87402"/>
    <w:rsid w:val="00F8742A"/>
    <w:rsid w:val="00F87574"/>
    <w:rsid w:val="00F90888"/>
    <w:rsid w:val="00F91411"/>
    <w:rsid w:val="00F91DA1"/>
    <w:rsid w:val="00F9449B"/>
    <w:rsid w:val="00F95264"/>
    <w:rsid w:val="00F95455"/>
    <w:rsid w:val="00FA1149"/>
    <w:rsid w:val="00FA234D"/>
    <w:rsid w:val="00FA45E5"/>
    <w:rsid w:val="00FA45F2"/>
    <w:rsid w:val="00FA6BCB"/>
    <w:rsid w:val="00FA7173"/>
    <w:rsid w:val="00FA7372"/>
    <w:rsid w:val="00FB0700"/>
    <w:rsid w:val="00FB0ACC"/>
    <w:rsid w:val="00FB2641"/>
    <w:rsid w:val="00FB3AB7"/>
    <w:rsid w:val="00FB3AFC"/>
    <w:rsid w:val="00FB464D"/>
    <w:rsid w:val="00FB47E9"/>
    <w:rsid w:val="00FB4A9D"/>
    <w:rsid w:val="00FB4F09"/>
    <w:rsid w:val="00FC139E"/>
    <w:rsid w:val="00FC3C85"/>
    <w:rsid w:val="00FC5752"/>
    <w:rsid w:val="00FC57A4"/>
    <w:rsid w:val="00FC5D31"/>
    <w:rsid w:val="00FD2098"/>
    <w:rsid w:val="00FD259A"/>
    <w:rsid w:val="00FD41B4"/>
    <w:rsid w:val="00FD6D84"/>
    <w:rsid w:val="00FD6F12"/>
    <w:rsid w:val="00FD78E2"/>
    <w:rsid w:val="00FD796C"/>
    <w:rsid w:val="00FE17E0"/>
    <w:rsid w:val="00FE18F2"/>
    <w:rsid w:val="00FE2E01"/>
    <w:rsid w:val="00FE37CC"/>
    <w:rsid w:val="00FE4C68"/>
    <w:rsid w:val="00FE574C"/>
    <w:rsid w:val="00FE64C4"/>
    <w:rsid w:val="00FE72D2"/>
    <w:rsid w:val="00FE7A95"/>
    <w:rsid w:val="00FE7FC1"/>
    <w:rsid w:val="00FF00CC"/>
    <w:rsid w:val="00FF064F"/>
    <w:rsid w:val="00FF0D7F"/>
    <w:rsid w:val="00FF33F7"/>
    <w:rsid w:val="00FF4B33"/>
    <w:rsid w:val="00FF705E"/>
    <w:rsid w:val="00FF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DE70"/>
  <w15:chartTrackingRefBased/>
  <w15:docId w15:val="{F500BA19-5574-40DB-8DAE-02AEA3D1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2ACA"/>
    <w:pPr>
      <w:ind w:left="720"/>
      <w:contextualSpacing/>
    </w:pPr>
  </w:style>
  <w:style w:type="paragraph" w:styleId="Voetnoottekst">
    <w:name w:val="footnote text"/>
    <w:aliases w:val="Voetnoottekst NZa"/>
    <w:basedOn w:val="Standaard"/>
    <w:link w:val="VoetnoottekstChar"/>
    <w:uiPriority w:val="99"/>
    <w:unhideWhenUsed/>
    <w:qFormat/>
    <w:rsid w:val="00A924BE"/>
    <w:pPr>
      <w:spacing w:line="240" w:lineRule="auto"/>
    </w:pPr>
    <w:rPr>
      <w:sz w:val="20"/>
      <w:szCs w:val="20"/>
    </w:rPr>
  </w:style>
  <w:style w:type="character" w:customStyle="1" w:styleId="VoetnoottekstChar">
    <w:name w:val="Voetnoottekst Char"/>
    <w:aliases w:val="Voetnoottekst NZa Char"/>
    <w:basedOn w:val="Standaardalinea-lettertype"/>
    <w:link w:val="Voetnoottekst"/>
    <w:uiPriority w:val="99"/>
    <w:rsid w:val="00A924BE"/>
    <w:rPr>
      <w:sz w:val="20"/>
      <w:szCs w:val="20"/>
    </w:rPr>
  </w:style>
  <w:style w:type="character" w:styleId="Voetnootmarkering">
    <w:name w:val="footnote reference"/>
    <w:aliases w:val="Voetnootmarkering NZa"/>
    <w:basedOn w:val="Standaardalinea-lettertype"/>
    <w:uiPriority w:val="99"/>
    <w:semiHidden/>
    <w:unhideWhenUsed/>
    <w:rsid w:val="00A924BE"/>
    <w:rPr>
      <w:vertAlign w:val="superscript"/>
    </w:rPr>
  </w:style>
  <w:style w:type="paragraph" w:styleId="Koptekst">
    <w:name w:val="header"/>
    <w:basedOn w:val="Standaard"/>
    <w:link w:val="KoptekstChar"/>
    <w:uiPriority w:val="99"/>
    <w:unhideWhenUsed/>
    <w:rsid w:val="000F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68AE"/>
  </w:style>
  <w:style w:type="paragraph" w:styleId="Voettekst">
    <w:name w:val="footer"/>
    <w:basedOn w:val="Standaard"/>
    <w:link w:val="VoettekstChar"/>
    <w:uiPriority w:val="99"/>
    <w:unhideWhenUsed/>
    <w:rsid w:val="000F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68AE"/>
  </w:style>
  <w:style w:type="character" w:styleId="Verwijzingopmerking">
    <w:name w:val="annotation reference"/>
    <w:basedOn w:val="Standaardalinea-lettertype"/>
    <w:uiPriority w:val="99"/>
    <w:semiHidden/>
    <w:unhideWhenUsed/>
    <w:rsid w:val="006D2348"/>
    <w:rPr>
      <w:sz w:val="16"/>
      <w:szCs w:val="16"/>
    </w:rPr>
  </w:style>
  <w:style w:type="paragraph" w:styleId="Tekstopmerking">
    <w:name w:val="annotation text"/>
    <w:basedOn w:val="Standaard"/>
    <w:link w:val="TekstopmerkingChar"/>
    <w:uiPriority w:val="99"/>
    <w:unhideWhenUsed/>
    <w:rsid w:val="006D2348"/>
    <w:pPr>
      <w:spacing w:line="240" w:lineRule="auto"/>
    </w:pPr>
    <w:rPr>
      <w:sz w:val="20"/>
      <w:szCs w:val="20"/>
    </w:rPr>
  </w:style>
  <w:style w:type="character" w:customStyle="1" w:styleId="TekstopmerkingChar">
    <w:name w:val="Tekst opmerking Char"/>
    <w:basedOn w:val="Standaardalinea-lettertype"/>
    <w:link w:val="Tekstopmerking"/>
    <w:uiPriority w:val="99"/>
    <w:rsid w:val="006D2348"/>
    <w:rPr>
      <w:sz w:val="20"/>
      <w:szCs w:val="20"/>
    </w:rPr>
  </w:style>
  <w:style w:type="paragraph" w:styleId="Onderwerpvanopmerking">
    <w:name w:val="annotation subject"/>
    <w:basedOn w:val="Tekstopmerking"/>
    <w:next w:val="Tekstopmerking"/>
    <w:link w:val="OnderwerpvanopmerkingChar"/>
    <w:uiPriority w:val="99"/>
    <w:semiHidden/>
    <w:unhideWhenUsed/>
    <w:rsid w:val="006D2348"/>
    <w:rPr>
      <w:b/>
      <w:bCs/>
    </w:rPr>
  </w:style>
  <w:style w:type="character" w:customStyle="1" w:styleId="OnderwerpvanopmerkingChar">
    <w:name w:val="Onderwerp van opmerking Char"/>
    <w:basedOn w:val="TekstopmerkingChar"/>
    <w:link w:val="Onderwerpvanopmerking"/>
    <w:uiPriority w:val="99"/>
    <w:semiHidden/>
    <w:rsid w:val="006D2348"/>
    <w:rPr>
      <w:b/>
      <w:bCs/>
      <w:sz w:val="20"/>
      <w:szCs w:val="20"/>
    </w:rPr>
  </w:style>
  <w:style w:type="paragraph" w:styleId="Revisie">
    <w:name w:val="Revision"/>
    <w:hidden/>
    <w:uiPriority w:val="99"/>
    <w:semiHidden/>
    <w:rsid w:val="00A4115B"/>
    <w:pPr>
      <w:spacing w:line="240" w:lineRule="auto"/>
    </w:pPr>
  </w:style>
  <w:style w:type="table" w:styleId="Tabelraster">
    <w:name w:val="Table Grid"/>
    <w:basedOn w:val="Standaardtabel"/>
    <w:uiPriority w:val="39"/>
    <w:rsid w:val="009D4B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D4B29"/>
    <w:rPr>
      <w:color w:val="0000FF"/>
      <w:u w:val="single"/>
    </w:rPr>
  </w:style>
  <w:style w:type="paragraph" w:styleId="Lijstopsomteken">
    <w:name w:val="List Bullet"/>
    <w:basedOn w:val="Standaard"/>
    <w:uiPriority w:val="99"/>
    <w:unhideWhenUsed/>
    <w:rsid w:val="003A66E4"/>
    <w:pPr>
      <w:numPr>
        <w:numId w:val="15"/>
      </w:numPr>
      <w:contextualSpacing/>
    </w:pPr>
  </w:style>
  <w:style w:type="character" w:customStyle="1" w:styleId="cf01">
    <w:name w:val="cf01"/>
    <w:basedOn w:val="Standaardalinea-lettertype"/>
    <w:rsid w:val="0031609D"/>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AA306F"/>
    <w:rPr>
      <w:color w:val="605E5C"/>
      <w:shd w:val="clear" w:color="auto" w:fill="E1DFDD"/>
    </w:rPr>
  </w:style>
  <w:style w:type="paragraph" w:customStyle="1" w:styleId="pf0">
    <w:name w:val="pf0"/>
    <w:basedOn w:val="Standaard"/>
    <w:rsid w:val="00731C8B"/>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69567">
      <w:bodyDiv w:val="1"/>
      <w:marLeft w:val="0"/>
      <w:marRight w:val="0"/>
      <w:marTop w:val="0"/>
      <w:marBottom w:val="0"/>
      <w:divBdr>
        <w:top w:val="none" w:sz="0" w:space="0" w:color="auto"/>
        <w:left w:val="none" w:sz="0" w:space="0" w:color="auto"/>
        <w:bottom w:val="none" w:sz="0" w:space="0" w:color="auto"/>
        <w:right w:val="none" w:sz="0" w:space="0" w:color="auto"/>
      </w:divBdr>
    </w:div>
    <w:div w:id="604852360">
      <w:bodyDiv w:val="1"/>
      <w:marLeft w:val="0"/>
      <w:marRight w:val="0"/>
      <w:marTop w:val="0"/>
      <w:marBottom w:val="0"/>
      <w:divBdr>
        <w:top w:val="none" w:sz="0" w:space="0" w:color="auto"/>
        <w:left w:val="none" w:sz="0" w:space="0" w:color="auto"/>
        <w:bottom w:val="none" w:sz="0" w:space="0" w:color="auto"/>
        <w:right w:val="none" w:sz="0" w:space="0" w:color="auto"/>
      </w:divBdr>
    </w:div>
    <w:div w:id="1074816028">
      <w:bodyDiv w:val="1"/>
      <w:marLeft w:val="0"/>
      <w:marRight w:val="0"/>
      <w:marTop w:val="0"/>
      <w:marBottom w:val="0"/>
      <w:divBdr>
        <w:top w:val="none" w:sz="0" w:space="0" w:color="auto"/>
        <w:left w:val="none" w:sz="0" w:space="0" w:color="auto"/>
        <w:bottom w:val="none" w:sz="0" w:space="0" w:color="auto"/>
        <w:right w:val="none" w:sz="0" w:space="0" w:color="auto"/>
      </w:divBdr>
    </w:div>
    <w:div w:id="1077945588">
      <w:bodyDiv w:val="1"/>
      <w:marLeft w:val="0"/>
      <w:marRight w:val="0"/>
      <w:marTop w:val="0"/>
      <w:marBottom w:val="0"/>
      <w:divBdr>
        <w:top w:val="none" w:sz="0" w:space="0" w:color="auto"/>
        <w:left w:val="none" w:sz="0" w:space="0" w:color="auto"/>
        <w:bottom w:val="none" w:sz="0" w:space="0" w:color="auto"/>
        <w:right w:val="none" w:sz="0" w:space="0" w:color="auto"/>
      </w:divBdr>
    </w:div>
    <w:div w:id="1173572838">
      <w:bodyDiv w:val="1"/>
      <w:marLeft w:val="0"/>
      <w:marRight w:val="0"/>
      <w:marTop w:val="0"/>
      <w:marBottom w:val="0"/>
      <w:divBdr>
        <w:top w:val="none" w:sz="0" w:space="0" w:color="auto"/>
        <w:left w:val="none" w:sz="0" w:space="0" w:color="auto"/>
        <w:bottom w:val="none" w:sz="0" w:space="0" w:color="auto"/>
        <w:right w:val="none" w:sz="0" w:space="0" w:color="auto"/>
      </w:divBdr>
    </w:div>
    <w:div w:id="1464618134">
      <w:bodyDiv w:val="1"/>
      <w:marLeft w:val="0"/>
      <w:marRight w:val="0"/>
      <w:marTop w:val="0"/>
      <w:marBottom w:val="0"/>
      <w:divBdr>
        <w:top w:val="none" w:sz="0" w:space="0" w:color="auto"/>
        <w:left w:val="none" w:sz="0" w:space="0" w:color="auto"/>
        <w:bottom w:val="none" w:sz="0" w:space="0" w:color="auto"/>
        <w:right w:val="none" w:sz="0" w:space="0" w:color="auto"/>
      </w:divBdr>
    </w:div>
    <w:div w:id="2069451133">
      <w:bodyDiv w:val="1"/>
      <w:marLeft w:val="0"/>
      <w:marRight w:val="0"/>
      <w:marTop w:val="0"/>
      <w:marBottom w:val="0"/>
      <w:divBdr>
        <w:top w:val="none" w:sz="0" w:space="0" w:color="auto"/>
        <w:left w:val="none" w:sz="0" w:space="0" w:color="auto"/>
        <w:bottom w:val="none" w:sz="0" w:space="0" w:color="auto"/>
        <w:right w:val="none" w:sz="0" w:space="0" w:color="auto"/>
      </w:divBdr>
    </w:div>
    <w:div w:id="20967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theme" Target="theme/theme1.xml" Id="rId14" /></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Dossiers\Eigen%20Bijdragen\CVO%20en%20EVV\2024%20AMvB\Tabellen%20voor%20amvb\20250123%20Tabellen%20effecten%20en%20aantallen%20vermogensvrijstellingen%20en%20grafieke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Dossiers\Eigen%20Bijdragen\CVO%20en%20EVV\2024%20AMvB\Tabellen%20voor%20amvb\20250123%20Tabellen%20effecten%20en%20aantallen%20vermogensvrijstellingen%20en%20grafieke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'Effecten CVO 2025'!$J$22</c:f>
              <c:strCache>
                <c:ptCount val="1"/>
                <c:pt idx="0">
                  <c:v>Alleenstaande HEB</c:v>
                </c:pt>
              </c:strCache>
            </c:strRef>
          </c:tx>
          <c:spPr>
            <a:ln w="28575" cap="rnd">
              <a:solidFill>
                <a:sysClr val="windowText" lastClr="000000"/>
              </a:solidFill>
              <a:round/>
            </a:ln>
            <a:effectLst/>
          </c:spPr>
          <c:marker>
            <c:symbol val="none"/>
          </c:marker>
          <c:cat>
            <c:numRef>
              <c:f>'Effecten CVO 2025'!$I$23:$I$303</c:f>
              <c:numCache>
                <c:formatCode>_ * #,##0_ ;_ * \-#,##0_ ;_ * "-"??_ ;_ @_ </c:formatCode>
                <c:ptCount val="28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numCache>
            </c:numRef>
          </c:cat>
          <c:val>
            <c:numRef>
              <c:f>'Effecten CVO 2025'!$J$23:$J$303</c:f>
              <c:numCache>
                <c:formatCode>_ * #,##0_ ;_ * \-#,##0_ ;_ * "-"??_ ;_ @_ </c:formatCode>
                <c:ptCount val="28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10.08</c:v>
                </c:pt>
                <c:pt idx="69">
                  <c:v>30.080000000000002</c:v>
                </c:pt>
                <c:pt idx="70">
                  <c:v>50.08</c:v>
                </c:pt>
                <c:pt idx="71">
                  <c:v>70.08</c:v>
                </c:pt>
                <c:pt idx="72">
                  <c:v>90.08</c:v>
                </c:pt>
                <c:pt idx="73">
                  <c:v>110.08</c:v>
                </c:pt>
                <c:pt idx="74">
                  <c:v>130.08000000000001</c:v>
                </c:pt>
                <c:pt idx="75">
                  <c:v>150.08000000000001</c:v>
                </c:pt>
                <c:pt idx="76">
                  <c:v>170.08</c:v>
                </c:pt>
                <c:pt idx="77">
                  <c:v>190.08</c:v>
                </c:pt>
                <c:pt idx="78">
                  <c:v>210.08</c:v>
                </c:pt>
                <c:pt idx="79">
                  <c:v>230.08</c:v>
                </c:pt>
                <c:pt idx="80">
                  <c:v>250.08</c:v>
                </c:pt>
                <c:pt idx="81">
                  <c:v>270.08</c:v>
                </c:pt>
                <c:pt idx="82">
                  <c:v>290.08</c:v>
                </c:pt>
                <c:pt idx="83">
                  <c:v>310.08</c:v>
                </c:pt>
                <c:pt idx="84">
                  <c:v>330.08</c:v>
                </c:pt>
                <c:pt idx="85">
                  <c:v>350.08</c:v>
                </c:pt>
                <c:pt idx="86">
                  <c:v>370.08</c:v>
                </c:pt>
                <c:pt idx="87">
                  <c:v>390.08</c:v>
                </c:pt>
                <c:pt idx="88">
                  <c:v>410.08</c:v>
                </c:pt>
                <c:pt idx="89">
                  <c:v>430.08</c:v>
                </c:pt>
                <c:pt idx="90">
                  <c:v>450.08</c:v>
                </c:pt>
                <c:pt idx="91">
                  <c:v>470.08</c:v>
                </c:pt>
                <c:pt idx="92">
                  <c:v>490.08</c:v>
                </c:pt>
                <c:pt idx="93">
                  <c:v>510.08</c:v>
                </c:pt>
                <c:pt idx="94">
                  <c:v>530.08000000000004</c:v>
                </c:pt>
                <c:pt idx="95">
                  <c:v>550.08000000000004</c:v>
                </c:pt>
                <c:pt idx="96">
                  <c:v>570.08000000000004</c:v>
                </c:pt>
                <c:pt idx="97">
                  <c:v>590.08000000000004</c:v>
                </c:pt>
                <c:pt idx="98">
                  <c:v>610.08000000000004</c:v>
                </c:pt>
                <c:pt idx="99">
                  <c:v>630.08000000000004</c:v>
                </c:pt>
                <c:pt idx="100">
                  <c:v>650.08000000000004</c:v>
                </c:pt>
                <c:pt idx="101">
                  <c:v>670.08</c:v>
                </c:pt>
                <c:pt idx="102">
                  <c:v>690.08</c:v>
                </c:pt>
                <c:pt idx="103">
                  <c:v>710.08</c:v>
                </c:pt>
                <c:pt idx="104">
                  <c:v>730.08</c:v>
                </c:pt>
                <c:pt idx="105">
                  <c:v>750.08</c:v>
                </c:pt>
                <c:pt idx="106">
                  <c:v>770.08</c:v>
                </c:pt>
                <c:pt idx="107">
                  <c:v>790.08</c:v>
                </c:pt>
                <c:pt idx="108">
                  <c:v>810.08</c:v>
                </c:pt>
                <c:pt idx="109">
                  <c:v>830.08</c:v>
                </c:pt>
                <c:pt idx="110">
                  <c:v>850.08</c:v>
                </c:pt>
                <c:pt idx="111">
                  <c:v>870.08</c:v>
                </c:pt>
                <c:pt idx="112">
                  <c:v>890.08</c:v>
                </c:pt>
                <c:pt idx="113">
                  <c:v>910.08</c:v>
                </c:pt>
                <c:pt idx="114">
                  <c:v>930.08</c:v>
                </c:pt>
                <c:pt idx="115">
                  <c:v>970.08</c:v>
                </c:pt>
                <c:pt idx="116">
                  <c:v>1010.08</c:v>
                </c:pt>
                <c:pt idx="117">
                  <c:v>1050.08</c:v>
                </c:pt>
                <c:pt idx="118">
                  <c:v>1090.08</c:v>
                </c:pt>
                <c:pt idx="119">
                  <c:v>1130.08</c:v>
                </c:pt>
                <c:pt idx="120">
                  <c:v>1170.08</c:v>
                </c:pt>
                <c:pt idx="121">
                  <c:v>1210.08</c:v>
                </c:pt>
                <c:pt idx="122">
                  <c:v>1250.08</c:v>
                </c:pt>
                <c:pt idx="123">
                  <c:v>1290.08</c:v>
                </c:pt>
                <c:pt idx="124">
                  <c:v>1330.08</c:v>
                </c:pt>
                <c:pt idx="125">
                  <c:v>1370.08</c:v>
                </c:pt>
                <c:pt idx="126">
                  <c:v>1410.08</c:v>
                </c:pt>
                <c:pt idx="127">
                  <c:v>1450.08</c:v>
                </c:pt>
                <c:pt idx="128">
                  <c:v>1490.08</c:v>
                </c:pt>
                <c:pt idx="129">
                  <c:v>1530.08</c:v>
                </c:pt>
                <c:pt idx="130">
                  <c:v>1570.08</c:v>
                </c:pt>
                <c:pt idx="131">
                  <c:v>1610.08</c:v>
                </c:pt>
                <c:pt idx="132">
                  <c:v>1650.08</c:v>
                </c:pt>
                <c:pt idx="133">
                  <c:v>1690.08</c:v>
                </c:pt>
                <c:pt idx="134">
                  <c:v>1700</c:v>
                </c:pt>
                <c:pt idx="135">
                  <c:v>1700</c:v>
                </c:pt>
                <c:pt idx="136">
                  <c:v>1700</c:v>
                </c:pt>
                <c:pt idx="137">
                  <c:v>1700</c:v>
                </c:pt>
                <c:pt idx="138">
                  <c:v>1700</c:v>
                </c:pt>
                <c:pt idx="139">
                  <c:v>1700</c:v>
                </c:pt>
                <c:pt idx="140">
                  <c:v>1700</c:v>
                </c:pt>
                <c:pt idx="141">
                  <c:v>1700</c:v>
                </c:pt>
                <c:pt idx="142">
                  <c:v>1700</c:v>
                </c:pt>
                <c:pt idx="143">
                  <c:v>1700</c:v>
                </c:pt>
                <c:pt idx="144">
                  <c:v>1700</c:v>
                </c:pt>
                <c:pt idx="145">
                  <c:v>1700</c:v>
                </c:pt>
                <c:pt idx="146">
                  <c:v>1700</c:v>
                </c:pt>
                <c:pt idx="147">
                  <c:v>1700</c:v>
                </c:pt>
                <c:pt idx="148">
                  <c:v>1700</c:v>
                </c:pt>
                <c:pt idx="149">
                  <c:v>1700</c:v>
                </c:pt>
                <c:pt idx="150">
                  <c:v>1700</c:v>
                </c:pt>
                <c:pt idx="151">
                  <c:v>1700</c:v>
                </c:pt>
                <c:pt idx="152">
                  <c:v>1700</c:v>
                </c:pt>
                <c:pt idx="153">
                  <c:v>1700</c:v>
                </c:pt>
                <c:pt idx="154">
                  <c:v>1700</c:v>
                </c:pt>
                <c:pt idx="155">
                  <c:v>1700</c:v>
                </c:pt>
                <c:pt idx="156">
                  <c:v>1700</c:v>
                </c:pt>
                <c:pt idx="157">
                  <c:v>1700</c:v>
                </c:pt>
                <c:pt idx="158">
                  <c:v>1700</c:v>
                </c:pt>
                <c:pt idx="159">
                  <c:v>1700</c:v>
                </c:pt>
                <c:pt idx="160">
                  <c:v>1700</c:v>
                </c:pt>
                <c:pt idx="161">
                  <c:v>1700</c:v>
                </c:pt>
                <c:pt idx="162">
                  <c:v>1700</c:v>
                </c:pt>
                <c:pt idx="163">
                  <c:v>1700</c:v>
                </c:pt>
                <c:pt idx="164">
                  <c:v>1700</c:v>
                </c:pt>
                <c:pt idx="165">
                  <c:v>1700</c:v>
                </c:pt>
                <c:pt idx="166">
                  <c:v>1700</c:v>
                </c:pt>
                <c:pt idx="167">
                  <c:v>1700</c:v>
                </c:pt>
                <c:pt idx="168">
                  <c:v>1700</c:v>
                </c:pt>
                <c:pt idx="169">
                  <c:v>1700</c:v>
                </c:pt>
                <c:pt idx="170">
                  <c:v>1700</c:v>
                </c:pt>
                <c:pt idx="171">
                  <c:v>1700</c:v>
                </c:pt>
                <c:pt idx="172">
                  <c:v>1700</c:v>
                </c:pt>
                <c:pt idx="173">
                  <c:v>1700</c:v>
                </c:pt>
                <c:pt idx="174">
                  <c:v>1700</c:v>
                </c:pt>
                <c:pt idx="175">
                  <c:v>1700</c:v>
                </c:pt>
                <c:pt idx="176">
                  <c:v>1700</c:v>
                </c:pt>
                <c:pt idx="177">
                  <c:v>1700</c:v>
                </c:pt>
                <c:pt idx="178">
                  <c:v>1700</c:v>
                </c:pt>
                <c:pt idx="179">
                  <c:v>1700</c:v>
                </c:pt>
                <c:pt idx="180">
                  <c:v>1700</c:v>
                </c:pt>
                <c:pt idx="181">
                  <c:v>1700</c:v>
                </c:pt>
                <c:pt idx="182">
                  <c:v>1700</c:v>
                </c:pt>
                <c:pt idx="183">
                  <c:v>1700</c:v>
                </c:pt>
                <c:pt idx="184">
                  <c:v>1700</c:v>
                </c:pt>
                <c:pt idx="185">
                  <c:v>1700</c:v>
                </c:pt>
                <c:pt idx="186">
                  <c:v>1700</c:v>
                </c:pt>
                <c:pt idx="187">
                  <c:v>1700</c:v>
                </c:pt>
                <c:pt idx="188">
                  <c:v>1700</c:v>
                </c:pt>
                <c:pt idx="189">
                  <c:v>1700</c:v>
                </c:pt>
                <c:pt idx="190">
                  <c:v>1700</c:v>
                </c:pt>
                <c:pt idx="191">
                  <c:v>1700</c:v>
                </c:pt>
                <c:pt idx="192">
                  <c:v>1700</c:v>
                </c:pt>
                <c:pt idx="193">
                  <c:v>1700</c:v>
                </c:pt>
                <c:pt idx="194">
                  <c:v>1700</c:v>
                </c:pt>
                <c:pt idx="195">
                  <c:v>1700</c:v>
                </c:pt>
                <c:pt idx="196">
                  <c:v>1700</c:v>
                </c:pt>
                <c:pt idx="197">
                  <c:v>1700</c:v>
                </c:pt>
                <c:pt idx="198">
                  <c:v>1700</c:v>
                </c:pt>
                <c:pt idx="199">
                  <c:v>1700</c:v>
                </c:pt>
                <c:pt idx="200">
                  <c:v>1700</c:v>
                </c:pt>
                <c:pt idx="201">
                  <c:v>1700</c:v>
                </c:pt>
                <c:pt idx="202">
                  <c:v>1700</c:v>
                </c:pt>
                <c:pt idx="203">
                  <c:v>1700</c:v>
                </c:pt>
                <c:pt idx="204">
                  <c:v>1700</c:v>
                </c:pt>
                <c:pt idx="205">
                  <c:v>1700</c:v>
                </c:pt>
                <c:pt idx="206">
                  <c:v>1700</c:v>
                </c:pt>
                <c:pt idx="207">
                  <c:v>1700</c:v>
                </c:pt>
                <c:pt idx="208">
                  <c:v>1700</c:v>
                </c:pt>
                <c:pt idx="209">
                  <c:v>1700</c:v>
                </c:pt>
                <c:pt idx="210">
                  <c:v>1700</c:v>
                </c:pt>
                <c:pt idx="211">
                  <c:v>1700</c:v>
                </c:pt>
                <c:pt idx="212">
                  <c:v>1700</c:v>
                </c:pt>
                <c:pt idx="213">
                  <c:v>1700</c:v>
                </c:pt>
                <c:pt idx="214">
                  <c:v>1700</c:v>
                </c:pt>
                <c:pt idx="215">
                  <c:v>1700</c:v>
                </c:pt>
                <c:pt idx="216">
                  <c:v>1700</c:v>
                </c:pt>
                <c:pt idx="217">
                  <c:v>1700</c:v>
                </c:pt>
                <c:pt idx="218">
                  <c:v>1700</c:v>
                </c:pt>
                <c:pt idx="219">
                  <c:v>1700</c:v>
                </c:pt>
                <c:pt idx="220">
                  <c:v>1700</c:v>
                </c:pt>
                <c:pt idx="221">
                  <c:v>1700</c:v>
                </c:pt>
                <c:pt idx="222">
                  <c:v>1700</c:v>
                </c:pt>
                <c:pt idx="223">
                  <c:v>1700</c:v>
                </c:pt>
                <c:pt idx="224">
                  <c:v>1700</c:v>
                </c:pt>
                <c:pt idx="225">
                  <c:v>1700</c:v>
                </c:pt>
                <c:pt idx="226">
                  <c:v>1700</c:v>
                </c:pt>
                <c:pt idx="227">
                  <c:v>1700</c:v>
                </c:pt>
                <c:pt idx="228">
                  <c:v>1700</c:v>
                </c:pt>
                <c:pt idx="229">
                  <c:v>1700</c:v>
                </c:pt>
                <c:pt idx="230">
                  <c:v>1700</c:v>
                </c:pt>
                <c:pt idx="231">
                  <c:v>1700</c:v>
                </c:pt>
                <c:pt idx="232">
                  <c:v>1700</c:v>
                </c:pt>
                <c:pt idx="233">
                  <c:v>1700</c:v>
                </c:pt>
                <c:pt idx="234">
                  <c:v>1700</c:v>
                </c:pt>
                <c:pt idx="235">
                  <c:v>1700</c:v>
                </c:pt>
                <c:pt idx="236">
                  <c:v>1700</c:v>
                </c:pt>
                <c:pt idx="237">
                  <c:v>1700</c:v>
                </c:pt>
                <c:pt idx="238">
                  <c:v>1700</c:v>
                </c:pt>
                <c:pt idx="239">
                  <c:v>1700</c:v>
                </c:pt>
                <c:pt idx="240">
                  <c:v>1700</c:v>
                </c:pt>
                <c:pt idx="241">
                  <c:v>1700</c:v>
                </c:pt>
                <c:pt idx="242">
                  <c:v>1700</c:v>
                </c:pt>
                <c:pt idx="243">
                  <c:v>1700</c:v>
                </c:pt>
                <c:pt idx="244">
                  <c:v>1700</c:v>
                </c:pt>
                <c:pt idx="245">
                  <c:v>1700</c:v>
                </c:pt>
                <c:pt idx="246">
                  <c:v>1700</c:v>
                </c:pt>
                <c:pt idx="247">
                  <c:v>1700</c:v>
                </c:pt>
                <c:pt idx="248">
                  <c:v>1700</c:v>
                </c:pt>
                <c:pt idx="249">
                  <c:v>1700</c:v>
                </c:pt>
                <c:pt idx="250">
                  <c:v>1700</c:v>
                </c:pt>
                <c:pt idx="251">
                  <c:v>1700</c:v>
                </c:pt>
                <c:pt idx="252">
                  <c:v>1700</c:v>
                </c:pt>
                <c:pt idx="253">
                  <c:v>1700</c:v>
                </c:pt>
                <c:pt idx="254">
                  <c:v>1700</c:v>
                </c:pt>
                <c:pt idx="255">
                  <c:v>1700</c:v>
                </c:pt>
                <c:pt idx="256">
                  <c:v>1700</c:v>
                </c:pt>
                <c:pt idx="257">
                  <c:v>1700</c:v>
                </c:pt>
                <c:pt idx="258">
                  <c:v>1700</c:v>
                </c:pt>
                <c:pt idx="259">
                  <c:v>1700</c:v>
                </c:pt>
                <c:pt idx="260">
                  <c:v>1700</c:v>
                </c:pt>
                <c:pt idx="261">
                  <c:v>1700</c:v>
                </c:pt>
                <c:pt idx="262">
                  <c:v>1700</c:v>
                </c:pt>
                <c:pt idx="263">
                  <c:v>1700</c:v>
                </c:pt>
                <c:pt idx="264">
                  <c:v>1700</c:v>
                </c:pt>
                <c:pt idx="265">
                  <c:v>1700</c:v>
                </c:pt>
                <c:pt idx="266">
                  <c:v>1700</c:v>
                </c:pt>
                <c:pt idx="267">
                  <c:v>1700</c:v>
                </c:pt>
                <c:pt idx="268">
                  <c:v>1700</c:v>
                </c:pt>
                <c:pt idx="269">
                  <c:v>1700</c:v>
                </c:pt>
                <c:pt idx="270">
                  <c:v>1700</c:v>
                </c:pt>
                <c:pt idx="271">
                  <c:v>1700</c:v>
                </c:pt>
                <c:pt idx="272">
                  <c:v>1700</c:v>
                </c:pt>
                <c:pt idx="273">
                  <c:v>1700</c:v>
                </c:pt>
                <c:pt idx="274">
                  <c:v>1700</c:v>
                </c:pt>
                <c:pt idx="275">
                  <c:v>1700</c:v>
                </c:pt>
                <c:pt idx="276">
                  <c:v>1700</c:v>
                </c:pt>
                <c:pt idx="277">
                  <c:v>1700</c:v>
                </c:pt>
                <c:pt idx="278">
                  <c:v>1700</c:v>
                </c:pt>
                <c:pt idx="279">
                  <c:v>1700</c:v>
                </c:pt>
                <c:pt idx="280">
                  <c:v>1700</c:v>
                </c:pt>
              </c:numCache>
            </c:numRef>
          </c:val>
          <c:smooth val="0"/>
          <c:extLst>
            <c:ext xmlns:c16="http://schemas.microsoft.com/office/drawing/2014/chart" uri="{C3380CC4-5D6E-409C-BE32-E72D297353CC}">
              <c16:uniqueId val="{00000000-0734-43B0-8357-49B35EFAA9CE}"/>
            </c:ext>
          </c:extLst>
        </c:ser>
        <c:ser>
          <c:idx val="1"/>
          <c:order val="1"/>
          <c:tx>
            <c:strRef>
              <c:f>'Effecten CVO 2025'!$K$22</c:f>
              <c:strCache>
                <c:ptCount val="1"/>
                <c:pt idx="0">
                  <c:v>Alleenstaande LEB</c:v>
                </c:pt>
              </c:strCache>
            </c:strRef>
          </c:tx>
          <c:spPr>
            <a:ln w="28575" cap="rnd">
              <a:solidFill>
                <a:sysClr val="windowText" lastClr="000000"/>
              </a:solidFill>
              <a:prstDash val="sysDash"/>
              <a:round/>
            </a:ln>
            <a:effectLst/>
          </c:spPr>
          <c:marker>
            <c:symbol val="none"/>
          </c:marker>
          <c:cat>
            <c:numRef>
              <c:f>'Effecten CVO 2025'!$I$23:$I$303</c:f>
              <c:numCache>
                <c:formatCode>_ * #,##0_ ;_ * \-#,##0_ ;_ * "-"??_ ;_ @_ </c:formatCode>
                <c:ptCount val="28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numCache>
            </c:numRef>
          </c:cat>
          <c:val>
            <c:numRef>
              <c:f>'Effecten CVO 2025'!$K$23:$K$303</c:f>
              <c:numCache>
                <c:formatCode>_ * #,##0_ ;_ * \-#,##0_ ;_ * "-"??_ ;_ @_ </c:formatCode>
                <c:ptCount val="28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1.008</c:v>
                </c:pt>
                <c:pt idx="69">
                  <c:v>3.0080000000000005</c:v>
                </c:pt>
                <c:pt idx="70">
                  <c:v>5.008</c:v>
                </c:pt>
                <c:pt idx="71">
                  <c:v>7.008</c:v>
                </c:pt>
                <c:pt idx="72">
                  <c:v>9.0080000000000009</c:v>
                </c:pt>
                <c:pt idx="73">
                  <c:v>11.008000000000001</c:v>
                </c:pt>
                <c:pt idx="74">
                  <c:v>13.008000000000003</c:v>
                </c:pt>
                <c:pt idx="75">
                  <c:v>15.008000000000003</c:v>
                </c:pt>
                <c:pt idx="76">
                  <c:v>17.008000000000003</c:v>
                </c:pt>
                <c:pt idx="77">
                  <c:v>19.008000000000003</c:v>
                </c:pt>
                <c:pt idx="78">
                  <c:v>21.008000000000003</c:v>
                </c:pt>
                <c:pt idx="79">
                  <c:v>23.008000000000003</c:v>
                </c:pt>
                <c:pt idx="80">
                  <c:v>25.008000000000003</c:v>
                </c:pt>
                <c:pt idx="81">
                  <c:v>27.007999999999999</c:v>
                </c:pt>
                <c:pt idx="82">
                  <c:v>29.007999999999999</c:v>
                </c:pt>
                <c:pt idx="83">
                  <c:v>31.007999999999999</c:v>
                </c:pt>
                <c:pt idx="84">
                  <c:v>33.008000000000003</c:v>
                </c:pt>
                <c:pt idx="85">
                  <c:v>35.008000000000003</c:v>
                </c:pt>
                <c:pt idx="86">
                  <c:v>37.008000000000003</c:v>
                </c:pt>
                <c:pt idx="87">
                  <c:v>39.008000000000003</c:v>
                </c:pt>
                <c:pt idx="88">
                  <c:v>41.008000000000003</c:v>
                </c:pt>
                <c:pt idx="89">
                  <c:v>43.008000000000003</c:v>
                </c:pt>
                <c:pt idx="90">
                  <c:v>45.008000000000003</c:v>
                </c:pt>
                <c:pt idx="91">
                  <c:v>47.008000000000003</c:v>
                </c:pt>
                <c:pt idx="92">
                  <c:v>49.008000000000003</c:v>
                </c:pt>
                <c:pt idx="93">
                  <c:v>51.008000000000003</c:v>
                </c:pt>
                <c:pt idx="94">
                  <c:v>53.00800000000001</c:v>
                </c:pt>
                <c:pt idx="95">
                  <c:v>55.00800000000001</c:v>
                </c:pt>
                <c:pt idx="96">
                  <c:v>57.00800000000001</c:v>
                </c:pt>
                <c:pt idx="97">
                  <c:v>59.00800000000001</c:v>
                </c:pt>
                <c:pt idx="98">
                  <c:v>61.00800000000001</c:v>
                </c:pt>
                <c:pt idx="99">
                  <c:v>63.00800000000001</c:v>
                </c:pt>
                <c:pt idx="100">
                  <c:v>65.00800000000001</c:v>
                </c:pt>
                <c:pt idx="101">
                  <c:v>67.00800000000001</c:v>
                </c:pt>
                <c:pt idx="102">
                  <c:v>69.00800000000001</c:v>
                </c:pt>
                <c:pt idx="103">
                  <c:v>71.00800000000001</c:v>
                </c:pt>
                <c:pt idx="104">
                  <c:v>73.00800000000001</c:v>
                </c:pt>
                <c:pt idx="105">
                  <c:v>75.00800000000001</c:v>
                </c:pt>
                <c:pt idx="106">
                  <c:v>77.00800000000001</c:v>
                </c:pt>
                <c:pt idx="107">
                  <c:v>79.00800000000001</c:v>
                </c:pt>
                <c:pt idx="108">
                  <c:v>81.00800000000001</c:v>
                </c:pt>
                <c:pt idx="109">
                  <c:v>83.00800000000001</c:v>
                </c:pt>
                <c:pt idx="110">
                  <c:v>85.00800000000001</c:v>
                </c:pt>
                <c:pt idx="111">
                  <c:v>87.00800000000001</c:v>
                </c:pt>
                <c:pt idx="112">
                  <c:v>89.00800000000001</c:v>
                </c:pt>
                <c:pt idx="113">
                  <c:v>91.00800000000001</c:v>
                </c:pt>
                <c:pt idx="114">
                  <c:v>93.00800000000001</c:v>
                </c:pt>
                <c:pt idx="115">
                  <c:v>97.00800000000001</c:v>
                </c:pt>
                <c:pt idx="116">
                  <c:v>101.00800000000001</c:v>
                </c:pt>
                <c:pt idx="117">
                  <c:v>105.008</c:v>
                </c:pt>
                <c:pt idx="118">
                  <c:v>109.008</c:v>
                </c:pt>
                <c:pt idx="119">
                  <c:v>113.008</c:v>
                </c:pt>
                <c:pt idx="120">
                  <c:v>117.008</c:v>
                </c:pt>
                <c:pt idx="121">
                  <c:v>121.008</c:v>
                </c:pt>
                <c:pt idx="122">
                  <c:v>125.008</c:v>
                </c:pt>
                <c:pt idx="123">
                  <c:v>129.00800000000001</c:v>
                </c:pt>
                <c:pt idx="124">
                  <c:v>133.00800000000001</c:v>
                </c:pt>
                <c:pt idx="125">
                  <c:v>137.00800000000001</c:v>
                </c:pt>
                <c:pt idx="126">
                  <c:v>141.00800000000001</c:v>
                </c:pt>
                <c:pt idx="127">
                  <c:v>145.00800000000001</c:v>
                </c:pt>
                <c:pt idx="128">
                  <c:v>149.00800000000001</c:v>
                </c:pt>
                <c:pt idx="129">
                  <c:v>153.00800000000001</c:v>
                </c:pt>
                <c:pt idx="130">
                  <c:v>157.00800000000001</c:v>
                </c:pt>
                <c:pt idx="131">
                  <c:v>161.00800000000001</c:v>
                </c:pt>
                <c:pt idx="132">
                  <c:v>165.00800000000001</c:v>
                </c:pt>
                <c:pt idx="133">
                  <c:v>169.00800000000001</c:v>
                </c:pt>
                <c:pt idx="134">
                  <c:v>170</c:v>
                </c:pt>
                <c:pt idx="135">
                  <c:v>170</c:v>
                </c:pt>
                <c:pt idx="136">
                  <c:v>170</c:v>
                </c:pt>
                <c:pt idx="137">
                  <c:v>170</c:v>
                </c:pt>
                <c:pt idx="138">
                  <c:v>170</c:v>
                </c:pt>
                <c:pt idx="139">
                  <c:v>170</c:v>
                </c:pt>
                <c:pt idx="140">
                  <c:v>170</c:v>
                </c:pt>
                <c:pt idx="141">
                  <c:v>170</c:v>
                </c:pt>
                <c:pt idx="142">
                  <c:v>170</c:v>
                </c:pt>
                <c:pt idx="143">
                  <c:v>170</c:v>
                </c:pt>
                <c:pt idx="144">
                  <c:v>170</c:v>
                </c:pt>
                <c:pt idx="145">
                  <c:v>170</c:v>
                </c:pt>
                <c:pt idx="146">
                  <c:v>170</c:v>
                </c:pt>
                <c:pt idx="147">
                  <c:v>170</c:v>
                </c:pt>
                <c:pt idx="148">
                  <c:v>170</c:v>
                </c:pt>
                <c:pt idx="149">
                  <c:v>170</c:v>
                </c:pt>
                <c:pt idx="150">
                  <c:v>170</c:v>
                </c:pt>
                <c:pt idx="151">
                  <c:v>170</c:v>
                </c:pt>
                <c:pt idx="152">
                  <c:v>170</c:v>
                </c:pt>
                <c:pt idx="153">
                  <c:v>170</c:v>
                </c:pt>
                <c:pt idx="154">
                  <c:v>170</c:v>
                </c:pt>
                <c:pt idx="155">
                  <c:v>170</c:v>
                </c:pt>
                <c:pt idx="156">
                  <c:v>170</c:v>
                </c:pt>
                <c:pt idx="157">
                  <c:v>170</c:v>
                </c:pt>
                <c:pt idx="158">
                  <c:v>170</c:v>
                </c:pt>
                <c:pt idx="159">
                  <c:v>170</c:v>
                </c:pt>
                <c:pt idx="160">
                  <c:v>170</c:v>
                </c:pt>
                <c:pt idx="161">
                  <c:v>170</c:v>
                </c:pt>
                <c:pt idx="162">
                  <c:v>170</c:v>
                </c:pt>
                <c:pt idx="163">
                  <c:v>170</c:v>
                </c:pt>
                <c:pt idx="164">
                  <c:v>170</c:v>
                </c:pt>
                <c:pt idx="165">
                  <c:v>170</c:v>
                </c:pt>
                <c:pt idx="166">
                  <c:v>170</c:v>
                </c:pt>
                <c:pt idx="167">
                  <c:v>170</c:v>
                </c:pt>
                <c:pt idx="168">
                  <c:v>170</c:v>
                </c:pt>
                <c:pt idx="169">
                  <c:v>170</c:v>
                </c:pt>
                <c:pt idx="170">
                  <c:v>170</c:v>
                </c:pt>
                <c:pt idx="171">
                  <c:v>170</c:v>
                </c:pt>
                <c:pt idx="172">
                  <c:v>170</c:v>
                </c:pt>
                <c:pt idx="173">
                  <c:v>170</c:v>
                </c:pt>
                <c:pt idx="174">
                  <c:v>170</c:v>
                </c:pt>
                <c:pt idx="175">
                  <c:v>170</c:v>
                </c:pt>
                <c:pt idx="176">
                  <c:v>170</c:v>
                </c:pt>
                <c:pt idx="177">
                  <c:v>170</c:v>
                </c:pt>
                <c:pt idx="178">
                  <c:v>170</c:v>
                </c:pt>
                <c:pt idx="179">
                  <c:v>170</c:v>
                </c:pt>
                <c:pt idx="180">
                  <c:v>170</c:v>
                </c:pt>
                <c:pt idx="181">
                  <c:v>170</c:v>
                </c:pt>
                <c:pt idx="182">
                  <c:v>170</c:v>
                </c:pt>
                <c:pt idx="183">
                  <c:v>170</c:v>
                </c:pt>
                <c:pt idx="184">
                  <c:v>170</c:v>
                </c:pt>
                <c:pt idx="185">
                  <c:v>170</c:v>
                </c:pt>
                <c:pt idx="186">
                  <c:v>170</c:v>
                </c:pt>
                <c:pt idx="187">
                  <c:v>170</c:v>
                </c:pt>
                <c:pt idx="188">
                  <c:v>170</c:v>
                </c:pt>
                <c:pt idx="189">
                  <c:v>170</c:v>
                </c:pt>
                <c:pt idx="190">
                  <c:v>170</c:v>
                </c:pt>
                <c:pt idx="191">
                  <c:v>170</c:v>
                </c:pt>
                <c:pt idx="192">
                  <c:v>170</c:v>
                </c:pt>
                <c:pt idx="193">
                  <c:v>170</c:v>
                </c:pt>
                <c:pt idx="194">
                  <c:v>170</c:v>
                </c:pt>
                <c:pt idx="195">
                  <c:v>170</c:v>
                </c:pt>
                <c:pt idx="196">
                  <c:v>170</c:v>
                </c:pt>
                <c:pt idx="197">
                  <c:v>170</c:v>
                </c:pt>
                <c:pt idx="198">
                  <c:v>170</c:v>
                </c:pt>
                <c:pt idx="199">
                  <c:v>170</c:v>
                </c:pt>
                <c:pt idx="200">
                  <c:v>170</c:v>
                </c:pt>
                <c:pt idx="201">
                  <c:v>170</c:v>
                </c:pt>
                <c:pt idx="202">
                  <c:v>170</c:v>
                </c:pt>
                <c:pt idx="203">
                  <c:v>170</c:v>
                </c:pt>
                <c:pt idx="204">
                  <c:v>170</c:v>
                </c:pt>
                <c:pt idx="205">
                  <c:v>170</c:v>
                </c:pt>
                <c:pt idx="206">
                  <c:v>170</c:v>
                </c:pt>
                <c:pt idx="207">
                  <c:v>170</c:v>
                </c:pt>
                <c:pt idx="208">
                  <c:v>170</c:v>
                </c:pt>
                <c:pt idx="209">
                  <c:v>170</c:v>
                </c:pt>
                <c:pt idx="210">
                  <c:v>170</c:v>
                </c:pt>
                <c:pt idx="211">
                  <c:v>170</c:v>
                </c:pt>
                <c:pt idx="212">
                  <c:v>170</c:v>
                </c:pt>
                <c:pt idx="213">
                  <c:v>170</c:v>
                </c:pt>
                <c:pt idx="214">
                  <c:v>170</c:v>
                </c:pt>
                <c:pt idx="215">
                  <c:v>170</c:v>
                </c:pt>
                <c:pt idx="216">
                  <c:v>170</c:v>
                </c:pt>
                <c:pt idx="217">
                  <c:v>170</c:v>
                </c:pt>
                <c:pt idx="218">
                  <c:v>170</c:v>
                </c:pt>
                <c:pt idx="219">
                  <c:v>170</c:v>
                </c:pt>
                <c:pt idx="220">
                  <c:v>170</c:v>
                </c:pt>
                <c:pt idx="221">
                  <c:v>170</c:v>
                </c:pt>
                <c:pt idx="222">
                  <c:v>170</c:v>
                </c:pt>
                <c:pt idx="223">
                  <c:v>170</c:v>
                </c:pt>
                <c:pt idx="224">
                  <c:v>170</c:v>
                </c:pt>
                <c:pt idx="225">
                  <c:v>170</c:v>
                </c:pt>
                <c:pt idx="226">
                  <c:v>170</c:v>
                </c:pt>
                <c:pt idx="227">
                  <c:v>170</c:v>
                </c:pt>
                <c:pt idx="228">
                  <c:v>170</c:v>
                </c:pt>
                <c:pt idx="229">
                  <c:v>170</c:v>
                </c:pt>
                <c:pt idx="230">
                  <c:v>170</c:v>
                </c:pt>
                <c:pt idx="231">
                  <c:v>170</c:v>
                </c:pt>
                <c:pt idx="232">
                  <c:v>170</c:v>
                </c:pt>
                <c:pt idx="233">
                  <c:v>170</c:v>
                </c:pt>
                <c:pt idx="234">
                  <c:v>170</c:v>
                </c:pt>
                <c:pt idx="235">
                  <c:v>170</c:v>
                </c:pt>
                <c:pt idx="236">
                  <c:v>170</c:v>
                </c:pt>
                <c:pt idx="237">
                  <c:v>170</c:v>
                </c:pt>
                <c:pt idx="238">
                  <c:v>170</c:v>
                </c:pt>
                <c:pt idx="239">
                  <c:v>170</c:v>
                </c:pt>
                <c:pt idx="240">
                  <c:v>170</c:v>
                </c:pt>
                <c:pt idx="241">
                  <c:v>170</c:v>
                </c:pt>
                <c:pt idx="242">
                  <c:v>170</c:v>
                </c:pt>
                <c:pt idx="243">
                  <c:v>170</c:v>
                </c:pt>
                <c:pt idx="244">
                  <c:v>170</c:v>
                </c:pt>
                <c:pt idx="245">
                  <c:v>170</c:v>
                </c:pt>
                <c:pt idx="246">
                  <c:v>170</c:v>
                </c:pt>
                <c:pt idx="247">
                  <c:v>170</c:v>
                </c:pt>
                <c:pt idx="248">
                  <c:v>170</c:v>
                </c:pt>
                <c:pt idx="249">
                  <c:v>170</c:v>
                </c:pt>
                <c:pt idx="250">
                  <c:v>170</c:v>
                </c:pt>
                <c:pt idx="251">
                  <c:v>170</c:v>
                </c:pt>
                <c:pt idx="252">
                  <c:v>170</c:v>
                </c:pt>
                <c:pt idx="253">
                  <c:v>170</c:v>
                </c:pt>
                <c:pt idx="254">
                  <c:v>170</c:v>
                </c:pt>
                <c:pt idx="255">
                  <c:v>170</c:v>
                </c:pt>
                <c:pt idx="256">
                  <c:v>170</c:v>
                </c:pt>
                <c:pt idx="257">
                  <c:v>170</c:v>
                </c:pt>
                <c:pt idx="258">
                  <c:v>170</c:v>
                </c:pt>
                <c:pt idx="259">
                  <c:v>170</c:v>
                </c:pt>
                <c:pt idx="260">
                  <c:v>170</c:v>
                </c:pt>
                <c:pt idx="261">
                  <c:v>170</c:v>
                </c:pt>
                <c:pt idx="262">
                  <c:v>170</c:v>
                </c:pt>
                <c:pt idx="263">
                  <c:v>170</c:v>
                </c:pt>
                <c:pt idx="264">
                  <c:v>170</c:v>
                </c:pt>
                <c:pt idx="265">
                  <c:v>170</c:v>
                </c:pt>
                <c:pt idx="266">
                  <c:v>170</c:v>
                </c:pt>
                <c:pt idx="267">
                  <c:v>170</c:v>
                </c:pt>
                <c:pt idx="268">
                  <c:v>170</c:v>
                </c:pt>
                <c:pt idx="269">
                  <c:v>170</c:v>
                </c:pt>
                <c:pt idx="270">
                  <c:v>170</c:v>
                </c:pt>
                <c:pt idx="271">
                  <c:v>170</c:v>
                </c:pt>
                <c:pt idx="272">
                  <c:v>170</c:v>
                </c:pt>
                <c:pt idx="273">
                  <c:v>170</c:v>
                </c:pt>
                <c:pt idx="274">
                  <c:v>170</c:v>
                </c:pt>
                <c:pt idx="275">
                  <c:v>170</c:v>
                </c:pt>
                <c:pt idx="276">
                  <c:v>170</c:v>
                </c:pt>
                <c:pt idx="277">
                  <c:v>170</c:v>
                </c:pt>
                <c:pt idx="278">
                  <c:v>170</c:v>
                </c:pt>
                <c:pt idx="279">
                  <c:v>170</c:v>
                </c:pt>
                <c:pt idx="280">
                  <c:v>170</c:v>
                </c:pt>
              </c:numCache>
            </c:numRef>
          </c:val>
          <c:smooth val="0"/>
          <c:extLst>
            <c:ext xmlns:c16="http://schemas.microsoft.com/office/drawing/2014/chart" uri="{C3380CC4-5D6E-409C-BE32-E72D297353CC}">
              <c16:uniqueId val="{00000001-0734-43B0-8357-49B35EFAA9CE}"/>
            </c:ext>
          </c:extLst>
        </c:ser>
        <c:ser>
          <c:idx val="2"/>
          <c:order val="2"/>
          <c:tx>
            <c:strRef>
              <c:f>'Effecten CVO 2025'!$L$22</c:f>
              <c:strCache>
                <c:ptCount val="1"/>
                <c:pt idx="0">
                  <c:v>Meerpersoonshuishouden** HEB***</c:v>
                </c:pt>
              </c:strCache>
            </c:strRef>
          </c:tx>
          <c:spPr>
            <a:ln w="28575" cap="rnd">
              <a:solidFill>
                <a:schemeClr val="bg1">
                  <a:lumMod val="65000"/>
                </a:schemeClr>
              </a:solidFill>
              <a:round/>
            </a:ln>
            <a:effectLst/>
          </c:spPr>
          <c:marker>
            <c:symbol val="none"/>
          </c:marker>
          <c:cat>
            <c:numRef>
              <c:f>'Effecten CVO 2025'!$I$23:$I$303</c:f>
              <c:numCache>
                <c:formatCode>_ * #,##0_ ;_ * \-#,##0_ ;_ * "-"??_ ;_ @_ </c:formatCode>
                <c:ptCount val="28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numCache>
            </c:numRef>
          </c:cat>
          <c:val>
            <c:numRef>
              <c:f>'Effecten CVO 2025'!$L$23:$L$303</c:f>
              <c:numCache>
                <c:formatCode>_ * #,##0_ ;_ * \-#,##0_ ;_ * "-"??_ ;_ @_ </c:formatCode>
                <c:ptCount val="28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0.16</c:v>
                </c:pt>
                <c:pt idx="136">
                  <c:v>20.16</c:v>
                </c:pt>
                <c:pt idx="137">
                  <c:v>40.160000000000004</c:v>
                </c:pt>
                <c:pt idx="138">
                  <c:v>60.160000000000004</c:v>
                </c:pt>
                <c:pt idx="139">
                  <c:v>80.16</c:v>
                </c:pt>
                <c:pt idx="140">
                  <c:v>100.16</c:v>
                </c:pt>
                <c:pt idx="141">
                  <c:v>120.16</c:v>
                </c:pt>
                <c:pt idx="142">
                  <c:v>140.16</c:v>
                </c:pt>
                <c:pt idx="143">
                  <c:v>160.16</c:v>
                </c:pt>
                <c:pt idx="144">
                  <c:v>180.16</c:v>
                </c:pt>
                <c:pt idx="145">
                  <c:v>200.16</c:v>
                </c:pt>
                <c:pt idx="146">
                  <c:v>220.16</c:v>
                </c:pt>
                <c:pt idx="147">
                  <c:v>240.16</c:v>
                </c:pt>
                <c:pt idx="148">
                  <c:v>260.16000000000003</c:v>
                </c:pt>
                <c:pt idx="149">
                  <c:v>280.16000000000003</c:v>
                </c:pt>
                <c:pt idx="150">
                  <c:v>300.16000000000003</c:v>
                </c:pt>
                <c:pt idx="151">
                  <c:v>320.16000000000003</c:v>
                </c:pt>
                <c:pt idx="152">
                  <c:v>340.16</c:v>
                </c:pt>
                <c:pt idx="153">
                  <c:v>360.16</c:v>
                </c:pt>
                <c:pt idx="154">
                  <c:v>380.16</c:v>
                </c:pt>
                <c:pt idx="155">
                  <c:v>400.16</c:v>
                </c:pt>
                <c:pt idx="156">
                  <c:v>420.16</c:v>
                </c:pt>
                <c:pt idx="157">
                  <c:v>440.16</c:v>
                </c:pt>
                <c:pt idx="158">
                  <c:v>460.16</c:v>
                </c:pt>
                <c:pt idx="159">
                  <c:v>480.16</c:v>
                </c:pt>
                <c:pt idx="160">
                  <c:v>500.16</c:v>
                </c:pt>
                <c:pt idx="161">
                  <c:v>520.16</c:v>
                </c:pt>
                <c:pt idx="162">
                  <c:v>540.16</c:v>
                </c:pt>
                <c:pt idx="163">
                  <c:v>560.16</c:v>
                </c:pt>
                <c:pt idx="164">
                  <c:v>580.16</c:v>
                </c:pt>
                <c:pt idx="165">
                  <c:v>600.16</c:v>
                </c:pt>
                <c:pt idx="166">
                  <c:v>620.16</c:v>
                </c:pt>
                <c:pt idx="167">
                  <c:v>640.16</c:v>
                </c:pt>
                <c:pt idx="168">
                  <c:v>660.16</c:v>
                </c:pt>
                <c:pt idx="169">
                  <c:v>680.16</c:v>
                </c:pt>
                <c:pt idx="170">
                  <c:v>700.16</c:v>
                </c:pt>
                <c:pt idx="171">
                  <c:v>720.16</c:v>
                </c:pt>
                <c:pt idx="172">
                  <c:v>740.16</c:v>
                </c:pt>
                <c:pt idx="173">
                  <c:v>760.16</c:v>
                </c:pt>
                <c:pt idx="174">
                  <c:v>780.16</c:v>
                </c:pt>
                <c:pt idx="175">
                  <c:v>800.16</c:v>
                </c:pt>
                <c:pt idx="176">
                  <c:v>820.16</c:v>
                </c:pt>
                <c:pt idx="177">
                  <c:v>840.16</c:v>
                </c:pt>
                <c:pt idx="178">
                  <c:v>860.16</c:v>
                </c:pt>
                <c:pt idx="179">
                  <c:v>880.16</c:v>
                </c:pt>
                <c:pt idx="180">
                  <c:v>900.16</c:v>
                </c:pt>
                <c:pt idx="181">
                  <c:v>920.16</c:v>
                </c:pt>
                <c:pt idx="182">
                  <c:v>940.16</c:v>
                </c:pt>
                <c:pt idx="183">
                  <c:v>960.16</c:v>
                </c:pt>
                <c:pt idx="184">
                  <c:v>980.16</c:v>
                </c:pt>
                <c:pt idx="185">
                  <c:v>1000.16</c:v>
                </c:pt>
                <c:pt idx="186">
                  <c:v>1020.16</c:v>
                </c:pt>
                <c:pt idx="187">
                  <c:v>1040.1600000000001</c:v>
                </c:pt>
                <c:pt idx="188">
                  <c:v>1060.1600000000001</c:v>
                </c:pt>
                <c:pt idx="189">
                  <c:v>1080.1600000000001</c:v>
                </c:pt>
                <c:pt idx="190">
                  <c:v>1100.1600000000001</c:v>
                </c:pt>
                <c:pt idx="191">
                  <c:v>1120.1600000000001</c:v>
                </c:pt>
                <c:pt idx="192">
                  <c:v>1140.1600000000001</c:v>
                </c:pt>
                <c:pt idx="193">
                  <c:v>1160.1600000000001</c:v>
                </c:pt>
                <c:pt idx="194">
                  <c:v>1180.1600000000001</c:v>
                </c:pt>
                <c:pt idx="195">
                  <c:v>1200.1600000000001</c:v>
                </c:pt>
                <c:pt idx="196">
                  <c:v>1220.1600000000001</c:v>
                </c:pt>
                <c:pt idx="197">
                  <c:v>1240.1600000000001</c:v>
                </c:pt>
                <c:pt idx="198">
                  <c:v>1260.1600000000001</c:v>
                </c:pt>
                <c:pt idx="199">
                  <c:v>1280.1600000000001</c:v>
                </c:pt>
                <c:pt idx="200">
                  <c:v>1300.1600000000001</c:v>
                </c:pt>
                <c:pt idx="201">
                  <c:v>1320.16</c:v>
                </c:pt>
                <c:pt idx="202">
                  <c:v>1340.16</c:v>
                </c:pt>
                <c:pt idx="203">
                  <c:v>1360.16</c:v>
                </c:pt>
                <c:pt idx="204">
                  <c:v>1380.16</c:v>
                </c:pt>
                <c:pt idx="205">
                  <c:v>1400.16</c:v>
                </c:pt>
                <c:pt idx="206">
                  <c:v>1420.16</c:v>
                </c:pt>
                <c:pt idx="207">
                  <c:v>1440.16</c:v>
                </c:pt>
                <c:pt idx="208">
                  <c:v>1460.16</c:v>
                </c:pt>
                <c:pt idx="209">
                  <c:v>1480.16</c:v>
                </c:pt>
                <c:pt idx="210">
                  <c:v>1500.16</c:v>
                </c:pt>
                <c:pt idx="211">
                  <c:v>1520.16</c:v>
                </c:pt>
                <c:pt idx="212">
                  <c:v>1540.16</c:v>
                </c:pt>
                <c:pt idx="213">
                  <c:v>1560.16</c:v>
                </c:pt>
                <c:pt idx="214">
                  <c:v>1580.16</c:v>
                </c:pt>
                <c:pt idx="215">
                  <c:v>1600.16</c:v>
                </c:pt>
                <c:pt idx="216">
                  <c:v>1620.16</c:v>
                </c:pt>
                <c:pt idx="217">
                  <c:v>1640.16</c:v>
                </c:pt>
                <c:pt idx="218">
                  <c:v>1660.16</c:v>
                </c:pt>
                <c:pt idx="219">
                  <c:v>1680.16</c:v>
                </c:pt>
                <c:pt idx="220">
                  <c:v>1700.16</c:v>
                </c:pt>
                <c:pt idx="221">
                  <c:v>1720.16</c:v>
                </c:pt>
                <c:pt idx="222">
                  <c:v>1740.16</c:v>
                </c:pt>
                <c:pt idx="223">
                  <c:v>1760.16</c:v>
                </c:pt>
                <c:pt idx="224">
                  <c:v>1780.16</c:v>
                </c:pt>
                <c:pt idx="225">
                  <c:v>1800.16</c:v>
                </c:pt>
                <c:pt idx="226">
                  <c:v>1820.16</c:v>
                </c:pt>
                <c:pt idx="227">
                  <c:v>1840.16</c:v>
                </c:pt>
                <c:pt idx="228">
                  <c:v>1860.16</c:v>
                </c:pt>
                <c:pt idx="229">
                  <c:v>1900.16</c:v>
                </c:pt>
                <c:pt idx="230">
                  <c:v>1940.16</c:v>
                </c:pt>
                <c:pt idx="231">
                  <c:v>1980.16</c:v>
                </c:pt>
                <c:pt idx="232">
                  <c:v>2020.16</c:v>
                </c:pt>
                <c:pt idx="233">
                  <c:v>2060.16</c:v>
                </c:pt>
                <c:pt idx="234">
                  <c:v>2100.16</c:v>
                </c:pt>
                <c:pt idx="235">
                  <c:v>2140.16</c:v>
                </c:pt>
                <c:pt idx="236">
                  <c:v>2180.16</c:v>
                </c:pt>
                <c:pt idx="237">
                  <c:v>2220.16</c:v>
                </c:pt>
                <c:pt idx="238">
                  <c:v>2260.16</c:v>
                </c:pt>
                <c:pt idx="239">
                  <c:v>2300.16</c:v>
                </c:pt>
                <c:pt idx="240">
                  <c:v>2340.16</c:v>
                </c:pt>
                <c:pt idx="241">
                  <c:v>2380.16</c:v>
                </c:pt>
                <c:pt idx="242">
                  <c:v>2420.16</c:v>
                </c:pt>
                <c:pt idx="243">
                  <c:v>2460.16</c:v>
                </c:pt>
                <c:pt idx="244">
                  <c:v>2500.16</c:v>
                </c:pt>
                <c:pt idx="245">
                  <c:v>2540.16</c:v>
                </c:pt>
                <c:pt idx="246">
                  <c:v>2580.16</c:v>
                </c:pt>
                <c:pt idx="247">
                  <c:v>2620.16</c:v>
                </c:pt>
                <c:pt idx="248">
                  <c:v>2660.16</c:v>
                </c:pt>
                <c:pt idx="249">
                  <c:v>2700.16</c:v>
                </c:pt>
                <c:pt idx="250">
                  <c:v>2740.16</c:v>
                </c:pt>
                <c:pt idx="251">
                  <c:v>2780.16</c:v>
                </c:pt>
                <c:pt idx="252">
                  <c:v>2820.16</c:v>
                </c:pt>
                <c:pt idx="253">
                  <c:v>2860.16</c:v>
                </c:pt>
                <c:pt idx="254">
                  <c:v>2900.16</c:v>
                </c:pt>
                <c:pt idx="255">
                  <c:v>2940.16</c:v>
                </c:pt>
                <c:pt idx="256">
                  <c:v>2980.16</c:v>
                </c:pt>
                <c:pt idx="257">
                  <c:v>3020.16</c:v>
                </c:pt>
                <c:pt idx="258">
                  <c:v>3060.16</c:v>
                </c:pt>
                <c:pt idx="259">
                  <c:v>3100.16</c:v>
                </c:pt>
                <c:pt idx="260">
                  <c:v>3140.16</c:v>
                </c:pt>
                <c:pt idx="261">
                  <c:v>3180.16</c:v>
                </c:pt>
                <c:pt idx="262">
                  <c:v>3220.16</c:v>
                </c:pt>
                <c:pt idx="263">
                  <c:v>3260.16</c:v>
                </c:pt>
                <c:pt idx="264">
                  <c:v>3300.16</c:v>
                </c:pt>
                <c:pt idx="265">
                  <c:v>3340.16</c:v>
                </c:pt>
                <c:pt idx="266">
                  <c:v>3380.16</c:v>
                </c:pt>
                <c:pt idx="267">
                  <c:v>3400</c:v>
                </c:pt>
                <c:pt idx="268">
                  <c:v>3400</c:v>
                </c:pt>
                <c:pt idx="269">
                  <c:v>3400</c:v>
                </c:pt>
                <c:pt idx="270">
                  <c:v>3400</c:v>
                </c:pt>
                <c:pt idx="271">
                  <c:v>3400</c:v>
                </c:pt>
                <c:pt idx="272">
                  <c:v>3400</c:v>
                </c:pt>
                <c:pt idx="273">
                  <c:v>3400</c:v>
                </c:pt>
                <c:pt idx="274">
                  <c:v>3400</c:v>
                </c:pt>
                <c:pt idx="275">
                  <c:v>3400</c:v>
                </c:pt>
                <c:pt idx="276">
                  <c:v>3400</c:v>
                </c:pt>
                <c:pt idx="277">
                  <c:v>3400</c:v>
                </c:pt>
                <c:pt idx="278">
                  <c:v>3400</c:v>
                </c:pt>
                <c:pt idx="279">
                  <c:v>3400</c:v>
                </c:pt>
                <c:pt idx="280">
                  <c:v>3400</c:v>
                </c:pt>
              </c:numCache>
            </c:numRef>
          </c:val>
          <c:smooth val="0"/>
          <c:extLst>
            <c:ext xmlns:c16="http://schemas.microsoft.com/office/drawing/2014/chart" uri="{C3380CC4-5D6E-409C-BE32-E72D297353CC}">
              <c16:uniqueId val="{00000002-0734-43B0-8357-49B35EFAA9CE}"/>
            </c:ext>
          </c:extLst>
        </c:ser>
        <c:ser>
          <c:idx val="3"/>
          <c:order val="3"/>
          <c:tx>
            <c:strRef>
              <c:f>'Effecten CVO 2025'!$M$22</c:f>
              <c:strCache>
                <c:ptCount val="1"/>
                <c:pt idx="0">
                  <c:v>Meerpersoonshuishouden** LEB</c:v>
                </c:pt>
              </c:strCache>
            </c:strRef>
          </c:tx>
          <c:spPr>
            <a:ln w="28575" cap="rnd">
              <a:solidFill>
                <a:schemeClr val="bg1">
                  <a:lumMod val="65000"/>
                </a:schemeClr>
              </a:solidFill>
              <a:prstDash val="sysDash"/>
              <a:round/>
            </a:ln>
            <a:effectLst/>
          </c:spPr>
          <c:marker>
            <c:symbol val="none"/>
          </c:marker>
          <c:cat>
            <c:numRef>
              <c:f>'Effecten CVO 2025'!$I$23:$I$303</c:f>
              <c:numCache>
                <c:formatCode>_ * #,##0_ ;_ * \-#,##0_ ;_ * "-"??_ ;_ @_ </c:formatCode>
                <c:ptCount val="28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pt idx="201">
                  <c:v>100500</c:v>
                </c:pt>
                <c:pt idx="202">
                  <c:v>101000</c:v>
                </c:pt>
                <c:pt idx="203">
                  <c:v>101500</c:v>
                </c:pt>
                <c:pt idx="204">
                  <c:v>102000</c:v>
                </c:pt>
                <c:pt idx="205">
                  <c:v>102500</c:v>
                </c:pt>
                <c:pt idx="206">
                  <c:v>103000</c:v>
                </c:pt>
                <c:pt idx="207">
                  <c:v>103500</c:v>
                </c:pt>
                <c:pt idx="208">
                  <c:v>104000</c:v>
                </c:pt>
                <c:pt idx="209">
                  <c:v>104500</c:v>
                </c:pt>
                <c:pt idx="210">
                  <c:v>105000</c:v>
                </c:pt>
                <c:pt idx="211">
                  <c:v>105500</c:v>
                </c:pt>
                <c:pt idx="212">
                  <c:v>106000</c:v>
                </c:pt>
                <c:pt idx="213">
                  <c:v>106500</c:v>
                </c:pt>
                <c:pt idx="214">
                  <c:v>107000</c:v>
                </c:pt>
                <c:pt idx="215">
                  <c:v>107500</c:v>
                </c:pt>
                <c:pt idx="216">
                  <c:v>108000</c:v>
                </c:pt>
                <c:pt idx="217">
                  <c:v>108500</c:v>
                </c:pt>
                <c:pt idx="218">
                  <c:v>109000</c:v>
                </c:pt>
                <c:pt idx="219">
                  <c:v>109500</c:v>
                </c:pt>
                <c:pt idx="220">
                  <c:v>110000</c:v>
                </c:pt>
                <c:pt idx="221">
                  <c:v>110500</c:v>
                </c:pt>
                <c:pt idx="222">
                  <c:v>111000</c:v>
                </c:pt>
                <c:pt idx="223">
                  <c:v>111500</c:v>
                </c:pt>
                <c:pt idx="224">
                  <c:v>112000</c:v>
                </c:pt>
                <c:pt idx="225">
                  <c:v>112500</c:v>
                </c:pt>
                <c:pt idx="226">
                  <c:v>113000</c:v>
                </c:pt>
                <c:pt idx="227">
                  <c:v>113500</c:v>
                </c:pt>
                <c:pt idx="228">
                  <c:v>114000</c:v>
                </c:pt>
                <c:pt idx="229">
                  <c:v>114500</c:v>
                </c:pt>
                <c:pt idx="230">
                  <c:v>115000</c:v>
                </c:pt>
                <c:pt idx="231">
                  <c:v>115500</c:v>
                </c:pt>
                <c:pt idx="232">
                  <c:v>116000</c:v>
                </c:pt>
                <c:pt idx="233">
                  <c:v>116500</c:v>
                </c:pt>
                <c:pt idx="234">
                  <c:v>117000</c:v>
                </c:pt>
                <c:pt idx="235">
                  <c:v>117500</c:v>
                </c:pt>
                <c:pt idx="236">
                  <c:v>118000</c:v>
                </c:pt>
                <c:pt idx="237">
                  <c:v>118500</c:v>
                </c:pt>
                <c:pt idx="238">
                  <c:v>119000</c:v>
                </c:pt>
                <c:pt idx="239">
                  <c:v>119500</c:v>
                </c:pt>
                <c:pt idx="240">
                  <c:v>120000</c:v>
                </c:pt>
                <c:pt idx="241">
                  <c:v>120500</c:v>
                </c:pt>
                <c:pt idx="242">
                  <c:v>121000</c:v>
                </c:pt>
                <c:pt idx="243">
                  <c:v>121500</c:v>
                </c:pt>
                <c:pt idx="244">
                  <c:v>122000</c:v>
                </c:pt>
                <c:pt idx="245">
                  <c:v>122500</c:v>
                </c:pt>
                <c:pt idx="246">
                  <c:v>123000</c:v>
                </c:pt>
                <c:pt idx="247">
                  <c:v>123500</c:v>
                </c:pt>
                <c:pt idx="248">
                  <c:v>124000</c:v>
                </c:pt>
                <c:pt idx="249">
                  <c:v>124500</c:v>
                </c:pt>
                <c:pt idx="250">
                  <c:v>125000</c:v>
                </c:pt>
                <c:pt idx="251">
                  <c:v>125500</c:v>
                </c:pt>
                <c:pt idx="252">
                  <c:v>126000</c:v>
                </c:pt>
                <c:pt idx="253">
                  <c:v>126500</c:v>
                </c:pt>
                <c:pt idx="254">
                  <c:v>127000</c:v>
                </c:pt>
                <c:pt idx="255">
                  <c:v>127500</c:v>
                </c:pt>
                <c:pt idx="256">
                  <c:v>128000</c:v>
                </c:pt>
                <c:pt idx="257">
                  <c:v>128500</c:v>
                </c:pt>
                <c:pt idx="258">
                  <c:v>129000</c:v>
                </c:pt>
                <c:pt idx="259">
                  <c:v>129500</c:v>
                </c:pt>
                <c:pt idx="260">
                  <c:v>130000</c:v>
                </c:pt>
                <c:pt idx="261">
                  <c:v>130500</c:v>
                </c:pt>
                <c:pt idx="262">
                  <c:v>131000</c:v>
                </c:pt>
                <c:pt idx="263">
                  <c:v>131500</c:v>
                </c:pt>
                <c:pt idx="264">
                  <c:v>132000</c:v>
                </c:pt>
                <c:pt idx="265">
                  <c:v>132500</c:v>
                </c:pt>
                <c:pt idx="266">
                  <c:v>133000</c:v>
                </c:pt>
                <c:pt idx="267">
                  <c:v>133500</c:v>
                </c:pt>
                <c:pt idx="268">
                  <c:v>134000</c:v>
                </c:pt>
                <c:pt idx="269">
                  <c:v>134500</c:v>
                </c:pt>
                <c:pt idx="270">
                  <c:v>135000</c:v>
                </c:pt>
                <c:pt idx="271">
                  <c:v>135500</c:v>
                </c:pt>
                <c:pt idx="272">
                  <c:v>136000</c:v>
                </c:pt>
                <c:pt idx="273">
                  <c:v>136500</c:v>
                </c:pt>
                <c:pt idx="274">
                  <c:v>137000</c:v>
                </c:pt>
                <c:pt idx="275">
                  <c:v>137500</c:v>
                </c:pt>
                <c:pt idx="276">
                  <c:v>138000</c:v>
                </c:pt>
                <c:pt idx="277">
                  <c:v>138500</c:v>
                </c:pt>
                <c:pt idx="278">
                  <c:v>139000</c:v>
                </c:pt>
                <c:pt idx="279">
                  <c:v>139500</c:v>
                </c:pt>
                <c:pt idx="280">
                  <c:v>140000</c:v>
                </c:pt>
              </c:numCache>
            </c:numRef>
          </c:cat>
          <c:val>
            <c:numRef>
              <c:f>'Effecten CVO 2025'!$M$23:$M$303</c:f>
              <c:numCache>
                <c:formatCode>_ * #,##0_ ;_ * \-#,##0_ ;_ * "-"??_ ;_ @_ </c:formatCode>
                <c:ptCount val="28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1.6E-2</c:v>
                </c:pt>
                <c:pt idx="136">
                  <c:v>2.016</c:v>
                </c:pt>
                <c:pt idx="137">
                  <c:v>4.0160000000000009</c:v>
                </c:pt>
                <c:pt idx="138">
                  <c:v>6.0160000000000009</c:v>
                </c:pt>
                <c:pt idx="139">
                  <c:v>8.016</c:v>
                </c:pt>
                <c:pt idx="140">
                  <c:v>10.016</c:v>
                </c:pt>
                <c:pt idx="141">
                  <c:v>12.016</c:v>
                </c:pt>
                <c:pt idx="142">
                  <c:v>14.016</c:v>
                </c:pt>
                <c:pt idx="143">
                  <c:v>16.016000000000002</c:v>
                </c:pt>
                <c:pt idx="144">
                  <c:v>18.016000000000002</c:v>
                </c:pt>
                <c:pt idx="145">
                  <c:v>20.016000000000002</c:v>
                </c:pt>
                <c:pt idx="146">
                  <c:v>22.016000000000002</c:v>
                </c:pt>
                <c:pt idx="147">
                  <c:v>24.016000000000002</c:v>
                </c:pt>
                <c:pt idx="148">
                  <c:v>26.016000000000005</c:v>
                </c:pt>
                <c:pt idx="149">
                  <c:v>28.016000000000005</c:v>
                </c:pt>
                <c:pt idx="150">
                  <c:v>30.016000000000005</c:v>
                </c:pt>
                <c:pt idx="151">
                  <c:v>32.016000000000005</c:v>
                </c:pt>
                <c:pt idx="152">
                  <c:v>34.016000000000005</c:v>
                </c:pt>
                <c:pt idx="153">
                  <c:v>36.016000000000005</c:v>
                </c:pt>
                <c:pt idx="154">
                  <c:v>38.016000000000005</c:v>
                </c:pt>
                <c:pt idx="155">
                  <c:v>40.016000000000005</c:v>
                </c:pt>
                <c:pt idx="156">
                  <c:v>42.016000000000005</c:v>
                </c:pt>
                <c:pt idx="157">
                  <c:v>44.016000000000005</c:v>
                </c:pt>
                <c:pt idx="158">
                  <c:v>46.016000000000005</c:v>
                </c:pt>
                <c:pt idx="159">
                  <c:v>48.016000000000005</c:v>
                </c:pt>
                <c:pt idx="160">
                  <c:v>50.016000000000005</c:v>
                </c:pt>
                <c:pt idx="161">
                  <c:v>52.015999999999998</c:v>
                </c:pt>
                <c:pt idx="162">
                  <c:v>54.015999999999998</c:v>
                </c:pt>
                <c:pt idx="163">
                  <c:v>56.015999999999998</c:v>
                </c:pt>
                <c:pt idx="164">
                  <c:v>58.015999999999998</c:v>
                </c:pt>
                <c:pt idx="165">
                  <c:v>60.015999999999998</c:v>
                </c:pt>
                <c:pt idx="166">
                  <c:v>62.015999999999998</c:v>
                </c:pt>
                <c:pt idx="167">
                  <c:v>64.016000000000005</c:v>
                </c:pt>
                <c:pt idx="168">
                  <c:v>66.016000000000005</c:v>
                </c:pt>
                <c:pt idx="169">
                  <c:v>68.016000000000005</c:v>
                </c:pt>
                <c:pt idx="170">
                  <c:v>70.016000000000005</c:v>
                </c:pt>
                <c:pt idx="171">
                  <c:v>72.016000000000005</c:v>
                </c:pt>
                <c:pt idx="172">
                  <c:v>74.016000000000005</c:v>
                </c:pt>
                <c:pt idx="173">
                  <c:v>76.016000000000005</c:v>
                </c:pt>
                <c:pt idx="174">
                  <c:v>78.016000000000005</c:v>
                </c:pt>
                <c:pt idx="175">
                  <c:v>80.016000000000005</c:v>
                </c:pt>
                <c:pt idx="176">
                  <c:v>82.016000000000005</c:v>
                </c:pt>
                <c:pt idx="177">
                  <c:v>84.016000000000005</c:v>
                </c:pt>
                <c:pt idx="178">
                  <c:v>86.016000000000005</c:v>
                </c:pt>
                <c:pt idx="179">
                  <c:v>88.016000000000005</c:v>
                </c:pt>
                <c:pt idx="180">
                  <c:v>90.016000000000005</c:v>
                </c:pt>
                <c:pt idx="181">
                  <c:v>92.016000000000005</c:v>
                </c:pt>
                <c:pt idx="182">
                  <c:v>94.016000000000005</c:v>
                </c:pt>
                <c:pt idx="183">
                  <c:v>96.016000000000005</c:v>
                </c:pt>
                <c:pt idx="184">
                  <c:v>98.016000000000005</c:v>
                </c:pt>
                <c:pt idx="185">
                  <c:v>100.01600000000001</c:v>
                </c:pt>
                <c:pt idx="186">
                  <c:v>102.01600000000001</c:v>
                </c:pt>
                <c:pt idx="187">
                  <c:v>104.01600000000002</c:v>
                </c:pt>
                <c:pt idx="188">
                  <c:v>106.01600000000002</c:v>
                </c:pt>
                <c:pt idx="189">
                  <c:v>108.01600000000002</c:v>
                </c:pt>
                <c:pt idx="190">
                  <c:v>110.01600000000002</c:v>
                </c:pt>
                <c:pt idx="191">
                  <c:v>112.01600000000002</c:v>
                </c:pt>
                <c:pt idx="192">
                  <c:v>114.01600000000002</c:v>
                </c:pt>
                <c:pt idx="193">
                  <c:v>116.01600000000002</c:v>
                </c:pt>
                <c:pt idx="194">
                  <c:v>118.01600000000002</c:v>
                </c:pt>
                <c:pt idx="195">
                  <c:v>120.01600000000002</c:v>
                </c:pt>
                <c:pt idx="196">
                  <c:v>122.01600000000002</c:v>
                </c:pt>
                <c:pt idx="197">
                  <c:v>124.01600000000002</c:v>
                </c:pt>
                <c:pt idx="198">
                  <c:v>126.01600000000002</c:v>
                </c:pt>
                <c:pt idx="199">
                  <c:v>128.01600000000002</c:v>
                </c:pt>
                <c:pt idx="200">
                  <c:v>130.01600000000002</c:v>
                </c:pt>
                <c:pt idx="201">
                  <c:v>132.01600000000002</c:v>
                </c:pt>
                <c:pt idx="202">
                  <c:v>134.01600000000002</c:v>
                </c:pt>
                <c:pt idx="203">
                  <c:v>136.01600000000002</c:v>
                </c:pt>
                <c:pt idx="204">
                  <c:v>138.01600000000002</c:v>
                </c:pt>
                <c:pt idx="205">
                  <c:v>140.01600000000002</c:v>
                </c:pt>
                <c:pt idx="206">
                  <c:v>142.01600000000002</c:v>
                </c:pt>
                <c:pt idx="207">
                  <c:v>144.01600000000002</c:v>
                </c:pt>
                <c:pt idx="208">
                  <c:v>146.01600000000002</c:v>
                </c:pt>
                <c:pt idx="209">
                  <c:v>148.01600000000002</c:v>
                </c:pt>
                <c:pt idx="210">
                  <c:v>150.01600000000002</c:v>
                </c:pt>
                <c:pt idx="211">
                  <c:v>152.01600000000002</c:v>
                </c:pt>
                <c:pt idx="212">
                  <c:v>154.01600000000002</c:v>
                </c:pt>
                <c:pt idx="213">
                  <c:v>156.01600000000002</c:v>
                </c:pt>
                <c:pt idx="214">
                  <c:v>158.01600000000002</c:v>
                </c:pt>
                <c:pt idx="215">
                  <c:v>160.01600000000002</c:v>
                </c:pt>
                <c:pt idx="216">
                  <c:v>162.01600000000002</c:v>
                </c:pt>
                <c:pt idx="217">
                  <c:v>164.01600000000002</c:v>
                </c:pt>
                <c:pt idx="218">
                  <c:v>166.01600000000002</c:v>
                </c:pt>
                <c:pt idx="219">
                  <c:v>168.01600000000002</c:v>
                </c:pt>
                <c:pt idx="220">
                  <c:v>170.01600000000002</c:v>
                </c:pt>
                <c:pt idx="221">
                  <c:v>172.01600000000002</c:v>
                </c:pt>
                <c:pt idx="222">
                  <c:v>174.01600000000002</c:v>
                </c:pt>
                <c:pt idx="223">
                  <c:v>176.01600000000002</c:v>
                </c:pt>
                <c:pt idx="224">
                  <c:v>178.01600000000002</c:v>
                </c:pt>
                <c:pt idx="225">
                  <c:v>180.01600000000002</c:v>
                </c:pt>
                <c:pt idx="226">
                  <c:v>182.01600000000002</c:v>
                </c:pt>
                <c:pt idx="227">
                  <c:v>184.01600000000002</c:v>
                </c:pt>
                <c:pt idx="228">
                  <c:v>186.01600000000002</c:v>
                </c:pt>
                <c:pt idx="229">
                  <c:v>190.01600000000002</c:v>
                </c:pt>
                <c:pt idx="230">
                  <c:v>194.01600000000002</c:v>
                </c:pt>
                <c:pt idx="231">
                  <c:v>198.01600000000002</c:v>
                </c:pt>
                <c:pt idx="232">
                  <c:v>202.01600000000002</c:v>
                </c:pt>
                <c:pt idx="233">
                  <c:v>206.01599999999999</c:v>
                </c:pt>
                <c:pt idx="234">
                  <c:v>210.01599999999999</c:v>
                </c:pt>
                <c:pt idx="235">
                  <c:v>214.01599999999999</c:v>
                </c:pt>
                <c:pt idx="236">
                  <c:v>218.01599999999999</c:v>
                </c:pt>
                <c:pt idx="237">
                  <c:v>222.01599999999999</c:v>
                </c:pt>
                <c:pt idx="238">
                  <c:v>226.01599999999999</c:v>
                </c:pt>
                <c:pt idx="239">
                  <c:v>230.01599999999999</c:v>
                </c:pt>
                <c:pt idx="240">
                  <c:v>234.01599999999999</c:v>
                </c:pt>
                <c:pt idx="241">
                  <c:v>238.01599999999999</c:v>
                </c:pt>
                <c:pt idx="242">
                  <c:v>242.01599999999999</c:v>
                </c:pt>
                <c:pt idx="243">
                  <c:v>246.01599999999999</c:v>
                </c:pt>
                <c:pt idx="244">
                  <c:v>250.01599999999999</c:v>
                </c:pt>
                <c:pt idx="245">
                  <c:v>254.01599999999999</c:v>
                </c:pt>
                <c:pt idx="246">
                  <c:v>258.01600000000002</c:v>
                </c:pt>
                <c:pt idx="247">
                  <c:v>262.01600000000002</c:v>
                </c:pt>
                <c:pt idx="248">
                  <c:v>266.01600000000002</c:v>
                </c:pt>
                <c:pt idx="249">
                  <c:v>270.01600000000002</c:v>
                </c:pt>
                <c:pt idx="250">
                  <c:v>274.01600000000002</c:v>
                </c:pt>
                <c:pt idx="251">
                  <c:v>278.01600000000002</c:v>
                </c:pt>
                <c:pt idx="252">
                  <c:v>282.01600000000002</c:v>
                </c:pt>
                <c:pt idx="253">
                  <c:v>286.01600000000002</c:v>
                </c:pt>
                <c:pt idx="254">
                  <c:v>290.01600000000002</c:v>
                </c:pt>
                <c:pt idx="255">
                  <c:v>294.01600000000002</c:v>
                </c:pt>
                <c:pt idx="256">
                  <c:v>298.01600000000002</c:v>
                </c:pt>
                <c:pt idx="257">
                  <c:v>302.01600000000002</c:v>
                </c:pt>
                <c:pt idx="258">
                  <c:v>306.01600000000002</c:v>
                </c:pt>
                <c:pt idx="259">
                  <c:v>310.01600000000002</c:v>
                </c:pt>
                <c:pt idx="260">
                  <c:v>314.01600000000002</c:v>
                </c:pt>
                <c:pt idx="261">
                  <c:v>318.01600000000002</c:v>
                </c:pt>
                <c:pt idx="262">
                  <c:v>322.01600000000002</c:v>
                </c:pt>
                <c:pt idx="263">
                  <c:v>326.01600000000002</c:v>
                </c:pt>
                <c:pt idx="264">
                  <c:v>330.01600000000002</c:v>
                </c:pt>
                <c:pt idx="265">
                  <c:v>334.01600000000002</c:v>
                </c:pt>
                <c:pt idx="266">
                  <c:v>338.01600000000002</c:v>
                </c:pt>
                <c:pt idx="267">
                  <c:v>340</c:v>
                </c:pt>
                <c:pt idx="268">
                  <c:v>340</c:v>
                </c:pt>
                <c:pt idx="269">
                  <c:v>340</c:v>
                </c:pt>
                <c:pt idx="270">
                  <c:v>340</c:v>
                </c:pt>
                <c:pt idx="271">
                  <c:v>340</c:v>
                </c:pt>
                <c:pt idx="272">
                  <c:v>340</c:v>
                </c:pt>
                <c:pt idx="273">
                  <c:v>340</c:v>
                </c:pt>
                <c:pt idx="274">
                  <c:v>340</c:v>
                </c:pt>
                <c:pt idx="275">
                  <c:v>340</c:v>
                </c:pt>
                <c:pt idx="276">
                  <c:v>340</c:v>
                </c:pt>
                <c:pt idx="277">
                  <c:v>340</c:v>
                </c:pt>
                <c:pt idx="278">
                  <c:v>340</c:v>
                </c:pt>
                <c:pt idx="279">
                  <c:v>340</c:v>
                </c:pt>
                <c:pt idx="280">
                  <c:v>340</c:v>
                </c:pt>
              </c:numCache>
            </c:numRef>
          </c:val>
          <c:smooth val="0"/>
          <c:extLst>
            <c:ext xmlns:c16="http://schemas.microsoft.com/office/drawing/2014/chart" uri="{C3380CC4-5D6E-409C-BE32-E72D297353CC}">
              <c16:uniqueId val="{00000003-0734-43B0-8357-49B35EFAA9CE}"/>
            </c:ext>
          </c:extLst>
        </c:ser>
        <c:dLbls>
          <c:showLegendKey val="0"/>
          <c:showVal val="0"/>
          <c:showCatName val="0"/>
          <c:showSerName val="0"/>
          <c:showPercent val="0"/>
          <c:showBubbleSize val="0"/>
        </c:dLbls>
        <c:smooth val="0"/>
        <c:axId val="1035385200"/>
        <c:axId val="1189952848"/>
      </c:lineChart>
      <c:catAx>
        <c:axId val="103538520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Vermogen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189952848"/>
        <c:crosses val="autoZero"/>
        <c:auto val="1"/>
        <c:lblAlgn val="ctr"/>
        <c:lblOffset val="100"/>
        <c:tickLblSkip val="50"/>
        <c:tickMarkSkip val="50"/>
        <c:noMultiLvlLbl val="0"/>
      </c:catAx>
      <c:valAx>
        <c:axId val="1189952848"/>
        <c:scaling>
          <c:orientation val="minMax"/>
          <c:max val="3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Cumulatieve</a:t>
                </a:r>
                <a:r>
                  <a:rPr lang="nl-NL" baseline="0"/>
                  <a:t> toename EB p.j.</a:t>
                </a:r>
                <a:endParaRPr lang="nl-NL"/>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03538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'Effecten EVV 2025'!$I$20</c:f>
              <c:strCache>
                <c:ptCount val="1"/>
                <c:pt idx="0">
                  <c:v>Alleenstaande HEB</c:v>
                </c:pt>
              </c:strCache>
            </c:strRef>
          </c:tx>
          <c:spPr>
            <a:ln w="28575" cap="rnd">
              <a:solidFill>
                <a:sysClr val="windowText" lastClr="000000"/>
              </a:solidFill>
              <a:round/>
            </a:ln>
            <a:effectLst/>
          </c:spPr>
          <c:marker>
            <c:symbol val="none"/>
          </c:marker>
          <c:cat>
            <c:numRef>
              <c:f>'Effecten EVV 2025'!$H$21:$H$221</c:f>
              <c:numCache>
                <c:formatCode>_ * #,##0_ ;_ * \-#,##0_ ;_ * "-"??_ ;_ @_ </c:formatCode>
                <c:ptCount val="2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numCache>
            </c:numRef>
          </c:cat>
          <c:val>
            <c:numRef>
              <c:f>'Effecten EVV 2025'!$I$21:$I$221</c:f>
              <c:numCache>
                <c:formatCode>_ * #,##0_ ;_ * \-#,##0_ ;_ * "-"??_ ;_ @_ </c:formatCode>
                <c:ptCount val="2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10.08</c:v>
                </c:pt>
                <c:pt idx="69">
                  <c:v>30.080000000000002</c:v>
                </c:pt>
                <c:pt idx="70">
                  <c:v>50.08</c:v>
                </c:pt>
                <c:pt idx="71">
                  <c:v>70.08</c:v>
                </c:pt>
                <c:pt idx="72">
                  <c:v>90.08</c:v>
                </c:pt>
                <c:pt idx="73">
                  <c:v>110.08</c:v>
                </c:pt>
                <c:pt idx="74">
                  <c:v>130.08000000000001</c:v>
                </c:pt>
                <c:pt idx="75">
                  <c:v>150.08000000000001</c:v>
                </c:pt>
                <c:pt idx="76">
                  <c:v>170.08</c:v>
                </c:pt>
                <c:pt idx="77">
                  <c:v>190.08</c:v>
                </c:pt>
                <c:pt idx="78">
                  <c:v>210.08</c:v>
                </c:pt>
                <c:pt idx="79">
                  <c:v>230.08</c:v>
                </c:pt>
                <c:pt idx="80">
                  <c:v>250.08</c:v>
                </c:pt>
                <c:pt idx="81">
                  <c:v>270.08</c:v>
                </c:pt>
                <c:pt idx="82">
                  <c:v>290.08</c:v>
                </c:pt>
                <c:pt idx="83">
                  <c:v>310.08</c:v>
                </c:pt>
                <c:pt idx="84">
                  <c:v>330.08</c:v>
                </c:pt>
                <c:pt idx="85">
                  <c:v>350.08</c:v>
                </c:pt>
                <c:pt idx="86">
                  <c:v>370.08</c:v>
                </c:pt>
                <c:pt idx="87">
                  <c:v>390.08</c:v>
                </c:pt>
                <c:pt idx="88">
                  <c:v>410.08</c:v>
                </c:pt>
                <c:pt idx="89">
                  <c:v>430.08</c:v>
                </c:pt>
                <c:pt idx="90">
                  <c:v>450.08</c:v>
                </c:pt>
                <c:pt idx="91">
                  <c:v>461.36</c:v>
                </c:pt>
                <c:pt idx="92">
                  <c:v>461.36</c:v>
                </c:pt>
                <c:pt idx="93">
                  <c:v>461.36</c:v>
                </c:pt>
                <c:pt idx="94">
                  <c:v>461.36</c:v>
                </c:pt>
                <c:pt idx="95">
                  <c:v>461.36</c:v>
                </c:pt>
                <c:pt idx="96">
                  <c:v>461.36</c:v>
                </c:pt>
                <c:pt idx="97">
                  <c:v>461.36</c:v>
                </c:pt>
                <c:pt idx="98">
                  <c:v>461.36</c:v>
                </c:pt>
                <c:pt idx="99">
                  <c:v>461.36</c:v>
                </c:pt>
                <c:pt idx="100">
                  <c:v>461.36</c:v>
                </c:pt>
                <c:pt idx="101">
                  <c:v>461.36</c:v>
                </c:pt>
                <c:pt idx="102">
                  <c:v>461.36</c:v>
                </c:pt>
                <c:pt idx="103">
                  <c:v>461.36</c:v>
                </c:pt>
                <c:pt idx="104">
                  <c:v>461.36</c:v>
                </c:pt>
                <c:pt idx="105">
                  <c:v>461.36</c:v>
                </c:pt>
                <c:pt idx="106">
                  <c:v>461.36</c:v>
                </c:pt>
                <c:pt idx="107">
                  <c:v>461.36</c:v>
                </c:pt>
                <c:pt idx="108">
                  <c:v>461.36</c:v>
                </c:pt>
                <c:pt idx="109">
                  <c:v>461.36</c:v>
                </c:pt>
                <c:pt idx="110">
                  <c:v>461.36</c:v>
                </c:pt>
                <c:pt idx="111">
                  <c:v>461.36</c:v>
                </c:pt>
                <c:pt idx="112">
                  <c:v>461.36</c:v>
                </c:pt>
                <c:pt idx="113">
                  <c:v>461.36</c:v>
                </c:pt>
                <c:pt idx="114">
                  <c:v>461.36</c:v>
                </c:pt>
                <c:pt idx="115">
                  <c:v>461.36</c:v>
                </c:pt>
                <c:pt idx="116">
                  <c:v>461.36</c:v>
                </c:pt>
                <c:pt idx="117">
                  <c:v>461.36</c:v>
                </c:pt>
                <c:pt idx="118">
                  <c:v>461.36</c:v>
                </c:pt>
                <c:pt idx="119">
                  <c:v>461.36</c:v>
                </c:pt>
                <c:pt idx="120">
                  <c:v>461.36</c:v>
                </c:pt>
                <c:pt idx="121">
                  <c:v>461.36</c:v>
                </c:pt>
                <c:pt idx="122">
                  <c:v>461.36</c:v>
                </c:pt>
                <c:pt idx="123">
                  <c:v>461.36</c:v>
                </c:pt>
                <c:pt idx="124">
                  <c:v>461.36</c:v>
                </c:pt>
                <c:pt idx="125">
                  <c:v>461.36</c:v>
                </c:pt>
                <c:pt idx="126">
                  <c:v>461.36</c:v>
                </c:pt>
                <c:pt idx="127">
                  <c:v>461.36</c:v>
                </c:pt>
                <c:pt idx="128">
                  <c:v>461.36</c:v>
                </c:pt>
                <c:pt idx="129">
                  <c:v>461.36</c:v>
                </c:pt>
                <c:pt idx="130">
                  <c:v>461.36</c:v>
                </c:pt>
                <c:pt idx="131">
                  <c:v>461.36</c:v>
                </c:pt>
                <c:pt idx="132">
                  <c:v>461.36</c:v>
                </c:pt>
                <c:pt idx="133">
                  <c:v>461.36</c:v>
                </c:pt>
                <c:pt idx="134">
                  <c:v>461.36</c:v>
                </c:pt>
                <c:pt idx="135">
                  <c:v>461.36</c:v>
                </c:pt>
                <c:pt idx="136">
                  <c:v>461.36</c:v>
                </c:pt>
                <c:pt idx="137">
                  <c:v>461.36</c:v>
                </c:pt>
                <c:pt idx="138">
                  <c:v>461.36</c:v>
                </c:pt>
                <c:pt idx="139">
                  <c:v>461.36</c:v>
                </c:pt>
                <c:pt idx="140">
                  <c:v>461.36</c:v>
                </c:pt>
                <c:pt idx="141">
                  <c:v>461.36</c:v>
                </c:pt>
                <c:pt idx="142">
                  <c:v>461.36</c:v>
                </c:pt>
                <c:pt idx="143">
                  <c:v>461.36</c:v>
                </c:pt>
                <c:pt idx="144">
                  <c:v>461.36</c:v>
                </c:pt>
                <c:pt idx="145">
                  <c:v>461.36</c:v>
                </c:pt>
                <c:pt idx="146">
                  <c:v>461.36</c:v>
                </c:pt>
                <c:pt idx="147">
                  <c:v>461.36</c:v>
                </c:pt>
                <c:pt idx="148">
                  <c:v>461.36</c:v>
                </c:pt>
                <c:pt idx="149">
                  <c:v>461.36</c:v>
                </c:pt>
                <c:pt idx="150">
                  <c:v>461.36</c:v>
                </c:pt>
                <c:pt idx="151">
                  <c:v>461.36</c:v>
                </c:pt>
                <c:pt idx="152">
                  <c:v>461.36</c:v>
                </c:pt>
                <c:pt idx="153">
                  <c:v>461.36</c:v>
                </c:pt>
                <c:pt idx="154">
                  <c:v>461.36</c:v>
                </c:pt>
                <c:pt idx="155">
                  <c:v>461.36</c:v>
                </c:pt>
                <c:pt idx="156">
                  <c:v>461.36</c:v>
                </c:pt>
                <c:pt idx="157">
                  <c:v>461.36</c:v>
                </c:pt>
                <c:pt idx="158">
                  <c:v>461.36</c:v>
                </c:pt>
                <c:pt idx="159">
                  <c:v>461.36</c:v>
                </c:pt>
                <c:pt idx="160">
                  <c:v>461.36</c:v>
                </c:pt>
                <c:pt idx="161">
                  <c:v>461.36</c:v>
                </c:pt>
                <c:pt idx="162">
                  <c:v>461.36</c:v>
                </c:pt>
                <c:pt idx="163">
                  <c:v>461.36</c:v>
                </c:pt>
                <c:pt idx="164">
                  <c:v>461.36</c:v>
                </c:pt>
                <c:pt idx="165">
                  <c:v>461.36</c:v>
                </c:pt>
                <c:pt idx="166">
                  <c:v>461.36</c:v>
                </c:pt>
                <c:pt idx="167">
                  <c:v>461.36</c:v>
                </c:pt>
                <c:pt idx="168">
                  <c:v>461.36</c:v>
                </c:pt>
                <c:pt idx="169">
                  <c:v>461.36</c:v>
                </c:pt>
                <c:pt idx="170">
                  <c:v>461.36</c:v>
                </c:pt>
                <c:pt idx="171">
                  <c:v>461.36</c:v>
                </c:pt>
                <c:pt idx="172">
                  <c:v>461.36</c:v>
                </c:pt>
                <c:pt idx="173">
                  <c:v>461.36</c:v>
                </c:pt>
                <c:pt idx="174">
                  <c:v>461.36</c:v>
                </c:pt>
                <c:pt idx="175">
                  <c:v>461.36</c:v>
                </c:pt>
                <c:pt idx="176">
                  <c:v>461.36</c:v>
                </c:pt>
                <c:pt idx="177">
                  <c:v>461.36</c:v>
                </c:pt>
                <c:pt idx="178">
                  <c:v>461.36</c:v>
                </c:pt>
                <c:pt idx="179">
                  <c:v>461.36</c:v>
                </c:pt>
                <c:pt idx="180">
                  <c:v>461.36</c:v>
                </c:pt>
                <c:pt idx="181">
                  <c:v>461.36</c:v>
                </c:pt>
                <c:pt idx="182">
                  <c:v>461.36</c:v>
                </c:pt>
                <c:pt idx="183">
                  <c:v>461.36</c:v>
                </c:pt>
                <c:pt idx="184">
                  <c:v>461.36</c:v>
                </c:pt>
                <c:pt idx="185">
                  <c:v>461.36</c:v>
                </c:pt>
                <c:pt idx="186">
                  <c:v>461.36</c:v>
                </c:pt>
                <c:pt idx="187">
                  <c:v>461.36</c:v>
                </c:pt>
                <c:pt idx="188">
                  <c:v>461.36</c:v>
                </c:pt>
                <c:pt idx="189">
                  <c:v>461.36</c:v>
                </c:pt>
                <c:pt idx="190">
                  <c:v>461.36</c:v>
                </c:pt>
                <c:pt idx="191">
                  <c:v>461.36</c:v>
                </c:pt>
                <c:pt idx="192">
                  <c:v>461.36</c:v>
                </c:pt>
                <c:pt idx="193">
                  <c:v>461.36</c:v>
                </c:pt>
                <c:pt idx="194">
                  <c:v>461.36</c:v>
                </c:pt>
                <c:pt idx="195">
                  <c:v>461.36</c:v>
                </c:pt>
                <c:pt idx="196">
                  <c:v>461.36</c:v>
                </c:pt>
                <c:pt idx="197">
                  <c:v>461.36</c:v>
                </c:pt>
                <c:pt idx="198">
                  <c:v>461.36</c:v>
                </c:pt>
                <c:pt idx="199">
                  <c:v>461.36</c:v>
                </c:pt>
                <c:pt idx="200">
                  <c:v>461.36</c:v>
                </c:pt>
              </c:numCache>
            </c:numRef>
          </c:val>
          <c:smooth val="0"/>
          <c:extLst>
            <c:ext xmlns:c16="http://schemas.microsoft.com/office/drawing/2014/chart" uri="{C3380CC4-5D6E-409C-BE32-E72D297353CC}">
              <c16:uniqueId val="{00000000-420F-43E9-BB1E-73C6454359E3}"/>
            </c:ext>
          </c:extLst>
        </c:ser>
        <c:ser>
          <c:idx val="1"/>
          <c:order val="1"/>
          <c:tx>
            <c:strRef>
              <c:f>'Effecten EVV 2025'!$J$20</c:f>
              <c:strCache>
                <c:ptCount val="1"/>
                <c:pt idx="0">
                  <c:v>Alleenstaande LEB</c:v>
                </c:pt>
              </c:strCache>
            </c:strRef>
          </c:tx>
          <c:spPr>
            <a:ln w="28575" cap="rnd">
              <a:solidFill>
                <a:sysClr val="windowText" lastClr="000000"/>
              </a:solidFill>
              <a:prstDash val="sysDash"/>
              <a:round/>
            </a:ln>
            <a:effectLst/>
          </c:spPr>
          <c:marker>
            <c:symbol val="none"/>
          </c:marker>
          <c:cat>
            <c:numRef>
              <c:f>'Effecten EVV 2025'!$H$21:$H$221</c:f>
              <c:numCache>
                <c:formatCode>_ * #,##0_ ;_ * \-#,##0_ ;_ * "-"??_ ;_ @_ </c:formatCode>
                <c:ptCount val="2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numCache>
            </c:numRef>
          </c:cat>
          <c:val>
            <c:numRef>
              <c:f>'Effecten EVV 2025'!$J$21:$J$221</c:f>
              <c:numCache>
                <c:formatCode>_ * #,##0_ ;_ * \-#,##0_ ;_ * "-"??_ ;_ @_ </c:formatCode>
                <c:ptCount val="2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1.008</c:v>
                </c:pt>
                <c:pt idx="69">
                  <c:v>3.0080000000000005</c:v>
                </c:pt>
                <c:pt idx="70">
                  <c:v>5.008</c:v>
                </c:pt>
                <c:pt idx="71">
                  <c:v>7.008</c:v>
                </c:pt>
                <c:pt idx="72">
                  <c:v>9.0080000000000009</c:v>
                </c:pt>
                <c:pt idx="73">
                  <c:v>11.008000000000001</c:v>
                </c:pt>
                <c:pt idx="74">
                  <c:v>13.008000000000003</c:v>
                </c:pt>
                <c:pt idx="75">
                  <c:v>15.008000000000003</c:v>
                </c:pt>
                <c:pt idx="76">
                  <c:v>17.008000000000003</c:v>
                </c:pt>
                <c:pt idx="77">
                  <c:v>19.008000000000003</c:v>
                </c:pt>
                <c:pt idx="78">
                  <c:v>21.008000000000003</c:v>
                </c:pt>
                <c:pt idx="79">
                  <c:v>23.008000000000003</c:v>
                </c:pt>
                <c:pt idx="80">
                  <c:v>25.008000000000003</c:v>
                </c:pt>
                <c:pt idx="81">
                  <c:v>27.007999999999999</c:v>
                </c:pt>
                <c:pt idx="82">
                  <c:v>29.007999999999999</c:v>
                </c:pt>
                <c:pt idx="83">
                  <c:v>31.007999999999999</c:v>
                </c:pt>
                <c:pt idx="84">
                  <c:v>33.008000000000003</c:v>
                </c:pt>
                <c:pt idx="85">
                  <c:v>35.008000000000003</c:v>
                </c:pt>
                <c:pt idx="86">
                  <c:v>37.008000000000003</c:v>
                </c:pt>
                <c:pt idx="87">
                  <c:v>39.008000000000003</c:v>
                </c:pt>
                <c:pt idx="88">
                  <c:v>41.008000000000003</c:v>
                </c:pt>
                <c:pt idx="89">
                  <c:v>43.008000000000003</c:v>
                </c:pt>
                <c:pt idx="90">
                  <c:v>45.008000000000003</c:v>
                </c:pt>
                <c:pt idx="91">
                  <c:v>46.136000000000003</c:v>
                </c:pt>
                <c:pt idx="92">
                  <c:v>46.136000000000003</c:v>
                </c:pt>
                <c:pt idx="93">
                  <c:v>46.136000000000003</c:v>
                </c:pt>
                <c:pt idx="94">
                  <c:v>46.136000000000003</c:v>
                </c:pt>
                <c:pt idx="95">
                  <c:v>46.136000000000003</c:v>
                </c:pt>
                <c:pt idx="96">
                  <c:v>46.136000000000003</c:v>
                </c:pt>
                <c:pt idx="97">
                  <c:v>46.136000000000003</c:v>
                </c:pt>
                <c:pt idx="98">
                  <c:v>46.136000000000003</c:v>
                </c:pt>
                <c:pt idx="99">
                  <c:v>46.136000000000003</c:v>
                </c:pt>
                <c:pt idx="100">
                  <c:v>46.136000000000003</c:v>
                </c:pt>
                <c:pt idx="101">
                  <c:v>46.136000000000003</c:v>
                </c:pt>
                <c:pt idx="102">
                  <c:v>46.136000000000003</c:v>
                </c:pt>
                <c:pt idx="103">
                  <c:v>46.136000000000003</c:v>
                </c:pt>
                <c:pt idx="104">
                  <c:v>46.136000000000003</c:v>
                </c:pt>
                <c:pt idx="105">
                  <c:v>46.136000000000003</c:v>
                </c:pt>
                <c:pt idx="106">
                  <c:v>46.136000000000003</c:v>
                </c:pt>
                <c:pt idx="107">
                  <c:v>46.136000000000003</c:v>
                </c:pt>
                <c:pt idx="108">
                  <c:v>46.136000000000003</c:v>
                </c:pt>
                <c:pt idx="109">
                  <c:v>46.136000000000003</c:v>
                </c:pt>
                <c:pt idx="110">
                  <c:v>46.136000000000003</c:v>
                </c:pt>
                <c:pt idx="111">
                  <c:v>46.136000000000003</c:v>
                </c:pt>
                <c:pt idx="112">
                  <c:v>46.136000000000003</c:v>
                </c:pt>
                <c:pt idx="113">
                  <c:v>46.136000000000003</c:v>
                </c:pt>
                <c:pt idx="114">
                  <c:v>46.136000000000003</c:v>
                </c:pt>
                <c:pt idx="115">
                  <c:v>46.136000000000003</c:v>
                </c:pt>
                <c:pt idx="116">
                  <c:v>46.136000000000003</c:v>
                </c:pt>
                <c:pt idx="117">
                  <c:v>46.136000000000003</c:v>
                </c:pt>
                <c:pt idx="118">
                  <c:v>46.136000000000003</c:v>
                </c:pt>
                <c:pt idx="119">
                  <c:v>46.136000000000003</c:v>
                </c:pt>
                <c:pt idx="120">
                  <c:v>46.136000000000003</c:v>
                </c:pt>
                <c:pt idx="121">
                  <c:v>46.136000000000003</c:v>
                </c:pt>
                <c:pt idx="122">
                  <c:v>46.136000000000003</c:v>
                </c:pt>
                <c:pt idx="123">
                  <c:v>46.136000000000003</c:v>
                </c:pt>
                <c:pt idx="124">
                  <c:v>46.136000000000003</c:v>
                </c:pt>
                <c:pt idx="125">
                  <c:v>46.136000000000003</c:v>
                </c:pt>
                <c:pt idx="126">
                  <c:v>46.136000000000003</c:v>
                </c:pt>
                <c:pt idx="127">
                  <c:v>46.136000000000003</c:v>
                </c:pt>
                <c:pt idx="128">
                  <c:v>46.136000000000003</c:v>
                </c:pt>
                <c:pt idx="129">
                  <c:v>46.136000000000003</c:v>
                </c:pt>
                <c:pt idx="130">
                  <c:v>46.136000000000003</c:v>
                </c:pt>
                <c:pt idx="131">
                  <c:v>46.136000000000003</c:v>
                </c:pt>
                <c:pt idx="132">
                  <c:v>46.136000000000003</c:v>
                </c:pt>
                <c:pt idx="133">
                  <c:v>46.136000000000003</c:v>
                </c:pt>
                <c:pt idx="134">
                  <c:v>46.136000000000003</c:v>
                </c:pt>
                <c:pt idx="135">
                  <c:v>46.136000000000003</c:v>
                </c:pt>
                <c:pt idx="136">
                  <c:v>46.136000000000003</c:v>
                </c:pt>
                <c:pt idx="137">
                  <c:v>46.136000000000003</c:v>
                </c:pt>
                <c:pt idx="138">
                  <c:v>46.136000000000003</c:v>
                </c:pt>
                <c:pt idx="139">
                  <c:v>46.136000000000003</c:v>
                </c:pt>
                <c:pt idx="140">
                  <c:v>46.136000000000003</c:v>
                </c:pt>
                <c:pt idx="141">
                  <c:v>46.136000000000003</c:v>
                </c:pt>
                <c:pt idx="142">
                  <c:v>46.136000000000003</c:v>
                </c:pt>
                <c:pt idx="143">
                  <c:v>46.136000000000003</c:v>
                </c:pt>
                <c:pt idx="144">
                  <c:v>46.136000000000003</c:v>
                </c:pt>
                <c:pt idx="145">
                  <c:v>46.136000000000003</c:v>
                </c:pt>
                <c:pt idx="146">
                  <c:v>46.136000000000003</c:v>
                </c:pt>
                <c:pt idx="147">
                  <c:v>46.136000000000003</c:v>
                </c:pt>
                <c:pt idx="148">
                  <c:v>46.136000000000003</c:v>
                </c:pt>
                <c:pt idx="149">
                  <c:v>46.136000000000003</c:v>
                </c:pt>
                <c:pt idx="150">
                  <c:v>46.136000000000003</c:v>
                </c:pt>
                <c:pt idx="151">
                  <c:v>46.136000000000003</c:v>
                </c:pt>
                <c:pt idx="152">
                  <c:v>46.136000000000003</c:v>
                </c:pt>
                <c:pt idx="153">
                  <c:v>46.136000000000003</c:v>
                </c:pt>
                <c:pt idx="154">
                  <c:v>46.136000000000003</c:v>
                </c:pt>
                <c:pt idx="155">
                  <c:v>46.136000000000003</c:v>
                </c:pt>
                <c:pt idx="156">
                  <c:v>46.136000000000003</c:v>
                </c:pt>
                <c:pt idx="157">
                  <c:v>46.136000000000003</c:v>
                </c:pt>
                <c:pt idx="158">
                  <c:v>46.136000000000003</c:v>
                </c:pt>
                <c:pt idx="159">
                  <c:v>46.136000000000003</c:v>
                </c:pt>
                <c:pt idx="160">
                  <c:v>46.136000000000003</c:v>
                </c:pt>
                <c:pt idx="161">
                  <c:v>46.136000000000003</c:v>
                </c:pt>
                <c:pt idx="162">
                  <c:v>46.136000000000003</c:v>
                </c:pt>
                <c:pt idx="163">
                  <c:v>46.136000000000003</c:v>
                </c:pt>
                <c:pt idx="164">
                  <c:v>46.136000000000003</c:v>
                </c:pt>
                <c:pt idx="165">
                  <c:v>46.136000000000003</c:v>
                </c:pt>
                <c:pt idx="166">
                  <c:v>46.136000000000003</c:v>
                </c:pt>
                <c:pt idx="167">
                  <c:v>46.136000000000003</c:v>
                </c:pt>
                <c:pt idx="168">
                  <c:v>46.136000000000003</c:v>
                </c:pt>
                <c:pt idx="169">
                  <c:v>46.136000000000003</c:v>
                </c:pt>
                <c:pt idx="170">
                  <c:v>46.136000000000003</c:v>
                </c:pt>
                <c:pt idx="171">
                  <c:v>46.136000000000003</c:v>
                </c:pt>
                <c:pt idx="172">
                  <c:v>46.136000000000003</c:v>
                </c:pt>
                <c:pt idx="173">
                  <c:v>46.136000000000003</c:v>
                </c:pt>
                <c:pt idx="174">
                  <c:v>46.136000000000003</c:v>
                </c:pt>
                <c:pt idx="175">
                  <c:v>46.136000000000003</c:v>
                </c:pt>
                <c:pt idx="176">
                  <c:v>46.136000000000003</c:v>
                </c:pt>
                <c:pt idx="177">
                  <c:v>46.136000000000003</c:v>
                </c:pt>
                <c:pt idx="178">
                  <c:v>46.136000000000003</c:v>
                </c:pt>
                <c:pt idx="179">
                  <c:v>46.136000000000003</c:v>
                </c:pt>
                <c:pt idx="180">
                  <c:v>46.136000000000003</c:v>
                </c:pt>
                <c:pt idx="181">
                  <c:v>46.136000000000003</c:v>
                </c:pt>
                <c:pt idx="182">
                  <c:v>46.136000000000003</c:v>
                </c:pt>
                <c:pt idx="183">
                  <c:v>46.136000000000003</c:v>
                </c:pt>
                <c:pt idx="184">
                  <c:v>46.136000000000003</c:v>
                </c:pt>
                <c:pt idx="185">
                  <c:v>46.136000000000003</c:v>
                </c:pt>
                <c:pt idx="186">
                  <c:v>46.136000000000003</c:v>
                </c:pt>
                <c:pt idx="187">
                  <c:v>46.136000000000003</c:v>
                </c:pt>
                <c:pt idx="188">
                  <c:v>46.136000000000003</c:v>
                </c:pt>
                <c:pt idx="189">
                  <c:v>46.136000000000003</c:v>
                </c:pt>
                <c:pt idx="190">
                  <c:v>46.136000000000003</c:v>
                </c:pt>
                <c:pt idx="191">
                  <c:v>46.136000000000003</c:v>
                </c:pt>
                <c:pt idx="192">
                  <c:v>46.136000000000003</c:v>
                </c:pt>
                <c:pt idx="193">
                  <c:v>46.136000000000003</c:v>
                </c:pt>
                <c:pt idx="194">
                  <c:v>46.136000000000003</c:v>
                </c:pt>
                <c:pt idx="195">
                  <c:v>46.136000000000003</c:v>
                </c:pt>
                <c:pt idx="196">
                  <c:v>46.136000000000003</c:v>
                </c:pt>
                <c:pt idx="197">
                  <c:v>46.136000000000003</c:v>
                </c:pt>
                <c:pt idx="198">
                  <c:v>46.136000000000003</c:v>
                </c:pt>
                <c:pt idx="199">
                  <c:v>46.136000000000003</c:v>
                </c:pt>
                <c:pt idx="200">
                  <c:v>46.136000000000003</c:v>
                </c:pt>
              </c:numCache>
            </c:numRef>
          </c:val>
          <c:smooth val="0"/>
          <c:extLst>
            <c:ext xmlns:c16="http://schemas.microsoft.com/office/drawing/2014/chart" uri="{C3380CC4-5D6E-409C-BE32-E72D297353CC}">
              <c16:uniqueId val="{00000001-420F-43E9-BB1E-73C6454359E3}"/>
            </c:ext>
          </c:extLst>
        </c:ser>
        <c:ser>
          <c:idx val="2"/>
          <c:order val="2"/>
          <c:tx>
            <c:strRef>
              <c:f>'Effecten EVV 2025'!$K$20</c:f>
              <c:strCache>
                <c:ptCount val="1"/>
                <c:pt idx="0">
                  <c:v>Meerpersoonshuishouden* HEB**</c:v>
                </c:pt>
              </c:strCache>
            </c:strRef>
          </c:tx>
          <c:spPr>
            <a:ln w="28575" cap="rnd">
              <a:solidFill>
                <a:schemeClr val="bg1">
                  <a:lumMod val="65000"/>
                </a:schemeClr>
              </a:solidFill>
              <a:round/>
            </a:ln>
            <a:effectLst/>
          </c:spPr>
          <c:marker>
            <c:symbol val="none"/>
          </c:marker>
          <c:cat>
            <c:numRef>
              <c:f>'Effecten EVV 2025'!$H$21:$H$221</c:f>
              <c:numCache>
                <c:formatCode>_ * #,##0_ ;_ * \-#,##0_ ;_ * "-"??_ ;_ @_ </c:formatCode>
                <c:ptCount val="2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numCache>
            </c:numRef>
          </c:cat>
          <c:val>
            <c:numRef>
              <c:f>'Effecten EVV 2025'!$K$21:$K$221</c:f>
              <c:numCache>
                <c:formatCode>_ * #,##0_ ;_ * \-#,##0_ ;_ * "-"??_ ;_ @_ </c:formatCode>
                <c:ptCount val="2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0.16</c:v>
                </c:pt>
                <c:pt idx="136">
                  <c:v>20.16</c:v>
                </c:pt>
                <c:pt idx="137">
                  <c:v>40.160000000000004</c:v>
                </c:pt>
                <c:pt idx="138">
                  <c:v>60.160000000000004</c:v>
                </c:pt>
                <c:pt idx="139">
                  <c:v>80.16</c:v>
                </c:pt>
                <c:pt idx="140">
                  <c:v>100.16</c:v>
                </c:pt>
                <c:pt idx="141">
                  <c:v>120.16</c:v>
                </c:pt>
                <c:pt idx="142">
                  <c:v>140.16</c:v>
                </c:pt>
                <c:pt idx="143">
                  <c:v>160.16</c:v>
                </c:pt>
                <c:pt idx="144">
                  <c:v>180.16</c:v>
                </c:pt>
                <c:pt idx="145">
                  <c:v>200.16</c:v>
                </c:pt>
                <c:pt idx="146">
                  <c:v>220.16</c:v>
                </c:pt>
                <c:pt idx="147">
                  <c:v>240.16</c:v>
                </c:pt>
                <c:pt idx="148">
                  <c:v>260.16000000000003</c:v>
                </c:pt>
                <c:pt idx="149">
                  <c:v>280.16000000000003</c:v>
                </c:pt>
                <c:pt idx="150">
                  <c:v>300.16000000000003</c:v>
                </c:pt>
                <c:pt idx="151">
                  <c:v>320.16000000000003</c:v>
                </c:pt>
                <c:pt idx="152">
                  <c:v>340.16</c:v>
                </c:pt>
                <c:pt idx="153">
                  <c:v>360.16</c:v>
                </c:pt>
                <c:pt idx="154">
                  <c:v>380.16</c:v>
                </c:pt>
                <c:pt idx="155">
                  <c:v>400.16</c:v>
                </c:pt>
                <c:pt idx="156">
                  <c:v>420.16</c:v>
                </c:pt>
                <c:pt idx="157">
                  <c:v>440.16</c:v>
                </c:pt>
                <c:pt idx="158">
                  <c:v>460.16</c:v>
                </c:pt>
                <c:pt idx="159">
                  <c:v>480.16</c:v>
                </c:pt>
                <c:pt idx="160">
                  <c:v>500.16</c:v>
                </c:pt>
                <c:pt idx="161">
                  <c:v>520.16</c:v>
                </c:pt>
                <c:pt idx="162">
                  <c:v>540.16</c:v>
                </c:pt>
                <c:pt idx="163">
                  <c:v>560.16</c:v>
                </c:pt>
                <c:pt idx="164">
                  <c:v>580.16</c:v>
                </c:pt>
                <c:pt idx="165">
                  <c:v>600.16</c:v>
                </c:pt>
                <c:pt idx="166">
                  <c:v>620.16</c:v>
                </c:pt>
                <c:pt idx="167">
                  <c:v>640.16</c:v>
                </c:pt>
                <c:pt idx="168">
                  <c:v>660.16</c:v>
                </c:pt>
                <c:pt idx="169">
                  <c:v>680.16</c:v>
                </c:pt>
                <c:pt idx="170">
                  <c:v>700.16</c:v>
                </c:pt>
                <c:pt idx="171">
                  <c:v>720.16</c:v>
                </c:pt>
                <c:pt idx="172">
                  <c:v>740.16</c:v>
                </c:pt>
                <c:pt idx="173">
                  <c:v>760.16</c:v>
                </c:pt>
                <c:pt idx="174">
                  <c:v>780.16</c:v>
                </c:pt>
                <c:pt idx="175">
                  <c:v>800.16</c:v>
                </c:pt>
                <c:pt idx="176">
                  <c:v>820.16</c:v>
                </c:pt>
                <c:pt idx="177">
                  <c:v>840.16</c:v>
                </c:pt>
                <c:pt idx="178">
                  <c:v>860.16</c:v>
                </c:pt>
                <c:pt idx="179">
                  <c:v>880.16</c:v>
                </c:pt>
                <c:pt idx="180">
                  <c:v>900.16</c:v>
                </c:pt>
                <c:pt idx="181">
                  <c:v>920.16</c:v>
                </c:pt>
                <c:pt idx="182">
                  <c:v>922.72</c:v>
                </c:pt>
                <c:pt idx="183">
                  <c:v>922.72</c:v>
                </c:pt>
                <c:pt idx="184">
                  <c:v>922.72</c:v>
                </c:pt>
                <c:pt idx="185">
                  <c:v>922.72</c:v>
                </c:pt>
                <c:pt idx="186">
                  <c:v>922.72</c:v>
                </c:pt>
                <c:pt idx="187">
                  <c:v>922.72</c:v>
                </c:pt>
                <c:pt idx="188">
                  <c:v>922.72</c:v>
                </c:pt>
                <c:pt idx="189">
                  <c:v>922.72</c:v>
                </c:pt>
                <c:pt idx="190">
                  <c:v>922.72</c:v>
                </c:pt>
                <c:pt idx="191">
                  <c:v>922.72</c:v>
                </c:pt>
                <c:pt idx="192">
                  <c:v>922.72</c:v>
                </c:pt>
                <c:pt idx="193">
                  <c:v>922.72</c:v>
                </c:pt>
                <c:pt idx="194">
                  <c:v>922.72</c:v>
                </c:pt>
                <c:pt idx="195">
                  <c:v>922.72</c:v>
                </c:pt>
                <c:pt idx="196">
                  <c:v>922.72</c:v>
                </c:pt>
                <c:pt idx="197">
                  <c:v>922.72</c:v>
                </c:pt>
                <c:pt idx="198">
                  <c:v>922.72</c:v>
                </c:pt>
                <c:pt idx="199">
                  <c:v>922.72</c:v>
                </c:pt>
                <c:pt idx="200">
                  <c:v>922.72</c:v>
                </c:pt>
              </c:numCache>
            </c:numRef>
          </c:val>
          <c:smooth val="0"/>
          <c:extLst>
            <c:ext xmlns:c16="http://schemas.microsoft.com/office/drawing/2014/chart" uri="{C3380CC4-5D6E-409C-BE32-E72D297353CC}">
              <c16:uniqueId val="{00000002-420F-43E9-BB1E-73C6454359E3}"/>
            </c:ext>
          </c:extLst>
        </c:ser>
        <c:ser>
          <c:idx val="3"/>
          <c:order val="3"/>
          <c:tx>
            <c:strRef>
              <c:f>'Effecten EVV 2025'!$L$20</c:f>
              <c:strCache>
                <c:ptCount val="1"/>
                <c:pt idx="0">
                  <c:v>Meerpersoonshuishouden* LEB</c:v>
                </c:pt>
              </c:strCache>
            </c:strRef>
          </c:tx>
          <c:spPr>
            <a:ln w="28575" cap="rnd">
              <a:solidFill>
                <a:schemeClr val="bg1">
                  <a:lumMod val="65000"/>
                </a:schemeClr>
              </a:solidFill>
              <a:prstDash val="sysDash"/>
              <a:round/>
            </a:ln>
            <a:effectLst/>
          </c:spPr>
          <c:marker>
            <c:symbol val="none"/>
          </c:marker>
          <c:cat>
            <c:numRef>
              <c:f>'Effecten EVV 2025'!$H$21:$H$221</c:f>
              <c:numCache>
                <c:formatCode>_ * #,##0_ ;_ * \-#,##0_ ;_ * "-"??_ ;_ @_ </c:formatCode>
                <c:ptCount val="20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pt idx="151">
                  <c:v>75500</c:v>
                </c:pt>
                <c:pt idx="152">
                  <c:v>76000</c:v>
                </c:pt>
                <c:pt idx="153">
                  <c:v>76500</c:v>
                </c:pt>
                <c:pt idx="154">
                  <c:v>77000</c:v>
                </c:pt>
                <c:pt idx="155">
                  <c:v>77500</c:v>
                </c:pt>
                <c:pt idx="156">
                  <c:v>78000</c:v>
                </c:pt>
                <c:pt idx="157">
                  <c:v>78500</c:v>
                </c:pt>
                <c:pt idx="158">
                  <c:v>79000</c:v>
                </c:pt>
                <c:pt idx="159">
                  <c:v>79500</c:v>
                </c:pt>
                <c:pt idx="160">
                  <c:v>80000</c:v>
                </c:pt>
                <c:pt idx="161">
                  <c:v>80500</c:v>
                </c:pt>
                <c:pt idx="162">
                  <c:v>81000</c:v>
                </c:pt>
                <c:pt idx="163">
                  <c:v>81500</c:v>
                </c:pt>
                <c:pt idx="164">
                  <c:v>82000</c:v>
                </c:pt>
                <c:pt idx="165">
                  <c:v>82500</c:v>
                </c:pt>
                <c:pt idx="166">
                  <c:v>83000</c:v>
                </c:pt>
                <c:pt idx="167">
                  <c:v>83500</c:v>
                </c:pt>
                <c:pt idx="168">
                  <c:v>84000</c:v>
                </c:pt>
                <c:pt idx="169">
                  <c:v>84500</c:v>
                </c:pt>
                <c:pt idx="170">
                  <c:v>85000</c:v>
                </c:pt>
                <c:pt idx="171">
                  <c:v>85500</c:v>
                </c:pt>
                <c:pt idx="172">
                  <c:v>86000</c:v>
                </c:pt>
                <c:pt idx="173">
                  <c:v>86500</c:v>
                </c:pt>
                <c:pt idx="174">
                  <c:v>87000</c:v>
                </c:pt>
                <c:pt idx="175">
                  <c:v>87500</c:v>
                </c:pt>
                <c:pt idx="176">
                  <c:v>88000</c:v>
                </c:pt>
                <c:pt idx="177">
                  <c:v>88500</c:v>
                </c:pt>
                <c:pt idx="178">
                  <c:v>89000</c:v>
                </c:pt>
                <c:pt idx="179">
                  <c:v>89500</c:v>
                </c:pt>
                <c:pt idx="180">
                  <c:v>90000</c:v>
                </c:pt>
                <c:pt idx="181">
                  <c:v>90500</c:v>
                </c:pt>
                <c:pt idx="182">
                  <c:v>91000</c:v>
                </c:pt>
                <c:pt idx="183">
                  <c:v>91500</c:v>
                </c:pt>
                <c:pt idx="184">
                  <c:v>92000</c:v>
                </c:pt>
                <c:pt idx="185">
                  <c:v>92500</c:v>
                </c:pt>
                <c:pt idx="186">
                  <c:v>93000</c:v>
                </c:pt>
                <c:pt idx="187">
                  <c:v>93500</c:v>
                </c:pt>
                <c:pt idx="188">
                  <c:v>94000</c:v>
                </c:pt>
                <c:pt idx="189">
                  <c:v>94500</c:v>
                </c:pt>
                <c:pt idx="190">
                  <c:v>95000</c:v>
                </c:pt>
                <c:pt idx="191">
                  <c:v>95500</c:v>
                </c:pt>
                <c:pt idx="192">
                  <c:v>96000</c:v>
                </c:pt>
                <c:pt idx="193">
                  <c:v>96500</c:v>
                </c:pt>
                <c:pt idx="194">
                  <c:v>97000</c:v>
                </c:pt>
                <c:pt idx="195">
                  <c:v>97500</c:v>
                </c:pt>
                <c:pt idx="196">
                  <c:v>98000</c:v>
                </c:pt>
                <c:pt idx="197">
                  <c:v>98500</c:v>
                </c:pt>
                <c:pt idx="198">
                  <c:v>99000</c:v>
                </c:pt>
                <c:pt idx="199">
                  <c:v>99500</c:v>
                </c:pt>
                <c:pt idx="200">
                  <c:v>100000</c:v>
                </c:pt>
              </c:numCache>
            </c:numRef>
          </c:cat>
          <c:val>
            <c:numRef>
              <c:f>'Effecten EVV 2025'!$L$21:$L$221</c:f>
              <c:numCache>
                <c:formatCode>_ * #,##0_ ;_ * \-#,##0_ ;_ * "-"??_ ;_ @_ </c:formatCode>
                <c:ptCount val="2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1.6E-2</c:v>
                </c:pt>
                <c:pt idx="136">
                  <c:v>2.016</c:v>
                </c:pt>
                <c:pt idx="137">
                  <c:v>4.0160000000000009</c:v>
                </c:pt>
                <c:pt idx="138">
                  <c:v>6.0160000000000009</c:v>
                </c:pt>
                <c:pt idx="139">
                  <c:v>8.016</c:v>
                </c:pt>
                <c:pt idx="140">
                  <c:v>10.016</c:v>
                </c:pt>
                <c:pt idx="141">
                  <c:v>12.016</c:v>
                </c:pt>
                <c:pt idx="142">
                  <c:v>14.016</c:v>
                </c:pt>
                <c:pt idx="143">
                  <c:v>16.016000000000002</c:v>
                </c:pt>
                <c:pt idx="144">
                  <c:v>18.016000000000002</c:v>
                </c:pt>
                <c:pt idx="145">
                  <c:v>20.016000000000002</c:v>
                </c:pt>
                <c:pt idx="146">
                  <c:v>22.016000000000002</c:v>
                </c:pt>
                <c:pt idx="147">
                  <c:v>24.016000000000002</c:v>
                </c:pt>
                <c:pt idx="148">
                  <c:v>26.016000000000005</c:v>
                </c:pt>
                <c:pt idx="149">
                  <c:v>28.016000000000005</c:v>
                </c:pt>
                <c:pt idx="150">
                  <c:v>30.016000000000005</c:v>
                </c:pt>
                <c:pt idx="151">
                  <c:v>32.016000000000005</c:v>
                </c:pt>
                <c:pt idx="152">
                  <c:v>34.016000000000005</c:v>
                </c:pt>
                <c:pt idx="153">
                  <c:v>36.016000000000005</c:v>
                </c:pt>
                <c:pt idx="154">
                  <c:v>38.016000000000005</c:v>
                </c:pt>
                <c:pt idx="155">
                  <c:v>40.016000000000005</c:v>
                </c:pt>
                <c:pt idx="156">
                  <c:v>42.016000000000005</c:v>
                </c:pt>
                <c:pt idx="157">
                  <c:v>44.016000000000005</c:v>
                </c:pt>
                <c:pt idx="158">
                  <c:v>46.016000000000005</c:v>
                </c:pt>
                <c:pt idx="159">
                  <c:v>48.016000000000005</c:v>
                </c:pt>
                <c:pt idx="160">
                  <c:v>50.016000000000005</c:v>
                </c:pt>
                <c:pt idx="161">
                  <c:v>52.015999999999998</c:v>
                </c:pt>
                <c:pt idx="162">
                  <c:v>54.015999999999998</c:v>
                </c:pt>
                <c:pt idx="163">
                  <c:v>56.015999999999998</c:v>
                </c:pt>
                <c:pt idx="164">
                  <c:v>58.015999999999998</c:v>
                </c:pt>
                <c:pt idx="165">
                  <c:v>60.015999999999998</c:v>
                </c:pt>
                <c:pt idx="166">
                  <c:v>62.015999999999998</c:v>
                </c:pt>
                <c:pt idx="167">
                  <c:v>64.016000000000005</c:v>
                </c:pt>
                <c:pt idx="168">
                  <c:v>66.016000000000005</c:v>
                </c:pt>
                <c:pt idx="169">
                  <c:v>68.016000000000005</c:v>
                </c:pt>
                <c:pt idx="170">
                  <c:v>70.016000000000005</c:v>
                </c:pt>
                <c:pt idx="171">
                  <c:v>72.016000000000005</c:v>
                </c:pt>
                <c:pt idx="172">
                  <c:v>74.016000000000005</c:v>
                </c:pt>
                <c:pt idx="173">
                  <c:v>76.016000000000005</c:v>
                </c:pt>
                <c:pt idx="174">
                  <c:v>78.016000000000005</c:v>
                </c:pt>
                <c:pt idx="175">
                  <c:v>80.016000000000005</c:v>
                </c:pt>
                <c:pt idx="176">
                  <c:v>82.016000000000005</c:v>
                </c:pt>
                <c:pt idx="177">
                  <c:v>84.016000000000005</c:v>
                </c:pt>
                <c:pt idx="178">
                  <c:v>86.016000000000005</c:v>
                </c:pt>
                <c:pt idx="179">
                  <c:v>88.016000000000005</c:v>
                </c:pt>
                <c:pt idx="180">
                  <c:v>90.016000000000005</c:v>
                </c:pt>
                <c:pt idx="181">
                  <c:v>92.016000000000005</c:v>
                </c:pt>
                <c:pt idx="182">
                  <c:v>92.272000000000006</c:v>
                </c:pt>
                <c:pt idx="183">
                  <c:v>92.272000000000006</c:v>
                </c:pt>
                <c:pt idx="184">
                  <c:v>92.272000000000006</c:v>
                </c:pt>
                <c:pt idx="185">
                  <c:v>92.272000000000006</c:v>
                </c:pt>
                <c:pt idx="186">
                  <c:v>92.272000000000006</c:v>
                </c:pt>
                <c:pt idx="187">
                  <c:v>92.272000000000006</c:v>
                </c:pt>
                <c:pt idx="188">
                  <c:v>92.272000000000006</c:v>
                </c:pt>
                <c:pt idx="189">
                  <c:v>92.272000000000006</c:v>
                </c:pt>
                <c:pt idx="190">
                  <c:v>92.272000000000006</c:v>
                </c:pt>
                <c:pt idx="191">
                  <c:v>92.272000000000006</c:v>
                </c:pt>
                <c:pt idx="192">
                  <c:v>92.272000000000006</c:v>
                </c:pt>
                <c:pt idx="193">
                  <c:v>92.272000000000006</c:v>
                </c:pt>
                <c:pt idx="194">
                  <c:v>92.272000000000006</c:v>
                </c:pt>
                <c:pt idx="195">
                  <c:v>92.272000000000006</c:v>
                </c:pt>
                <c:pt idx="196">
                  <c:v>92.272000000000006</c:v>
                </c:pt>
                <c:pt idx="197">
                  <c:v>92.272000000000006</c:v>
                </c:pt>
                <c:pt idx="198">
                  <c:v>92.272000000000006</c:v>
                </c:pt>
                <c:pt idx="199">
                  <c:v>92.272000000000006</c:v>
                </c:pt>
                <c:pt idx="200">
                  <c:v>92.272000000000006</c:v>
                </c:pt>
              </c:numCache>
            </c:numRef>
          </c:val>
          <c:smooth val="0"/>
          <c:extLst>
            <c:ext xmlns:c16="http://schemas.microsoft.com/office/drawing/2014/chart" uri="{C3380CC4-5D6E-409C-BE32-E72D297353CC}">
              <c16:uniqueId val="{00000003-420F-43E9-BB1E-73C6454359E3}"/>
            </c:ext>
          </c:extLst>
        </c:ser>
        <c:dLbls>
          <c:showLegendKey val="0"/>
          <c:showVal val="0"/>
          <c:showCatName val="0"/>
          <c:showSerName val="0"/>
          <c:showPercent val="0"/>
          <c:showBubbleSize val="0"/>
        </c:dLbls>
        <c:smooth val="0"/>
        <c:axId val="1193153680"/>
        <c:axId val="1035547696"/>
      </c:lineChart>
      <c:catAx>
        <c:axId val="119315368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Vermogen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035547696"/>
        <c:crosses val="autoZero"/>
        <c:auto val="1"/>
        <c:lblAlgn val="ctr"/>
        <c:lblOffset val="100"/>
        <c:tickLblSkip val="50"/>
        <c:tickMarkSkip val="50"/>
        <c:noMultiLvlLbl val="0"/>
      </c:catAx>
      <c:valAx>
        <c:axId val="1035547696"/>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sz="900" b="0" i="0" u="none" strike="noStrike" kern="1200" baseline="0">
                    <a:solidFill>
                      <a:sysClr val="windowText" lastClr="000000"/>
                    </a:solidFill>
                    <a:latin typeface="Verdana" panose="020B0604030504040204" pitchFamily="34" charset="0"/>
                    <a:ea typeface="Verdana" panose="020B0604030504040204" pitchFamily="34" charset="0"/>
                  </a:rPr>
                  <a:t>Cumulatieve toename EB p.j.</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19315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5010</ap:Words>
  <ap:Characters>27558</ap:Characters>
  <ap:DocSecurity>0</ap:DocSecurity>
  <ap:Lines>229</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2024-04-11T08:34:00.0000000Z</lastPrinted>
  <dcterms:created xsi:type="dcterms:W3CDTF">2025-02-06T13:00:00.0000000Z</dcterms:created>
  <dcterms:modified xsi:type="dcterms:W3CDTF">2025-02-17T13:14:00.0000000Z</dcterms:modified>
  <version/>
  <category/>
</coreProperties>
</file>