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617" w:rsidP="009E6617" w:rsidRDefault="009E6617" w14:paraId="0A84C960" w14:textId="00F8A967">
      <w:pPr>
        <w:rPr>
          <w:b/>
          <w:bCs/>
        </w:rPr>
      </w:pPr>
      <w:r>
        <w:rPr>
          <w:b/>
          <w:bCs/>
        </w:rPr>
        <w:t>AH 1309</w:t>
      </w:r>
    </w:p>
    <w:p w:rsidR="009E6617" w:rsidP="009E6617" w:rsidRDefault="009E6617" w14:paraId="0DC90CA6" w14:textId="6F1F8B6A">
      <w:pPr>
        <w:rPr>
          <w:b/>
          <w:bCs/>
        </w:rPr>
      </w:pPr>
      <w:r>
        <w:rPr>
          <w:b/>
          <w:bCs/>
        </w:rPr>
        <w:t>2024Z20930</w:t>
      </w:r>
    </w:p>
    <w:p w:rsidR="009E6617" w:rsidP="009E6617" w:rsidRDefault="009E6617" w14:paraId="788D6337" w14:textId="7067AA7B">
      <w:pPr>
        <w:rPr>
          <w:b/>
          <w:bCs/>
          <w:sz w:val="24"/>
          <w:szCs w:val="24"/>
        </w:rPr>
      </w:pPr>
      <w:r w:rsidRPr="009E6617">
        <w:rPr>
          <w:b/>
          <w:bCs/>
          <w:sz w:val="24"/>
          <w:szCs w:val="24"/>
        </w:rPr>
        <w:t>Antwoord van minister Faber - Van de Klashorst (Asiel en Migratie) (ontvangen</w:t>
      </w:r>
      <w:r>
        <w:rPr>
          <w:b/>
          <w:bCs/>
          <w:sz w:val="24"/>
          <w:szCs w:val="24"/>
        </w:rPr>
        <w:t xml:space="preserve"> 17 februari 2025)</w:t>
      </w:r>
    </w:p>
    <w:p w:rsidR="009E6617" w:rsidP="009E6617" w:rsidRDefault="009E6617" w14:paraId="3CAF6A6C" w14:textId="04B886B3">
      <w:pPr>
        <w:rPr>
          <w:b/>
          <w:bCs/>
          <w:sz w:val="24"/>
          <w:szCs w:val="24"/>
        </w:rPr>
      </w:pPr>
      <w:r w:rsidRPr="009E6617">
        <w:rPr>
          <w:b/>
          <w:bCs/>
          <w:sz w:val="24"/>
          <w:szCs w:val="24"/>
        </w:rPr>
        <w:t>Zie ook Aanhangsel Handelingen, vergaderjaar 2024-2025, nr.</w:t>
      </w:r>
      <w:r>
        <w:rPr>
          <w:b/>
          <w:bCs/>
          <w:sz w:val="24"/>
          <w:szCs w:val="24"/>
        </w:rPr>
        <w:t xml:space="preserve"> 1095</w:t>
      </w:r>
    </w:p>
    <w:p w:rsidR="009E6617" w:rsidP="009E6617" w:rsidRDefault="009E6617" w14:paraId="40BEC412" w14:textId="77777777">
      <w:pPr>
        <w:rPr>
          <w:b/>
          <w:bCs/>
        </w:rPr>
      </w:pPr>
    </w:p>
    <w:p w:rsidRPr="004562A2" w:rsidR="009E6617" w:rsidP="009E6617" w:rsidRDefault="009E6617" w14:paraId="232E2039" w14:textId="77777777">
      <w:pPr>
        <w:rPr>
          <w:b/>
          <w:bCs/>
        </w:rPr>
      </w:pPr>
      <w:r w:rsidRPr="004562A2">
        <w:rPr>
          <w:b/>
          <w:bCs/>
        </w:rPr>
        <w:t>Vraag</w:t>
      </w:r>
      <w:r>
        <w:rPr>
          <w:b/>
          <w:bCs/>
        </w:rPr>
        <w:t xml:space="preserve"> </w:t>
      </w:r>
      <w:r w:rsidRPr="004562A2">
        <w:rPr>
          <w:b/>
          <w:bCs/>
        </w:rPr>
        <w:t>1</w:t>
      </w:r>
    </w:p>
    <w:p w:rsidRPr="004562A2" w:rsidR="009E6617" w:rsidP="009E6617" w:rsidRDefault="009E6617" w14:paraId="3B96F4F6" w14:textId="77777777">
      <w:pPr>
        <w:rPr>
          <w:b/>
          <w:bCs/>
        </w:rPr>
      </w:pPr>
      <w:r w:rsidRPr="004562A2">
        <w:rPr>
          <w:b/>
          <w:bCs/>
        </w:rPr>
        <w:t>Bent u bekend met het bericht 'Eén man, 25 baby’s: ‘verblijfskinderen’ zijn een nieuwe manier om asiel te krijgen' van 11 december 2024? 1)</w:t>
      </w:r>
      <w:r w:rsidRPr="004562A2">
        <w:rPr>
          <w:b/>
          <w:bCs/>
        </w:rPr>
        <w:br/>
      </w:r>
    </w:p>
    <w:p w:rsidRPr="004562A2" w:rsidR="009E6617" w:rsidP="009E6617" w:rsidRDefault="009E6617" w14:paraId="29405B6F" w14:textId="77777777">
      <w:pPr>
        <w:rPr>
          <w:b/>
          <w:bCs/>
        </w:rPr>
      </w:pPr>
      <w:r w:rsidRPr="004562A2">
        <w:rPr>
          <w:b/>
          <w:bCs/>
        </w:rPr>
        <w:t>Antwoord op vraag 1 </w:t>
      </w:r>
    </w:p>
    <w:p w:rsidR="009E6617" w:rsidP="009E6617" w:rsidRDefault="009E6617" w14:paraId="2500718A" w14:textId="77777777">
      <w:r>
        <w:t xml:space="preserve">Ik ben bekend met het bericht. </w:t>
      </w:r>
    </w:p>
    <w:p w:rsidR="009E6617" w:rsidP="009E6617" w:rsidRDefault="009E6617" w14:paraId="1D108829" w14:textId="77777777"/>
    <w:p w:rsidRPr="004562A2" w:rsidR="009E6617" w:rsidP="009E6617" w:rsidRDefault="009E6617" w14:paraId="1E445C3F" w14:textId="77777777">
      <w:pPr>
        <w:rPr>
          <w:b/>
          <w:bCs/>
        </w:rPr>
      </w:pPr>
      <w:r w:rsidRPr="004562A2">
        <w:rPr>
          <w:b/>
          <w:bCs/>
        </w:rPr>
        <w:t>Vraag 2</w:t>
      </w:r>
    </w:p>
    <w:p w:rsidR="009E6617" w:rsidP="009E6617" w:rsidRDefault="009E6617" w14:paraId="3F939E13" w14:textId="77777777">
      <w:pPr>
        <w:rPr>
          <w:b/>
          <w:bCs/>
        </w:rPr>
      </w:pPr>
      <w:r w:rsidRPr="004562A2">
        <w:rPr>
          <w:b/>
          <w:bCs/>
        </w:rPr>
        <w:t>Hoeveel verblijfsvergunningen zijn in 2023 en 2024 verleend op basis van erkenningen?</w:t>
      </w:r>
    </w:p>
    <w:p w:rsidR="009E6617" w:rsidP="009E6617" w:rsidRDefault="009E6617" w14:paraId="1D2419CB" w14:textId="77777777">
      <w:pPr>
        <w:rPr>
          <w:b/>
          <w:bCs/>
        </w:rPr>
      </w:pPr>
    </w:p>
    <w:p w:rsidR="009E6617" w:rsidP="009E6617" w:rsidRDefault="009E6617" w14:paraId="0CFE40E3" w14:textId="77777777">
      <w:pPr>
        <w:rPr>
          <w:b/>
          <w:bCs/>
        </w:rPr>
      </w:pPr>
      <w:r w:rsidRPr="004562A2">
        <w:rPr>
          <w:b/>
          <w:bCs/>
        </w:rPr>
        <w:t xml:space="preserve">Antwoord op vraag </w:t>
      </w:r>
      <w:r>
        <w:rPr>
          <w:b/>
          <w:bCs/>
        </w:rPr>
        <w:t>2</w:t>
      </w:r>
    </w:p>
    <w:p w:rsidRPr="002502FA" w:rsidR="009E6617" w:rsidP="009E6617" w:rsidRDefault="009E6617" w14:paraId="110C0A87" w14:textId="77777777">
      <w:r w:rsidRPr="002502FA">
        <w:t>In 2023 zijn afgerond 3</w:t>
      </w:r>
      <w:r>
        <w:t>.</w:t>
      </w:r>
      <w:r w:rsidRPr="002502FA">
        <w:t xml:space="preserve">390 </w:t>
      </w:r>
      <w:proofErr w:type="spellStart"/>
      <w:r w:rsidRPr="002502FA">
        <w:t>Chavez</w:t>
      </w:r>
      <w:proofErr w:type="spellEnd"/>
      <w:r w:rsidRPr="002502FA">
        <w:t xml:space="preserve">-aanvragen van </w:t>
      </w:r>
      <w:proofErr w:type="spellStart"/>
      <w:r w:rsidRPr="002502FA">
        <w:t>derdelands</w:t>
      </w:r>
      <w:proofErr w:type="spellEnd"/>
      <w:r>
        <w:t>-</w:t>
      </w:r>
      <w:r w:rsidRPr="002502FA">
        <w:t>ouders ingewilligd.</w:t>
      </w:r>
      <w:r>
        <w:t xml:space="preserve"> </w:t>
      </w:r>
      <w:r w:rsidRPr="002502FA">
        <w:t>In 2024 (tot 30 juni) zijn dat er afgerond 2</w:t>
      </w:r>
      <w:r>
        <w:t>.</w:t>
      </w:r>
      <w:r w:rsidRPr="002502FA">
        <w:t>030</w:t>
      </w:r>
      <w:r>
        <w:t xml:space="preserve">. </w:t>
      </w:r>
      <w:r w:rsidRPr="002502FA">
        <w:t xml:space="preserve">Niet in alle gevallen is het kind overigens Nederlander door erkenning. In veel gevallen worden kinderen bijvoorbeeld Nederlander omdat </w:t>
      </w:r>
      <w:r>
        <w:t>een</w:t>
      </w:r>
      <w:r w:rsidRPr="002502FA">
        <w:t xml:space="preserve"> ouder ten tijde van de geboorte Nederlander was. Voor het aanvragen van verblijf op grond van het arrest </w:t>
      </w:r>
      <w:proofErr w:type="spellStart"/>
      <w:r w:rsidRPr="002502FA">
        <w:t>Chavez-Vilchez</w:t>
      </w:r>
      <w:proofErr w:type="spellEnd"/>
      <w:r>
        <w:rPr>
          <w:rStyle w:val="Voetnootmarkering"/>
        </w:rPr>
        <w:footnoteReference w:id="1"/>
      </w:r>
      <w:r w:rsidRPr="002502FA">
        <w:t xml:space="preserve"> maakt het niet uit waar</w:t>
      </w:r>
      <w:r>
        <w:t>door</w:t>
      </w:r>
      <w:r w:rsidRPr="002502FA">
        <w:t xml:space="preserve"> het kind Nederlander is; het enkele feit dat </w:t>
      </w:r>
      <w:r>
        <w:t>het</w:t>
      </w:r>
      <w:r w:rsidRPr="002502FA">
        <w:t xml:space="preserve"> Nederlander is, is voldoende om </w:t>
      </w:r>
      <w:r>
        <w:t xml:space="preserve">een van het kind afgeleid </w:t>
      </w:r>
      <w:r w:rsidRPr="002502FA">
        <w:t>verblijfsrecht te krijgen (als ook aan de overige voorwaarden is voldaan)</w:t>
      </w:r>
      <w:r>
        <w:t>, zo volgt uit de jurisprudentie</w:t>
      </w:r>
      <w:r w:rsidRPr="002502FA">
        <w:t xml:space="preserve">. </w:t>
      </w:r>
    </w:p>
    <w:p w:rsidR="009E6617" w:rsidP="009E6617" w:rsidRDefault="009E6617" w14:paraId="15FC8A27" w14:textId="77777777"/>
    <w:p w:rsidRPr="004562A2" w:rsidR="009E6617" w:rsidP="009E6617" w:rsidRDefault="009E6617" w14:paraId="144CBAFC" w14:textId="77777777">
      <w:pPr>
        <w:rPr>
          <w:b/>
          <w:bCs/>
        </w:rPr>
      </w:pPr>
      <w:r w:rsidRPr="004562A2">
        <w:rPr>
          <w:b/>
          <w:bCs/>
        </w:rPr>
        <w:t>Vraag 3</w:t>
      </w:r>
    </w:p>
    <w:p w:rsidRPr="004562A2" w:rsidR="009E6617" w:rsidP="009E6617" w:rsidRDefault="009E6617" w14:paraId="5EAE0D97" w14:textId="77777777">
      <w:pPr>
        <w:rPr>
          <w:b/>
          <w:bCs/>
        </w:rPr>
      </w:pPr>
      <w:r w:rsidRPr="004562A2">
        <w:rPr>
          <w:b/>
          <w:bCs/>
        </w:rPr>
        <w:t xml:space="preserve">Klopt het dat de Immigratie- en Naturalisatiedienst (IND) het afgelopen jaar 400 signalen heeft ontvangen van fraude met erkenning van kinderen? Hoe verhoudt </w:t>
      </w:r>
      <w:r w:rsidRPr="004562A2">
        <w:rPr>
          <w:b/>
          <w:bCs/>
        </w:rPr>
        <w:lastRenderedPageBreak/>
        <w:t>deze hoeveelheid fraudesignalen zich tot de jaren 2023, 2022 en 2021?</w:t>
      </w:r>
      <w:r w:rsidRPr="004562A2">
        <w:rPr>
          <w:b/>
          <w:bCs/>
        </w:rPr>
        <w:br/>
        <w:t> </w:t>
      </w:r>
    </w:p>
    <w:p w:rsidRPr="004562A2" w:rsidR="009E6617" w:rsidP="009E6617" w:rsidRDefault="009E6617" w14:paraId="564C54F6" w14:textId="77777777">
      <w:pPr>
        <w:rPr>
          <w:b/>
          <w:bCs/>
        </w:rPr>
      </w:pPr>
      <w:r w:rsidRPr="004562A2">
        <w:rPr>
          <w:b/>
          <w:bCs/>
        </w:rPr>
        <w:t>Antwoord op vraag 3</w:t>
      </w:r>
    </w:p>
    <w:p w:rsidR="009E6617" w:rsidP="009E6617" w:rsidRDefault="009E6617" w14:paraId="49644BEA" w14:textId="77777777">
      <w:r w:rsidRPr="002502FA">
        <w:t xml:space="preserve">Sinds 2017, het jaar dat het arrest </w:t>
      </w:r>
      <w:proofErr w:type="spellStart"/>
      <w:r w:rsidRPr="002502FA">
        <w:t>Chavez-Vilchez</w:t>
      </w:r>
      <w:proofErr w:type="spellEnd"/>
      <w:r w:rsidRPr="002502FA">
        <w:t xml:space="preserve"> werd gewezen, wordt door de IND geregistreerd hoeveel personen een beroep doen op het arrest. Net als bij alle andere verblijfsdoelen die de IND toetst, wordt er ook voor het verblijfsdoel ‘verblijf bij Nederlands kind’ bijgehouden hoeveel fraudesignalen er jaarlijks worden opgevoerd. Dat zijn er sinds 2017 </w:t>
      </w:r>
      <w:r>
        <w:t xml:space="preserve">afgerond </w:t>
      </w:r>
      <w:r w:rsidRPr="002502FA">
        <w:t xml:space="preserve">400. Uitgesplitst per jaar zien de cijfers er als volgt uit: in 2021 waren dat er </w:t>
      </w:r>
      <w:r>
        <w:t xml:space="preserve">afgerond </w:t>
      </w:r>
      <w:r w:rsidRPr="002502FA">
        <w:t xml:space="preserve">20, in 2022 </w:t>
      </w:r>
      <w:r>
        <w:t xml:space="preserve">afgerond </w:t>
      </w:r>
      <w:r w:rsidRPr="002502FA">
        <w:t xml:space="preserve">20 en in 2023 </w:t>
      </w:r>
      <w:r>
        <w:t xml:space="preserve">afgerond </w:t>
      </w:r>
      <w:r w:rsidRPr="002502FA">
        <w:t xml:space="preserve">70. In </w:t>
      </w:r>
      <w:r>
        <w:t>2024</w:t>
      </w:r>
      <w:r w:rsidRPr="002502FA">
        <w:t xml:space="preserve"> zijn er </w:t>
      </w:r>
      <w:r>
        <w:t>tot en met juni</w:t>
      </w:r>
      <w:r w:rsidRPr="002502FA">
        <w:t xml:space="preserve"> </w:t>
      </w:r>
      <w:r>
        <w:t xml:space="preserve">afgerond </w:t>
      </w:r>
      <w:r w:rsidRPr="002502FA">
        <w:t>240 fraudesignalen geregistreerd. Wanneer een fraudesignaal wordt opgevoerd, staat daarmee overigens niet vast dat er ook daadwerkelijk sprake is van fraude.</w:t>
      </w:r>
    </w:p>
    <w:p w:rsidRPr="004562A2" w:rsidR="009E6617" w:rsidP="009E6617" w:rsidRDefault="009E6617" w14:paraId="27C13516" w14:textId="77777777">
      <w:pPr>
        <w:rPr>
          <w:b/>
          <w:bCs/>
        </w:rPr>
      </w:pPr>
    </w:p>
    <w:p w:rsidR="009E6617" w:rsidP="009E6617" w:rsidRDefault="009E6617" w14:paraId="3A1E681B" w14:textId="77777777">
      <w:pPr>
        <w:rPr>
          <w:b/>
          <w:bCs/>
        </w:rPr>
      </w:pPr>
      <w:r w:rsidRPr="004562A2">
        <w:rPr>
          <w:b/>
          <w:bCs/>
        </w:rPr>
        <w:t>Vraag 4</w:t>
      </w:r>
      <w:r w:rsidRPr="004562A2">
        <w:rPr>
          <w:b/>
          <w:bCs/>
        </w:rPr>
        <w:br/>
        <w:t xml:space="preserve">Hebben andere EU-lidstaten ook problemen van fraude met verblijfsvergunningen door </w:t>
      </w:r>
      <w:proofErr w:type="spellStart"/>
      <w:r w:rsidRPr="004562A2">
        <w:rPr>
          <w:b/>
          <w:bCs/>
        </w:rPr>
        <w:t>schijnerkenners</w:t>
      </w:r>
      <w:proofErr w:type="spellEnd"/>
      <w:r w:rsidRPr="004562A2">
        <w:rPr>
          <w:b/>
          <w:bCs/>
        </w:rPr>
        <w:t>? Zo nee, waarom niet?</w:t>
      </w:r>
      <w:r w:rsidRPr="004562A2">
        <w:rPr>
          <w:b/>
          <w:bCs/>
        </w:rPr>
        <w:br/>
      </w:r>
    </w:p>
    <w:p w:rsidR="009E6617" w:rsidP="009E6617" w:rsidRDefault="009E6617" w14:paraId="3B8CA8DA" w14:textId="77777777">
      <w:pPr>
        <w:rPr>
          <w:b/>
          <w:bCs/>
        </w:rPr>
      </w:pPr>
    </w:p>
    <w:p w:rsidRPr="004562A2" w:rsidR="009E6617" w:rsidP="009E6617" w:rsidRDefault="009E6617" w14:paraId="1E369341" w14:textId="77777777">
      <w:pPr>
        <w:rPr>
          <w:b/>
          <w:bCs/>
        </w:rPr>
      </w:pPr>
    </w:p>
    <w:p w:rsidRPr="004562A2" w:rsidR="009E6617" w:rsidP="009E6617" w:rsidRDefault="009E6617" w14:paraId="2EBBF935" w14:textId="77777777">
      <w:pPr>
        <w:rPr>
          <w:b/>
          <w:bCs/>
        </w:rPr>
      </w:pPr>
      <w:r w:rsidRPr="004562A2">
        <w:rPr>
          <w:b/>
          <w:bCs/>
        </w:rPr>
        <w:t>Antwoord op vraag 4</w:t>
      </w:r>
    </w:p>
    <w:p w:rsidR="009E6617" w:rsidP="009E6617" w:rsidRDefault="009E6617" w14:paraId="7C5442DD" w14:textId="77777777">
      <w:r>
        <w:t xml:space="preserve">Eerder dit jaar is er via het informele netwerk van uitvoeringsorganisaties door de IND een uitvraag gedaan of andere EU lidstaten ook te maken hebben met problematiek rond schijnerkenningen. Negen lidstaten hebben hierop gereageerd. Uit deze reacties blijkt dat enkele lidstaten vergelijkbare signalen hebben ontvangen. De reacties worden bestudeerd om te bezien of hier lessen uit te trekken zijn voor de Nederlandse situatie. </w:t>
      </w:r>
    </w:p>
    <w:p w:rsidR="009E6617" w:rsidP="009E6617" w:rsidRDefault="009E6617" w14:paraId="4796059B" w14:textId="77777777"/>
    <w:p w:rsidRPr="004562A2" w:rsidR="009E6617" w:rsidP="009E6617" w:rsidRDefault="009E6617" w14:paraId="6161E5BF" w14:textId="77777777">
      <w:pPr>
        <w:rPr>
          <w:b/>
          <w:bCs/>
        </w:rPr>
      </w:pPr>
      <w:r w:rsidRPr="004562A2">
        <w:rPr>
          <w:b/>
          <w:bCs/>
        </w:rPr>
        <w:t>Vraag 5</w:t>
      </w:r>
    </w:p>
    <w:p w:rsidRPr="004562A2" w:rsidR="009E6617" w:rsidP="009E6617" w:rsidRDefault="009E6617" w14:paraId="03B7B372" w14:textId="77777777">
      <w:pPr>
        <w:rPr>
          <w:b/>
          <w:bCs/>
        </w:rPr>
      </w:pPr>
      <w:r w:rsidRPr="004562A2">
        <w:rPr>
          <w:b/>
          <w:bCs/>
        </w:rPr>
        <w:t>Wat zijn de meest voorkomende nationaliteiten van migranten van wie er een fraudesignaal wordt opgesteld vanwege erkenning van kinderen?</w:t>
      </w:r>
      <w:r w:rsidRPr="004562A2">
        <w:rPr>
          <w:b/>
          <w:bCs/>
        </w:rPr>
        <w:br/>
        <w:t> </w:t>
      </w:r>
    </w:p>
    <w:p w:rsidRPr="004562A2" w:rsidR="009E6617" w:rsidP="009E6617" w:rsidRDefault="009E6617" w14:paraId="396BD4D6" w14:textId="77777777">
      <w:pPr>
        <w:rPr>
          <w:b/>
          <w:bCs/>
        </w:rPr>
      </w:pPr>
      <w:r w:rsidRPr="004562A2">
        <w:rPr>
          <w:b/>
          <w:bCs/>
        </w:rPr>
        <w:t>Antwoord op vraag 5</w:t>
      </w:r>
    </w:p>
    <w:p w:rsidR="009E6617" w:rsidP="009E6617" w:rsidRDefault="009E6617" w14:paraId="78D0E6F6" w14:textId="77777777">
      <w:r w:rsidRPr="002502FA">
        <w:t>Buiten de in het NRC-artikel aangehaalde casuïstiek ten aanzien van Surinaamse</w:t>
      </w:r>
      <w:r>
        <w:t>-Nederlandse</w:t>
      </w:r>
      <w:r w:rsidRPr="002502FA">
        <w:t xml:space="preserve"> (veel)</w:t>
      </w:r>
      <w:proofErr w:type="spellStart"/>
      <w:r w:rsidRPr="002502FA">
        <w:t>erkenners</w:t>
      </w:r>
      <w:proofErr w:type="spellEnd"/>
      <w:r w:rsidRPr="002502FA">
        <w:t xml:space="preserve">, zijn er geen nationaliteiten die er getalsmatig uitspringen. Dat wil zeggen, bij andere nationaliteiten gaat het steeds om lage aantallen. Verder is van belang dat een fraudesignaal niet betekent dat er ook </w:t>
      </w:r>
      <w:r w:rsidRPr="002502FA">
        <w:lastRenderedPageBreak/>
        <w:t>daadwerkelijk sprake is van fraude.</w:t>
      </w:r>
      <w:r>
        <w:br/>
      </w:r>
    </w:p>
    <w:p w:rsidRPr="004562A2" w:rsidR="009E6617" w:rsidP="009E6617" w:rsidRDefault="009E6617" w14:paraId="013967AD" w14:textId="77777777">
      <w:pPr>
        <w:rPr>
          <w:b/>
          <w:bCs/>
        </w:rPr>
      </w:pPr>
      <w:r w:rsidRPr="004562A2">
        <w:rPr>
          <w:b/>
          <w:bCs/>
        </w:rPr>
        <w:t>Vraag 6</w:t>
      </w:r>
    </w:p>
    <w:p w:rsidR="009E6617" w:rsidP="009E6617" w:rsidRDefault="009E6617" w14:paraId="124B1884" w14:textId="77777777">
      <w:pPr>
        <w:rPr>
          <w:b/>
          <w:bCs/>
        </w:rPr>
      </w:pPr>
      <w:r w:rsidRPr="004562A2">
        <w:rPr>
          <w:b/>
          <w:bCs/>
        </w:rPr>
        <w:t>Welke typen verblijfsrecht worden door deze zogenaamde ‘schijnouders’ vooral aangevraagd?</w:t>
      </w:r>
    </w:p>
    <w:p w:rsidRPr="008F5E9B" w:rsidR="009E6617" w:rsidP="009E6617" w:rsidRDefault="009E6617" w14:paraId="65F82A10" w14:textId="77777777">
      <w:pPr>
        <w:rPr>
          <w:b/>
          <w:bCs/>
        </w:rPr>
      </w:pPr>
      <w:r w:rsidRPr="004562A2">
        <w:rPr>
          <w:b/>
          <w:bCs/>
        </w:rPr>
        <w:br/>
        <w:t xml:space="preserve">Antwoord op vraag </w:t>
      </w:r>
      <w:r>
        <w:rPr>
          <w:b/>
          <w:bCs/>
        </w:rPr>
        <w:t xml:space="preserve">6 </w:t>
      </w:r>
    </w:p>
    <w:p w:rsidR="009E6617" w:rsidP="009E6617" w:rsidRDefault="009E6617" w14:paraId="7C72904C" w14:textId="77777777">
      <w:r>
        <w:t xml:space="preserve">In de casuïstiek die in het NRC-artikel wordt aangehaald gaat het om de verlening van een verblijfsrecht op grond van het </w:t>
      </w:r>
      <w:proofErr w:type="spellStart"/>
      <w:r>
        <w:t>Chavez</w:t>
      </w:r>
      <w:proofErr w:type="spellEnd"/>
      <w:r>
        <w:t xml:space="preserve">-arrest. Dit wordt verleend aan een </w:t>
      </w:r>
      <w:r w:rsidRPr="00671863">
        <w:t>ouder die geen Nederlandse of</w:t>
      </w:r>
      <w:r>
        <w:t xml:space="preserve"> andere</w:t>
      </w:r>
      <w:r w:rsidRPr="00671863">
        <w:t xml:space="preserve"> EU-nationaliteit heeft (de zogenoemde </w:t>
      </w:r>
      <w:proofErr w:type="spellStart"/>
      <w:r w:rsidRPr="00671863">
        <w:t>derdeland</w:t>
      </w:r>
      <w:proofErr w:type="spellEnd"/>
      <w:r w:rsidRPr="00671863">
        <w:t>-ouder)</w:t>
      </w:r>
      <w:r>
        <w:t xml:space="preserve"> van een Nederlands kind, onder de voorwaarden (i) dat hij of zij </w:t>
      </w:r>
      <w:r w:rsidRPr="008F5E9B">
        <w:t>de daadwerkelijke zorg over het Nederlandse kind he</w:t>
      </w:r>
      <w:r>
        <w:t>eft</w:t>
      </w:r>
      <w:r w:rsidRPr="008F5E9B">
        <w:t xml:space="preserve"> en (ii) dat het kind zodanig afhankelijk is dat het kind de EU zou moeten verlaten als zijn ouder hier niet mag blijven. Dat zou immers in strijd zijn met artikel 20 </w:t>
      </w:r>
      <w:r>
        <w:t xml:space="preserve">van het </w:t>
      </w:r>
      <w:r w:rsidRPr="00671863">
        <w:t>Verdrag betreffende de werking van de Europese Unie</w:t>
      </w:r>
      <w:r w:rsidRPr="008F5E9B" w:rsidDel="009752EC">
        <w:t xml:space="preserve"> </w:t>
      </w:r>
      <w:r w:rsidRPr="008F5E9B">
        <w:t xml:space="preserve">(het Unieburgerschap) op basis waarvan </w:t>
      </w:r>
      <w:r>
        <w:t>he</w:t>
      </w:r>
      <w:r w:rsidRPr="008F5E9B">
        <w:t>t Nederlandse kind niet gedwongen mag worden de EU te verlaten.</w:t>
      </w:r>
    </w:p>
    <w:p w:rsidR="009E6617" w:rsidP="009E6617" w:rsidRDefault="009E6617" w14:paraId="5216AC18" w14:textId="77777777"/>
    <w:p w:rsidR="009E6617" w:rsidP="009E6617" w:rsidRDefault="009E6617" w14:paraId="4AD4F18E" w14:textId="77777777">
      <w:r>
        <w:t xml:space="preserve">Bij de in het artikel geschetste problematiek in het kader van het </w:t>
      </w:r>
      <w:proofErr w:type="spellStart"/>
      <w:r>
        <w:t>Chavez</w:t>
      </w:r>
      <w:proofErr w:type="spellEnd"/>
      <w:r>
        <w:t xml:space="preserve">-verblijfsvergunningen (zogenoemde schijnerkenningen) gaat het om een Nederlander die een kind erkent, als gevolg waarvan het </w:t>
      </w:r>
      <w:proofErr w:type="spellStart"/>
      <w:r>
        <w:t>derdeland</w:t>
      </w:r>
      <w:proofErr w:type="spellEnd"/>
      <w:r>
        <w:t xml:space="preserve">-kind de Nederlandse nationaliteit verkrijgt. Het is vervolgens de </w:t>
      </w:r>
      <w:proofErr w:type="spellStart"/>
      <w:r>
        <w:t>derdeland</w:t>
      </w:r>
      <w:proofErr w:type="spellEnd"/>
      <w:r>
        <w:t xml:space="preserve">-ouder die een verblijfsvergunning aanvraagt, niet de ouder die het kind erkent. De </w:t>
      </w:r>
      <w:proofErr w:type="spellStart"/>
      <w:r>
        <w:t>derdeland</w:t>
      </w:r>
      <w:proofErr w:type="spellEnd"/>
      <w:r>
        <w:t xml:space="preserve">-ouder kan enkel een </w:t>
      </w:r>
      <w:proofErr w:type="spellStart"/>
      <w:r>
        <w:t>Chavez</w:t>
      </w:r>
      <w:proofErr w:type="spellEnd"/>
      <w:r>
        <w:t xml:space="preserve">-verblijfsvergunning verkrijgen op het moment dat er voldaan wordt aan de voorwaarden. Deze ouder is dan ook niet een ‘schijnouder’. </w:t>
      </w:r>
    </w:p>
    <w:p w:rsidRPr="003B3B24" w:rsidR="009E6617" w:rsidP="009E6617" w:rsidRDefault="009E6617" w14:paraId="6643B072" w14:textId="77777777"/>
    <w:p w:rsidRPr="004562A2" w:rsidR="009E6617" w:rsidP="009E6617" w:rsidRDefault="009E6617" w14:paraId="4DD4F9C7" w14:textId="77777777">
      <w:pPr>
        <w:rPr>
          <w:b/>
          <w:bCs/>
        </w:rPr>
      </w:pPr>
      <w:r w:rsidRPr="004562A2">
        <w:rPr>
          <w:b/>
          <w:bCs/>
        </w:rPr>
        <w:t>Vraag 7</w:t>
      </w:r>
    </w:p>
    <w:p w:rsidRPr="004562A2" w:rsidR="009E6617" w:rsidP="009E6617" w:rsidRDefault="009E6617" w14:paraId="7E7F2480" w14:textId="77777777">
      <w:pPr>
        <w:rPr>
          <w:b/>
          <w:bCs/>
        </w:rPr>
      </w:pPr>
      <w:r w:rsidRPr="004562A2">
        <w:rPr>
          <w:b/>
          <w:bCs/>
        </w:rPr>
        <w:t xml:space="preserve">Welke effecten hebben schijnerkenningen op de financiële positie van de kinderen? In hoeveel gevallen blijkt dat de </w:t>
      </w:r>
      <w:proofErr w:type="spellStart"/>
      <w:r w:rsidRPr="004562A2">
        <w:rPr>
          <w:b/>
          <w:bCs/>
        </w:rPr>
        <w:t>schijnerkenner</w:t>
      </w:r>
      <w:proofErr w:type="spellEnd"/>
      <w:r w:rsidRPr="004562A2">
        <w:rPr>
          <w:b/>
          <w:bCs/>
        </w:rPr>
        <w:t xml:space="preserve"> het erkende kind uiteindelijk niet financieel onderhoudt?</w:t>
      </w:r>
      <w:r w:rsidRPr="004562A2">
        <w:rPr>
          <w:b/>
          <w:bCs/>
        </w:rPr>
        <w:br/>
        <w:t> </w:t>
      </w:r>
    </w:p>
    <w:p w:rsidRPr="004562A2" w:rsidR="009E6617" w:rsidP="009E6617" w:rsidRDefault="009E6617" w14:paraId="6EA84134" w14:textId="77777777">
      <w:pPr>
        <w:rPr>
          <w:b/>
          <w:bCs/>
        </w:rPr>
      </w:pPr>
      <w:r w:rsidRPr="004562A2">
        <w:rPr>
          <w:b/>
          <w:bCs/>
        </w:rPr>
        <w:t>Antwoord op vraag 7</w:t>
      </w:r>
    </w:p>
    <w:p w:rsidR="009E6617" w:rsidP="009E6617" w:rsidRDefault="009E6617" w14:paraId="47DA47B9" w14:textId="77777777">
      <w:r>
        <w:t xml:space="preserve">Erkenning zorgt ervoor dat er een juridische band tussen de </w:t>
      </w:r>
      <w:proofErr w:type="spellStart"/>
      <w:r>
        <w:t>erkenner</w:t>
      </w:r>
      <w:proofErr w:type="spellEnd"/>
      <w:r>
        <w:t xml:space="preserve"> en het kind ontstaat (familierechtelijke betrekking). Voor de juridische ouders geldt een onderhoudsplicht ten opzichte van het kind totdat het kind 21 jaar wordt. Dit houdt in dat zij naar draagkracht moeten voorzien in de kosten van verzorging en opvoeding tot het kind 18 jaar is (artikel 1:404 van het Burgerlijk Wetboek, hierna: BW) en de kosten van levensonderhoud en studie tot het kind 21 jaar is (artikel </w:t>
      </w:r>
      <w:r>
        <w:lastRenderedPageBreak/>
        <w:t xml:space="preserve">1:395a BW). De onderhoudsplicht geldt ook als de ouders niet bij elkaar wonen. Als een ouder niet wil betalen, dan kan er kinderalimentatie worden vastgesteld door de rechter (artikel 1:406 BW). Verder zijn het kind en de juridische ouders elkaars erfgenamen (artikel 4:10 BW). Er is geen informatie beschikbaar over het al dan niet voldoen aan de onderhoudsplicht door </w:t>
      </w:r>
      <w:proofErr w:type="spellStart"/>
      <w:r>
        <w:t>schijnerkenners</w:t>
      </w:r>
      <w:proofErr w:type="spellEnd"/>
      <w:r>
        <w:t xml:space="preserve">. </w:t>
      </w:r>
    </w:p>
    <w:p w:rsidR="009E6617" w:rsidP="009E6617" w:rsidRDefault="009E6617" w14:paraId="1BFE6A56" w14:textId="77777777"/>
    <w:p w:rsidRPr="004562A2" w:rsidR="009E6617" w:rsidP="009E6617" w:rsidRDefault="009E6617" w14:paraId="0A422ED3" w14:textId="77777777">
      <w:pPr>
        <w:rPr>
          <w:b/>
          <w:bCs/>
        </w:rPr>
      </w:pPr>
      <w:r w:rsidRPr="004562A2">
        <w:rPr>
          <w:b/>
          <w:bCs/>
        </w:rPr>
        <w:t>Vraag 8</w:t>
      </w:r>
    </w:p>
    <w:p w:rsidRPr="004562A2" w:rsidR="009E6617" w:rsidP="009E6617" w:rsidRDefault="009E6617" w14:paraId="280B165E" w14:textId="77777777">
      <w:pPr>
        <w:rPr>
          <w:b/>
          <w:bCs/>
        </w:rPr>
      </w:pPr>
      <w:r w:rsidRPr="004562A2">
        <w:rPr>
          <w:b/>
          <w:bCs/>
        </w:rPr>
        <w:t>Bij welke gemeenten vinden erkenningen waarbij een vermoeden bestaat van fraude in het kader van het verkrijgen van een verblijfsrecht vooral plaats?</w:t>
      </w:r>
      <w:r w:rsidRPr="004562A2">
        <w:rPr>
          <w:b/>
          <w:bCs/>
        </w:rPr>
        <w:br/>
        <w:t> </w:t>
      </w:r>
    </w:p>
    <w:p w:rsidRPr="004562A2" w:rsidR="009E6617" w:rsidP="009E6617" w:rsidRDefault="009E6617" w14:paraId="4C65D316" w14:textId="77777777">
      <w:pPr>
        <w:rPr>
          <w:b/>
          <w:bCs/>
        </w:rPr>
      </w:pPr>
      <w:r w:rsidRPr="004562A2">
        <w:rPr>
          <w:b/>
          <w:bCs/>
        </w:rPr>
        <w:t>Antwoord op vraag 8</w:t>
      </w:r>
    </w:p>
    <w:p w:rsidRPr="003D7427" w:rsidR="009E6617" w:rsidP="009E6617" w:rsidRDefault="009E6617" w14:paraId="795FE302" w14:textId="77777777">
      <w:r>
        <w:rPr>
          <w:rFonts w:ascii="Corbel" w:hAnsi="Corbel" w:cs="Calibri"/>
          <w:sz w:val="20"/>
          <w:szCs w:val="20"/>
        </w:rPr>
        <w:t>E</w:t>
      </w:r>
      <w:r w:rsidRPr="003D7427">
        <w:t xml:space="preserve">en erkenning </w:t>
      </w:r>
      <w:r>
        <w:t xml:space="preserve">kan bij elke ambtenaar van de burgerlijke stand en notaris in Nederland </w:t>
      </w:r>
      <w:r w:rsidRPr="003D7427">
        <w:t>gedaan worden</w:t>
      </w:r>
      <w:r>
        <w:t xml:space="preserve"> (artikel 1:203, eerste lid, BW)</w:t>
      </w:r>
      <w:r w:rsidRPr="003D7427">
        <w:t xml:space="preserve">. Ook kinderen die </w:t>
      </w:r>
      <w:r>
        <w:t>in het buitenland wonen kunnen hier of in een ander land</w:t>
      </w:r>
      <w:r w:rsidRPr="003D7427">
        <w:t xml:space="preserve"> worden erkend door een Nederlander, en </w:t>
      </w:r>
      <w:r>
        <w:t xml:space="preserve">- als die erkenning voor erkenning in Nederland in aanmerking komt - </w:t>
      </w:r>
      <w:r w:rsidRPr="003D7427">
        <w:t>daardoor Nederlander worden</w:t>
      </w:r>
      <w:r>
        <w:rPr>
          <w:rStyle w:val="Voetnootmarkering"/>
        </w:rPr>
        <w:footnoteReference w:id="2"/>
      </w:r>
      <w:r w:rsidRPr="003D7427">
        <w:t>.</w:t>
      </w:r>
      <w:r>
        <w:t xml:space="preserve"> Er is geen landelijke registratie van vermoedens</w:t>
      </w:r>
      <w:r w:rsidRPr="001F43A4">
        <w:t xml:space="preserve"> van fraude in het kader van het verkrijgen van een verblijfsrecht</w:t>
      </w:r>
      <w:r>
        <w:t>. Op het moment dat er een vermoeden bestaat dat een erkenning enkel plaatsvindt om verblijfsrecht te verkrijgen, dan kan de ambtenaar van de burgerlijke stand of de notaris de erkenning aanhouden om onderzoek te verrichten of weigeren een akte van erkenning op te maken (</w:t>
      </w:r>
      <w:r w:rsidRPr="00A42ABD">
        <w:t>artikel 1:18, tweede en derde lid</w:t>
      </w:r>
      <w:r>
        <w:t>,</w:t>
      </w:r>
      <w:r w:rsidRPr="00A42ABD">
        <w:t xml:space="preserve"> en </w:t>
      </w:r>
      <w:r>
        <w:t xml:space="preserve">artikel 1:18c, tweede lid, BW). Ook kan de officier van justitie achteraf verzoeken om de schijnerkenning te vernietigen (artikel 1:205, tweede lid, BW). </w:t>
      </w:r>
    </w:p>
    <w:p w:rsidR="009E6617" w:rsidP="009E6617" w:rsidRDefault="009E6617" w14:paraId="6E94B2C5" w14:textId="77777777"/>
    <w:p w:rsidRPr="004562A2" w:rsidR="009E6617" w:rsidP="009E6617" w:rsidRDefault="009E6617" w14:paraId="599B10E6" w14:textId="77777777">
      <w:pPr>
        <w:rPr>
          <w:b/>
          <w:bCs/>
        </w:rPr>
      </w:pPr>
      <w:r w:rsidRPr="004562A2">
        <w:rPr>
          <w:b/>
          <w:bCs/>
        </w:rPr>
        <w:t>Vraag 9</w:t>
      </w:r>
    </w:p>
    <w:p w:rsidRPr="004562A2" w:rsidR="009E6617" w:rsidP="009E6617" w:rsidRDefault="009E6617" w14:paraId="2CE41F99" w14:textId="77777777">
      <w:pPr>
        <w:rPr>
          <w:b/>
          <w:bCs/>
        </w:rPr>
      </w:pPr>
      <w:r w:rsidRPr="004562A2">
        <w:rPr>
          <w:b/>
          <w:bCs/>
        </w:rPr>
        <w:t xml:space="preserve">Deelt u de mening dat het een groot probleem is dat ambtenaren van de burgerlijke stand niet meer actief </w:t>
      </w:r>
      <w:proofErr w:type="spellStart"/>
      <w:r w:rsidRPr="004562A2">
        <w:rPr>
          <w:b/>
          <w:bCs/>
        </w:rPr>
        <w:t>schijnerkenners</w:t>
      </w:r>
      <w:proofErr w:type="spellEnd"/>
      <w:r w:rsidRPr="004562A2">
        <w:rPr>
          <w:b/>
          <w:bCs/>
        </w:rPr>
        <w:t xml:space="preserve"> tegenwerken omdat ze te vaak door de rechter worden teruggefloten? Zo ja, wat gaat u eraan doen om ervoor te zorgen dat </w:t>
      </w:r>
      <w:proofErr w:type="spellStart"/>
      <w:r w:rsidRPr="004562A2">
        <w:rPr>
          <w:b/>
          <w:bCs/>
        </w:rPr>
        <w:t>schijnerkenners</w:t>
      </w:r>
      <w:proofErr w:type="spellEnd"/>
      <w:r w:rsidRPr="004562A2">
        <w:rPr>
          <w:b/>
          <w:bCs/>
        </w:rPr>
        <w:t xml:space="preserve"> weer kunnen worden aangepakt?</w:t>
      </w:r>
      <w:r w:rsidRPr="004562A2">
        <w:rPr>
          <w:b/>
          <w:bCs/>
        </w:rPr>
        <w:br/>
        <w:t> </w:t>
      </w:r>
      <w:r w:rsidRPr="004562A2">
        <w:rPr>
          <w:b/>
          <w:bCs/>
        </w:rPr>
        <w:br/>
        <w:t>Antwoord op vraag 9</w:t>
      </w:r>
    </w:p>
    <w:p w:rsidR="009E6617" w:rsidP="009E6617" w:rsidRDefault="009E6617" w14:paraId="469CF478" w14:textId="77777777">
      <w:r>
        <w:t xml:space="preserve">Ik deel de mening dat het problematisch is dat ambtenaren van de burgerlijke stand zich niet gesterkt voelen om schijnerkenningen tegen te gaan. Tegelijkertijd is en blijft het uiteindelijk aan de rechterlijke macht om te beoordelen of, op basis van de informatie die voorligt, geoordeeld kan worden dat er sprake is van een schijnerkenning. </w:t>
      </w:r>
    </w:p>
    <w:p w:rsidR="009E6617" w:rsidP="009E6617" w:rsidRDefault="009E6617" w14:paraId="0E5B68CD" w14:textId="77777777"/>
    <w:p w:rsidR="009E6617" w:rsidP="009E6617" w:rsidRDefault="009E6617" w14:paraId="63D045B4" w14:textId="77777777">
      <w:r>
        <w:t xml:space="preserve">De signalen uit het artikel neem ik serieus. Daarom wordt er op dit moment, in samenwerking met de IND, het Openbaar Ministerie, de Nederlandse Vereniging voor Burgerzaken en de Ministeries van Buitenlandse Zaken en Justitie en Veiligheid gewerkt aan een aanpak voor de problematiek rondom schijnerkenningen bij </w:t>
      </w:r>
      <w:proofErr w:type="spellStart"/>
      <w:r>
        <w:t>Chavez</w:t>
      </w:r>
      <w:proofErr w:type="spellEnd"/>
      <w:r>
        <w:t>-verblijfsaanvragen. Daar</w:t>
      </w:r>
      <w:r w:rsidRPr="00D87E8C">
        <w:t>op</w:t>
      </w:r>
      <w:r>
        <w:t xml:space="preserve"> kan ik nog niet vooruitlopen. </w:t>
      </w:r>
    </w:p>
    <w:p w:rsidR="009E6617" w:rsidP="009E6617" w:rsidRDefault="009E6617" w14:paraId="480F044C" w14:textId="77777777">
      <w:pPr>
        <w:rPr>
          <w:b/>
          <w:bCs/>
        </w:rPr>
      </w:pPr>
    </w:p>
    <w:p w:rsidR="009E6617" w:rsidP="009E6617" w:rsidRDefault="009E6617" w14:paraId="0324C5C2" w14:textId="77777777">
      <w:pPr>
        <w:rPr>
          <w:b/>
          <w:bCs/>
        </w:rPr>
      </w:pPr>
    </w:p>
    <w:p w:rsidRPr="004562A2" w:rsidR="009E6617" w:rsidP="009E6617" w:rsidRDefault="009E6617" w14:paraId="34C35767" w14:textId="77777777">
      <w:pPr>
        <w:rPr>
          <w:b/>
          <w:bCs/>
        </w:rPr>
      </w:pPr>
    </w:p>
    <w:p w:rsidRPr="004562A2" w:rsidR="009E6617" w:rsidP="009E6617" w:rsidRDefault="009E6617" w14:paraId="44FCDF8A" w14:textId="77777777">
      <w:pPr>
        <w:rPr>
          <w:b/>
          <w:bCs/>
        </w:rPr>
      </w:pPr>
      <w:bookmarkStart w:name="_Hlk185251764" w:id="0"/>
      <w:r w:rsidRPr="004562A2">
        <w:rPr>
          <w:b/>
          <w:bCs/>
        </w:rPr>
        <w:t>Vraag 10</w:t>
      </w:r>
    </w:p>
    <w:p w:rsidRPr="004562A2" w:rsidR="009E6617" w:rsidP="009E6617" w:rsidRDefault="009E6617" w14:paraId="341888CD" w14:textId="77777777">
      <w:pPr>
        <w:rPr>
          <w:b/>
          <w:bCs/>
        </w:rPr>
      </w:pPr>
      <w:r w:rsidRPr="004562A2">
        <w:rPr>
          <w:b/>
          <w:bCs/>
        </w:rPr>
        <w:t>Overweegt u om net als België het erkennen van kinderen om verblijfspapieren te krijgen strafbaar te stellen? Zo nee, waarom niet?</w:t>
      </w:r>
      <w:r w:rsidRPr="004562A2">
        <w:rPr>
          <w:b/>
          <w:bCs/>
        </w:rPr>
        <w:br/>
        <w:t> </w:t>
      </w:r>
      <w:r w:rsidRPr="004562A2">
        <w:rPr>
          <w:b/>
          <w:bCs/>
        </w:rPr>
        <w:br/>
        <w:t>Antwoord op vraag 10</w:t>
      </w:r>
    </w:p>
    <w:bookmarkEnd w:id="0"/>
    <w:p w:rsidR="009E6617" w:rsidP="009E6617" w:rsidRDefault="009E6617" w14:paraId="2C44E7E1" w14:textId="77777777">
      <w:r>
        <w:t xml:space="preserve">België heeft inderdaad enkele jaren geleden een versterkte aanpak opgezet om de problematiek rondom schijnerkenningen aan te pakken. Op dit moment wordt er gewerkt aan een aanpak voor de problematiek, zie ook het antwoord op vraag 9, het Belgische voorbeeld wordt daarbij ook meegenomen. Ik kan hier nog niet op vooruitlopen. </w:t>
      </w:r>
    </w:p>
    <w:p w:rsidR="009E6617" w:rsidP="009E6617" w:rsidRDefault="009E6617" w14:paraId="6A80808C" w14:textId="77777777"/>
    <w:p w:rsidRPr="004562A2" w:rsidR="009E6617" w:rsidP="009E6617" w:rsidRDefault="009E6617" w14:paraId="5ED06495" w14:textId="77777777">
      <w:pPr>
        <w:rPr>
          <w:b/>
          <w:bCs/>
        </w:rPr>
      </w:pPr>
      <w:r w:rsidRPr="004562A2">
        <w:rPr>
          <w:b/>
          <w:bCs/>
        </w:rPr>
        <w:t>Vraag 11</w:t>
      </w:r>
    </w:p>
    <w:p w:rsidRPr="004562A2" w:rsidR="009E6617" w:rsidP="009E6617" w:rsidRDefault="009E6617" w14:paraId="7BAF8D47" w14:textId="77777777">
      <w:pPr>
        <w:rPr>
          <w:b/>
          <w:bCs/>
        </w:rPr>
      </w:pPr>
      <w:r w:rsidRPr="004562A2">
        <w:rPr>
          <w:b/>
          <w:bCs/>
        </w:rPr>
        <w:t xml:space="preserve">Bestaat er op dit moment een nationaal beleid voor ambtenaren van de burgerlijke stand over het omgaan met mogelijke </w:t>
      </w:r>
      <w:proofErr w:type="spellStart"/>
      <w:r w:rsidRPr="004562A2">
        <w:rPr>
          <w:b/>
          <w:bCs/>
        </w:rPr>
        <w:t>schijnerkenners</w:t>
      </w:r>
      <w:proofErr w:type="spellEnd"/>
      <w:r w:rsidRPr="004562A2">
        <w:rPr>
          <w:b/>
          <w:bCs/>
        </w:rPr>
        <w:t>? Zo nee, waarom niet?</w:t>
      </w:r>
      <w:r w:rsidRPr="004562A2">
        <w:rPr>
          <w:b/>
          <w:bCs/>
        </w:rPr>
        <w:br/>
        <w:t> </w:t>
      </w:r>
      <w:r w:rsidRPr="004562A2">
        <w:rPr>
          <w:b/>
          <w:bCs/>
        </w:rPr>
        <w:br/>
        <w:t>Antwoord op vraag 11</w:t>
      </w:r>
    </w:p>
    <w:p w:rsidR="009E6617" w:rsidP="009E6617" w:rsidRDefault="009E6617" w14:paraId="18CBE53D" w14:textId="77777777">
      <w:pPr>
        <w:autoSpaceDE w:val="0"/>
      </w:pPr>
      <w:r>
        <w:t xml:space="preserve">Als er twijfel bestaat over de intentie van de erkenning, heeft de ambtenaar van de burgerlijke stand de mogelijkheid om het opmaken van de akte van erkenning te weigeren op grond van strijd met de openbare orde (artikel 18c, tweede lid, BW). De  </w:t>
      </w:r>
      <w:r w:rsidRPr="00D35A3A">
        <w:t>Nederlandse Vereniging voor Burgerzaken</w:t>
      </w:r>
      <w:r>
        <w:t xml:space="preserve"> heeft in overleg met de ketenpartners een interne indicatielijst voor schijnerkenningen opgesteld die de ambtenaar van de burgerlijke stand kan gebruiken om te beoordelen of sprake is van een schijnerkenning en deze te weigeren. </w:t>
      </w:r>
      <w:r w:rsidRPr="00960964">
        <w:t>Van een weigering doet de ambtenaar melding bij de IND (artikel 1:18c</w:t>
      </w:r>
      <w:r>
        <w:t>,</w:t>
      </w:r>
      <w:r w:rsidRPr="00960964">
        <w:t xml:space="preserve"> derde lid</w:t>
      </w:r>
      <w:r>
        <w:t>,</w:t>
      </w:r>
      <w:r w:rsidRPr="00960964">
        <w:t xml:space="preserve"> BW). Heeft een erkenning desondanks toch plaatsgevonden, dan kan het </w:t>
      </w:r>
      <w:r>
        <w:t xml:space="preserve">Openbaar Ministerie </w:t>
      </w:r>
      <w:r w:rsidRPr="00960964">
        <w:t xml:space="preserve">de rechter verzoeken een erkenning te vernietigen vanwege strijd met de openbare orde (artikel 1:205, tweede lid, BW). </w:t>
      </w:r>
    </w:p>
    <w:p w:rsidR="009E6617" w:rsidP="009E6617" w:rsidRDefault="009E6617" w14:paraId="61262628" w14:textId="77777777"/>
    <w:p w:rsidRPr="004562A2" w:rsidR="009E6617" w:rsidP="009E6617" w:rsidRDefault="009E6617" w14:paraId="0F92B3F0" w14:textId="77777777">
      <w:pPr>
        <w:rPr>
          <w:b/>
          <w:bCs/>
        </w:rPr>
      </w:pPr>
      <w:r w:rsidRPr="004562A2">
        <w:rPr>
          <w:b/>
          <w:bCs/>
        </w:rPr>
        <w:t>Vraag 12</w:t>
      </w:r>
    </w:p>
    <w:p w:rsidR="009E6617" w:rsidP="009E6617" w:rsidRDefault="009E6617" w14:paraId="0A0DA4C7" w14:textId="77777777">
      <w:pPr>
        <w:rPr>
          <w:b/>
          <w:bCs/>
        </w:rPr>
      </w:pPr>
      <w:r w:rsidRPr="004562A2">
        <w:rPr>
          <w:b/>
          <w:bCs/>
        </w:rPr>
        <w:t>Welke vervolgstappen neemt de IND indien er het vermoeden bestaat dat er sprake is van een schijnconstructie waarbij erkenning een rol speelt?</w:t>
      </w:r>
    </w:p>
    <w:p w:rsidR="009E6617" w:rsidP="009E6617" w:rsidRDefault="009E6617" w14:paraId="48772EAC" w14:textId="77777777">
      <w:pPr>
        <w:rPr>
          <w:b/>
          <w:bCs/>
        </w:rPr>
      </w:pPr>
    </w:p>
    <w:p w:rsidRPr="004562A2" w:rsidR="009E6617" w:rsidP="009E6617" w:rsidRDefault="009E6617" w14:paraId="1F466829" w14:textId="77777777">
      <w:pPr>
        <w:rPr>
          <w:b/>
          <w:bCs/>
        </w:rPr>
      </w:pPr>
      <w:r w:rsidRPr="004562A2">
        <w:rPr>
          <w:b/>
          <w:bCs/>
        </w:rPr>
        <w:t>Vraag 13</w:t>
      </w:r>
    </w:p>
    <w:p w:rsidRPr="004562A2" w:rsidR="009E6617" w:rsidP="009E6617" w:rsidRDefault="009E6617" w14:paraId="6B16A10B" w14:textId="77777777">
      <w:pPr>
        <w:rPr>
          <w:b/>
          <w:bCs/>
        </w:rPr>
      </w:pPr>
      <w:r w:rsidRPr="004562A2">
        <w:rPr>
          <w:b/>
          <w:bCs/>
        </w:rPr>
        <w:t xml:space="preserve">In hoeveel </w:t>
      </w:r>
      <w:r w:rsidRPr="00E061D0">
        <w:rPr>
          <w:b/>
          <w:bCs/>
        </w:rPr>
        <w:t>gevallen</w:t>
      </w:r>
      <w:r w:rsidRPr="004562A2">
        <w:rPr>
          <w:b/>
          <w:bCs/>
        </w:rPr>
        <w:t xml:space="preserve"> is de IND in 2023 en 2024 overgegaan tot de intrekking van het verblijfsrecht bij schijnconstructies waarbij erkenning een rol speelt?</w:t>
      </w:r>
      <w:r w:rsidRPr="004562A2">
        <w:rPr>
          <w:b/>
          <w:bCs/>
        </w:rPr>
        <w:br/>
        <w:t> </w:t>
      </w:r>
      <w:r w:rsidRPr="004562A2">
        <w:rPr>
          <w:b/>
          <w:bCs/>
        </w:rPr>
        <w:br/>
        <w:t>Antwoord op vrag</w:t>
      </w:r>
      <w:r>
        <w:rPr>
          <w:b/>
          <w:bCs/>
        </w:rPr>
        <w:t>en</w:t>
      </w:r>
      <w:r w:rsidRPr="004562A2">
        <w:rPr>
          <w:b/>
          <w:bCs/>
        </w:rPr>
        <w:t xml:space="preserve"> 12</w:t>
      </w:r>
      <w:r>
        <w:rPr>
          <w:b/>
          <w:bCs/>
        </w:rPr>
        <w:t xml:space="preserve"> en 13</w:t>
      </w:r>
    </w:p>
    <w:p w:rsidR="009E6617" w:rsidP="009E6617" w:rsidRDefault="009E6617" w14:paraId="5E2D0D05" w14:textId="77777777">
      <w:r w:rsidRPr="00B124E8">
        <w:t>Als de IND in een concrete zaak voldoende sterke vermoedens heeft dat sprake is van een schijnerkenning dan wordt daarvan een fraudesignaal geregistreerd in het dossier. In enkele gevallen heeft de IND aangifte gedaan bij het OM. Daarnaast is in het verleden misbruik van recht tegengeworpen in procedures waarin er sterke aanwijzingen waren voor een schijnerkenning. Op basis van het veronderstelde misbruik zijn aanvragen afgewezen. Die aanpak staat echter ter discussie als gevolg van jurisprudentie</w:t>
      </w:r>
      <w:r>
        <w:t xml:space="preserve"> van de Afdeling Bestuursrechtspraak van de Raad van State.</w:t>
      </w:r>
      <w:r>
        <w:rPr>
          <w:rStyle w:val="Voetnootmarkering"/>
        </w:rPr>
        <w:footnoteReference w:id="3"/>
      </w:r>
      <w:r>
        <w:t xml:space="preserve"> Uit deze jurisprudentie volgt dat er eerst vastgesteld moet worden dat er sprake is van een schijnerkenning, binnen de daartoe opgestelde procedures in het familierecht, voordat dit gevolgen kan hebben voor een verleend verblijfsrecht. </w:t>
      </w:r>
      <w:r w:rsidRPr="00B124E8">
        <w:t>Er zijn geen zaken bekend waarin het vermoeden van een schijnerkenning achteraf tot beëindiging van het verblijfsrecht heeft geleid</w:t>
      </w:r>
      <w:r>
        <w:t xml:space="preserve">. </w:t>
      </w:r>
    </w:p>
    <w:p w:rsidRPr="004562A2" w:rsidR="009E6617" w:rsidP="009E6617" w:rsidRDefault="009E6617" w14:paraId="0159538F" w14:textId="77777777">
      <w:pPr>
        <w:rPr>
          <w:b/>
          <w:bCs/>
        </w:rPr>
      </w:pPr>
      <w:r w:rsidRPr="004562A2">
        <w:rPr>
          <w:b/>
          <w:bCs/>
        </w:rPr>
        <w:t>Vraag 14</w:t>
      </w:r>
    </w:p>
    <w:p w:rsidRPr="004562A2" w:rsidR="009E6617" w:rsidP="009E6617" w:rsidRDefault="009E6617" w14:paraId="5AE74726" w14:textId="77777777">
      <w:pPr>
        <w:rPr>
          <w:b/>
          <w:bCs/>
        </w:rPr>
      </w:pPr>
      <w:r w:rsidRPr="004562A2">
        <w:rPr>
          <w:b/>
          <w:bCs/>
        </w:rPr>
        <w:t xml:space="preserve">Hoeveel IND-ambtenaren zijn op dit moment belast met het onderzoeken van fraudesignalen over </w:t>
      </w:r>
      <w:proofErr w:type="spellStart"/>
      <w:r w:rsidRPr="004562A2">
        <w:rPr>
          <w:b/>
          <w:bCs/>
        </w:rPr>
        <w:t>schijnerkenners</w:t>
      </w:r>
      <w:proofErr w:type="spellEnd"/>
      <w:r w:rsidRPr="004562A2">
        <w:rPr>
          <w:b/>
          <w:bCs/>
        </w:rPr>
        <w:t xml:space="preserve"> en het daadwerkelijk intrekken van de verblijfsvergunning van hen?</w:t>
      </w:r>
      <w:r w:rsidRPr="004562A2">
        <w:rPr>
          <w:b/>
          <w:bCs/>
        </w:rPr>
        <w:br/>
        <w:t> </w:t>
      </w:r>
      <w:r w:rsidRPr="004562A2">
        <w:rPr>
          <w:b/>
          <w:bCs/>
        </w:rPr>
        <w:br/>
        <w:t>Antwoord op vraag 14</w:t>
      </w:r>
    </w:p>
    <w:p w:rsidR="009E6617" w:rsidP="009E6617" w:rsidRDefault="009E6617" w14:paraId="75A17177" w14:textId="77777777">
      <w:r>
        <w:t xml:space="preserve">Alle IND ambtenaren zijn alert op signalen van fraude. Er zijn binnen de IND derhalve geen ambtenaren specifiek met deze fraudesignalen belast. De IND beschikt wel over een afdeling die fraude-signalen verwerkt, verrijkt en onderzoek doet en doorspeelt naar andere afdelingen of andere instanties. Dit betreft echter niet alleen de signalen over </w:t>
      </w:r>
      <w:proofErr w:type="spellStart"/>
      <w:r>
        <w:t>schijnerkenners</w:t>
      </w:r>
      <w:proofErr w:type="spellEnd"/>
      <w:r>
        <w:t xml:space="preserve">. </w:t>
      </w:r>
    </w:p>
    <w:p w:rsidR="009E6617" w:rsidP="009E6617" w:rsidRDefault="009E6617" w14:paraId="4D8AE6C7" w14:textId="77777777"/>
    <w:p w:rsidR="009E6617" w:rsidP="009E6617" w:rsidRDefault="009E6617" w14:paraId="64C44691" w14:textId="77777777">
      <w:r>
        <w:t xml:space="preserve">Per 1 november 2024 zijn alle medewerkers die belast zijn met handhavingstaken </w:t>
      </w:r>
      <w:r w:rsidRPr="003E7695">
        <w:t>binnen de directie Regulier Verblijf en Nederlanderschap</w:t>
      </w:r>
      <w:r>
        <w:t xml:space="preserve"> gecentraliseerd in één </w:t>
      </w:r>
      <w:r>
        <w:lastRenderedPageBreak/>
        <w:t xml:space="preserve">afdeling. Deze afdeling bestaat thans uit ruim 100 medewerkers. Deze medewerkers zijn belast met alle voorkomende </w:t>
      </w:r>
      <w:proofErr w:type="spellStart"/>
      <w:r>
        <w:t>handhavingsgerelateerde</w:t>
      </w:r>
      <w:proofErr w:type="spellEnd"/>
      <w:r>
        <w:t xml:space="preserve"> werkzaamheden. Er is niet specifiek een afdeling belast met de problematiek rond (mogelijke) schijnerkenningen. </w:t>
      </w:r>
    </w:p>
    <w:p w:rsidR="009E6617" w:rsidP="009E6617" w:rsidRDefault="009E6617" w14:paraId="58D4268E" w14:textId="77777777"/>
    <w:p w:rsidRPr="004562A2" w:rsidR="009E6617" w:rsidP="009E6617" w:rsidRDefault="009E6617" w14:paraId="5DD7F56B" w14:textId="77777777">
      <w:pPr>
        <w:rPr>
          <w:b/>
          <w:bCs/>
        </w:rPr>
      </w:pPr>
      <w:r w:rsidRPr="004562A2">
        <w:rPr>
          <w:b/>
          <w:bCs/>
        </w:rPr>
        <w:t>Vraag 15</w:t>
      </w:r>
    </w:p>
    <w:p w:rsidRPr="004562A2" w:rsidR="009E6617" w:rsidP="009E6617" w:rsidRDefault="009E6617" w14:paraId="40EEEFEC" w14:textId="77777777">
      <w:pPr>
        <w:rPr>
          <w:b/>
          <w:bCs/>
        </w:rPr>
      </w:pPr>
      <w:r w:rsidRPr="004562A2">
        <w:rPr>
          <w:b/>
          <w:bCs/>
        </w:rPr>
        <w:t xml:space="preserve">Zijn er naast fraudesignalen over </w:t>
      </w:r>
      <w:proofErr w:type="spellStart"/>
      <w:r w:rsidRPr="004562A2">
        <w:rPr>
          <w:b/>
          <w:bCs/>
        </w:rPr>
        <w:t>schijnerkenners</w:t>
      </w:r>
      <w:proofErr w:type="spellEnd"/>
      <w:r w:rsidRPr="004562A2">
        <w:rPr>
          <w:b/>
          <w:bCs/>
        </w:rPr>
        <w:t xml:space="preserve"> nog andere mogelijke frauduleuze trends met reguliere verblijfsvergunningen? Zo ja, welke en hoe bent u van plan deze aan te pakken?</w:t>
      </w:r>
      <w:r w:rsidRPr="004562A2">
        <w:rPr>
          <w:b/>
          <w:bCs/>
        </w:rPr>
        <w:br/>
        <w:t> </w:t>
      </w:r>
      <w:r w:rsidRPr="004562A2">
        <w:rPr>
          <w:b/>
          <w:bCs/>
        </w:rPr>
        <w:br/>
        <w:t>Antwoord op vraag 15</w:t>
      </w:r>
    </w:p>
    <w:p w:rsidR="009E6617" w:rsidP="009E6617" w:rsidRDefault="009E6617" w14:paraId="297719B6" w14:textId="77777777">
      <w:r w:rsidRPr="00B124E8">
        <w:t>De IND acteert op diverse signalen van fraude. Hoewel er in de praktijk regelmatig zaken worden aangetroffen waarbij sprake zou kunnen zijn van fraude is de impact en het aantal zaken van een andere orde van grootte dan de schijnerkenningen. Op het moment dat er sprake is van een trend wordt deze breed gedeeld teneinde dit in een vroeg stadium te kunnen mitigeren.</w:t>
      </w:r>
    </w:p>
    <w:p w:rsidR="009E6617" w:rsidP="009E6617" w:rsidRDefault="009E6617" w14:paraId="592220F3" w14:textId="77777777"/>
    <w:p w:rsidRPr="004562A2" w:rsidR="009E6617" w:rsidP="009E6617" w:rsidRDefault="009E6617" w14:paraId="0D56EF36" w14:textId="77777777">
      <w:pPr>
        <w:rPr>
          <w:b/>
          <w:bCs/>
        </w:rPr>
      </w:pPr>
      <w:r w:rsidRPr="004562A2">
        <w:rPr>
          <w:b/>
          <w:bCs/>
        </w:rPr>
        <w:t>Vraag 16</w:t>
      </w:r>
    </w:p>
    <w:p w:rsidRPr="004562A2" w:rsidR="009E6617" w:rsidP="009E6617" w:rsidRDefault="009E6617" w14:paraId="5B23916E" w14:textId="77777777">
      <w:pPr>
        <w:rPr>
          <w:b/>
          <w:bCs/>
        </w:rPr>
      </w:pPr>
      <w:r w:rsidRPr="004562A2">
        <w:rPr>
          <w:b/>
          <w:bCs/>
        </w:rPr>
        <w:t>Bent u bereid het IND-rapport waarin wordt verwezen naar een netwerk van ‘schijnvaders’ te delen? Zo nee, waarom niet?</w:t>
      </w:r>
      <w:r w:rsidRPr="004562A2">
        <w:rPr>
          <w:b/>
          <w:bCs/>
        </w:rPr>
        <w:br/>
      </w:r>
    </w:p>
    <w:p w:rsidRPr="004562A2" w:rsidR="009E6617" w:rsidP="009E6617" w:rsidRDefault="009E6617" w14:paraId="7E8F063E" w14:textId="77777777">
      <w:pPr>
        <w:rPr>
          <w:b/>
          <w:bCs/>
        </w:rPr>
      </w:pPr>
      <w:r w:rsidRPr="004562A2">
        <w:rPr>
          <w:b/>
          <w:bCs/>
        </w:rPr>
        <w:t>Antwoord op vraag 16</w:t>
      </w:r>
    </w:p>
    <w:p w:rsidRPr="00605D3B" w:rsidR="009E6617" w:rsidP="009E6617" w:rsidRDefault="009E6617" w14:paraId="4FEF7E32" w14:textId="77777777">
      <w:r w:rsidRPr="00605D3B">
        <w:t xml:space="preserve">Nee, omdat dit IND-rapport de uitwerking van een individuele casus betreft en het </w:t>
      </w:r>
      <w:r>
        <w:t xml:space="preserve">rapport </w:t>
      </w:r>
      <w:r w:rsidRPr="00605D3B">
        <w:t>vertrouwelijke persoonsgegevens</w:t>
      </w:r>
      <w:r>
        <w:t xml:space="preserve"> bevat</w:t>
      </w:r>
      <w:r w:rsidRPr="00605D3B">
        <w:t xml:space="preserve">. </w:t>
      </w:r>
    </w:p>
    <w:p w:rsidR="009E6617" w:rsidP="009E6617" w:rsidRDefault="009E6617" w14:paraId="31C91FCD" w14:textId="77777777"/>
    <w:p w:rsidR="009E6617" w:rsidP="009E6617" w:rsidRDefault="009E6617" w14:paraId="0BD5DAEF" w14:textId="77777777"/>
    <w:p w:rsidR="009E6617" w:rsidP="009E6617" w:rsidRDefault="009E6617" w14:paraId="263CC609" w14:textId="77777777"/>
    <w:p w:rsidR="009E6617" w:rsidP="009E6617" w:rsidRDefault="009E6617" w14:paraId="04861E7D" w14:textId="77777777">
      <w:r>
        <w:t>1) NRC, 11 december 2024, '</w:t>
      </w:r>
      <w:proofErr w:type="spellStart"/>
      <w:r>
        <w:t>Één</w:t>
      </w:r>
      <w:proofErr w:type="spellEnd"/>
      <w:r>
        <w:t xml:space="preserve"> man, 25 baby's: ‘schijnkinderen’ zijn een nieuwe manier om verblijfspapieren te krijgen', www.nrc.nl/nieuws/2024/12/11/een-man-25-babys-verblijfskinderen-zijn-een-nieuwe-manier-om-asiel-te-krijgen -a4876321#:~:text=Kind-erkenning%20De%20IND%20richt,wordt%20gekoppeld%20aan%2047%20aanvragen</w:t>
      </w:r>
      <w:r>
        <w:br/>
      </w:r>
    </w:p>
    <w:p w:rsidR="00926F98" w:rsidRDefault="00926F98" w14:paraId="284C655F" w14:textId="77777777"/>
    <w:sectPr w:rsidR="00926F98" w:rsidSect="009E661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B9B7" w14:textId="77777777" w:rsidR="009E6617" w:rsidRDefault="009E6617" w:rsidP="009E6617">
      <w:pPr>
        <w:spacing w:after="0" w:line="240" w:lineRule="auto"/>
      </w:pPr>
      <w:r>
        <w:separator/>
      </w:r>
    </w:p>
  </w:endnote>
  <w:endnote w:type="continuationSeparator" w:id="0">
    <w:p w14:paraId="3281AE6A" w14:textId="77777777" w:rsidR="009E6617" w:rsidRDefault="009E6617" w:rsidP="009E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3A66" w14:textId="77777777" w:rsidR="009E6617" w:rsidRPr="009E6617" w:rsidRDefault="009E6617" w:rsidP="009E66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06EB" w14:textId="77777777" w:rsidR="009E6617" w:rsidRPr="009E6617" w:rsidRDefault="009E6617" w:rsidP="009E66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A6E7" w14:textId="77777777" w:rsidR="009E6617" w:rsidRPr="009E6617" w:rsidRDefault="009E6617" w:rsidP="009E66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23DC" w14:textId="77777777" w:rsidR="009E6617" w:rsidRDefault="009E6617" w:rsidP="009E6617">
      <w:pPr>
        <w:spacing w:after="0" w:line="240" w:lineRule="auto"/>
      </w:pPr>
      <w:r>
        <w:separator/>
      </w:r>
    </w:p>
  </w:footnote>
  <w:footnote w:type="continuationSeparator" w:id="0">
    <w:p w14:paraId="4670E059" w14:textId="77777777" w:rsidR="009E6617" w:rsidRDefault="009E6617" w:rsidP="009E6617">
      <w:pPr>
        <w:spacing w:after="0" w:line="240" w:lineRule="auto"/>
      </w:pPr>
      <w:r>
        <w:continuationSeparator/>
      </w:r>
    </w:p>
  </w:footnote>
  <w:footnote w:id="1">
    <w:p w14:paraId="11CAF883" w14:textId="77777777" w:rsidR="009E6617" w:rsidRPr="004B345A" w:rsidRDefault="009E6617" w:rsidP="009E6617">
      <w:pPr>
        <w:pStyle w:val="Voetnoottekst"/>
      </w:pPr>
      <w:r>
        <w:rPr>
          <w:rStyle w:val="Voetnootmarkering"/>
        </w:rPr>
        <w:footnoteRef/>
      </w:r>
      <w:r>
        <w:t xml:space="preserve"> </w:t>
      </w:r>
      <w:r w:rsidRPr="006E26AA">
        <w:rPr>
          <w:sz w:val="16"/>
          <w:szCs w:val="16"/>
        </w:rPr>
        <w:t>Hof van Justitie van de EU, 10 mei 2017, C</w:t>
      </w:r>
      <w:r w:rsidRPr="006E26AA">
        <w:rPr>
          <w:rFonts w:ascii="Cambria Math" w:hAnsi="Cambria Math" w:cs="Cambria Math"/>
          <w:sz w:val="16"/>
          <w:szCs w:val="16"/>
        </w:rPr>
        <w:t>‑</w:t>
      </w:r>
      <w:r w:rsidRPr="006E26AA">
        <w:rPr>
          <w:sz w:val="16"/>
          <w:szCs w:val="16"/>
        </w:rPr>
        <w:t>133/15</w:t>
      </w:r>
      <w:r w:rsidRPr="004B345A">
        <w:rPr>
          <w:sz w:val="16"/>
          <w:szCs w:val="16"/>
        </w:rPr>
        <w:t xml:space="preserve">, </w:t>
      </w:r>
      <w:r w:rsidRPr="009E48B9">
        <w:rPr>
          <w:sz w:val="16"/>
          <w:szCs w:val="16"/>
        </w:rPr>
        <w:t>ECLI:EU:C:2017:354</w:t>
      </w:r>
    </w:p>
  </w:footnote>
  <w:footnote w:id="2">
    <w:p w14:paraId="32AC69EB" w14:textId="77777777" w:rsidR="009E6617" w:rsidRPr="004B345A" w:rsidRDefault="009E6617" w:rsidP="009E6617">
      <w:pPr>
        <w:pStyle w:val="Voetnoottekst"/>
        <w:rPr>
          <w:sz w:val="16"/>
          <w:szCs w:val="16"/>
        </w:rPr>
      </w:pPr>
      <w:r w:rsidRPr="008A0448">
        <w:rPr>
          <w:rStyle w:val="Voetnootmarkering"/>
          <w:sz w:val="16"/>
          <w:szCs w:val="16"/>
        </w:rPr>
        <w:footnoteRef/>
      </w:r>
      <w:r w:rsidRPr="008A0448">
        <w:rPr>
          <w:sz w:val="16"/>
          <w:szCs w:val="16"/>
        </w:rPr>
        <w:t xml:space="preserve"> </w:t>
      </w:r>
      <w:r>
        <w:rPr>
          <w:sz w:val="16"/>
          <w:szCs w:val="16"/>
        </w:rPr>
        <w:t>Zie artikel 10:100 en 101 BW en artikel 4 van de Rijkswet op het Nederlanderschap.</w:t>
      </w:r>
    </w:p>
  </w:footnote>
  <w:footnote w:id="3">
    <w:p w14:paraId="1B683C48" w14:textId="77777777" w:rsidR="009E6617" w:rsidRPr="006E26AA" w:rsidRDefault="009E6617" w:rsidP="009E6617">
      <w:pPr>
        <w:pStyle w:val="Voetnoottekst"/>
      </w:pPr>
      <w:r w:rsidRPr="003D47C3">
        <w:rPr>
          <w:rStyle w:val="Voetnootmarkering"/>
          <w:sz w:val="16"/>
          <w:szCs w:val="16"/>
        </w:rPr>
        <w:footnoteRef/>
      </w:r>
      <w:r w:rsidRPr="003D47C3">
        <w:rPr>
          <w:sz w:val="16"/>
          <w:szCs w:val="16"/>
        </w:rPr>
        <w:t xml:space="preserve"> ECLI:NL:RVS:2024:3368, Raad van State, 202304558/1/V3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9BD5" w14:textId="77777777" w:rsidR="009E6617" w:rsidRPr="009E6617" w:rsidRDefault="009E6617" w:rsidP="009E66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B000" w14:textId="77777777" w:rsidR="009E6617" w:rsidRPr="009E6617" w:rsidRDefault="009E6617" w:rsidP="009E6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8E29" w14:textId="77777777" w:rsidR="009E6617" w:rsidRPr="009E6617" w:rsidRDefault="009E6617" w:rsidP="009E66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17"/>
    <w:rsid w:val="00926F98"/>
    <w:rsid w:val="009E6617"/>
    <w:rsid w:val="00DD3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AA98"/>
  <w15:chartTrackingRefBased/>
  <w15:docId w15:val="{C36D2543-8F5D-4CD7-AE1D-73120996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6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6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6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66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66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6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6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6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6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66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6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66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66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66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6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6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617"/>
    <w:rPr>
      <w:rFonts w:eastAsiaTheme="majorEastAsia" w:cstheme="majorBidi"/>
      <w:color w:val="272727" w:themeColor="text1" w:themeTint="D8"/>
    </w:rPr>
  </w:style>
  <w:style w:type="paragraph" w:styleId="Titel">
    <w:name w:val="Title"/>
    <w:basedOn w:val="Standaard"/>
    <w:next w:val="Standaard"/>
    <w:link w:val="TitelChar"/>
    <w:uiPriority w:val="10"/>
    <w:qFormat/>
    <w:rsid w:val="009E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6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6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6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6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617"/>
    <w:rPr>
      <w:i/>
      <w:iCs/>
      <w:color w:val="404040" w:themeColor="text1" w:themeTint="BF"/>
    </w:rPr>
  </w:style>
  <w:style w:type="paragraph" w:styleId="Lijstalinea">
    <w:name w:val="List Paragraph"/>
    <w:basedOn w:val="Standaard"/>
    <w:uiPriority w:val="34"/>
    <w:qFormat/>
    <w:rsid w:val="009E6617"/>
    <w:pPr>
      <w:ind w:left="720"/>
      <w:contextualSpacing/>
    </w:pPr>
  </w:style>
  <w:style w:type="character" w:styleId="Intensievebenadrukking">
    <w:name w:val="Intense Emphasis"/>
    <w:basedOn w:val="Standaardalinea-lettertype"/>
    <w:uiPriority w:val="21"/>
    <w:qFormat/>
    <w:rsid w:val="009E6617"/>
    <w:rPr>
      <w:i/>
      <w:iCs/>
      <w:color w:val="2F5496" w:themeColor="accent1" w:themeShade="BF"/>
    </w:rPr>
  </w:style>
  <w:style w:type="paragraph" w:styleId="Duidelijkcitaat">
    <w:name w:val="Intense Quote"/>
    <w:basedOn w:val="Standaard"/>
    <w:next w:val="Standaard"/>
    <w:link w:val="DuidelijkcitaatChar"/>
    <w:uiPriority w:val="30"/>
    <w:qFormat/>
    <w:rsid w:val="009E6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617"/>
    <w:rPr>
      <w:i/>
      <w:iCs/>
      <w:color w:val="2F5496" w:themeColor="accent1" w:themeShade="BF"/>
    </w:rPr>
  </w:style>
  <w:style w:type="character" w:styleId="Intensieveverwijzing">
    <w:name w:val="Intense Reference"/>
    <w:basedOn w:val="Standaardalinea-lettertype"/>
    <w:uiPriority w:val="32"/>
    <w:qFormat/>
    <w:rsid w:val="009E6617"/>
    <w:rPr>
      <w:b/>
      <w:bCs/>
      <w:smallCaps/>
      <w:color w:val="2F5496" w:themeColor="accent1" w:themeShade="BF"/>
      <w:spacing w:val="5"/>
    </w:rPr>
  </w:style>
  <w:style w:type="paragraph" w:customStyle="1" w:styleId="Referentiegegevens">
    <w:name w:val="Referentiegegevens"/>
    <w:basedOn w:val="Standaard"/>
    <w:next w:val="Standaard"/>
    <w:rsid w:val="009E66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E66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E66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E66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E66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66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E6617"/>
    <w:rPr>
      <w:vertAlign w:val="superscript"/>
    </w:rPr>
  </w:style>
  <w:style w:type="paragraph" w:styleId="Koptekst">
    <w:name w:val="header"/>
    <w:basedOn w:val="Standaard"/>
    <w:link w:val="KoptekstChar"/>
    <w:uiPriority w:val="99"/>
    <w:unhideWhenUsed/>
    <w:rsid w:val="009E66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617"/>
  </w:style>
  <w:style w:type="paragraph" w:styleId="Voettekst">
    <w:name w:val="footer"/>
    <w:basedOn w:val="Standaard"/>
    <w:link w:val="VoettekstChar"/>
    <w:uiPriority w:val="99"/>
    <w:unhideWhenUsed/>
    <w:rsid w:val="009E66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1960</ap:Words>
  <ap:Characters>10785</ap:Characters>
  <ap:DocSecurity>0</ap:DocSecurity>
  <ap:Lines>89</ap:Lines>
  <ap:Paragraphs>25</ap:Paragraphs>
  <ap:ScaleCrop>false</ap:ScaleCrop>
  <ap:LinksUpToDate>false</ap:LinksUpToDate>
  <ap:CharactersWithSpaces>12720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2025-02-18T08:53:00.0000000Z</dcterms:created>
  <dcterms:modified xsi:type="dcterms:W3CDTF">2025-02-18T08:53:00.0000000Z</dcterms:modified>
  <version/>
  <category/>
</coreProperties>
</file>