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4293" w:rsidR="00414293" w:rsidP="00414293" w:rsidRDefault="00414293" w14:paraId="498EEE5B" w14:textId="77777777">
      <w:pPr>
        <w:autoSpaceDE w:val="0"/>
        <w:autoSpaceDN w:val="0"/>
        <w:adjustRightInd w:val="0"/>
        <w:spacing w:after="0" w:line="240" w:lineRule="auto"/>
        <w:rPr>
          <w:rFonts w:ascii="Verdana" w:hAnsi="Verdana" w:eastAsia="DejaVuSerifCondensed-Bold" w:cs="DejaVuSerifCondensed-Bold"/>
          <w:b/>
          <w:bCs/>
          <w:color w:val="000000"/>
          <w:kern w:val="0"/>
          <w:sz w:val="18"/>
          <w:szCs w:val="18"/>
        </w:rPr>
      </w:pPr>
      <w:r w:rsidRPr="00414293">
        <w:rPr>
          <w:rFonts w:ascii="Verdana" w:hAnsi="Verdana" w:eastAsia="DejaVuSerifCondensed-Bold" w:cs="DejaVuSerifCondensed-Bold"/>
          <w:b/>
          <w:bCs/>
          <w:color w:val="000000"/>
          <w:kern w:val="0"/>
          <w:sz w:val="18"/>
          <w:szCs w:val="18"/>
        </w:rPr>
        <w:t>2025Z01205</w:t>
      </w:r>
    </w:p>
    <w:p w:rsidRPr="00414293" w:rsidR="00414293" w:rsidP="00414293" w:rsidRDefault="00414293" w14:paraId="0B5AE5CA"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414293">
        <w:rPr>
          <w:rFonts w:ascii="Verdana" w:hAnsi="Verdana" w:eastAsia="DejaVuSerifCondensed" w:cs="DejaVuSerifCondensed"/>
          <w:color w:val="000000"/>
          <w:kern w:val="0"/>
          <w:sz w:val="18"/>
          <w:szCs w:val="18"/>
        </w:rPr>
        <w:t>(ingezonden 24 januari 2025)</w:t>
      </w:r>
    </w:p>
    <w:p w:rsidRPr="00414293" w:rsidR="00414293" w:rsidP="00414293" w:rsidRDefault="00414293" w14:paraId="3B08AE98" w14:textId="29435DF2">
      <w:pPr>
        <w:autoSpaceDE w:val="0"/>
        <w:autoSpaceDN w:val="0"/>
        <w:adjustRightInd w:val="0"/>
        <w:spacing w:after="0" w:line="240" w:lineRule="auto"/>
        <w:rPr>
          <w:rFonts w:ascii="Verdana" w:hAnsi="Verdana" w:eastAsia="DejaVuSerifCondensed" w:cs="DejaVuSerifCondensed"/>
          <w:color w:val="000000"/>
          <w:kern w:val="0"/>
          <w:sz w:val="18"/>
          <w:szCs w:val="18"/>
        </w:rPr>
      </w:pPr>
      <w:r w:rsidRPr="00414293">
        <w:rPr>
          <w:rFonts w:ascii="Verdana" w:hAnsi="Verdana" w:eastAsia="DejaVuSerifCondensed" w:cs="DejaVuSerifCondensed"/>
          <w:color w:val="000000"/>
          <w:kern w:val="0"/>
          <w:sz w:val="18"/>
          <w:szCs w:val="18"/>
        </w:rPr>
        <w:t>Vragen van het lid Paulusma (D66) aan de staatssecretaris van Social Zaken en Werkgelegenheid over het</w:t>
      </w:r>
      <w:r w:rsidR="00821075">
        <w:rPr>
          <w:rFonts w:ascii="Verdana" w:hAnsi="Verdana" w:eastAsia="DejaVuSerifCondensed" w:cs="DejaVuSerifCondensed"/>
          <w:color w:val="000000"/>
          <w:kern w:val="0"/>
          <w:sz w:val="18"/>
          <w:szCs w:val="18"/>
        </w:rPr>
        <w:t xml:space="preserve"> </w:t>
      </w:r>
      <w:r w:rsidRPr="00414293">
        <w:rPr>
          <w:rFonts w:ascii="Verdana" w:hAnsi="Verdana" w:eastAsia="DejaVuSerifCondensed" w:cs="DejaVuSerifCondensed"/>
          <w:color w:val="000000"/>
          <w:kern w:val="0"/>
          <w:sz w:val="18"/>
          <w:szCs w:val="18"/>
        </w:rPr>
        <w:t xml:space="preserve">bericht </w:t>
      </w:r>
      <w:r w:rsidRPr="00414293" w:rsidR="00627A7D">
        <w:rPr>
          <w:rFonts w:ascii="Verdana" w:hAnsi="Verdana" w:eastAsia="DejaVuSerifCondensed" w:cs="DejaVuSerifCondensed"/>
          <w:color w:val="000000"/>
          <w:kern w:val="0"/>
          <w:sz w:val="18"/>
          <w:szCs w:val="18"/>
        </w:rPr>
        <w:t>‘Alarm om stijgende kosten kinderopvang: ouders straks tot duizend euro meer kwijt’</w:t>
      </w:r>
      <w:r w:rsidRPr="00414293" w:rsidDel="00627A7D" w:rsidR="00627A7D">
        <w:rPr>
          <w:rFonts w:ascii="Verdana" w:hAnsi="Verdana" w:eastAsia="DejaVuSerifCondensed" w:cs="DejaVuSerifCondensed"/>
          <w:color w:val="000000"/>
          <w:kern w:val="0"/>
          <w:sz w:val="18"/>
          <w:szCs w:val="18"/>
        </w:rPr>
        <w:t xml:space="preserve"> </w:t>
      </w:r>
    </w:p>
    <w:p w:rsidR="00821075" w:rsidP="00414293" w:rsidRDefault="00821075" w14:paraId="3292543D"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09164E" w:rsidR="00405E76" w:rsidP="00405E76" w:rsidRDefault="00405E76" w14:paraId="21D87450" w14:textId="2E0B01AF">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09164E">
        <w:rPr>
          <w:rFonts w:ascii="Verdana" w:hAnsi="Verdana" w:eastAsia="DejaVuSerifCondensed" w:cs="DejaVuSerifCondensed"/>
          <w:b/>
          <w:bCs/>
          <w:color w:val="000000"/>
          <w:kern w:val="0"/>
          <w:sz w:val="18"/>
          <w:szCs w:val="18"/>
        </w:rPr>
        <w:t xml:space="preserve">1. Bent u bekend met het bericht ‘Alarm om stijgende kosten kinderopvang: ouders straks tot duizend euro meer kwijt’? </w:t>
      </w:r>
    </w:p>
    <w:p w:rsidR="00405E76" w:rsidP="00405E76" w:rsidRDefault="00405E76" w14:paraId="07F2EB2C"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414293" w:rsidR="00405E76" w:rsidP="00405E76" w:rsidRDefault="00405E76" w14:paraId="366E3A35" w14:textId="088FD3E6">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Ja, ik ben bekend met het artikel.</w:t>
      </w:r>
    </w:p>
    <w:p w:rsidR="00405E76" w:rsidP="00405E76" w:rsidRDefault="00405E76" w14:paraId="3DBBCF88"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D02B24" w:rsidR="00405E76" w:rsidP="00405E76" w:rsidRDefault="00405E76" w14:paraId="69156ACC"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D02B24">
        <w:rPr>
          <w:rFonts w:ascii="Verdana" w:hAnsi="Verdana" w:eastAsia="DejaVuSerifCondensed" w:cs="DejaVuSerifCondensed"/>
          <w:b/>
          <w:bCs/>
          <w:color w:val="000000"/>
          <w:kern w:val="0"/>
          <w:sz w:val="18"/>
          <w:szCs w:val="18"/>
        </w:rPr>
        <w:t>2. Klopt het dat ouders die drie dagen per week één kind naar de dagopvang brengen in 2026 bijna</w:t>
      </w:r>
      <w:r>
        <w:rPr>
          <w:rFonts w:ascii="Verdana" w:hAnsi="Verdana" w:eastAsia="DejaVuSerifCondensed" w:cs="DejaVuSerifCondensed"/>
          <w:b/>
          <w:bCs/>
          <w:color w:val="000000"/>
          <w:kern w:val="0"/>
          <w:sz w:val="18"/>
          <w:szCs w:val="18"/>
        </w:rPr>
        <w:t xml:space="preserve"> </w:t>
      </w:r>
      <w:r w:rsidRPr="00D02B24">
        <w:rPr>
          <w:rFonts w:ascii="Verdana" w:hAnsi="Verdana" w:eastAsia="DejaVuSerifCondensed" w:cs="DejaVuSerifCondensed"/>
          <w:b/>
          <w:bCs/>
          <w:color w:val="000000"/>
          <w:kern w:val="0"/>
          <w:sz w:val="18"/>
          <w:szCs w:val="18"/>
        </w:rPr>
        <w:t>duizend euro per jaar, een ruime verdubbeling van de eigen bijdrage, meer moeten betalen?</w:t>
      </w:r>
    </w:p>
    <w:p w:rsidR="00405E76" w:rsidP="00405E76" w:rsidRDefault="00405E76" w14:paraId="75AEFE81"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405E76" w:rsidP="00405E76" w:rsidRDefault="0082473B" w14:paraId="5566985E" w14:textId="3105D95C">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Nee, ik</w:t>
      </w:r>
      <w:r w:rsidR="00405E76">
        <w:rPr>
          <w:rFonts w:ascii="Verdana" w:hAnsi="Verdana" w:eastAsia="DejaVuSerifCondensed" w:cs="DejaVuSerifCondensed"/>
          <w:color w:val="000000"/>
          <w:kern w:val="0"/>
          <w:sz w:val="18"/>
          <w:szCs w:val="18"/>
        </w:rPr>
        <w:t xml:space="preserve"> herken de stelling van de Telegraaf, dat ouders die drie dagen per week één kind naar de dagopvang brengen in 2026 duizend euro meer kwijt zouden zijn, niet. </w:t>
      </w:r>
      <w:r w:rsidR="005B5BCE">
        <w:rPr>
          <w:rFonts w:ascii="Verdana" w:hAnsi="Verdana" w:eastAsia="DejaVuSerifCondensed" w:cs="DejaVuSerifCondensed"/>
          <w:color w:val="000000"/>
          <w:kern w:val="0"/>
          <w:sz w:val="18"/>
          <w:szCs w:val="18"/>
        </w:rPr>
        <w:t xml:space="preserve">Een huishouden met een </w:t>
      </w:r>
      <w:r w:rsidR="00C30A99">
        <w:rPr>
          <w:rFonts w:ascii="Verdana" w:hAnsi="Verdana" w:eastAsia="DejaVuSerifCondensed" w:cs="DejaVuSerifCondensed"/>
          <w:color w:val="000000"/>
          <w:kern w:val="0"/>
          <w:sz w:val="18"/>
          <w:szCs w:val="18"/>
        </w:rPr>
        <w:t xml:space="preserve">laag </w:t>
      </w:r>
      <w:r w:rsidR="005B5BCE">
        <w:rPr>
          <w:rFonts w:ascii="Verdana" w:hAnsi="Verdana" w:eastAsia="DejaVuSerifCondensed" w:cs="DejaVuSerifCondensed"/>
          <w:color w:val="000000"/>
          <w:kern w:val="0"/>
          <w:sz w:val="18"/>
          <w:szCs w:val="18"/>
        </w:rPr>
        <w:t>inkomen</w:t>
      </w:r>
      <w:r w:rsidR="007F5D97">
        <w:rPr>
          <w:rFonts w:ascii="Verdana" w:hAnsi="Verdana" w:eastAsia="DejaVuSerifCondensed" w:cs="DejaVuSerifCondensed"/>
          <w:color w:val="000000"/>
          <w:kern w:val="0"/>
          <w:sz w:val="18"/>
          <w:szCs w:val="18"/>
        </w:rPr>
        <w:t xml:space="preserve"> van €</w:t>
      </w:r>
      <w:r w:rsidR="009821CE">
        <w:rPr>
          <w:rFonts w:ascii="Verdana" w:hAnsi="Verdana" w:eastAsia="DejaVuSerifCondensed" w:cs="DejaVuSerifCondensed"/>
          <w:color w:val="000000"/>
          <w:kern w:val="0"/>
          <w:sz w:val="18"/>
          <w:szCs w:val="18"/>
        </w:rPr>
        <w:t xml:space="preserve"> </w:t>
      </w:r>
      <w:r w:rsidR="007F5D97">
        <w:rPr>
          <w:rFonts w:ascii="Verdana" w:hAnsi="Verdana" w:eastAsia="DejaVuSerifCondensed" w:cs="DejaVuSerifCondensed"/>
          <w:color w:val="000000"/>
          <w:kern w:val="0"/>
          <w:sz w:val="18"/>
          <w:szCs w:val="18"/>
        </w:rPr>
        <w:t>20.000</w:t>
      </w:r>
      <w:r w:rsidR="005B5BCE">
        <w:rPr>
          <w:rFonts w:ascii="Verdana" w:hAnsi="Verdana" w:eastAsia="DejaVuSerifCondensed" w:cs="DejaVuSerifCondensed"/>
          <w:color w:val="000000"/>
          <w:kern w:val="0"/>
          <w:sz w:val="18"/>
          <w:szCs w:val="18"/>
        </w:rPr>
        <w:t xml:space="preserve"> met één kind dat drie dagen per week naar de dagopvang gaat, voor een verwacht </w:t>
      </w:r>
      <w:r w:rsidR="00AE120F">
        <w:rPr>
          <w:rFonts w:ascii="Verdana" w:hAnsi="Verdana" w:eastAsia="DejaVuSerifCondensed" w:cs="DejaVuSerifCondensed"/>
          <w:color w:val="000000"/>
          <w:kern w:val="0"/>
          <w:sz w:val="18"/>
          <w:szCs w:val="18"/>
        </w:rPr>
        <w:t xml:space="preserve">doorsnee </w:t>
      </w:r>
      <w:r w:rsidR="005B5BCE">
        <w:rPr>
          <w:rFonts w:ascii="Verdana" w:hAnsi="Verdana" w:eastAsia="DejaVuSerifCondensed" w:cs="DejaVuSerifCondensed"/>
          <w:color w:val="000000"/>
          <w:kern w:val="0"/>
          <w:sz w:val="18"/>
          <w:szCs w:val="18"/>
        </w:rPr>
        <w:t>tarief van €</w:t>
      </w:r>
      <w:r w:rsidR="009821CE">
        <w:rPr>
          <w:rFonts w:ascii="Verdana" w:hAnsi="Verdana" w:eastAsia="DejaVuSerifCondensed" w:cs="DejaVuSerifCondensed"/>
          <w:color w:val="000000"/>
          <w:kern w:val="0"/>
          <w:sz w:val="18"/>
          <w:szCs w:val="18"/>
        </w:rPr>
        <w:t xml:space="preserve"> </w:t>
      </w:r>
      <w:r w:rsidRPr="004505AA" w:rsidR="005B5BCE">
        <w:rPr>
          <w:rFonts w:ascii="Verdana" w:hAnsi="Verdana" w:eastAsia="DejaVuSerifCondensed" w:cs="DejaVuSerifCondensed"/>
          <w:color w:val="000000"/>
          <w:kern w:val="0"/>
          <w:sz w:val="18"/>
          <w:szCs w:val="18"/>
        </w:rPr>
        <w:t>10,</w:t>
      </w:r>
      <w:r w:rsidR="00AE120F">
        <w:rPr>
          <w:rFonts w:ascii="Verdana" w:hAnsi="Verdana" w:eastAsia="DejaVuSerifCondensed" w:cs="DejaVuSerifCondensed"/>
          <w:color w:val="000000"/>
          <w:kern w:val="0"/>
          <w:sz w:val="18"/>
          <w:szCs w:val="18"/>
        </w:rPr>
        <w:t xml:space="preserve">97 </w:t>
      </w:r>
      <w:r w:rsidR="005B5BCE">
        <w:rPr>
          <w:rFonts w:ascii="Verdana" w:hAnsi="Verdana" w:eastAsia="DejaVuSerifCondensed" w:cs="DejaVuSerifCondensed"/>
          <w:color w:val="000000"/>
          <w:kern w:val="0"/>
          <w:sz w:val="18"/>
          <w:szCs w:val="18"/>
        </w:rPr>
        <w:t>in 2025</w:t>
      </w:r>
      <w:r w:rsidR="00AA1AEE">
        <w:rPr>
          <w:rFonts w:ascii="Verdana" w:hAnsi="Verdana" w:eastAsia="DejaVuSerifCondensed" w:cs="DejaVuSerifCondensed"/>
          <w:color w:val="000000"/>
          <w:kern w:val="0"/>
          <w:sz w:val="18"/>
          <w:szCs w:val="18"/>
        </w:rPr>
        <w:t xml:space="preserve"> (</w:t>
      </w:r>
      <w:r w:rsidR="00C02FEA">
        <w:rPr>
          <w:rFonts w:ascii="Verdana" w:hAnsi="Verdana" w:eastAsia="DejaVuSerifCondensed" w:cs="DejaVuSerifCondensed"/>
          <w:color w:val="000000"/>
          <w:kern w:val="0"/>
          <w:sz w:val="18"/>
          <w:szCs w:val="18"/>
        </w:rPr>
        <w:t xml:space="preserve">dus </w:t>
      </w:r>
      <w:r w:rsidR="00AA1AEE">
        <w:rPr>
          <w:rFonts w:ascii="Verdana" w:hAnsi="Verdana" w:eastAsia="DejaVuSerifCondensed" w:cs="DejaVuSerifCondensed"/>
          <w:color w:val="000000"/>
          <w:kern w:val="0"/>
          <w:sz w:val="18"/>
          <w:szCs w:val="18"/>
        </w:rPr>
        <w:t xml:space="preserve">boven de </w:t>
      </w:r>
      <w:r w:rsidR="00C64A54">
        <w:rPr>
          <w:rFonts w:ascii="Verdana" w:hAnsi="Verdana" w:eastAsia="DejaVuSerifCondensed" w:cs="DejaVuSerifCondensed"/>
          <w:color w:val="000000"/>
          <w:kern w:val="0"/>
          <w:sz w:val="18"/>
          <w:szCs w:val="18"/>
        </w:rPr>
        <w:t xml:space="preserve">verwachte </w:t>
      </w:r>
      <w:r w:rsidR="00AA1AEE">
        <w:rPr>
          <w:rFonts w:ascii="Verdana" w:hAnsi="Verdana" w:eastAsia="DejaVuSerifCondensed" w:cs="DejaVuSerifCondensed"/>
          <w:color w:val="000000"/>
          <w:kern w:val="0"/>
          <w:sz w:val="18"/>
          <w:szCs w:val="18"/>
        </w:rPr>
        <w:t>maximum uurprijs)</w:t>
      </w:r>
      <w:r w:rsidR="005B5BCE">
        <w:rPr>
          <w:rFonts w:ascii="Verdana" w:hAnsi="Verdana" w:eastAsia="DejaVuSerifCondensed" w:cs="DejaVuSerifCondensed"/>
          <w:color w:val="000000"/>
          <w:kern w:val="0"/>
          <w:sz w:val="18"/>
          <w:szCs w:val="18"/>
        </w:rPr>
        <w:t>, betaalt in 2026 naar verwachting circa €</w:t>
      </w:r>
      <w:r w:rsidR="009821CE">
        <w:rPr>
          <w:rFonts w:ascii="Verdana" w:hAnsi="Verdana" w:eastAsia="DejaVuSerifCondensed" w:cs="DejaVuSerifCondensed"/>
          <w:color w:val="000000"/>
          <w:kern w:val="0"/>
          <w:sz w:val="18"/>
          <w:szCs w:val="18"/>
        </w:rPr>
        <w:t xml:space="preserve"> </w:t>
      </w:r>
      <w:r w:rsidR="005B5BCE">
        <w:rPr>
          <w:rFonts w:ascii="Verdana" w:hAnsi="Verdana" w:eastAsia="DejaVuSerifCondensed" w:cs="DejaVuSerifCondensed"/>
          <w:color w:val="000000"/>
          <w:kern w:val="0"/>
          <w:sz w:val="18"/>
          <w:szCs w:val="18"/>
        </w:rPr>
        <w:t xml:space="preserve">700 meer dan in 2025. De ouderbijdrage als percentage van de totale opvangkosten neemt dan toe van </w:t>
      </w:r>
      <w:r w:rsidR="00AE120F">
        <w:rPr>
          <w:rFonts w:ascii="Verdana" w:hAnsi="Verdana" w:eastAsia="DejaVuSerifCondensed" w:cs="DejaVuSerifCondensed"/>
          <w:color w:val="000000"/>
          <w:kern w:val="0"/>
          <w:sz w:val="18"/>
          <w:szCs w:val="18"/>
        </w:rPr>
        <w:t>6</w:t>
      </w:r>
      <w:r w:rsidR="005B5BCE">
        <w:rPr>
          <w:rFonts w:ascii="Verdana" w:hAnsi="Verdana" w:eastAsia="DejaVuSerifCondensed" w:cs="DejaVuSerifCondensed"/>
          <w:color w:val="000000"/>
          <w:kern w:val="0"/>
          <w:sz w:val="18"/>
          <w:szCs w:val="18"/>
        </w:rPr>
        <w:t xml:space="preserve">,3% in 2025 naar </w:t>
      </w:r>
      <w:r w:rsidR="00AE120F">
        <w:rPr>
          <w:rFonts w:ascii="Verdana" w:hAnsi="Verdana" w:eastAsia="DejaVuSerifCondensed" w:cs="DejaVuSerifCondensed"/>
          <w:color w:val="000000"/>
          <w:kern w:val="0"/>
          <w:sz w:val="18"/>
          <w:szCs w:val="18"/>
        </w:rPr>
        <w:t>9,7</w:t>
      </w:r>
      <w:r w:rsidR="005B5BCE">
        <w:rPr>
          <w:rFonts w:ascii="Verdana" w:hAnsi="Verdana" w:eastAsia="DejaVuSerifCondensed" w:cs="DejaVuSerifCondensed"/>
          <w:color w:val="000000"/>
          <w:kern w:val="0"/>
          <w:sz w:val="18"/>
          <w:szCs w:val="18"/>
        </w:rPr>
        <w:t>% in 2026.</w:t>
      </w:r>
      <w:r w:rsidR="006A0590">
        <w:rPr>
          <w:rFonts w:ascii="Verdana" w:hAnsi="Verdana" w:eastAsia="DejaVuSerifCondensed" w:cs="DejaVuSerifCondensed"/>
          <w:color w:val="000000"/>
          <w:kern w:val="0"/>
          <w:sz w:val="18"/>
          <w:szCs w:val="18"/>
        </w:rPr>
        <w:t xml:space="preserve"> </w:t>
      </w:r>
    </w:p>
    <w:p w:rsidR="00AA1AEE" w:rsidP="00405E76" w:rsidRDefault="00AA1AEE" w14:paraId="3FF7D80D"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7F5D97" w:rsidP="007F5D97" w:rsidRDefault="00AA1AEE" w14:paraId="604D36CE" w14:textId="60D86BE0">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De </w:t>
      </w:r>
      <w:r w:rsidR="00FB6A15">
        <w:rPr>
          <w:rFonts w:ascii="Verdana" w:hAnsi="Verdana" w:eastAsia="DejaVuSerifCondensed" w:cs="DejaVuSerifCondensed"/>
          <w:color w:val="000000"/>
          <w:kern w:val="0"/>
          <w:sz w:val="18"/>
          <w:szCs w:val="18"/>
        </w:rPr>
        <w:t xml:space="preserve">werkelijke </w:t>
      </w:r>
      <w:r>
        <w:rPr>
          <w:rFonts w:ascii="Verdana" w:hAnsi="Verdana" w:eastAsia="DejaVuSerifCondensed" w:cs="DejaVuSerifCondensed"/>
          <w:color w:val="000000"/>
          <w:kern w:val="0"/>
          <w:sz w:val="18"/>
          <w:szCs w:val="18"/>
        </w:rPr>
        <w:t xml:space="preserve">effecten van het niet-indexeren zijn echter niet in één </w:t>
      </w:r>
      <w:r w:rsidR="00CA21F3">
        <w:rPr>
          <w:rFonts w:ascii="Verdana" w:hAnsi="Verdana" w:eastAsia="DejaVuSerifCondensed" w:cs="DejaVuSerifCondensed"/>
          <w:color w:val="000000"/>
          <w:kern w:val="0"/>
          <w:sz w:val="18"/>
          <w:szCs w:val="18"/>
        </w:rPr>
        <w:t>bedrag</w:t>
      </w:r>
      <w:r>
        <w:rPr>
          <w:rFonts w:ascii="Verdana" w:hAnsi="Verdana" w:eastAsia="DejaVuSerifCondensed" w:cs="DejaVuSerifCondensed"/>
          <w:color w:val="000000"/>
          <w:kern w:val="0"/>
          <w:sz w:val="18"/>
          <w:szCs w:val="18"/>
        </w:rPr>
        <w:t xml:space="preserve"> te </w:t>
      </w:r>
      <w:r w:rsidR="00C232E0">
        <w:rPr>
          <w:rFonts w:ascii="Verdana" w:hAnsi="Verdana" w:eastAsia="DejaVuSerifCondensed" w:cs="DejaVuSerifCondensed"/>
          <w:color w:val="000000"/>
          <w:kern w:val="0"/>
          <w:sz w:val="18"/>
          <w:szCs w:val="18"/>
        </w:rPr>
        <w:t>vatten</w:t>
      </w:r>
      <w:r>
        <w:rPr>
          <w:rFonts w:ascii="Verdana" w:hAnsi="Verdana" w:eastAsia="DejaVuSerifCondensed" w:cs="DejaVuSerifCondensed"/>
          <w:color w:val="000000"/>
          <w:kern w:val="0"/>
          <w:sz w:val="18"/>
          <w:szCs w:val="18"/>
        </w:rPr>
        <w:t xml:space="preserve">. Ten eerste zijn de bedragen in </w:t>
      </w:r>
      <w:r w:rsidR="00C232E0">
        <w:rPr>
          <w:rFonts w:ascii="Verdana" w:hAnsi="Verdana" w:eastAsia="DejaVuSerifCondensed" w:cs="DejaVuSerifCondensed"/>
          <w:color w:val="000000"/>
          <w:kern w:val="0"/>
          <w:sz w:val="18"/>
          <w:szCs w:val="18"/>
        </w:rPr>
        <w:t xml:space="preserve">dergelijke </w:t>
      </w:r>
      <w:r>
        <w:rPr>
          <w:rFonts w:ascii="Verdana" w:hAnsi="Verdana" w:eastAsia="DejaVuSerifCondensed" w:cs="DejaVuSerifCondensed"/>
          <w:color w:val="000000"/>
          <w:kern w:val="0"/>
          <w:sz w:val="18"/>
          <w:szCs w:val="18"/>
        </w:rPr>
        <w:t>berekeningen afhankelijk van toekomstige ontwikkelingen die nu nog</w:t>
      </w:r>
      <w:r w:rsidR="0097077F">
        <w:rPr>
          <w:rFonts w:ascii="Verdana" w:hAnsi="Verdana" w:eastAsia="DejaVuSerifCondensed" w:cs="DejaVuSerifCondensed"/>
          <w:color w:val="000000"/>
          <w:kern w:val="0"/>
          <w:sz w:val="18"/>
          <w:szCs w:val="18"/>
        </w:rPr>
        <w:t xml:space="preserve"> onzeker</w:t>
      </w:r>
      <w:r>
        <w:rPr>
          <w:rFonts w:ascii="Verdana" w:hAnsi="Verdana" w:eastAsia="DejaVuSerifCondensed" w:cs="DejaVuSerifCondensed"/>
          <w:color w:val="000000"/>
          <w:kern w:val="0"/>
          <w:sz w:val="18"/>
          <w:szCs w:val="18"/>
        </w:rPr>
        <w:t xml:space="preserve"> zijn</w:t>
      </w:r>
      <w:r w:rsidR="00FB6A15">
        <w:rPr>
          <w:rFonts w:ascii="Verdana" w:hAnsi="Verdana" w:eastAsia="DejaVuSerifCondensed" w:cs="DejaVuSerifCondensed"/>
          <w:color w:val="000000"/>
          <w:kern w:val="0"/>
          <w:sz w:val="18"/>
          <w:szCs w:val="18"/>
        </w:rPr>
        <w:t>,</w:t>
      </w:r>
      <w:r>
        <w:rPr>
          <w:rFonts w:ascii="Verdana" w:hAnsi="Verdana" w:eastAsia="DejaVuSerifCondensed" w:cs="DejaVuSerifCondensed"/>
          <w:color w:val="000000"/>
          <w:kern w:val="0"/>
          <w:sz w:val="18"/>
          <w:szCs w:val="18"/>
        </w:rPr>
        <w:t xml:space="preserve"> zoals</w:t>
      </w:r>
      <w:r w:rsidR="0097077F">
        <w:rPr>
          <w:rFonts w:ascii="Verdana" w:hAnsi="Verdana" w:eastAsia="DejaVuSerifCondensed" w:cs="DejaVuSerifCondensed"/>
          <w:color w:val="000000"/>
          <w:kern w:val="0"/>
          <w:sz w:val="18"/>
          <w:szCs w:val="18"/>
        </w:rPr>
        <w:t xml:space="preserve"> </w:t>
      </w:r>
      <w:r w:rsidR="00C232E0">
        <w:rPr>
          <w:rFonts w:ascii="Verdana" w:hAnsi="Verdana" w:eastAsia="DejaVuSerifCondensed" w:cs="DejaVuSerifCondensed"/>
          <w:color w:val="000000"/>
          <w:kern w:val="0"/>
          <w:sz w:val="18"/>
          <w:szCs w:val="18"/>
        </w:rPr>
        <w:t xml:space="preserve">de </w:t>
      </w:r>
      <w:r w:rsidR="0097077F">
        <w:rPr>
          <w:rFonts w:ascii="Verdana" w:hAnsi="Verdana" w:eastAsia="DejaVuSerifCondensed" w:cs="DejaVuSerifCondensed"/>
          <w:color w:val="000000"/>
          <w:kern w:val="0"/>
          <w:sz w:val="18"/>
          <w:szCs w:val="18"/>
        </w:rPr>
        <w:t>loonontwikkeling,</w:t>
      </w:r>
      <w:r>
        <w:rPr>
          <w:rFonts w:ascii="Verdana" w:hAnsi="Verdana" w:eastAsia="DejaVuSerifCondensed" w:cs="DejaVuSerifCondensed"/>
          <w:color w:val="000000"/>
          <w:kern w:val="0"/>
          <w:sz w:val="18"/>
          <w:szCs w:val="18"/>
        </w:rPr>
        <w:t xml:space="preserve"> </w:t>
      </w:r>
      <w:r w:rsidR="00C232E0">
        <w:rPr>
          <w:rFonts w:ascii="Verdana" w:hAnsi="Verdana" w:eastAsia="DejaVuSerifCondensed" w:cs="DejaVuSerifCondensed"/>
          <w:color w:val="000000"/>
          <w:kern w:val="0"/>
          <w:sz w:val="18"/>
          <w:szCs w:val="18"/>
        </w:rPr>
        <w:t xml:space="preserve">de </w:t>
      </w:r>
      <w:r w:rsidR="0097077F">
        <w:rPr>
          <w:rFonts w:ascii="Verdana" w:hAnsi="Verdana" w:eastAsia="DejaVuSerifCondensed" w:cs="DejaVuSerifCondensed"/>
          <w:color w:val="000000"/>
          <w:kern w:val="0"/>
          <w:sz w:val="18"/>
          <w:szCs w:val="18"/>
        </w:rPr>
        <w:t xml:space="preserve">inflatie en </w:t>
      </w:r>
      <w:r>
        <w:rPr>
          <w:rFonts w:ascii="Verdana" w:hAnsi="Verdana" w:eastAsia="DejaVuSerifCondensed" w:cs="DejaVuSerifCondensed"/>
          <w:color w:val="000000"/>
          <w:kern w:val="0"/>
          <w:sz w:val="18"/>
          <w:szCs w:val="18"/>
        </w:rPr>
        <w:t xml:space="preserve">de tariefstijgingen die kinderopvangorganisaties doorvoeren. </w:t>
      </w:r>
      <w:r w:rsidR="00C232E0">
        <w:rPr>
          <w:rFonts w:ascii="Verdana" w:hAnsi="Verdana" w:eastAsia="DejaVuSerifCondensed" w:cs="DejaVuSerifCondensed"/>
          <w:color w:val="000000"/>
          <w:kern w:val="0"/>
          <w:sz w:val="18"/>
          <w:szCs w:val="18"/>
        </w:rPr>
        <w:t>Ramingen van de opvangkosten voor huishoudens moeten dus</w:t>
      </w:r>
      <w:r w:rsidR="0097077F">
        <w:rPr>
          <w:rFonts w:ascii="Verdana" w:hAnsi="Verdana" w:eastAsia="DejaVuSerifCondensed" w:cs="DejaVuSerifCondensed"/>
          <w:color w:val="000000"/>
          <w:kern w:val="0"/>
          <w:sz w:val="18"/>
          <w:szCs w:val="18"/>
        </w:rPr>
        <w:t xml:space="preserve"> voortdurend worden bijgesteld. </w:t>
      </w:r>
      <w:r w:rsidR="00A024B1">
        <w:rPr>
          <w:rFonts w:ascii="Verdana" w:hAnsi="Verdana" w:eastAsia="DejaVuSerifCondensed" w:cs="DejaVuSerifCondensed"/>
          <w:color w:val="000000"/>
          <w:kern w:val="0"/>
          <w:sz w:val="18"/>
          <w:szCs w:val="18"/>
        </w:rPr>
        <w:t>Ten tweede</w:t>
      </w:r>
      <w:r>
        <w:rPr>
          <w:rFonts w:ascii="Verdana" w:hAnsi="Verdana" w:eastAsia="DejaVuSerifCondensed" w:cs="DejaVuSerifCondensed"/>
          <w:color w:val="000000"/>
          <w:kern w:val="0"/>
          <w:sz w:val="18"/>
          <w:szCs w:val="18"/>
        </w:rPr>
        <w:t xml:space="preserve"> zijn </w:t>
      </w:r>
      <w:r w:rsidR="00C232E0">
        <w:rPr>
          <w:rFonts w:ascii="Verdana" w:hAnsi="Verdana" w:eastAsia="DejaVuSerifCondensed" w:cs="DejaVuSerifCondensed"/>
          <w:color w:val="000000"/>
          <w:kern w:val="0"/>
          <w:sz w:val="18"/>
          <w:szCs w:val="18"/>
        </w:rPr>
        <w:t>de werkelijke opvangkosten altijd sterk</w:t>
      </w:r>
      <w:r>
        <w:rPr>
          <w:rFonts w:ascii="Verdana" w:hAnsi="Verdana" w:eastAsia="DejaVuSerifCondensed" w:cs="DejaVuSerifCondensed"/>
          <w:color w:val="000000"/>
          <w:kern w:val="0"/>
          <w:sz w:val="18"/>
          <w:szCs w:val="18"/>
        </w:rPr>
        <w:t xml:space="preserve"> </w:t>
      </w:r>
      <w:r w:rsidR="00142620">
        <w:rPr>
          <w:rFonts w:ascii="Verdana" w:hAnsi="Verdana" w:eastAsia="DejaVuSerifCondensed" w:cs="DejaVuSerifCondensed"/>
          <w:color w:val="000000"/>
          <w:kern w:val="0"/>
          <w:sz w:val="18"/>
          <w:szCs w:val="18"/>
        </w:rPr>
        <w:t xml:space="preserve">afhankelijk van individuele omstandigheden zoals het inkomen, het tarief van de </w:t>
      </w:r>
      <w:r w:rsidR="00E63299">
        <w:rPr>
          <w:rFonts w:ascii="Verdana" w:hAnsi="Verdana" w:eastAsia="DejaVuSerifCondensed" w:cs="DejaVuSerifCondensed"/>
          <w:color w:val="000000"/>
          <w:kern w:val="0"/>
          <w:sz w:val="18"/>
          <w:szCs w:val="18"/>
        </w:rPr>
        <w:t>kinderopvanglocatie</w:t>
      </w:r>
      <w:r w:rsidR="00142620">
        <w:rPr>
          <w:rFonts w:ascii="Verdana" w:hAnsi="Verdana" w:eastAsia="DejaVuSerifCondensed" w:cs="DejaVuSerifCondensed"/>
          <w:color w:val="000000"/>
          <w:kern w:val="0"/>
          <w:sz w:val="18"/>
          <w:szCs w:val="18"/>
        </w:rPr>
        <w:t xml:space="preserve">, het aantal afgenomen uren opvang en het type opvang. </w:t>
      </w:r>
      <w:r w:rsidR="00C30A99">
        <w:rPr>
          <w:rFonts w:ascii="Verdana" w:hAnsi="Verdana" w:eastAsia="DejaVuSerifCondensed" w:cs="DejaVuSerifCondensed"/>
          <w:color w:val="000000"/>
          <w:kern w:val="0"/>
          <w:sz w:val="18"/>
          <w:szCs w:val="18"/>
        </w:rPr>
        <w:t xml:space="preserve">Voor veel ouders was daarbij </w:t>
      </w:r>
      <w:r w:rsidR="00FD181F">
        <w:rPr>
          <w:rFonts w:ascii="Verdana" w:hAnsi="Verdana" w:eastAsia="DejaVuSerifCondensed" w:cs="DejaVuSerifCondensed"/>
          <w:color w:val="000000"/>
          <w:kern w:val="0"/>
          <w:sz w:val="18"/>
          <w:szCs w:val="18"/>
        </w:rPr>
        <w:t>in 2024</w:t>
      </w:r>
      <w:r w:rsidR="00C30A99">
        <w:rPr>
          <w:rFonts w:ascii="Verdana" w:hAnsi="Verdana" w:eastAsia="DejaVuSerifCondensed" w:cs="DejaVuSerifCondensed"/>
          <w:color w:val="000000"/>
          <w:kern w:val="0"/>
          <w:sz w:val="18"/>
          <w:szCs w:val="18"/>
        </w:rPr>
        <w:t xml:space="preserve"> juist sprake van een verlaging van de ouderbijdrage ten opzichte van 2023. In bovenstaand voorbeeld maakt het dus uit met welk uitgangsjaar wordt vergeleken.</w:t>
      </w:r>
    </w:p>
    <w:p w:rsidR="007F5D97" w:rsidP="007F5D97" w:rsidRDefault="007F5D97" w14:paraId="5FC6ED69"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5B5BCE" w:rsidP="00FB3171" w:rsidRDefault="00142620" w14:paraId="6A6DC496" w14:textId="6A3B95B3">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Een algemene uitspraak </w:t>
      </w:r>
      <w:r w:rsidR="00FB3171">
        <w:rPr>
          <w:rFonts w:ascii="Verdana" w:hAnsi="Verdana" w:eastAsia="DejaVuSerifCondensed" w:cs="DejaVuSerifCondensed"/>
          <w:color w:val="000000"/>
          <w:kern w:val="0"/>
          <w:sz w:val="18"/>
          <w:szCs w:val="18"/>
        </w:rPr>
        <w:t xml:space="preserve">doen </w:t>
      </w:r>
      <w:r>
        <w:rPr>
          <w:rFonts w:ascii="Verdana" w:hAnsi="Verdana" w:eastAsia="DejaVuSerifCondensed" w:cs="DejaVuSerifCondensed"/>
          <w:color w:val="000000"/>
          <w:kern w:val="0"/>
          <w:sz w:val="18"/>
          <w:szCs w:val="18"/>
        </w:rPr>
        <w:t xml:space="preserve">over de </w:t>
      </w:r>
      <w:r w:rsidR="00FB3171">
        <w:rPr>
          <w:rFonts w:ascii="Verdana" w:hAnsi="Verdana" w:eastAsia="DejaVuSerifCondensed" w:cs="DejaVuSerifCondensed"/>
          <w:color w:val="000000"/>
          <w:kern w:val="0"/>
          <w:sz w:val="18"/>
          <w:szCs w:val="18"/>
        </w:rPr>
        <w:t>opvang</w:t>
      </w:r>
      <w:r>
        <w:rPr>
          <w:rFonts w:ascii="Verdana" w:hAnsi="Verdana" w:eastAsia="DejaVuSerifCondensed" w:cs="DejaVuSerifCondensed"/>
          <w:color w:val="000000"/>
          <w:kern w:val="0"/>
          <w:sz w:val="18"/>
          <w:szCs w:val="18"/>
        </w:rPr>
        <w:t xml:space="preserve">kosten in 2026 is </w:t>
      </w:r>
      <w:r w:rsidR="00FB3171">
        <w:rPr>
          <w:rFonts w:ascii="Verdana" w:hAnsi="Verdana" w:eastAsia="DejaVuSerifCondensed" w:cs="DejaVuSerifCondensed"/>
          <w:color w:val="000000"/>
          <w:kern w:val="0"/>
          <w:sz w:val="18"/>
          <w:szCs w:val="18"/>
        </w:rPr>
        <w:t xml:space="preserve">daarom </w:t>
      </w:r>
      <w:r>
        <w:rPr>
          <w:rFonts w:ascii="Verdana" w:hAnsi="Verdana" w:eastAsia="DejaVuSerifCondensed" w:cs="DejaVuSerifCondensed"/>
          <w:color w:val="000000"/>
          <w:kern w:val="0"/>
          <w:sz w:val="18"/>
          <w:szCs w:val="18"/>
        </w:rPr>
        <w:t xml:space="preserve">ook niet </w:t>
      </w:r>
      <w:r w:rsidR="00FB3171">
        <w:rPr>
          <w:rFonts w:ascii="Verdana" w:hAnsi="Verdana" w:eastAsia="DejaVuSerifCondensed" w:cs="DejaVuSerifCondensed"/>
          <w:color w:val="000000"/>
          <w:kern w:val="0"/>
          <w:sz w:val="18"/>
          <w:szCs w:val="18"/>
        </w:rPr>
        <w:t>mogelijk</w:t>
      </w:r>
      <w:r>
        <w:rPr>
          <w:rFonts w:ascii="Verdana" w:hAnsi="Verdana" w:eastAsia="DejaVuSerifCondensed" w:cs="DejaVuSerifCondensed"/>
          <w:color w:val="000000"/>
          <w:kern w:val="0"/>
          <w:sz w:val="18"/>
          <w:szCs w:val="18"/>
        </w:rPr>
        <w:t xml:space="preserve">. </w:t>
      </w:r>
      <w:r w:rsidR="007F5D97">
        <w:rPr>
          <w:rFonts w:ascii="Verdana" w:hAnsi="Verdana" w:eastAsia="DejaVuSerifCondensed" w:cs="DejaVuSerifCondensed"/>
          <w:color w:val="000000"/>
          <w:kern w:val="0"/>
          <w:sz w:val="18"/>
          <w:szCs w:val="18"/>
        </w:rPr>
        <w:t xml:space="preserve">Om toch een indicatie te kunnen geven, is </w:t>
      </w:r>
      <w:r w:rsidR="00FB3171">
        <w:rPr>
          <w:rFonts w:ascii="Verdana" w:hAnsi="Verdana" w:eastAsia="DejaVuSerifCondensed" w:cs="DejaVuSerifCondensed"/>
          <w:color w:val="000000"/>
          <w:kern w:val="0"/>
          <w:sz w:val="18"/>
          <w:szCs w:val="18"/>
        </w:rPr>
        <w:t>voor het</w:t>
      </w:r>
      <w:r w:rsidR="007F5D97">
        <w:rPr>
          <w:rFonts w:ascii="Verdana" w:hAnsi="Verdana" w:eastAsia="DejaVuSerifCondensed" w:cs="DejaVuSerifCondensed"/>
          <w:color w:val="000000"/>
          <w:kern w:val="0"/>
          <w:sz w:val="18"/>
          <w:szCs w:val="18"/>
        </w:rPr>
        <w:t xml:space="preserve"> antwoord op vraag 8 een tabel </w:t>
      </w:r>
      <w:r w:rsidR="00FB3171">
        <w:rPr>
          <w:rFonts w:ascii="Verdana" w:hAnsi="Verdana" w:eastAsia="DejaVuSerifCondensed" w:cs="DejaVuSerifCondensed"/>
          <w:color w:val="000000"/>
          <w:kern w:val="0"/>
          <w:sz w:val="18"/>
          <w:szCs w:val="18"/>
        </w:rPr>
        <w:t xml:space="preserve">met een aantal rekenvoorbeelden </w:t>
      </w:r>
      <w:r w:rsidR="007F5D97">
        <w:rPr>
          <w:rFonts w:ascii="Verdana" w:hAnsi="Verdana" w:eastAsia="DejaVuSerifCondensed" w:cs="DejaVuSerifCondensed"/>
          <w:color w:val="000000"/>
          <w:kern w:val="0"/>
          <w:sz w:val="18"/>
          <w:szCs w:val="18"/>
        </w:rPr>
        <w:t>toegevoegd</w:t>
      </w:r>
      <w:r w:rsidR="0097077F">
        <w:rPr>
          <w:rFonts w:ascii="Verdana" w:hAnsi="Verdana" w:eastAsia="DejaVuSerifCondensed" w:cs="DejaVuSerifCondensed"/>
          <w:color w:val="000000"/>
          <w:kern w:val="0"/>
          <w:sz w:val="18"/>
          <w:szCs w:val="18"/>
        </w:rPr>
        <w:t xml:space="preserve"> als bijlage</w:t>
      </w:r>
      <w:r w:rsidR="007F5D97">
        <w:rPr>
          <w:rFonts w:ascii="Verdana" w:hAnsi="Verdana" w:eastAsia="DejaVuSerifCondensed" w:cs="DejaVuSerifCondensed"/>
          <w:color w:val="000000"/>
          <w:kern w:val="0"/>
          <w:sz w:val="18"/>
          <w:szCs w:val="18"/>
        </w:rPr>
        <w:t xml:space="preserve">. </w:t>
      </w:r>
      <w:r w:rsidR="005211A2">
        <w:rPr>
          <w:rFonts w:ascii="Verdana" w:hAnsi="Verdana" w:eastAsia="DejaVuSerifCondensed" w:cs="DejaVuSerifCondensed"/>
          <w:color w:val="000000"/>
          <w:kern w:val="0"/>
          <w:sz w:val="18"/>
          <w:szCs w:val="18"/>
        </w:rPr>
        <w:t xml:space="preserve">Bij de rekenvoorbeelden is </w:t>
      </w:r>
      <w:r w:rsidR="007F5D97">
        <w:rPr>
          <w:rFonts w:ascii="Verdana" w:hAnsi="Verdana" w:eastAsia="DejaVuSerifCondensed" w:cs="DejaVuSerifCondensed"/>
          <w:color w:val="000000"/>
          <w:kern w:val="0"/>
          <w:sz w:val="18"/>
          <w:szCs w:val="18"/>
        </w:rPr>
        <w:t xml:space="preserve">telkens </w:t>
      </w:r>
      <w:r w:rsidR="005211A2">
        <w:rPr>
          <w:rFonts w:ascii="Verdana" w:hAnsi="Verdana" w:eastAsia="DejaVuSerifCondensed" w:cs="DejaVuSerifCondensed"/>
          <w:color w:val="000000"/>
          <w:kern w:val="0"/>
          <w:sz w:val="18"/>
          <w:szCs w:val="18"/>
        </w:rPr>
        <w:t>uitgegaan van een</w:t>
      </w:r>
      <w:r w:rsidR="007F5D97">
        <w:rPr>
          <w:rFonts w:ascii="Verdana" w:hAnsi="Verdana" w:eastAsia="DejaVuSerifCondensed" w:cs="DejaVuSerifCondensed"/>
          <w:color w:val="000000"/>
          <w:kern w:val="0"/>
          <w:sz w:val="18"/>
          <w:szCs w:val="18"/>
        </w:rPr>
        <w:t xml:space="preserve"> zelfde </w:t>
      </w:r>
      <w:r w:rsidR="005211A2">
        <w:rPr>
          <w:rFonts w:ascii="Verdana" w:hAnsi="Verdana" w:eastAsia="DejaVuSerifCondensed" w:cs="DejaVuSerifCondensed"/>
          <w:color w:val="000000"/>
          <w:kern w:val="0"/>
          <w:sz w:val="18"/>
          <w:szCs w:val="18"/>
        </w:rPr>
        <w:t>huishouden met twee kinderen die twee dagen in de week naar de dagopvang gaan</w:t>
      </w:r>
      <w:r w:rsidR="006443A4">
        <w:rPr>
          <w:rFonts w:ascii="Verdana" w:hAnsi="Verdana" w:eastAsia="DejaVuSerifCondensed" w:cs="DejaVuSerifCondensed"/>
          <w:color w:val="000000"/>
          <w:kern w:val="0"/>
          <w:sz w:val="18"/>
          <w:szCs w:val="18"/>
        </w:rPr>
        <w:t xml:space="preserve"> voor een (in 2025) verwacht </w:t>
      </w:r>
      <w:r w:rsidR="00AE120F">
        <w:rPr>
          <w:rFonts w:ascii="Verdana" w:hAnsi="Verdana" w:eastAsia="DejaVuSerifCondensed" w:cs="DejaVuSerifCondensed"/>
          <w:color w:val="000000"/>
          <w:kern w:val="0"/>
          <w:sz w:val="18"/>
          <w:szCs w:val="18"/>
        </w:rPr>
        <w:t xml:space="preserve">doorsnee </w:t>
      </w:r>
      <w:r w:rsidR="006443A4">
        <w:rPr>
          <w:rFonts w:ascii="Verdana" w:hAnsi="Verdana" w:eastAsia="DejaVuSerifCondensed" w:cs="DejaVuSerifCondensed"/>
          <w:color w:val="000000"/>
          <w:kern w:val="0"/>
          <w:sz w:val="18"/>
          <w:szCs w:val="18"/>
        </w:rPr>
        <w:t>tarief van €</w:t>
      </w:r>
      <w:r w:rsidR="009821CE">
        <w:rPr>
          <w:rFonts w:ascii="Verdana" w:hAnsi="Verdana" w:eastAsia="DejaVuSerifCondensed" w:cs="DejaVuSerifCondensed"/>
          <w:color w:val="000000"/>
          <w:kern w:val="0"/>
          <w:sz w:val="18"/>
          <w:szCs w:val="18"/>
        </w:rPr>
        <w:t xml:space="preserve"> </w:t>
      </w:r>
      <w:r w:rsidR="006443A4">
        <w:rPr>
          <w:rFonts w:ascii="Verdana" w:hAnsi="Verdana" w:eastAsia="DejaVuSerifCondensed" w:cs="DejaVuSerifCondensed"/>
          <w:color w:val="000000"/>
          <w:kern w:val="0"/>
          <w:sz w:val="18"/>
          <w:szCs w:val="18"/>
        </w:rPr>
        <w:t>10,</w:t>
      </w:r>
      <w:r w:rsidR="00AE120F">
        <w:rPr>
          <w:rFonts w:ascii="Verdana" w:hAnsi="Verdana" w:eastAsia="DejaVuSerifCondensed" w:cs="DejaVuSerifCondensed"/>
          <w:color w:val="000000"/>
          <w:kern w:val="0"/>
          <w:sz w:val="18"/>
          <w:szCs w:val="18"/>
        </w:rPr>
        <w:t>97</w:t>
      </w:r>
      <w:r w:rsidR="006443A4">
        <w:rPr>
          <w:rFonts w:ascii="Verdana" w:hAnsi="Verdana" w:eastAsia="DejaVuSerifCondensed" w:cs="DejaVuSerifCondensed"/>
          <w:color w:val="000000"/>
          <w:kern w:val="0"/>
          <w:sz w:val="18"/>
          <w:szCs w:val="18"/>
        </w:rPr>
        <w:t>.</w:t>
      </w:r>
      <w:r w:rsidR="007F5D97">
        <w:rPr>
          <w:rFonts w:ascii="Verdana" w:hAnsi="Verdana" w:eastAsia="DejaVuSerifCondensed" w:cs="DejaVuSerifCondensed"/>
          <w:color w:val="000000"/>
          <w:kern w:val="0"/>
          <w:sz w:val="18"/>
          <w:szCs w:val="18"/>
        </w:rPr>
        <w:t xml:space="preserve"> Alleen het toetsingsinkomen verschilt per rekenvoorbeeld.</w:t>
      </w:r>
      <w:r w:rsidR="006443A4">
        <w:rPr>
          <w:rFonts w:ascii="Verdana" w:hAnsi="Verdana" w:eastAsia="DejaVuSerifCondensed" w:cs="DejaVuSerifCondensed"/>
          <w:color w:val="000000"/>
          <w:kern w:val="0"/>
          <w:sz w:val="18"/>
          <w:szCs w:val="18"/>
        </w:rPr>
        <w:t xml:space="preserve"> </w:t>
      </w:r>
      <w:r w:rsidR="0097077F">
        <w:rPr>
          <w:rFonts w:ascii="Verdana" w:hAnsi="Verdana" w:eastAsia="DejaVuSerifCondensed" w:cs="DejaVuSerifCondensed"/>
          <w:color w:val="000000"/>
          <w:kern w:val="0"/>
          <w:sz w:val="18"/>
          <w:szCs w:val="18"/>
        </w:rPr>
        <w:t>Bovendien wordt in de rekenvoorbeelden uitgegaan van de gemiddelde ouderbijdrage als percentage van de totale opvangkosten, in plaats van (alleen) bedragen in euro’s. Percentages van de totale opvangkosten zijn te prefereren boven bedragen in euro’s, omdat ze minder gevoelig zijn voor ontwikkelingen in lopende prijzen.</w:t>
      </w:r>
    </w:p>
    <w:p w:rsidR="00405E76" w:rsidP="00405E76" w:rsidRDefault="00405E76" w14:paraId="4DD1516B"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405E76" w:rsidP="00405E76" w:rsidRDefault="00405E76" w14:paraId="722D5CBF"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D02B24">
        <w:rPr>
          <w:rFonts w:ascii="Verdana" w:hAnsi="Verdana" w:eastAsia="DejaVuSerifCondensed" w:cs="DejaVuSerifCondensed"/>
          <w:b/>
          <w:bCs/>
          <w:color w:val="000000"/>
          <w:kern w:val="0"/>
          <w:sz w:val="18"/>
          <w:szCs w:val="18"/>
        </w:rPr>
        <w:t>3. Klopt het dat het nieuwe kinderopvangstelsel hierdoor voor iedereen goedkoper wordt, maar juist voor de laagste inkomens duurder?</w:t>
      </w:r>
    </w:p>
    <w:p w:rsidR="00405E76" w:rsidP="00405E76" w:rsidRDefault="00405E76" w14:paraId="514BF449"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p>
    <w:p w:rsidR="004E7A2A" w:rsidP="00142620" w:rsidRDefault="004E7A2A" w14:paraId="42158CAC" w14:textId="497C1DF5">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Een aanzienlijk deel van de ouders die kinderopvangtoeslag ontvangen heeft in 2025 al recht op het maximale vergoedingspercentage</w:t>
      </w:r>
      <w:r w:rsidR="000365D4">
        <w:rPr>
          <w:rFonts w:ascii="Verdana" w:hAnsi="Verdana" w:eastAsia="DejaVuSerifCondensed" w:cs="DejaVuSerifCondensed"/>
          <w:color w:val="000000"/>
          <w:kern w:val="0"/>
          <w:sz w:val="18"/>
          <w:szCs w:val="18"/>
        </w:rPr>
        <w:t>. D</w:t>
      </w:r>
      <w:r w:rsidR="00441BE3">
        <w:rPr>
          <w:rFonts w:ascii="Verdana" w:hAnsi="Verdana" w:eastAsia="DejaVuSerifCondensed" w:cs="DejaVuSerifCondensed"/>
          <w:color w:val="000000"/>
          <w:kern w:val="0"/>
          <w:sz w:val="18"/>
          <w:szCs w:val="18"/>
        </w:rPr>
        <w:t>at komt mede doordat</w:t>
      </w:r>
      <w:r w:rsidR="00FE414D">
        <w:rPr>
          <w:rFonts w:ascii="Verdana" w:hAnsi="Verdana" w:eastAsia="DejaVuSerifCondensed" w:cs="DejaVuSerifCondensed"/>
          <w:color w:val="000000"/>
          <w:kern w:val="0"/>
          <w:sz w:val="18"/>
          <w:szCs w:val="18"/>
        </w:rPr>
        <w:t xml:space="preserve"> het kabinet de vergoedingspercentages </w:t>
      </w:r>
      <w:r w:rsidR="00046117">
        <w:rPr>
          <w:rFonts w:ascii="Verdana" w:hAnsi="Verdana" w:eastAsia="DejaVuSerifCondensed" w:cs="DejaVuSerifCondensed"/>
          <w:color w:val="000000"/>
          <w:kern w:val="0"/>
          <w:sz w:val="18"/>
          <w:szCs w:val="18"/>
        </w:rPr>
        <w:t>begin</w:t>
      </w:r>
      <w:r w:rsidR="00FE414D">
        <w:rPr>
          <w:rFonts w:ascii="Verdana" w:hAnsi="Verdana" w:eastAsia="DejaVuSerifCondensed" w:cs="DejaVuSerifCondensed"/>
          <w:color w:val="000000"/>
          <w:kern w:val="0"/>
          <w:sz w:val="18"/>
          <w:szCs w:val="18"/>
        </w:rPr>
        <w:t xml:space="preserve"> dit jaar sterk heeft verhoogd. </w:t>
      </w:r>
      <w:r w:rsidR="00C33490">
        <w:rPr>
          <w:rFonts w:ascii="Verdana" w:hAnsi="Verdana" w:eastAsia="DejaVuSerifCondensed" w:cs="DejaVuSerifCondensed"/>
          <w:color w:val="000000"/>
          <w:kern w:val="0"/>
          <w:sz w:val="18"/>
          <w:szCs w:val="18"/>
        </w:rPr>
        <w:t>Omdat deze ouders al recht hebben op het maximale percentage</w:t>
      </w:r>
      <w:r w:rsidR="000365D4">
        <w:rPr>
          <w:rFonts w:ascii="Verdana" w:hAnsi="Verdana" w:eastAsia="DejaVuSerifCondensed" w:cs="DejaVuSerifCondensed"/>
          <w:color w:val="000000"/>
          <w:kern w:val="0"/>
          <w:sz w:val="18"/>
          <w:szCs w:val="18"/>
        </w:rPr>
        <w:t xml:space="preserve"> </w:t>
      </w:r>
      <w:r w:rsidR="00050FA6">
        <w:rPr>
          <w:rFonts w:ascii="Verdana" w:hAnsi="Verdana" w:eastAsia="DejaVuSerifCondensed" w:cs="DejaVuSerifCondensed"/>
          <w:color w:val="000000"/>
          <w:kern w:val="0"/>
          <w:sz w:val="18"/>
          <w:szCs w:val="18"/>
        </w:rPr>
        <w:t xml:space="preserve">zullen </w:t>
      </w:r>
      <w:r w:rsidR="000365D4">
        <w:rPr>
          <w:rFonts w:ascii="Verdana" w:hAnsi="Verdana" w:eastAsia="DejaVuSerifCondensed" w:cs="DejaVuSerifCondensed"/>
          <w:color w:val="000000"/>
          <w:kern w:val="0"/>
          <w:sz w:val="18"/>
          <w:szCs w:val="18"/>
        </w:rPr>
        <w:t>d</w:t>
      </w:r>
      <w:r>
        <w:rPr>
          <w:rFonts w:ascii="Verdana" w:hAnsi="Verdana" w:eastAsia="DejaVuSerifCondensed" w:cs="DejaVuSerifCondensed"/>
          <w:color w:val="000000"/>
          <w:kern w:val="0"/>
          <w:sz w:val="18"/>
          <w:szCs w:val="18"/>
        </w:rPr>
        <w:t xml:space="preserve">eze ouders niet </w:t>
      </w:r>
      <w:r w:rsidR="00050FA6">
        <w:rPr>
          <w:rFonts w:ascii="Verdana" w:hAnsi="Verdana" w:eastAsia="DejaVuSerifCondensed" w:cs="DejaVuSerifCondensed"/>
          <w:color w:val="000000"/>
          <w:kern w:val="0"/>
          <w:sz w:val="18"/>
          <w:szCs w:val="18"/>
        </w:rPr>
        <w:t xml:space="preserve">profiteren </w:t>
      </w:r>
      <w:r>
        <w:rPr>
          <w:rFonts w:ascii="Verdana" w:hAnsi="Verdana" w:eastAsia="DejaVuSerifCondensed" w:cs="DejaVuSerifCondensed"/>
          <w:color w:val="000000"/>
          <w:kern w:val="0"/>
          <w:sz w:val="18"/>
          <w:szCs w:val="18"/>
        </w:rPr>
        <w:t xml:space="preserve">van </w:t>
      </w:r>
      <w:r w:rsidR="00FE414D">
        <w:rPr>
          <w:rFonts w:ascii="Verdana" w:hAnsi="Verdana" w:eastAsia="DejaVuSerifCondensed" w:cs="DejaVuSerifCondensed"/>
          <w:color w:val="000000"/>
          <w:kern w:val="0"/>
          <w:sz w:val="18"/>
          <w:szCs w:val="18"/>
        </w:rPr>
        <w:t>de</w:t>
      </w:r>
      <w:r>
        <w:rPr>
          <w:rFonts w:ascii="Verdana" w:hAnsi="Verdana" w:eastAsia="DejaVuSerifCondensed" w:cs="DejaVuSerifCondensed"/>
          <w:color w:val="000000"/>
          <w:kern w:val="0"/>
          <w:sz w:val="18"/>
          <w:szCs w:val="18"/>
        </w:rPr>
        <w:t xml:space="preserve"> </w:t>
      </w:r>
      <w:r w:rsidR="00FE414D">
        <w:rPr>
          <w:rFonts w:ascii="Verdana" w:hAnsi="Verdana" w:eastAsia="DejaVuSerifCondensed" w:cs="DejaVuSerifCondensed"/>
          <w:color w:val="000000"/>
          <w:kern w:val="0"/>
          <w:sz w:val="18"/>
          <w:szCs w:val="18"/>
        </w:rPr>
        <w:t>volgende</w:t>
      </w:r>
      <w:r>
        <w:rPr>
          <w:rFonts w:ascii="Verdana" w:hAnsi="Verdana" w:eastAsia="DejaVuSerifCondensed" w:cs="DejaVuSerifCondensed"/>
          <w:color w:val="000000"/>
          <w:kern w:val="0"/>
          <w:sz w:val="18"/>
          <w:szCs w:val="18"/>
        </w:rPr>
        <w:t xml:space="preserve"> stap op het ingroeipad</w:t>
      </w:r>
      <w:r w:rsidR="00FE414D">
        <w:rPr>
          <w:rFonts w:ascii="Verdana" w:hAnsi="Verdana" w:eastAsia="DejaVuSerifCondensed" w:cs="DejaVuSerifCondensed"/>
          <w:color w:val="000000"/>
          <w:kern w:val="0"/>
          <w:sz w:val="18"/>
          <w:szCs w:val="18"/>
        </w:rPr>
        <w:t xml:space="preserve"> die we per 2026 </w:t>
      </w:r>
      <w:r w:rsidR="001505EA">
        <w:rPr>
          <w:rFonts w:ascii="Verdana" w:hAnsi="Verdana" w:eastAsia="DejaVuSerifCondensed" w:cs="DejaVuSerifCondensed"/>
          <w:color w:val="000000"/>
          <w:kern w:val="0"/>
          <w:sz w:val="18"/>
          <w:szCs w:val="18"/>
        </w:rPr>
        <w:t xml:space="preserve">gaan </w:t>
      </w:r>
      <w:r w:rsidR="000365D4">
        <w:rPr>
          <w:rFonts w:ascii="Verdana" w:hAnsi="Verdana" w:eastAsia="DejaVuSerifCondensed" w:cs="DejaVuSerifCondensed"/>
          <w:color w:val="000000"/>
          <w:kern w:val="0"/>
          <w:sz w:val="18"/>
          <w:szCs w:val="18"/>
        </w:rPr>
        <w:t>zetten</w:t>
      </w:r>
      <w:r>
        <w:rPr>
          <w:rFonts w:ascii="Verdana" w:hAnsi="Verdana" w:eastAsia="DejaVuSerifCondensed" w:cs="DejaVuSerifCondensed"/>
          <w:color w:val="000000"/>
          <w:kern w:val="0"/>
          <w:sz w:val="18"/>
          <w:szCs w:val="18"/>
        </w:rPr>
        <w:t>. Wel profiteren zij straks van de grotere eenvoud en zekerheid die het nieuwe stelsel aan alle ouders</w:t>
      </w:r>
      <w:r w:rsidR="00E87318">
        <w:rPr>
          <w:rFonts w:ascii="Verdana" w:hAnsi="Verdana" w:eastAsia="DejaVuSerifCondensed" w:cs="DejaVuSerifCondensed"/>
          <w:color w:val="000000"/>
          <w:kern w:val="0"/>
          <w:sz w:val="18"/>
          <w:szCs w:val="18"/>
        </w:rPr>
        <w:t xml:space="preserve"> zal</w:t>
      </w:r>
      <w:r>
        <w:rPr>
          <w:rFonts w:ascii="Verdana" w:hAnsi="Verdana" w:eastAsia="DejaVuSerifCondensed" w:cs="DejaVuSerifCondensed"/>
          <w:color w:val="000000"/>
          <w:kern w:val="0"/>
          <w:sz w:val="18"/>
          <w:szCs w:val="18"/>
        </w:rPr>
        <w:t xml:space="preserve"> bied</w:t>
      </w:r>
      <w:r w:rsidR="00E87318">
        <w:rPr>
          <w:rFonts w:ascii="Verdana" w:hAnsi="Verdana" w:eastAsia="DejaVuSerifCondensed" w:cs="DejaVuSerifCondensed"/>
          <w:color w:val="000000"/>
          <w:kern w:val="0"/>
          <w:sz w:val="18"/>
          <w:szCs w:val="18"/>
        </w:rPr>
        <w:t>en</w:t>
      </w:r>
      <w:r>
        <w:rPr>
          <w:rFonts w:ascii="Verdana" w:hAnsi="Verdana" w:eastAsia="DejaVuSerifCondensed" w:cs="DejaVuSerifCondensed"/>
          <w:color w:val="000000"/>
          <w:kern w:val="0"/>
          <w:sz w:val="18"/>
          <w:szCs w:val="18"/>
        </w:rPr>
        <w:t>.</w:t>
      </w:r>
      <w:r w:rsidRPr="004E7A2A">
        <w:rPr>
          <w:rFonts w:ascii="Verdana" w:hAnsi="Verdana" w:eastAsia="DejaVuSerifCondensed" w:cs="DejaVuSerifCondensed"/>
          <w:color w:val="000000"/>
          <w:kern w:val="0"/>
          <w:sz w:val="18"/>
          <w:szCs w:val="18"/>
        </w:rPr>
        <w:t xml:space="preserve"> </w:t>
      </w:r>
      <w:r>
        <w:rPr>
          <w:rFonts w:ascii="Verdana" w:hAnsi="Verdana" w:eastAsia="DejaVuSerifCondensed" w:cs="DejaVuSerifCondensed"/>
          <w:color w:val="000000"/>
          <w:kern w:val="0"/>
          <w:sz w:val="18"/>
          <w:szCs w:val="18"/>
        </w:rPr>
        <w:t>In mijn Kamerbrief</w:t>
      </w:r>
      <w:r>
        <w:rPr>
          <w:rStyle w:val="Voetnootmarkering"/>
          <w:rFonts w:ascii="Verdana" w:hAnsi="Verdana" w:eastAsia="DejaVuSerifCondensed" w:cs="DejaVuSerifCondensed"/>
          <w:color w:val="000000"/>
          <w:kern w:val="0"/>
          <w:sz w:val="18"/>
          <w:szCs w:val="18"/>
        </w:rPr>
        <w:footnoteReference w:id="2"/>
      </w:r>
      <w:r>
        <w:rPr>
          <w:rFonts w:ascii="Verdana" w:hAnsi="Verdana" w:eastAsia="DejaVuSerifCondensed" w:cs="DejaVuSerifCondensed"/>
          <w:color w:val="000000"/>
          <w:kern w:val="0"/>
          <w:sz w:val="18"/>
          <w:szCs w:val="18"/>
        </w:rPr>
        <w:t xml:space="preserve"> van november 2024 ben ik hier uitgebreider op ingegaan.</w:t>
      </w:r>
    </w:p>
    <w:p w:rsidR="004E7A2A" w:rsidP="00142620" w:rsidRDefault="004E7A2A" w14:paraId="4F35B89F"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F82533" w:rsidP="00046117" w:rsidRDefault="00142620" w14:paraId="34B709B5" w14:textId="66957CD2">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In het regeerakkoord is afgesproken dat de maximum uurprijzen (MUP) voor de kinderopvangtoeslag in 2026 niet worden geïndexeerd. </w:t>
      </w:r>
      <w:r w:rsidR="00D50BC7">
        <w:rPr>
          <w:rFonts w:ascii="Verdana" w:hAnsi="Verdana" w:eastAsia="DejaVuSerifCondensed" w:cs="DejaVuSerifCondensed"/>
          <w:color w:val="000000"/>
          <w:kern w:val="0"/>
          <w:sz w:val="18"/>
          <w:szCs w:val="18"/>
        </w:rPr>
        <w:t>Wanneer</w:t>
      </w:r>
      <w:r w:rsidR="00046117">
        <w:rPr>
          <w:rFonts w:ascii="Verdana" w:hAnsi="Verdana" w:eastAsia="DejaVuSerifCondensed" w:cs="DejaVuSerifCondensed"/>
          <w:color w:val="000000"/>
          <w:kern w:val="0"/>
          <w:sz w:val="18"/>
          <w:szCs w:val="18"/>
        </w:rPr>
        <w:t xml:space="preserve"> </w:t>
      </w:r>
      <w:r>
        <w:rPr>
          <w:rFonts w:ascii="Verdana" w:hAnsi="Verdana" w:eastAsia="DejaVuSerifCondensed" w:cs="DejaVuSerifCondensed"/>
          <w:color w:val="000000"/>
          <w:kern w:val="0"/>
          <w:sz w:val="18"/>
          <w:szCs w:val="18"/>
        </w:rPr>
        <w:t xml:space="preserve">kinderopvangorganisaties in 2026 hun tarieven verhogen en daardoor boven de MUP uitkomen, moeten ouders het verschil tussen de MUP en het tarief zelf betalen. Veel organisaties rekenen nu al een hoger tarief dan de MUP. </w:t>
      </w:r>
      <w:r w:rsidR="00046117">
        <w:rPr>
          <w:rFonts w:ascii="Verdana" w:hAnsi="Verdana" w:eastAsia="DejaVuSerifCondensed" w:cs="DejaVuSerifCondensed"/>
          <w:color w:val="000000"/>
          <w:kern w:val="0"/>
          <w:sz w:val="18"/>
          <w:szCs w:val="18"/>
        </w:rPr>
        <w:t>Maar het</w:t>
      </w:r>
      <w:r w:rsidR="00F82533">
        <w:rPr>
          <w:rFonts w:ascii="Verdana" w:hAnsi="Verdana" w:eastAsia="DejaVuSerifCondensed" w:cs="DejaVuSerifCondensed"/>
          <w:color w:val="000000"/>
          <w:kern w:val="0"/>
          <w:sz w:val="18"/>
          <w:szCs w:val="18"/>
        </w:rPr>
        <w:t xml:space="preserve"> </w:t>
      </w:r>
      <w:r>
        <w:rPr>
          <w:rFonts w:ascii="Verdana" w:hAnsi="Verdana" w:eastAsia="DejaVuSerifCondensed" w:cs="DejaVuSerifCondensed"/>
          <w:color w:val="000000"/>
          <w:kern w:val="0"/>
          <w:sz w:val="18"/>
          <w:szCs w:val="18"/>
        </w:rPr>
        <w:t xml:space="preserve">kabinet </w:t>
      </w:r>
      <w:r w:rsidR="00046117">
        <w:rPr>
          <w:rFonts w:ascii="Verdana" w:hAnsi="Verdana" w:eastAsia="DejaVuSerifCondensed" w:cs="DejaVuSerifCondensed"/>
          <w:color w:val="000000"/>
          <w:kern w:val="0"/>
          <w:sz w:val="18"/>
          <w:szCs w:val="18"/>
        </w:rPr>
        <w:t xml:space="preserve">is </w:t>
      </w:r>
      <w:r>
        <w:rPr>
          <w:rFonts w:ascii="Verdana" w:hAnsi="Verdana" w:eastAsia="DejaVuSerifCondensed" w:cs="DejaVuSerifCondensed"/>
          <w:color w:val="000000"/>
          <w:kern w:val="0"/>
          <w:sz w:val="18"/>
          <w:szCs w:val="18"/>
        </w:rPr>
        <w:t>van plan</w:t>
      </w:r>
      <w:r w:rsidR="00046117">
        <w:rPr>
          <w:rFonts w:ascii="Verdana" w:hAnsi="Verdana" w:eastAsia="DejaVuSerifCondensed" w:cs="DejaVuSerifCondensed"/>
          <w:color w:val="000000"/>
          <w:kern w:val="0"/>
          <w:sz w:val="18"/>
          <w:szCs w:val="18"/>
        </w:rPr>
        <w:t xml:space="preserve"> </w:t>
      </w:r>
      <w:r>
        <w:rPr>
          <w:rFonts w:ascii="Verdana" w:hAnsi="Verdana" w:eastAsia="DejaVuSerifCondensed" w:cs="DejaVuSerifCondensed"/>
          <w:color w:val="000000"/>
          <w:kern w:val="0"/>
          <w:sz w:val="18"/>
          <w:szCs w:val="18"/>
        </w:rPr>
        <w:t>om de vergoedingspercentages in 2026</w:t>
      </w:r>
      <w:r w:rsidR="00046117">
        <w:rPr>
          <w:rFonts w:ascii="Verdana" w:hAnsi="Verdana" w:eastAsia="DejaVuSerifCondensed" w:cs="DejaVuSerifCondensed"/>
          <w:color w:val="000000"/>
          <w:kern w:val="0"/>
          <w:sz w:val="18"/>
          <w:szCs w:val="18"/>
        </w:rPr>
        <w:t xml:space="preserve"> - </w:t>
      </w:r>
      <w:r>
        <w:rPr>
          <w:rFonts w:ascii="Verdana" w:hAnsi="Verdana" w:eastAsia="DejaVuSerifCondensed" w:cs="DejaVuSerifCondensed"/>
          <w:color w:val="000000"/>
          <w:kern w:val="0"/>
          <w:sz w:val="18"/>
          <w:szCs w:val="18"/>
        </w:rPr>
        <w:t>net als in 2025</w:t>
      </w:r>
      <w:r w:rsidR="00046117">
        <w:rPr>
          <w:rFonts w:ascii="Verdana" w:hAnsi="Verdana" w:eastAsia="DejaVuSerifCondensed" w:cs="DejaVuSerifCondensed"/>
          <w:color w:val="000000"/>
          <w:kern w:val="0"/>
          <w:sz w:val="18"/>
          <w:szCs w:val="18"/>
        </w:rPr>
        <w:t xml:space="preserve"> - </w:t>
      </w:r>
      <w:r>
        <w:rPr>
          <w:rFonts w:ascii="Verdana" w:hAnsi="Verdana" w:eastAsia="DejaVuSerifCondensed" w:cs="DejaVuSerifCondensed"/>
          <w:color w:val="000000"/>
          <w:kern w:val="0"/>
          <w:sz w:val="18"/>
          <w:szCs w:val="18"/>
        </w:rPr>
        <w:t>flink te verhogen</w:t>
      </w:r>
      <w:r w:rsidR="00046117">
        <w:rPr>
          <w:rFonts w:ascii="Verdana" w:hAnsi="Verdana" w:eastAsia="DejaVuSerifCondensed" w:cs="DejaVuSerifCondensed"/>
          <w:color w:val="000000"/>
          <w:kern w:val="0"/>
          <w:sz w:val="18"/>
          <w:szCs w:val="18"/>
        </w:rPr>
        <w:t>. Hierdoor betalen d</w:t>
      </w:r>
      <w:r>
        <w:rPr>
          <w:rFonts w:ascii="Verdana" w:hAnsi="Verdana" w:eastAsia="DejaVuSerifCondensed" w:cs="DejaVuSerifCondensed"/>
          <w:color w:val="000000"/>
          <w:kern w:val="0"/>
          <w:sz w:val="18"/>
          <w:szCs w:val="18"/>
        </w:rPr>
        <w:t xml:space="preserve">e meeste ouders, ondanks het niet-indexeren, per saldo in 2026 minder </w:t>
      </w:r>
      <w:r w:rsidR="00046117">
        <w:rPr>
          <w:rFonts w:ascii="Verdana" w:hAnsi="Verdana" w:eastAsia="DejaVuSerifCondensed" w:cs="DejaVuSerifCondensed"/>
          <w:color w:val="000000"/>
          <w:kern w:val="0"/>
          <w:sz w:val="18"/>
          <w:szCs w:val="18"/>
        </w:rPr>
        <w:t xml:space="preserve">voor kinderopvang </w:t>
      </w:r>
      <w:r>
        <w:rPr>
          <w:rFonts w:ascii="Verdana" w:hAnsi="Verdana" w:eastAsia="DejaVuSerifCondensed" w:cs="DejaVuSerifCondensed"/>
          <w:color w:val="000000"/>
          <w:kern w:val="0"/>
          <w:sz w:val="18"/>
          <w:szCs w:val="18"/>
        </w:rPr>
        <w:t xml:space="preserve">dan in 2025. </w:t>
      </w:r>
    </w:p>
    <w:p w:rsidR="002834B8" w:rsidP="00142620" w:rsidRDefault="002834B8" w14:paraId="51D79D25"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405E76" w:rsidP="00405E76" w:rsidRDefault="00405E76" w14:paraId="3CAF2BD7"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405E76" w:rsidP="00405E76" w:rsidRDefault="00405E76" w14:paraId="2731B3CB"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FB7D84">
        <w:rPr>
          <w:rFonts w:ascii="Verdana" w:hAnsi="Verdana" w:eastAsia="DejaVuSerifCondensed" w:cs="DejaVuSerifCondensed"/>
          <w:b/>
          <w:bCs/>
          <w:color w:val="000000"/>
          <w:kern w:val="0"/>
          <w:sz w:val="18"/>
          <w:szCs w:val="18"/>
        </w:rPr>
        <w:t>4. Kunt u inzichtelijk maken hoeveel ouders met lage inkomens hierdoor worden getroffen?</w:t>
      </w:r>
    </w:p>
    <w:p w:rsidR="00405E76" w:rsidP="00405E76" w:rsidRDefault="00405E76" w14:paraId="38CB40AC"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p>
    <w:p w:rsidR="00405E76" w:rsidP="00405E76" w:rsidRDefault="00405E76" w14:paraId="687CDCBA" w14:textId="2BDCD41B">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Zoals vermeld in het antwoord op vraag 2, hangen de kosten die ouders maken voor kinderopvang af van verschillende factoren, zoals inkomen en het tarief van de instelling. Het is daardoor niet precies mogelijk om te berekenen hoeveel ouders in 2026 meer zullen betalen voor kinderopvang dan in 2025.</w:t>
      </w:r>
      <w:r w:rsidR="00AE15EF">
        <w:rPr>
          <w:rFonts w:ascii="Verdana" w:hAnsi="Verdana" w:eastAsia="DejaVuSerifCondensed" w:cs="DejaVuSerifCondensed"/>
          <w:color w:val="000000"/>
          <w:kern w:val="0"/>
          <w:sz w:val="18"/>
          <w:szCs w:val="18"/>
        </w:rPr>
        <w:t xml:space="preserve"> </w:t>
      </w:r>
    </w:p>
    <w:p w:rsidR="00405E76" w:rsidP="00405E76" w:rsidRDefault="00405E76" w14:paraId="192CA809"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FB7D84" w:rsidR="00405E76" w:rsidP="00405E76" w:rsidRDefault="00405E76" w14:paraId="61371A4A" w14:textId="65175611">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Wel kan </w:t>
      </w:r>
      <w:r w:rsidR="002866D5">
        <w:rPr>
          <w:rFonts w:ascii="Verdana" w:hAnsi="Verdana" w:eastAsia="DejaVuSerifCondensed" w:cs="DejaVuSerifCondensed"/>
          <w:color w:val="000000"/>
          <w:kern w:val="0"/>
          <w:sz w:val="18"/>
          <w:szCs w:val="18"/>
        </w:rPr>
        <w:t xml:space="preserve">ter indicatie </w:t>
      </w:r>
      <w:r>
        <w:rPr>
          <w:rFonts w:ascii="Verdana" w:hAnsi="Verdana" w:eastAsia="DejaVuSerifCondensed" w:cs="DejaVuSerifCondensed"/>
          <w:color w:val="000000"/>
          <w:kern w:val="0"/>
          <w:sz w:val="18"/>
          <w:szCs w:val="18"/>
        </w:rPr>
        <w:t xml:space="preserve">worden gekeken naar </w:t>
      </w:r>
      <w:r w:rsidR="002866D5">
        <w:rPr>
          <w:rFonts w:ascii="Verdana" w:hAnsi="Verdana" w:eastAsia="DejaVuSerifCondensed" w:cs="DejaVuSerifCondensed"/>
          <w:color w:val="000000"/>
          <w:kern w:val="0"/>
          <w:sz w:val="18"/>
          <w:szCs w:val="18"/>
        </w:rPr>
        <w:t xml:space="preserve">het aantal huishoudens dat </w:t>
      </w:r>
      <w:r>
        <w:rPr>
          <w:rFonts w:ascii="Verdana" w:hAnsi="Verdana" w:eastAsia="DejaVuSerifCondensed" w:cs="DejaVuSerifCondensed"/>
          <w:color w:val="000000"/>
          <w:kern w:val="0"/>
          <w:sz w:val="18"/>
          <w:szCs w:val="18"/>
        </w:rPr>
        <w:t xml:space="preserve">in 2025 al het maximale vergoedingspercentage </w:t>
      </w:r>
      <w:r w:rsidR="00B77943">
        <w:rPr>
          <w:rFonts w:ascii="Verdana" w:hAnsi="Verdana" w:eastAsia="DejaVuSerifCondensed" w:cs="DejaVuSerifCondensed"/>
          <w:color w:val="000000"/>
          <w:kern w:val="0"/>
          <w:sz w:val="18"/>
          <w:szCs w:val="18"/>
        </w:rPr>
        <w:t>ontvangt</w:t>
      </w:r>
      <w:r>
        <w:rPr>
          <w:rFonts w:ascii="Verdana" w:hAnsi="Verdana" w:eastAsia="DejaVuSerifCondensed" w:cs="DejaVuSerifCondensed"/>
          <w:color w:val="000000"/>
          <w:kern w:val="0"/>
          <w:sz w:val="18"/>
          <w:szCs w:val="18"/>
        </w:rPr>
        <w:t>. In 202</w:t>
      </w:r>
      <w:r w:rsidR="00FD2717">
        <w:rPr>
          <w:rFonts w:ascii="Verdana" w:hAnsi="Verdana" w:eastAsia="DejaVuSerifCondensed" w:cs="DejaVuSerifCondensed"/>
          <w:color w:val="000000"/>
          <w:kern w:val="0"/>
          <w:sz w:val="18"/>
          <w:szCs w:val="18"/>
        </w:rPr>
        <w:t>5</w:t>
      </w:r>
      <w:r>
        <w:rPr>
          <w:rFonts w:ascii="Verdana" w:hAnsi="Verdana" w:eastAsia="DejaVuSerifCondensed" w:cs="DejaVuSerifCondensed"/>
          <w:color w:val="000000"/>
          <w:kern w:val="0"/>
          <w:sz w:val="18"/>
          <w:szCs w:val="18"/>
        </w:rPr>
        <w:t xml:space="preserve"> </w:t>
      </w:r>
      <w:r w:rsidR="00B77943">
        <w:rPr>
          <w:rFonts w:ascii="Verdana" w:hAnsi="Verdana" w:eastAsia="DejaVuSerifCondensed" w:cs="DejaVuSerifCondensed"/>
          <w:color w:val="000000"/>
          <w:kern w:val="0"/>
          <w:sz w:val="18"/>
          <w:szCs w:val="18"/>
        </w:rPr>
        <w:t xml:space="preserve">hebben </w:t>
      </w:r>
      <w:r w:rsidR="00FD2717">
        <w:rPr>
          <w:rFonts w:ascii="Verdana" w:hAnsi="Verdana" w:eastAsia="DejaVuSerifCondensed" w:cs="DejaVuSerifCondensed"/>
          <w:color w:val="000000"/>
          <w:kern w:val="0"/>
          <w:sz w:val="18"/>
          <w:szCs w:val="18"/>
        </w:rPr>
        <w:t>naar schatting</w:t>
      </w:r>
      <w:r>
        <w:rPr>
          <w:rFonts w:ascii="Verdana" w:hAnsi="Verdana" w:eastAsia="DejaVuSerifCondensed" w:cs="DejaVuSerifCondensed"/>
          <w:color w:val="000000"/>
          <w:kern w:val="0"/>
          <w:sz w:val="18"/>
          <w:szCs w:val="18"/>
        </w:rPr>
        <w:t xml:space="preserve"> </w:t>
      </w:r>
      <w:r w:rsidR="00B77943">
        <w:rPr>
          <w:rFonts w:ascii="Verdana" w:hAnsi="Verdana" w:eastAsia="DejaVuSerifCondensed" w:cs="DejaVuSerifCondensed"/>
          <w:color w:val="000000"/>
          <w:kern w:val="0"/>
          <w:sz w:val="18"/>
          <w:szCs w:val="18"/>
        </w:rPr>
        <w:t xml:space="preserve">circa </w:t>
      </w:r>
      <w:r w:rsidR="00E72D1D">
        <w:rPr>
          <w:rFonts w:ascii="Verdana" w:hAnsi="Verdana" w:eastAsia="DejaVuSerifCondensed" w:cs="DejaVuSerifCondensed"/>
          <w:color w:val="000000"/>
          <w:kern w:val="0"/>
          <w:sz w:val="18"/>
          <w:szCs w:val="18"/>
        </w:rPr>
        <w:t>80</w:t>
      </w:r>
      <w:r w:rsidRPr="000666F8" w:rsidR="00FD2717">
        <w:rPr>
          <w:rFonts w:ascii="Verdana" w:hAnsi="Verdana" w:eastAsia="DejaVuSerifCondensed" w:cs="DejaVuSerifCondensed"/>
          <w:color w:val="000000"/>
          <w:kern w:val="0"/>
          <w:sz w:val="18"/>
          <w:szCs w:val="18"/>
        </w:rPr>
        <w:t>.000</w:t>
      </w:r>
      <w:r w:rsidRPr="00FD2717">
        <w:rPr>
          <w:rFonts w:ascii="Verdana" w:hAnsi="Verdana" w:eastAsia="DejaVuSerifCondensed" w:cs="DejaVuSerifCondensed"/>
          <w:color w:val="000000"/>
          <w:kern w:val="0"/>
          <w:sz w:val="18"/>
          <w:szCs w:val="18"/>
        </w:rPr>
        <w:t xml:space="preserve"> </w:t>
      </w:r>
      <w:r w:rsidR="003A44BC">
        <w:rPr>
          <w:rFonts w:ascii="Verdana" w:hAnsi="Verdana" w:eastAsia="DejaVuSerifCondensed" w:cs="DejaVuSerifCondensed"/>
          <w:color w:val="000000"/>
          <w:kern w:val="0"/>
          <w:sz w:val="18"/>
          <w:szCs w:val="18"/>
        </w:rPr>
        <w:t xml:space="preserve">huishoudens </w:t>
      </w:r>
      <w:r w:rsidRPr="00FD2717" w:rsidR="003A44BC">
        <w:rPr>
          <w:rFonts w:ascii="Verdana" w:hAnsi="Verdana" w:eastAsia="DejaVuSerifCondensed" w:cs="DejaVuSerifCondensed"/>
          <w:color w:val="000000"/>
          <w:kern w:val="0"/>
          <w:sz w:val="18"/>
          <w:szCs w:val="18"/>
        </w:rPr>
        <w:t xml:space="preserve">met kinderopvangtoeslag </w:t>
      </w:r>
      <w:r w:rsidR="003A44BC">
        <w:rPr>
          <w:rFonts w:ascii="Verdana" w:hAnsi="Verdana" w:eastAsia="DejaVuSerifCondensed" w:cs="DejaVuSerifCondensed"/>
          <w:color w:val="000000"/>
          <w:kern w:val="0"/>
          <w:sz w:val="18"/>
          <w:szCs w:val="18"/>
        </w:rPr>
        <w:t xml:space="preserve">een toetsingsinkomen van maximaal € </w:t>
      </w:r>
      <w:r w:rsidRPr="00B77943" w:rsidR="00B77943">
        <w:rPr>
          <w:rFonts w:ascii="Verdana" w:hAnsi="Verdana" w:eastAsia="DejaVuSerifCondensed" w:cs="DejaVuSerifCondensed"/>
          <w:color w:val="000000"/>
          <w:kern w:val="0"/>
          <w:sz w:val="18"/>
          <w:szCs w:val="18"/>
        </w:rPr>
        <w:t>47.403</w:t>
      </w:r>
      <w:r w:rsidR="00B77943">
        <w:rPr>
          <w:rFonts w:ascii="Verdana" w:hAnsi="Verdana" w:eastAsia="DejaVuSerifCondensed" w:cs="DejaVuSerifCondensed"/>
          <w:color w:val="000000"/>
          <w:kern w:val="0"/>
          <w:sz w:val="18"/>
          <w:szCs w:val="18"/>
        </w:rPr>
        <w:t xml:space="preserve"> </w:t>
      </w:r>
      <w:r w:rsidR="003A44BC">
        <w:rPr>
          <w:rFonts w:ascii="Verdana" w:hAnsi="Verdana" w:eastAsia="DejaVuSerifCondensed" w:cs="DejaVuSerifCondensed"/>
          <w:color w:val="000000"/>
          <w:kern w:val="0"/>
          <w:sz w:val="18"/>
          <w:szCs w:val="18"/>
        </w:rPr>
        <w:t>en dus</w:t>
      </w:r>
      <w:r w:rsidRPr="00FD2717">
        <w:rPr>
          <w:rFonts w:ascii="Verdana" w:hAnsi="Verdana" w:eastAsia="DejaVuSerifCondensed" w:cs="DejaVuSerifCondensed"/>
          <w:color w:val="000000"/>
          <w:kern w:val="0"/>
          <w:sz w:val="18"/>
          <w:szCs w:val="18"/>
        </w:rPr>
        <w:t xml:space="preserve"> </w:t>
      </w:r>
      <w:r w:rsidRPr="00FD2717" w:rsidR="00FD2717">
        <w:rPr>
          <w:rFonts w:ascii="Verdana" w:hAnsi="Verdana" w:eastAsia="DejaVuSerifCondensed" w:cs="DejaVuSerifCondensed"/>
          <w:color w:val="000000"/>
          <w:kern w:val="0"/>
          <w:sz w:val="18"/>
          <w:szCs w:val="18"/>
        </w:rPr>
        <w:t xml:space="preserve">recht op </w:t>
      </w:r>
      <w:r w:rsidR="00B77943">
        <w:rPr>
          <w:rFonts w:ascii="Verdana" w:hAnsi="Verdana" w:eastAsia="DejaVuSerifCondensed" w:cs="DejaVuSerifCondensed"/>
          <w:color w:val="000000"/>
          <w:kern w:val="0"/>
          <w:sz w:val="18"/>
          <w:szCs w:val="18"/>
        </w:rPr>
        <w:t>het maximale</w:t>
      </w:r>
      <w:r w:rsidRPr="00FD2717" w:rsidR="00B77943">
        <w:rPr>
          <w:rFonts w:ascii="Verdana" w:hAnsi="Verdana" w:eastAsia="DejaVuSerifCondensed" w:cs="DejaVuSerifCondensed"/>
          <w:color w:val="000000"/>
          <w:kern w:val="0"/>
          <w:sz w:val="18"/>
          <w:szCs w:val="18"/>
        </w:rPr>
        <w:t xml:space="preserve"> </w:t>
      </w:r>
      <w:r w:rsidRPr="00FD2717" w:rsidR="00FD2717">
        <w:rPr>
          <w:rFonts w:ascii="Verdana" w:hAnsi="Verdana" w:eastAsia="DejaVuSerifCondensed" w:cs="DejaVuSerifCondensed"/>
          <w:color w:val="000000"/>
          <w:kern w:val="0"/>
          <w:sz w:val="18"/>
          <w:szCs w:val="18"/>
        </w:rPr>
        <w:t>vergoedingspercentage van 96%</w:t>
      </w:r>
      <w:r w:rsidRPr="00FD2717">
        <w:rPr>
          <w:rFonts w:ascii="Verdana" w:hAnsi="Verdana" w:eastAsia="DejaVuSerifCondensed" w:cs="DejaVuSerifCondensed"/>
          <w:color w:val="000000"/>
          <w:kern w:val="0"/>
          <w:sz w:val="18"/>
          <w:szCs w:val="18"/>
        </w:rPr>
        <w:t>.</w:t>
      </w:r>
      <w:r w:rsidR="003A44BC">
        <w:rPr>
          <w:rFonts w:ascii="Verdana" w:hAnsi="Verdana" w:eastAsia="DejaVuSerifCondensed" w:cs="DejaVuSerifCondensed"/>
          <w:color w:val="000000"/>
          <w:kern w:val="0"/>
          <w:sz w:val="18"/>
          <w:szCs w:val="18"/>
        </w:rPr>
        <w:t xml:space="preserve"> Dit zijn dus niet alleen huishoudens met een laag inkomen. </w:t>
      </w:r>
      <w:r>
        <w:rPr>
          <w:rFonts w:ascii="Verdana" w:hAnsi="Verdana" w:eastAsia="DejaVuSerifCondensed" w:cs="DejaVuSerifCondensed"/>
          <w:color w:val="000000"/>
          <w:kern w:val="0"/>
          <w:sz w:val="18"/>
          <w:szCs w:val="18"/>
        </w:rPr>
        <w:t xml:space="preserve">Deze ouders ontvangen </w:t>
      </w:r>
      <w:r w:rsidR="0020771C">
        <w:rPr>
          <w:rFonts w:ascii="Verdana" w:hAnsi="Verdana" w:eastAsia="DejaVuSerifCondensed" w:cs="DejaVuSerifCondensed"/>
          <w:color w:val="000000"/>
          <w:kern w:val="0"/>
          <w:sz w:val="18"/>
          <w:szCs w:val="18"/>
        </w:rPr>
        <w:t xml:space="preserve">in 2026 </w:t>
      </w:r>
      <w:r>
        <w:rPr>
          <w:rFonts w:ascii="Verdana" w:hAnsi="Verdana" w:eastAsia="DejaVuSerifCondensed" w:cs="DejaVuSerifCondensed"/>
          <w:color w:val="000000"/>
          <w:kern w:val="0"/>
          <w:sz w:val="18"/>
          <w:szCs w:val="18"/>
        </w:rPr>
        <w:t xml:space="preserve">geen hoger vergoedingspercentage, maar </w:t>
      </w:r>
      <w:r w:rsidR="008E2704">
        <w:rPr>
          <w:rFonts w:ascii="Verdana" w:hAnsi="Verdana" w:eastAsia="DejaVuSerifCondensed" w:cs="DejaVuSerifCondensed"/>
          <w:color w:val="000000"/>
          <w:kern w:val="0"/>
          <w:sz w:val="18"/>
          <w:szCs w:val="18"/>
        </w:rPr>
        <w:t xml:space="preserve">zij </w:t>
      </w:r>
      <w:r>
        <w:rPr>
          <w:rFonts w:ascii="Verdana" w:hAnsi="Verdana" w:eastAsia="DejaVuSerifCondensed" w:cs="DejaVuSerifCondensed"/>
          <w:color w:val="000000"/>
          <w:kern w:val="0"/>
          <w:sz w:val="18"/>
          <w:szCs w:val="18"/>
        </w:rPr>
        <w:t xml:space="preserve">betalen wel een hogere bijdrage </w:t>
      </w:r>
      <w:r w:rsidR="00FD2717">
        <w:rPr>
          <w:rFonts w:ascii="Verdana" w:hAnsi="Verdana" w:eastAsia="DejaVuSerifCondensed" w:cs="DejaVuSerifCondensed"/>
          <w:color w:val="000000"/>
          <w:kern w:val="0"/>
          <w:sz w:val="18"/>
          <w:szCs w:val="18"/>
        </w:rPr>
        <w:t>wan</w:t>
      </w:r>
      <w:r w:rsidR="000666F8">
        <w:rPr>
          <w:rFonts w:ascii="Verdana" w:hAnsi="Verdana" w:eastAsia="DejaVuSerifCondensed" w:cs="DejaVuSerifCondensed"/>
          <w:color w:val="000000"/>
          <w:kern w:val="0"/>
          <w:sz w:val="18"/>
          <w:szCs w:val="18"/>
        </w:rPr>
        <w:t>n</w:t>
      </w:r>
      <w:r w:rsidR="00FD2717">
        <w:rPr>
          <w:rFonts w:ascii="Verdana" w:hAnsi="Verdana" w:eastAsia="DejaVuSerifCondensed" w:cs="DejaVuSerifCondensed"/>
          <w:color w:val="000000"/>
          <w:kern w:val="0"/>
          <w:sz w:val="18"/>
          <w:szCs w:val="18"/>
        </w:rPr>
        <w:t>eer</w:t>
      </w:r>
      <w:r w:rsidR="008E2704">
        <w:rPr>
          <w:rFonts w:ascii="Verdana" w:hAnsi="Verdana" w:eastAsia="DejaVuSerifCondensed" w:cs="DejaVuSerifCondensed"/>
          <w:color w:val="000000"/>
          <w:kern w:val="0"/>
          <w:sz w:val="18"/>
          <w:szCs w:val="18"/>
        </w:rPr>
        <w:t xml:space="preserve"> hun </w:t>
      </w:r>
      <w:r>
        <w:rPr>
          <w:rFonts w:ascii="Verdana" w:hAnsi="Verdana" w:eastAsia="DejaVuSerifCondensed" w:cs="DejaVuSerifCondensed"/>
          <w:color w:val="000000"/>
          <w:kern w:val="0"/>
          <w:sz w:val="18"/>
          <w:szCs w:val="18"/>
        </w:rPr>
        <w:t xml:space="preserve">kinderopvangorganisaties </w:t>
      </w:r>
      <w:r w:rsidR="008E2704">
        <w:rPr>
          <w:rFonts w:ascii="Verdana" w:hAnsi="Verdana" w:eastAsia="DejaVuSerifCondensed" w:cs="DejaVuSerifCondensed"/>
          <w:color w:val="000000"/>
          <w:kern w:val="0"/>
          <w:sz w:val="18"/>
          <w:szCs w:val="18"/>
        </w:rPr>
        <w:t xml:space="preserve">de </w:t>
      </w:r>
      <w:r>
        <w:rPr>
          <w:rFonts w:ascii="Verdana" w:hAnsi="Verdana" w:eastAsia="DejaVuSerifCondensed" w:cs="DejaVuSerifCondensed"/>
          <w:color w:val="000000"/>
          <w:kern w:val="0"/>
          <w:sz w:val="18"/>
          <w:szCs w:val="18"/>
        </w:rPr>
        <w:t xml:space="preserve">tarieven verhogen tot boven de </w:t>
      </w:r>
      <w:r w:rsidR="0020771C">
        <w:rPr>
          <w:rFonts w:ascii="Verdana" w:hAnsi="Verdana" w:eastAsia="DejaVuSerifCondensed" w:cs="DejaVuSerifCondensed"/>
          <w:color w:val="000000"/>
          <w:kern w:val="0"/>
          <w:sz w:val="18"/>
          <w:szCs w:val="18"/>
        </w:rPr>
        <w:t>MUP</w:t>
      </w:r>
      <w:r>
        <w:rPr>
          <w:rFonts w:ascii="Verdana" w:hAnsi="Verdana" w:eastAsia="DejaVuSerifCondensed" w:cs="DejaVuSerifCondensed"/>
          <w:color w:val="000000"/>
          <w:kern w:val="0"/>
          <w:sz w:val="18"/>
          <w:szCs w:val="18"/>
        </w:rPr>
        <w:t xml:space="preserve">. In november 2024 hanteerde </w:t>
      </w:r>
      <w:r w:rsidR="0020771C">
        <w:rPr>
          <w:rFonts w:ascii="Verdana" w:hAnsi="Verdana" w:eastAsia="DejaVuSerifCondensed" w:cs="DejaVuSerifCondensed"/>
          <w:color w:val="000000"/>
          <w:kern w:val="0"/>
          <w:sz w:val="18"/>
          <w:szCs w:val="18"/>
        </w:rPr>
        <w:t>circ</w:t>
      </w:r>
      <w:r w:rsidRPr="003D4A50" w:rsidR="0020771C">
        <w:rPr>
          <w:rFonts w:ascii="Verdana" w:hAnsi="Verdana" w:eastAsia="DejaVuSerifCondensed" w:cs="DejaVuSerifCondensed"/>
          <w:color w:val="000000"/>
          <w:kern w:val="0"/>
          <w:sz w:val="18"/>
          <w:szCs w:val="18"/>
        </w:rPr>
        <w:t xml:space="preserve">a </w:t>
      </w:r>
      <w:r w:rsidRPr="00DB2A3F">
        <w:rPr>
          <w:rFonts w:ascii="Verdana" w:hAnsi="Verdana" w:eastAsia="DejaVuSerifCondensed" w:cs="DejaVuSerifCondensed"/>
          <w:color w:val="000000"/>
          <w:kern w:val="0"/>
          <w:sz w:val="18"/>
          <w:szCs w:val="18"/>
        </w:rPr>
        <w:t>61</w:t>
      </w:r>
      <w:r w:rsidRPr="003D4A50">
        <w:rPr>
          <w:rFonts w:ascii="Verdana" w:hAnsi="Verdana" w:eastAsia="DejaVuSerifCondensed" w:cs="DejaVuSerifCondensed"/>
          <w:color w:val="000000"/>
          <w:kern w:val="0"/>
          <w:sz w:val="18"/>
          <w:szCs w:val="18"/>
        </w:rPr>
        <w:t xml:space="preserve">% van de kinderdagverblijven een tarief boven de MUP. In de </w:t>
      </w:r>
      <w:r w:rsidRPr="003D4A50" w:rsidR="00036847">
        <w:rPr>
          <w:rFonts w:ascii="Verdana" w:hAnsi="Verdana" w:eastAsia="DejaVuSerifCondensed" w:cs="DejaVuSerifCondensed"/>
          <w:color w:val="000000"/>
          <w:kern w:val="0"/>
          <w:sz w:val="18"/>
          <w:szCs w:val="18"/>
        </w:rPr>
        <w:t xml:space="preserve">buitenschoolse opvang </w:t>
      </w:r>
      <w:r w:rsidRPr="003D4A50">
        <w:rPr>
          <w:rFonts w:ascii="Verdana" w:hAnsi="Verdana" w:eastAsia="DejaVuSerifCondensed" w:cs="DejaVuSerifCondensed"/>
          <w:color w:val="000000"/>
          <w:kern w:val="0"/>
          <w:sz w:val="18"/>
          <w:szCs w:val="18"/>
        </w:rPr>
        <w:t>was dat</w:t>
      </w:r>
      <w:r w:rsidRPr="003D4A50" w:rsidR="0020771C">
        <w:rPr>
          <w:rFonts w:ascii="Verdana" w:hAnsi="Verdana" w:eastAsia="DejaVuSerifCondensed" w:cs="DejaVuSerifCondensed"/>
          <w:color w:val="000000"/>
          <w:kern w:val="0"/>
          <w:sz w:val="18"/>
          <w:szCs w:val="18"/>
        </w:rPr>
        <w:t xml:space="preserve"> circa</w:t>
      </w:r>
      <w:r w:rsidRPr="003D4A50">
        <w:rPr>
          <w:rFonts w:ascii="Verdana" w:hAnsi="Verdana" w:eastAsia="DejaVuSerifCondensed" w:cs="DejaVuSerifCondensed"/>
          <w:color w:val="000000"/>
          <w:kern w:val="0"/>
          <w:sz w:val="18"/>
          <w:szCs w:val="18"/>
        </w:rPr>
        <w:t xml:space="preserve"> </w:t>
      </w:r>
      <w:r w:rsidRPr="00DB2A3F">
        <w:rPr>
          <w:rFonts w:ascii="Verdana" w:hAnsi="Verdana" w:eastAsia="DejaVuSerifCondensed" w:cs="DejaVuSerifCondensed"/>
          <w:color w:val="000000"/>
          <w:kern w:val="0"/>
          <w:sz w:val="18"/>
          <w:szCs w:val="18"/>
        </w:rPr>
        <w:t>80</w:t>
      </w:r>
      <w:r w:rsidRPr="003D4A50">
        <w:rPr>
          <w:rFonts w:ascii="Verdana" w:hAnsi="Verdana" w:eastAsia="DejaVuSerifCondensed" w:cs="DejaVuSerifCondensed"/>
          <w:color w:val="000000"/>
          <w:kern w:val="0"/>
          <w:sz w:val="18"/>
          <w:szCs w:val="18"/>
        </w:rPr>
        <w:t xml:space="preserve">% en in de gastouderopvang </w:t>
      </w:r>
      <w:r w:rsidRPr="003D4A50" w:rsidR="0020771C">
        <w:rPr>
          <w:rFonts w:ascii="Verdana" w:hAnsi="Verdana" w:eastAsia="DejaVuSerifCondensed" w:cs="DejaVuSerifCondensed"/>
          <w:color w:val="000000"/>
          <w:kern w:val="0"/>
          <w:sz w:val="18"/>
          <w:szCs w:val="18"/>
        </w:rPr>
        <w:t xml:space="preserve">circa </w:t>
      </w:r>
      <w:r w:rsidRPr="00DB2A3F">
        <w:rPr>
          <w:rFonts w:ascii="Verdana" w:hAnsi="Verdana" w:eastAsia="DejaVuSerifCondensed" w:cs="DejaVuSerifCondensed"/>
          <w:color w:val="000000"/>
          <w:kern w:val="0"/>
          <w:sz w:val="18"/>
          <w:szCs w:val="18"/>
        </w:rPr>
        <w:t>58</w:t>
      </w:r>
      <w:r w:rsidRPr="003D4A50">
        <w:rPr>
          <w:rFonts w:ascii="Verdana" w:hAnsi="Verdana" w:eastAsia="DejaVuSerifCondensed" w:cs="DejaVuSerifCondensed"/>
          <w:color w:val="000000"/>
          <w:kern w:val="0"/>
          <w:sz w:val="18"/>
          <w:szCs w:val="18"/>
        </w:rPr>
        <w:t>%.</w:t>
      </w:r>
    </w:p>
    <w:p w:rsidR="00405E76" w:rsidP="00405E76" w:rsidRDefault="00405E76" w14:paraId="19F86B7E"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405E76" w:rsidP="00405E76" w:rsidRDefault="00405E76" w14:paraId="6A4075BF"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E906C2">
        <w:rPr>
          <w:rFonts w:ascii="Verdana" w:hAnsi="Verdana" w:eastAsia="DejaVuSerifCondensed" w:cs="DejaVuSerifCondensed"/>
          <w:b/>
          <w:bCs/>
          <w:color w:val="000000"/>
          <w:kern w:val="0"/>
          <w:sz w:val="18"/>
          <w:szCs w:val="18"/>
        </w:rPr>
        <w:t>5. Hoeveel minder ouders gaan kinderopvang afnemen hierdoor?</w:t>
      </w:r>
    </w:p>
    <w:p w:rsidR="00405E76" w:rsidP="00405E76" w:rsidRDefault="00405E76" w14:paraId="45F20A56"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405E76" w:rsidP="00405E76" w:rsidRDefault="00405E76" w14:paraId="7A49CA53" w14:textId="4B4DC01D">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Het is op voorhand niet goed te voorspellen wat de gevolgen </w:t>
      </w:r>
      <w:r w:rsidR="006F07C8">
        <w:rPr>
          <w:rFonts w:ascii="Verdana" w:hAnsi="Verdana" w:eastAsia="DejaVuSerifCondensed" w:cs="DejaVuSerifCondensed"/>
          <w:color w:val="000000"/>
          <w:kern w:val="0"/>
          <w:sz w:val="18"/>
          <w:szCs w:val="18"/>
        </w:rPr>
        <w:t>van</w:t>
      </w:r>
      <w:r w:rsidR="00FD2717">
        <w:rPr>
          <w:rFonts w:ascii="Verdana" w:hAnsi="Verdana" w:eastAsia="DejaVuSerifCondensed" w:cs="DejaVuSerifCondensed"/>
          <w:color w:val="000000"/>
          <w:kern w:val="0"/>
          <w:sz w:val="18"/>
          <w:szCs w:val="18"/>
        </w:rPr>
        <w:t xml:space="preserve"> het niet-indexeren en eventuele</w:t>
      </w:r>
      <w:r w:rsidR="006F07C8">
        <w:rPr>
          <w:rFonts w:ascii="Verdana" w:hAnsi="Verdana" w:eastAsia="DejaVuSerifCondensed" w:cs="DejaVuSerifCondensed"/>
          <w:color w:val="000000"/>
          <w:kern w:val="0"/>
          <w:sz w:val="18"/>
          <w:szCs w:val="18"/>
        </w:rPr>
        <w:t xml:space="preserve"> tariefstijgingen zijn </w:t>
      </w:r>
      <w:r>
        <w:rPr>
          <w:rFonts w:ascii="Verdana" w:hAnsi="Verdana" w:eastAsia="DejaVuSerifCondensed" w:cs="DejaVuSerifCondensed"/>
          <w:color w:val="000000"/>
          <w:kern w:val="0"/>
          <w:sz w:val="18"/>
          <w:szCs w:val="18"/>
        </w:rPr>
        <w:t xml:space="preserve">voor het gebruik van kinderopvang. </w:t>
      </w:r>
      <w:r w:rsidR="006F07C8">
        <w:rPr>
          <w:rFonts w:ascii="Verdana" w:hAnsi="Verdana" w:eastAsia="DejaVuSerifCondensed" w:cs="DejaVuSerifCondensed"/>
          <w:color w:val="000000"/>
          <w:kern w:val="0"/>
          <w:sz w:val="18"/>
          <w:szCs w:val="18"/>
        </w:rPr>
        <w:t xml:space="preserve">Bovendien zorgt het </w:t>
      </w:r>
      <w:r>
        <w:rPr>
          <w:rFonts w:ascii="Verdana" w:hAnsi="Verdana" w:eastAsia="DejaVuSerifCondensed" w:cs="DejaVuSerifCondensed"/>
          <w:color w:val="000000"/>
          <w:kern w:val="0"/>
          <w:sz w:val="18"/>
          <w:szCs w:val="18"/>
        </w:rPr>
        <w:t xml:space="preserve">verhogen van de vergoedingspercentages </w:t>
      </w:r>
      <w:r w:rsidR="006F07C8">
        <w:rPr>
          <w:rFonts w:ascii="Verdana" w:hAnsi="Verdana" w:eastAsia="DejaVuSerifCondensed" w:cs="DejaVuSerifCondensed"/>
          <w:color w:val="000000"/>
          <w:kern w:val="0"/>
          <w:sz w:val="18"/>
          <w:szCs w:val="18"/>
        </w:rPr>
        <w:t xml:space="preserve">er ook voor dat </w:t>
      </w:r>
      <w:r>
        <w:rPr>
          <w:rFonts w:ascii="Verdana" w:hAnsi="Verdana" w:eastAsia="DejaVuSerifCondensed" w:cs="DejaVuSerifCondensed"/>
          <w:color w:val="000000"/>
          <w:kern w:val="0"/>
          <w:sz w:val="18"/>
          <w:szCs w:val="18"/>
        </w:rPr>
        <w:t>de kosten voor kinderopvang voor ouders met een midden</w:t>
      </w:r>
      <w:r w:rsidR="006F07C8">
        <w:rPr>
          <w:rFonts w:ascii="Verdana" w:hAnsi="Verdana" w:eastAsia="DejaVuSerifCondensed" w:cs="DejaVuSerifCondensed"/>
          <w:color w:val="000000"/>
          <w:kern w:val="0"/>
          <w:sz w:val="18"/>
          <w:szCs w:val="18"/>
        </w:rPr>
        <w:t>-</w:t>
      </w:r>
      <w:r>
        <w:rPr>
          <w:rFonts w:ascii="Verdana" w:hAnsi="Verdana" w:eastAsia="DejaVuSerifCondensed" w:cs="DejaVuSerifCondensed"/>
          <w:color w:val="000000"/>
          <w:kern w:val="0"/>
          <w:sz w:val="18"/>
          <w:szCs w:val="18"/>
        </w:rPr>
        <w:t xml:space="preserve"> en hoog inkomen per saldo afnemen.</w:t>
      </w:r>
      <w:r w:rsidR="006F07C8">
        <w:rPr>
          <w:rFonts w:ascii="Verdana" w:hAnsi="Verdana" w:eastAsia="DejaVuSerifCondensed" w:cs="DejaVuSerifCondensed"/>
          <w:color w:val="000000"/>
          <w:kern w:val="0"/>
          <w:sz w:val="18"/>
          <w:szCs w:val="18"/>
        </w:rPr>
        <w:t xml:space="preserve"> Dit kan ook een gevolg hebben voor de vraag naar opvang.</w:t>
      </w:r>
      <w:r>
        <w:rPr>
          <w:rFonts w:ascii="Verdana" w:hAnsi="Verdana" w:eastAsia="DejaVuSerifCondensed" w:cs="DejaVuSerifCondensed"/>
          <w:color w:val="000000"/>
          <w:kern w:val="0"/>
          <w:sz w:val="18"/>
          <w:szCs w:val="18"/>
        </w:rPr>
        <w:t xml:space="preserve"> Ook hiervoor geldt dat het op voorhand lastig is om te voorspellen wat de precieze gevolgen zijn voor het gebruik.</w:t>
      </w:r>
      <w:r w:rsidR="0083641B">
        <w:rPr>
          <w:rFonts w:ascii="Verdana" w:hAnsi="Verdana" w:eastAsia="DejaVuSerifCondensed" w:cs="DejaVuSerifCondensed"/>
          <w:color w:val="000000"/>
          <w:kern w:val="0"/>
          <w:sz w:val="18"/>
          <w:szCs w:val="18"/>
        </w:rPr>
        <w:t xml:space="preserve"> </w:t>
      </w:r>
      <w:r>
        <w:rPr>
          <w:rFonts w:ascii="Verdana" w:hAnsi="Verdana" w:eastAsia="DejaVuSerifCondensed" w:cs="DejaVuSerifCondensed"/>
          <w:color w:val="000000"/>
          <w:kern w:val="0"/>
          <w:sz w:val="18"/>
          <w:szCs w:val="18"/>
        </w:rPr>
        <w:t xml:space="preserve">Uiteraard zal ik zowel de betaalbaarheid als het gebruik van kinderopvang in 2026 nauwlettend blijven monitoren door middel van de kwartaalrapportages. </w:t>
      </w:r>
    </w:p>
    <w:p w:rsidR="00405E76" w:rsidP="00405E76" w:rsidRDefault="00405E76" w14:paraId="7BE3CE61"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405E76" w:rsidP="00405E76" w:rsidRDefault="00405E76" w14:paraId="6D7165BB"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E906C2">
        <w:rPr>
          <w:rFonts w:ascii="Verdana" w:hAnsi="Verdana" w:eastAsia="DejaVuSerifCondensed" w:cs="DejaVuSerifCondensed"/>
          <w:b/>
          <w:bCs/>
          <w:color w:val="000000"/>
          <w:kern w:val="0"/>
          <w:sz w:val="18"/>
          <w:szCs w:val="18"/>
        </w:rPr>
        <w:t>6. Hoeveel uren gaan ouders minder werken dankzij deze keuze van het kabinet?</w:t>
      </w:r>
    </w:p>
    <w:p w:rsidR="00405E76" w:rsidP="00405E76" w:rsidRDefault="00405E76" w14:paraId="3258B8EF"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p>
    <w:p w:rsidRPr="00E906C2" w:rsidR="00405E76" w:rsidP="00405E76" w:rsidRDefault="001F4FDE" w14:paraId="10BB885C" w14:textId="2AEA0BB8">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Een </w:t>
      </w:r>
      <w:r w:rsidR="00405E76">
        <w:rPr>
          <w:rFonts w:ascii="Verdana" w:hAnsi="Verdana" w:eastAsia="DejaVuSerifCondensed" w:cs="DejaVuSerifCondensed"/>
          <w:color w:val="000000"/>
          <w:kern w:val="0"/>
          <w:sz w:val="18"/>
          <w:szCs w:val="18"/>
        </w:rPr>
        <w:t xml:space="preserve">hogere </w:t>
      </w:r>
      <w:r>
        <w:rPr>
          <w:rFonts w:ascii="Verdana" w:hAnsi="Verdana" w:eastAsia="DejaVuSerifCondensed" w:cs="DejaVuSerifCondensed"/>
          <w:color w:val="000000"/>
          <w:kern w:val="0"/>
          <w:sz w:val="18"/>
          <w:szCs w:val="18"/>
        </w:rPr>
        <w:t xml:space="preserve">eigen bijdrage </w:t>
      </w:r>
      <w:r w:rsidR="00405E76">
        <w:rPr>
          <w:rFonts w:ascii="Verdana" w:hAnsi="Verdana" w:eastAsia="DejaVuSerifCondensed" w:cs="DejaVuSerifCondensed"/>
          <w:color w:val="000000"/>
          <w:kern w:val="0"/>
          <w:sz w:val="18"/>
          <w:szCs w:val="18"/>
        </w:rPr>
        <w:t xml:space="preserve">voor kinderopvang </w:t>
      </w:r>
      <w:r>
        <w:rPr>
          <w:rFonts w:ascii="Verdana" w:hAnsi="Verdana" w:eastAsia="DejaVuSerifCondensed" w:cs="DejaVuSerifCondensed"/>
          <w:color w:val="000000"/>
          <w:kern w:val="0"/>
          <w:sz w:val="18"/>
          <w:szCs w:val="18"/>
        </w:rPr>
        <w:t xml:space="preserve">kan </w:t>
      </w:r>
      <w:r w:rsidR="00405E76">
        <w:rPr>
          <w:rFonts w:ascii="Verdana" w:hAnsi="Verdana" w:eastAsia="DejaVuSerifCondensed" w:cs="DejaVuSerifCondensed"/>
          <w:color w:val="000000"/>
          <w:kern w:val="0"/>
          <w:sz w:val="18"/>
          <w:szCs w:val="18"/>
        </w:rPr>
        <w:t>voor sommige ouders met een laag inkomen reden zijn om minder te gaan werken. Tegelijkertijd kunnen de hogere vergoedingspercentages voor midden</w:t>
      </w:r>
      <w:r w:rsidR="00754CE0">
        <w:rPr>
          <w:rFonts w:ascii="Verdana" w:hAnsi="Verdana" w:eastAsia="DejaVuSerifCondensed" w:cs="DejaVuSerifCondensed"/>
          <w:color w:val="000000"/>
          <w:kern w:val="0"/>
          <w:sz w:val="18"/>
          <w:szCs w:val="18"/>
        </w:rPr>
        <w:t>-</w:t>
      </w:r>
      <w:r w:rsidR="00405E76">
        <w:rPr>
          <w:rFonts w:ascii="Verdana" w:hAnsi="Verdana" w:eastAsia="DejaVuSerifCondensed" w:cs="DejaVuSerifCondensed"/>
          <w:color w:val="000000"/>
          <w:kern w:val="0"/>
          <w:sz w:val="18"/>
          <w:szCs w:val="18"/>
        </w:rPr>
        <w:t xml:space="preserve"> en hoge inkomens juist aanleiding zijn om meer te gaan werken. </w:t>
      </w:r>
      <w:r w:rsidR="003E55F0">
        <w:rPr>
          <w:rFonts w:ascii="Verdana" w:hAnsi="Verdana" w:eastAsia="DejaVuSerifCondensed" w:cs="DejaVuSerifCondensed"/>
          <w:color w:val="000000"/>
          <w:kern w:val="0"/>
          <w:sz w:val="18"/>
          <w:szCs w:val="18"/>
        </w:rPr>
        <w:t xml:space="preserve">Ook kan de veel grotere eenvoud en zekerheid van de nieuwe financiering van kinderopvang, samen met de hogere vergoedingspercentages, zorgen voor een cultuurverandering in het gebruik van formele kinderopvang. </w:t>
      </w:r>
      <w:r w:rsidR="00405E76">
        <w:rPr>
          <w:rFonts w:ascii="Verdana" w:hAnsi="Verdana" w:eastAsia="DejaVuSerifCondensed" w:cs="DejaVuSerifCondensed"/>
          <w:color w:val="000000"/>
          <w:kern w:val="0"/>
          <w:sz w:val="18"/>
          <w:szCs w:val="18"/>
        </w:rPr>
        <w:t xml:space="preserve">Het is op voorhand niet te voorspellen hoeveel uren ouders meer of minder zullen gaan werken als gevolg van de </w:t>
      </w:r>
      <w:r w:rsidR="001320E4">
        <w:rPr>
          <w:rFonts w:ascii="Verdana" w:hAnsi="Verdana" w:eastAsia="DejaVuSerifCondensed" w:cs="DejaVuSerifCondensed"/>
          <w:color w:val="000000"/>
          <w:kern w:val="0"/>
          <w:sz w:val="18"/>
          <w:szCs w:val="18"/>
        </w:rPr>
        <w:t xml:space="preserve">keuzes </w:t>
      </w:r>
      <w:r w:rsidR="00405E76">
        <w:rPr>
          <w:rFonts w:ascii="Verdana" w:hAnsi="Verdana" w:eastAsia="DejaVuSerifCondensed" w:cs="DejaVuSerifCondensed"/>
          <w:color w:val="000000"/>
          <w:kern w:val="0"/>
          <w:sz w:val="18"/>
          <w:szCs w:val="18"/>
        </w:rPr>
        <w:t>van het kabinet.</w:t>
      </w:r>
    </w:p>
    <w:p w:rsidR="00405E76" w:rsidP="00405E76" w:rsidRDefault="00405E76" w14:paraId="056AFB9B"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E906C2" w:rsidR="00405E76" w:rsidP="00405E76" w:rsidRDefault="00405E76" w14:paraId="7443160A"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E906C2">
        <w:rPr>
          <w:rFonts w:ascii="Verdana" w:hAnsi="Verdana" w:eastAsia="DejaVuSerifCondensed" w:cs="DejaVuSerifCondensed"/>
          <w:b/>
          <w:bCs/>
          <w:color w:val="000000"/>
          <w:kern w:val="0"/>
          <w:sz w:val="18"/>
          <w:szCs w:val="18"/>
        </w:rPr>
        <w:t>7. Wat zijn de gevolgen voor de financiële toegankelijkheid van voorschoolse educatie?</w:t>
      </w:r>
    </w:p>
    <w:p w:rsidR="00405E76" w:rsidP="00405E76" w:rsidRDefault="00405E76" w14:paraId="4CB16855"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6D36F3" w:rsidR="00405E76" w:rsidP="00405E76" w:rsidRDefault="00405E76" w14:paraId="4CFC5188"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6D36F3">
        <w:rPr>
          <w:rFonts w:ascii="Verdana" w:hAnsi="Verdana" w:eastAsia="DejaVuSerifCondensed" w:cs="DejaVuSerifCondensed"/>
          <w:color w:val="000000"/>
          <w:kern w:val="0"/>
          <w:sz w:val="18"/>
          <w:szCs w:val="18"/>
        </w:rPr>
        <w:t xml:space="preserve">Het niet-indexeren van de maximum uurprijzen heeft mogelijk indirecte gevolgen voor </w:t>
      </w:r>
    </w:p>
    <w:p w:rsidRPr="006D36F3" w:rsidR="00405E76" w:rsidP="00405E76" w:rsidRDefault="00405E76" w14:paraId="06D0A148" w14:textId="30D90A1D">
      <w:pPr>
        <w:autoSpaceDE w:val="0"/>
        <w:autoSpaceDN w:val="0"/>
        <w:adjustRightInd w:val="0"/>
        <w:spacing w:after="0" w:line="240" w:lineRule="auto"/>
        <w:rPr>
          <w:rFonts w:ascii="Verdana" w:hAnsi="Verdana" w:eastAsia="DejaVuSerifCondensed" w:cs="DejaVuSerifCondensed"/>
          <w:color w:val="000000"/>
          <w:kern w:val="0"/>
          <w:sz w:val="18"/>
          <w:szCs w:val="18"/>
        </w:rPr>
      </w:pPr>
      <w:r w:rsidRPr="006D36F3">
        <w:rPr>
          <w:rFonts w:ascii="Verdana" w:hAnsi="Verdana" w:eastAsia="DejaVuSerifCondensed" w:cs="DejaVuSerifCondensed"/>
          <w:color w:val="000000"/>
          <w:kern w:val="0"/>
          <w:sz w:val="18"/>
          <w:szCs w:val="18"/>
        </w:rPr>
        <w:t xml:space="preserve">de financiële toegankelijkheid van </w:t>
      </w:r>
      <w:r>
        <w:rPr>
          <w:rFonts w:ascii="Verdana" w:hAnsi="Verdana" w:eastAsia="DejaVuSerifCondensed" w:cs="DejaVuSerifCondensed"/>
          <w:color w:val="000000"/>
          <w:kern w:val="0"/>
          <w:sz w:val="18"/>
          <w:szCs w:val="18"/>
        </w:rPr>
        <w:t>voorschoolse educatie (</w:t>
      </w:r>
      <w:r w:rsidR="00065B07">
        <w:rPr>
          <w:rFonts w:ascii="Verdana" w:hAnsi="Verdana" w:eastAsia="DejaVuSerifCondensed" w:cs="DejaVuSerifCondensed"/>
          <w:color w:val="000000"/>
          <w:kern w:val="0"/>
          <w:sz w:val="18"/>
          <w:szCs w:val="18"/>
        </w:rPr>
        <w:t>ve</w:t>
      </w:r>
      <w:r>
        <w:rPr>
          <w:rFonts w:ascii="Verdana" w:hAnsi="Verdana" w:eastAsia="DejaVuSerifCondensed" w:cs="DejaVuSerifCondensed"/>
          <w:color w:val="000000"/>
          <w:kern w:val="0"/>
          <w:sz w:val="18"/>
          <w:szCs w:val="18"/>
        </w:rPr>
        <w:t>)</w:t>
      </w:r>
      <w:r w:rsidRPr="006D36F3">
        <w:rPr>
          <w:rFonts w:ascii="Verdana" w:hAnsi="Verdana" w:eastAsia="DejaVuSerifCondensed" w:cs="DejaVuSerifCondensed"/>
          <w:color w:val="000000"/>
          <w:kern w:val="0"/>
          <w:sz w:val="18"/>
          <w:szCs w:val="18"/>
        </w:rPr>
        <w:t xml:space="preserve">. Gemeenten </w:t>
      </w:r>
    </w:p>
    <w:p w:rsidRPr="006D36F3" w:rsidR="00405E76" w:rsidP="00405E76" w:rsidRDefault="00405E76" w14:paraId="0CC7F697" w14:textId="0567FAA5">
      <w:pPr>
        <w:autoSpaceDE w:val="0"/>
        <w:autoSpaceDN w:val="0"/>
        <w:adjustRightInd w:val="0"/>
        <w:spacing w:after="0" w:line="240" w:lineRule="auto"/>
        <w:rPr>
          <w:rFonts w:ascii="Verdana" w:hAnsi="Verdana" w:eastAsia="DejaVuSerifCondensed" w:cs="DejaVuSerifCondensed"/>
          <w:color w:val="000000"/>
          <w:kern w:val="0"/>
          <w:sz w:val="18"/>
          <w:szCs w:val="18"/>
        </w:rPr>
      </w:pPr>
      <w:r w:rsidRPr="006D36F3">
        <w:rPr>
          <w:rFonts w:ascii="Verdana" w:hAnsi="Verdana" w:eastAsia="DejaVuSerifCondensed" w:cs="DejaVuSerifCondensed"/>
          <w:color w:val="000000"/>
          <w:kern w:val="0"/>
          <w:sz w:val="18"/>
          <w:szCs w:val="18"/>
        </w:rPr>
        <w:t xml:space="preserve">ontvangen van het Rijk een financiële tegemoetkoming voor het aanbieden van </w:t>
      </w:r>
      <w:r w:rsidR="00065B07">
        <w:rPr>
          <w:rFonts w:ascii="Verdana" w:hAnsi="Verdana" w:eastAsia="DejaVuSerifCondensed" w:cs="DejaVuSerifCondensed"/>
          <w:color w:val="000000"/>
          <w:kern w:val="0"/>
          <w:sz w:val="18"/>
          <w:szCs w:val="18"/>
        </w:rPr>
        <w:t>ve</w:t>
      </w:r>
      <w:r w:rsidRPr="006D36F3">
        <w:rPr>
          <w:rFonts w:ascii="Verdana" w:hAnsi="Verdana" w:eastAsia="DejaVuSerifCondensed" w:cs="DejaVuSerifCondensed"/>
          <w:color w:val="000000"/>
          <w:kern w:val="0"/>
          <w:sz w:val="18"/>
          <w:szCs w:val="18"/>
        </w:rPr>
        <w:t>.</w:t>
      </w:r>
      <w:r w:rsidR="000666F8">
        <w:rPr>
          <w:rFonts w:ascii="Verdana" w:hAnsi="Verdana" w:eastAsia="DejaVuSerifCondensed" w:cs="DejaVuSerifCondensed"/>
          <w:color w:val="000000"/>
          <w:kern w:val="0"/>
          <w:sz w:val="18"/>
          <w:szCs w:val="18"/>
        </w:rPr>
        <w:t xml:space="preserve"> </w:t>
      </w:r>
      <w:r w:rsidRPr="006D36F3">
        <w:rPr>
          <w:rFonts w:ascii="Verdana" w:hAnsi="Verdana" w:eastAsia="DejaVuSerifCondensed" w:cs="DejaVuSerifCondensed"/>
          <w:color w:val="000000"/>
          <w:kern w:val="0"/>
          <w:sz w:val="18"/>
          <w:szCs w:val="18"/>
        </w:rPr>
        <w:t xml:space="preserve">Het </w:t>
      </w:r>
    </w:p>
    <w:p w:rsidR="003D32FD" w:rsidP="00405E76" w:rsidRDefault="00405E76" w14:paraId="37320CD3" w14:textId="5B4C31A7">
      <w:pPr>
        <w:autoSpaceDE w:val="0"/>
        <w:autoSpaceDN w:val="0"/>
        <w:adjustRightInd w:val="0"/>
        <w:spacing w:after="0" w:line="240" w:lineRule="auto"/>
        <w:rPr>
          <w:rFonts w:ascii="Verdana" w:hAnsi="Verdana" w:eastAsia="DejaVuSerifCondensed" w:cs="DejaVuSerifCondensed"/>
          <w:color w:val="000000"/>
          <w:kern w:val="0"/>
          <w:sz w:val="18"/>
          <w:szCs w:val="18"/>
        </w:rPr>
      </w:pPr>
      <w:r w:rsidRPr="006D36F3">
        <w:rPr>
          <w:rFonts w:ascii="Verdana" w:hAnsi="Verdana" w:eastAsia="DejaVuSerifCondensed" w:cs="DejaVuSerifCondensed"/>
          <w:color w:val="000000"/>
          <w:kern w:val="0"/>
          <w:sz w:val="18"/>
          <w:szCs w:val="18"/>
        </w:rPr>
        <w:t>is aan gemeenten welke eigen bijdrage zij vervolgens vragen aan ouders.</w:t>
      </w:r>
      <w:r w:rsidR="00CE12CB">
        <w:rPr>
          <w:rFonts w:ascii="Verdana" w:hAnsi="Verdana" w:eastAsia="DejaVuSerifCondensed" w:cs="DejaVuSerifCondensed"/>
          <w:color w:val="000000"/>
          <w:kern w:val="0"/>
          <w:sz w:val="18"/>
          <w:szCs w:val="18"/>
        </w:rPr>
        <w:t xml:space="preserve"> Sommige gemeenten hanteren daarbij de KOT-tabel, andere</w:t>
      </w:r>
      <w:r w:rsidR="00065B07">
        <w:rPr>
          <w:rFonts w:ascii="Verdana" w:hAnsi="Verdana" w:eastAsia="DejaVuSerifCondensed" w:cs="DejaVuSerifCondensed"/>
          <w:color w:val="000000"/>
          <w:kern w:val="0"/>
          <w:sz w:val="18"/>
          <w:szCs w:val="18"/>
        </w:rPr>
        <w:t xml:space="preserve"> gemeenten hanteren</w:t>
      </w:r>
      <w:r w:rsidR="00CE12CB">
        <w:rPr>
          <w:rFonts w:ascii="Verdana" w:hAnsi="Verdana" w:eastAsia="DejaVuSerifCondensed" w:cs="DejaVuSerifCondensed"/>
          <w:color w:val="000000"/>
          <w:kern w:val="0"/>
          <w:sz w:val="18"/>
          <w:szCs w:val="18"/>
        </w:rPr>
        <w:t xml:space="preserve"> </w:t>
      </w:r>
      <w:r w:rsidR="00733558">
        <w:rPr>
          <w:rFonts w:ascii="Verdana" w:hAnsi="Verdana" w:eastAsia="DejaVuSerifCondensed" w:cs="DejaVuSerifCondensed"/>
          <w:color w:val="000000"/>
          <w:kern w:val="0"/>
          <w:sz w:val="18"/>
          <w:szCs w:val="18"/>
        </w:rPr>
        <w:t>de VNG</w:t>
      </w:r>
      <w:r w:rsidR="006A0590">
        <w:rPr>
          <w:rFonts w:ascii="Verdana" w:hAnsi="Verdana" w:eastAsia="DejaVuSerifCondensed" w:cs="DejaVuSerifCondensed"/>
          <w:color w:val="000000"/>
          <w:kern w:val="0"/>
          <w:sz w:val="18"/>
          <w:szCs w:val="18"/>
        </w:rPr>
        <w:t>-</w:t>
      </w:r>
      <w:r w:rsidR="00733558">
        <w:rPr>
          <w:rFonts w:ascii="Verdana" w:hAnsi="Verdana" w:eastAsia="DejaVuSerifCondensed" w:cs="DejaVuSerifCondensed"/>
          <w:color w:val="000000"/>
          <w:kern w:val="0"/>
          <w:sz w:val="18"/>
          <w:szCs w:val="18"/>
        </w:rPr>
        <w:t>Advies</w:t>
      </w:r>
      <w:r w:rsidR="00CE12CB">
        <w:rPr>
          <w:rFonts w:ascii="Verdana" w:hAnsi="Verdana" w:eastAsia="DejaVuSerifCondensed" w:cs="DejaVuSerifCondensed"/>
          <w:color w:val="000000"/>
          <w:kern w:val="0"/>
          <w:sz w:val="18"/>
          <w:szCs w:val="18"/>
        </w:rPr>
        <w:t xml:space="preserve">tabel </w:t>
      </w:r>
      <w:r w:rsidR="00C65D81">
        <w:rPr>
          <w:rFonts w:ascii="Verdana" w:hAnsi="Verdana" w:eastAsia="DejaVuSerifCondensed" w:cs="DejaVuSerifCondensed"/>
          <w:color w:val="000000"/>
          <w:kern w:val="0"/>
          <w:sz w:val="18"/>
          <w:szCs w:val="18"/>
        </w:rPr>
        <w:t>en/</w:t>
      </w:r>
      <w:r w:rsidR="00CE12CB">
        <w:rPr>
          <w:rFonts w:ascii="Verdana" w:hAnsi="Verdana" w:eastAsia="DejaVuSerifCondensed" w:cs="DejaVuSerifCondensed"/>
          <w:color w:val="000000"/>
          <w:kern w:val="0"/>
          <w:sz w:val="18"/>
          <w:szCs w:val="18"/>
        </w:rPr>
        <w:t xml:space="preserve">of </w:t>
      </w:r>
      <w:r w:rsidR="00065B07">
        <w:rPr>
          <w:rFonts w:ascii="Verdana" w:hAnsi="Verdana" w:eastAsia="DejaVuSerifCondensed" w:cs="DejaVuSerifCondensed"/>
          <w:color w:val="000000"/>
          <w:kern w:val="0"/>
          <w:sz w:val="18"/>
          <w:szCs w:val="18"/>
        </w:rPr>
        <w:t>bieden ve (deels) gratis aan.</w:t>
      </w:r>
      <w:r w:rsidRPr="006D36F3">
        <w:rPr>
          <w:rFonts w:ascii="Verdana" w:hAnsi="Verdana" w:eastAsia="DejaVuSerifCondensed" w:cs="DejaVuSerifCondensed"/>
          <w:color w:val="000000"/>
          <w:kern w:val="0"/>
          <w:sz w:val="18"/>
          <w:szCs w:val="18"/>
        </w:rPr>
        <w:t xml:space="preserve"> </w:t>
      </w:r>
      <w:r w:rsidR="00C65D81">
        <w:rPr>
          <w:rFonts w:ascii="Verdana" w:hAnsi="Verdana" w:eastAsia="DejaVuSerifCondensed" w:cs="DejaVuSerifCondensed"/>
          <w:color w:val="000000"/>
          <w:kern w:val="0"/>
          <w:sz w:val="18"/>
          <w:szCs w:val="18"/>
        </w:rPr>
        <w:t xml:space="preserve">Ook is het tarief dat kinderopvangorganisaties hanteren voor voorschoolse educatie niet altijd hetzelfde als het tarief voor reguliere kinderdagopvang. </w:t>
      </w:r>
      <w:r w:rsidRPr="006D36F3">
        <w:rPr>
          <w:rFonts w:ascii="Verdana" w:hAnsi="Verdana" w:eastAsia="DejaVuSerifCondensed" w:cs="DejaVuSerifCondensed"/>
          <w:color w:val="000000"/>
          <w:kern w:val="0"/>
          <w:sz w:val="18"/>
          <w:szCs w:val="18"/>
        </w:rPr>
        <w:t xml:space="preserve">Hierdoor </w:t>
      </w:r>
      <w:r>
        <w:rPr>
          <w:rFonts w:ascii="Verdana" w:hAnsi="Verdana" w:eastAsia="DejaVuSerifCondensed" w:cs="DejaVuSerifCondensed"/>
          <w:color w:val="000000"/>
          <w:kern w:val="0"/>
          <w:sz w:val="18"/>
          <w:szCs w:val="18"/>
        </w:rPr>
        <w:t>kunnen</w:t>
      </w:r>
      <w:r w:rsidRPr="006D36F3">
        <w:rPr>
          <w:rFonts w:ascii="Verdana" w:hAnsi="Verdana" w:eastAsia="DejaVuSerifCondensed" w:cs="DejaVuSerifCondensed"/>
          <w:color w:val="000000"/>
          <w:kern w:val="0"/>
          <w:sz w:val="18"/>
          <w:szCs w:val="18"/>
        </w:rPr>
        <w:t xml:space="preserve"> mogelijke indirecte consequenties van het niet-indexeren voor ouders, bijvoorbeeld negatieve inkomenseffecten, verschillen per gemeente. </w:t>
      </w:r>
    </w:p>
    <w:p w:rsidR="003D32FD" w:rsidP="00405E76" w:rsidRDefault="003D32FD" w14:paraId="436B5E7A"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3D32FD" w:rsidP="00405E76" w:rsidRDefault="003D32FD" w14:paraId="5FDC499E" w14:textId="547D6F70">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Ook eventuele tariefstijgingen door de grotere vraag naar kinderopvang in het nieuwe financieringsstelsel kunnen indirecte gevolgen hebben voor de financiële toegankelijkheid van </w:t>
      </w:r>
      <w:r w:rsidR="00A15F80">
        <w:rPr>
          <w:rFonts w:ascii="Verdana" w:hAnsi="Verdana" w:eastAsia="DejaVuSerifCondensed" w:cs="DejaVuSerifCondensed"/>
          <w:color w:val="000000"/>
          <w:kern w:val="0"/>
          <w:sz w:val="18"/>
          <w:szCs w:val="18"/>
        </w:rPr>
        <w:t>ve</w:t>
      </w:r>
      <w:r>
        <w:rPr>
          <w:rFonts w:ascii="Verdana" w:hAnsi="Verdana" w:eastAsia="DejaVuSerifCondensed" w:cs="DejaVuSerifCondensed"/>
          <w:color w:val="000000"/>
          <w:kern w:val="0"/>
          <w:sz w:val="18"/>
          <w:szCs w:val="18"/>
        </w:rPr>
        <w:t xml:space="preserve">. Bijvoorbeeld via de kosten die gemeenten maken in het reserveren van </w:t>
      </w:r>
      <w:r w:rsidR="00065B07">
        <w:rPr>
          <w:rFonts w:ascii="Verdana" w:hAnsi="Verdana" w:eastAsia="DejaVuSerifCondensed" w:cs="DejaVuSerifCondensed"/>
          <w:color w:val="000000"/>
          <w:kern w:val="0"/>
          <w:sz w:val="18"/>
          <w:szCs w:val="18"/>
        </w:rPr>
        <w:t>ve</w:t>
      </w:r>
      <w:r>
        <w:rPr>
          <w:rFonts w:ascii="Verdana" w:hAnsi="Verdana" w:eastAsia="DejaVuSerifCondensed" w:cs="DejaVuSerifCondensed"/>
          <w:color w:val="000000"/>
          <w:kern w:val="0"/>
          <w:sz w:val="18"/>
          <w:szCs w:val="18"/>
        </w:rPr>
        <w:t xml:space="preserve">-plekken bij kinderopvangaanbieders en daardoor </w:t>
      </w:r>
      <w:r w:rsidR="00E27265">
        <w:rPr>
          <w:rFonts w:ascii="Verdana" w:hAnsi="Verdana" w:eastAsia="DejaVuSerifCondensed" w:cs="DejaVuSerifCondensed"/>
          <w:color w:val="000000"/>
          <w:kern w:val="0"/>
          <w:sz w:val="18"/>
          <w:szCs w:val="18"/>
        </w:rPr>
        <w:t>in het aantal plekken dat een gemeente kan aanbieden</w:t>
      </w:r>
      <w:r>
        <w:rPr>
          <w:rFonts w:ascii="Verdana" w:hAnsi="Verdana" w:eastAsia="DejaVuSerifCondensed" w:cs="DejaVuSerifCondensed"/>
          <w:color w:val="000000"/>
          <w:kern w:val="0"/>
          <w:sz w:val="18"/>
          <w:szCs w:val="18"/>
        </w:rPr>
        <w:t xml:space="preserve">. </w:t>
      </w:r>
      <w:r w:rsidR="00D81BA7">
        <w:rPr>
          <w:rFonts w:ascii="Verdana" w:hAnsi="Verdana" w:eastAsia="DejaVuSerifCondensed" w:cs="DejaVuSerifCondensed"/>
          <w:color w:val="000000"/>
          <w:kern w:val="0"/>
          <w:sz w:val="18"/>
          <w:szCs w:val="18"/>
        </w:rPr>
        <w:t>De mate</w:t>
      </w:r>
      <w:r>
        <w:rPr>
          <w:rFonts w:ascii="Verdana" w:hAnsi="Verdana" w:eastAsia="DejaVuSerifCondensed" w:cs="DejaVuSerifCondensed"/>
          <w:color w:val="000000"/>
          <w:kern w:val="0"/>
          <w:sz w:val="18"/>
          <w:szCs w:val="18"/>
        </w:rPr>
        <w:t xml:space="preserve"> </w:t>
      </w:r>
      <w:r w:rsidR="00CE12CB">
        <w:rPr>
          <w:rFonts w:ascii="Verdana" w:hAnsi="Verdana" w:eastAsia="DejaVuSerifCondensed" w:cs="DejaVuSerifCondensed"/>
          <w:color w:val="000000"/>
          <w:kern w:val="0"/>
          <w:sz w:val="18"/>
          <w:szCs w:val="18"/>
        </w:rPr>
        <w:t xml:space="preserve">waarin </w:t>
      </w:r>
      <w:r>
        <w:rPr>
          <w:rFonts w:ascii="Verdana" w:hAnsi="Verdana" w:eastAsia="DejaVuSerifCondensed" w:cs="DejaVuSerifCondensed"/>
          <w:color w:val="000000"/>
          <w:kern w:val="0"/>
          <w:sz w:val="18"/>
          <w:szCs w:val="18"/>
        </w:rPr>
        <w:t>dit op zou treden en effect zou hebben op ouders is naar verwachting wederom verschillend per gemeente.</w:t>
      </w:r>
    </w:p>
    <w:p w:rsidR="00405E76" w:rsidP="00405E76" w:rsidRDefault="00405E76" w14:paraId="74C48CE6" w14:textId="314C8F4C">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6D36F3" w:rsidR="00405E76" w:rsidP="00405E76" w:rsidRDefault="00405E76" w14:paraId="335E41ED"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6D36F3">
        <w:rPr>
          <w:rFonts w:ascii="Verdana" w:hAnsi="Verdana" w:eastAsia="DejaVuSerifCondensed" w:cs="DejaVuSerifCondensed"/>
          <w:b/>
          <w:bCs/>
          <w:color w:val="000000"/>
          <w:kern w:val="0"/>
          <w:sz w:val="18"/>
          <w:szCs w:val="18"/>
        </w:rPr>
        <w:t>8. Kunt u de effecten van het niet indexeren van de toeslag inzichtelijk maken voor alle</w:t>
      </w:r>
    </w:p>
    <w:p w:rsidR="00405E76" w:rsidP="00405E76" w:rsidRDefault="00405E76" w14:paraId="4213EA01"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6D36F3">
        <w:rPr>
          <w:rFonts w:ascii="Verdana" w:hAnsi="Verdana" w:eastAsia="DejaVuSerifCondensed" w:cs="DejaVuSerifCondensed"/>
          <w:b/>
          <w:bCs/>
          <w:color w:val="000000"/>
          <w:kern w:val="0"/>
          <w:sz w:val="18"/>
          <w:szCs w:val="18"/>
        </w:rPr>
        <w:t>inkomensgroepen en de meest veelvoorkomende gezinssituaties?</w:t>
      </w:r>
    </w:p>
    <w:p w:rsidR="00405E76" w:rsidP="00405E76" w:rsidRDefault="00405E76" w14:paraId="1104F817"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p>
    <w:p w:rsidR="00131021" w:rsidP="00336DF3" w:rsidRDefault="00336DF3" w14:paraId="44877EDF" w14:textId="0352E811">
      <w:pPr>
        <w:autoSpaceDE w:val="0"/>
        <w:autoSpaceDN w:val="0"/>
        <w:adjustRightInd w:val="0"/>
        <w:spacing w:after="0" w:line="240" w:lineRule="auto"/>
        <w:rPr>
          <w:rFonts w:ascii="Verdana" w:hAnsi="Verdana"/>
          <w:color w:val="FF0000"/>
          <w:sz w:val="18"/>
          <w:szCs w:val="18"/>
        </w:rPr>
      </w:pPr>
      <w:r>
        <w:rPr>
          <w:rFonts w:ascii="Verdana" w:hAnsi="Verdana" w:eastAsia="DejaVuSerifCondensed" w:cs="DejaVuSerifCondensed"/>
          <w:color w:val="000000"/>
          <w:kern w:val="0"/>
          <w:sz w:val="18"/>
          <w:szCs w:val="18"/>
        </w:rPr>
        <w:t>In de bijlage bij deze beantwoording vindt u een uitgebreide tabel met rekenvoorbeelden</w:t>
      </w:r>
      <w:r w:rsidRPr="00E01B89">
        <w:rPr>
          <w:rFonts w:ascii="Verdana" w:hAnsi="Verdana" w:eastAsia="DejaVuSerifCondensed" w:cs="DejaVuSerifCondensed"/>
          <w:kern w:val="0"/>
          <w:sz w:val="18"/>
          <w:szCs w:val="18"/>
        </w:rPr>
        <w:t xml:space="preserve">. </w:t>
      </w:r>
      <w:r w:rsidRPr="00E01B89" w:rsidR="00131021">
        <w:rPr>
          <w:rFonts w:ascii="Verdana" w:hAnsi="Verdana"/>
          <w:sz w:val="18"/>
          <w:szCs w:val="18"/>
        </w:rPr>
        <w:t>Deze rekenvoorbeelden zijn nadrukkelijk indicatief en kunnen niet gebruikt worden om af te leiden wat de werkelijke hoogte van de (netto) opvangkosten zijn voor een individueel huishouden.</w:t>
      </w:r>
    </w:p>
    <w:p w:rsidR="00131021" w:rsidP="00336DF3" w:rsidRDefault="00131021" w14:paraId="7EDABE00" w14:textId="77777777">
      <w:pPr>
        <w:autoSpaceDE w:val="0"/>
        <w:autoSpaceDN w:val="0"/>
        <w:adjustRightInd w:val="0"/>
        <w:spacing w:after="0" w:line="240" w:lineRule="auto"/>
        <w:rPr>
          <w:rFonts w:ascii="Verdana" w:hAnsi="Verdana"/>
          <w:color w:val="FF0000"/>
          <w:sz w:val="18"/>
          <w:szCs w:val="18"/>
        </w:rPr>
      </w:pPr>
    </w:p>
    <w:p w:rsidR="00336DF3" w:rsidP="00336DF3" w:rsidRDefault="00336DF3" w14:paraId="5CD5B0E7" w14:textId="26EB8AD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lastRenderedPageBreak/>
        <w:t xml:space="preserve">Voor deze rekenvoorbeelden ben ik uitgegaan van de geraamde uitgaven aan de kinderopvangtoeslag in de huidige SZW-begroting, met een voorlopige invulling van de </w:t>
      </w:r>
      <w:r w:rsidR="00107444">
        <w:rPr>
          <w:rFonts w:ascii="Verdana" w:hAnsi="Verdana" w:eastAsia="DejaVuSerifCondensed" w:cs="DejaVuSerifCondensed"/>
          <w:color w:val="000000"/>
          <w:kern w:val="0"/>
          <w:sz w:val="18"/>
          <w:szCs w:val="18"/>
        </w:rPr>
        <w:t>kinderopvangtoeslag-</w:t>
      </w:r>
      <w:r>
        <w:rPr>
          <w:rFonts w:ascii="Verdana" w:hAnsi="Verdana" w:eastAsia="DejaVuSerifCondensed" w:cs="DejaVuSerifCondensed"/>
          <w:color w:val="000000"/>
          <w:kern w:val="0"/>
          <w:sz w:val="18"/>
          <w:szCs w:val="18"/>
        </w:rPr>
        <w:t>vergoedingspercentages in 2026</w:t>
      </w:r>
      <w:r w:rsidR="004D3D19">
        <w:rPr>
          <w:rFonts w:ascii="Verdana" w:hAnsi="Verdana" w:eastAsia="DejaVuSerifCondensed" w:cs="DejaVuSerifCondensed"/>
          <w:color w:val="000000"/>
          <w:kern w:val="0"/>
          <w:sz w:val="18"/>
          <w:szCs w:val="18"/>
        </w:rPr>
        <w:t xml:space="preserve"> en invoering van de nieuwe financiering per 2027</w:t>
      </w:r>
      <w:r>
        <w:rPr>
          <w:rFonts w:ascii="Verdana" w:hAnsi="Verdana" w:eastAsia="DejaVuSerifCondensed" w:cs="DejaVuSerifCondensed"/>
          <w:color w:val="000000"/>
          <w:kern w:val="0"/>
          <w:sz w:val="18"/>
          <w:szCs w:val="18"/>
        </w:rPr>
        <w:t xml:space="preserve">. Deze </w:t>
      </w:r>
      <w:r w:rsidR="008B167D">
        <w:rPr>
          <w:rFonts w:ascii="Verdana" w:hAnsi="Verdana" w:eastAsia="DejaVuSerifCondensed" w:cs="DejaVuSerifCondensed"/>
          <w:color w:val="000000"/>
          <w:kern w:val="0"/>
          <w:sz w:val="18"/>
          <w:szCs w:val="18"/>
        </w:rPr>
        <w:t>percentages</w:t>
      </w:r>
      <w:r>
        <w:rPr>
          <w:rFonts w:ascii="Verdana" w:hAnsi="Verdana" w:eastAsia="DejaVuSerifCondensed" w:cs="DejaVuSerifCondensed"/>
          <w:color w:val="000000"/>
          <w:kern w:val="0"/>
          <w:sz w:val="18"/>
          <w:szCs w:val="18"/>
        </w:rPr>
        <w:t xml:space="preserve"> kunnen nog veranderen. Ik ben voornemens het ontwerpbesluit met daarin de vergoedingspercentages voor 2026 nog voor de zomer aan uw Kamer te zenden voor de voorhangprocedure. </w:t>
      </w:r>
    </w:p>
    <w:p w:rsidR="00336DF3" w:rsidP="00336DF3" w:rsidRDefault="00336DF3" w14:paraId="7E8729E0"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FE3E42" w:rsidP="00336DF3" w:rsidRDefault="00336DF3" w14:paraId="04900E7C" w14:textId="060CDFF4">
      <w:pPr>
        <w:autoSpaceDE w:val="0"/>
        <w:autoSpaceDN w:val="0"/>
        <w:adjustRightInd w:val="0"/>
        <w:spacing w:after="0" w:line="240" w:lineRule="auto"/>
        <w:rPr>
          <w:rFonts w:ascii="Verdana" w:hAnsi="Verdana"/>
          <w:sz w:val="18"/>
          <w:szCs w:val="18"/>
        </w:rPr>
      </w:pPr>
      <w:r w:rsidRPr="000666F8">
        <w:rPr>
          <w:rFonts w:ascii="Verdana" w:hAnsi="Verdana"/>
          <w:sz w:val="18"/>
          <w:szCs w:val="18"/>
        </w:rPr>
        <w:t xml:space="preserve">Deze rekenvoorbeelden zijn gebaseerd op een voorbeeldsituatie met twee kinderen die beiden twee dagen per week naar de dagopvang gaan voor een (voor 2025) verwacht </w:t>
      </w:r>
      <w:r w:rsidR="00AE120F">
        <w:rPr>
          <w:rFonts w:ascii="Verdana" w:hAnsi="Verdana"/>
          <w:sz w:val="18"/>
          <w:szCs w:val="18"/>
        </w:rPr>
        <w:t>doorsnee</w:t>
      </w:r>
      <w:r w:rsidRPr="000666F8" w:rsidR="00AE120F">
        <w:rPr>
          <w:rFonts w:ascii="Verdana" w:hAnsi="Verdana"/>
          <w:sz w:val="18"/>
          <w:szCs w:val="18"/>
        </w:rPr>
        <w:t xml:space="preserve"> </w:t>
      </w:r>
      <w:r w:rsidRPr="000666F8">
        <w:rPr>
          <w:rFonts w:ascii="Verdana" w:hAnsi="Verdana"/>
          <w:sz w:val="18"/>
          <w:szCs w:val="18"/>
        </w:rPr>
        <w:t xml:space="preserve">tarief van </w:t>
      </w:r>
    </w:p>
    <w:p w:rsidRPr="000666F8" w:rsidR="00336DF3" w:rsidP="00336DF3" w:rsidRDefault="00336DF3" w14:paraId="27C2EC25" w14:textId="6A41005F">
      <w:pPr>
        <w:autoSpaceDE w:val="0"/>
        <w:autoSpaceDN w:val="0"/>
        <w:adjustRightInd w:val="0"/>
        <w:spacing w:after="0" w:line="240" w:lineRule="auto"/>
        <w:rPr>
          <w:rFonts w:ascii="Verdana" w:hAnsi="Verdana"/>
          <w:sz w:val="18"/>
          <w:szCs w:val="18"/>
        </w:rPr>
      </w:pPr>
      <w:r w:rsidRPr="000666F8">
        <w:rPr>
          <w:rFonts w:ascii="Verdana" w:hAnsi="Verdana"/>
          <w:sz w:val="18"/>
          <w:szCs w:val="18"/>
        </w:rPr>
        <w:t>€ 10,</w:t>
      </w:r>
      <w:r w:rsidR="00AE120F">
        <w:rPr>
          <w:rFonts w:ascii="Verdana" w:hAnsi="Verdana"/>
          <w:sz w:val="18"/>
          <w:szCs w:val="18"/>
        </w:rPr>
        <w:t xml:space="preserve">97 </w:t>
      </w:r>
      <w:r w:rsidR="00717F0C">
        <w:rPr>
          <w:rFonts w:ascii="Verdana" w:hAnsi="Verdana"/>
          <w:sz w:val="18"/>
          <w:szCs w:val="18"/>
        </w:rPr>
        <w:t>(dit tarief ligt</w:t>
      </w:r>
      <w:r w:rsidR="00E03A39">
        <w:rPr>
          <w:rFonts w:ascii="Verdana" w:hAnsi="Verdana"/>
          <w:sz w:val="18"/>
          <w:szCs w:val="18"/>
        </w:rPr>
        <w:t xml:space="preserve"> naar verwachting</w:t>
      </w:r>
      <w:r w:rsidR="00717F0C">
        <w:rPr>
          <w:rFonts w:ascii="Verdana" w:hAnsi="Verdana"/>
          <w:sz w:val="18"/>
          <w:szCs w:val="18"/>
        </w:rPr>
        <w:t xml:space="preserve"> boven de MUP in 2026)</w:t>
      </w:r>
      <w:r w:rsidRPr="000666F8">
        <w:rPr>
          <w:rStyle w:val="Voetnootmarkering"/>
          <w:rFonts w:ascii="Verdana" w:hAnsi="Verdana"/>
          <w:sz w:val="18"/>
          <w:szCs w:val="18"/>
        </w:rPr>
        <w:footnoteReference w:id="3"/>
      </w:r>
      <w:r w:rsidRPr="000666F8">
        <w:rPr>
          <w:rFonts w:ascii="Verdana" w:hAnsi="Verdana"/>
          <w:sz w:val="18"/>
          <w:szCs w:val="18"/>
        </w:rPr>
        <w:t>.</w:t>
      </w:r>
      <w:r w:rsidR="00717F0C">
        <w:rPr>
          <w:rFonts w:ascii="Verdana" w:hAnsi="Verdana"/>
          <w:sz w:val="18"/>
          <w:szCs w:val="18"/>
        </w:rPr>
        <w:t xml:space="preserve"> </w:t>
      </w:r>
      <w:r w:rsidRPr="000666F8">
        <w:rPr>
          <w:rFonts w:ascii="Verdana" w:hAnsi="Verdana"/>
          <w:sz w:val="18"/>
          <w:szCs w:val="18"/>
        </w:rPr>
        <w:t xml:space="preserve">Het enige waar de voorbeelden </w:t>
      </w:r>
      <w:r>
        <w:rPr>
          <w:rFonts w:ascii="Verdana" w:hAnsi="Verdana"/>
          <w:sz w:val="18"/>
          <w:szCs w:val="18"/>
        </w:rPr>
        <w:t>in</w:t>
      </w:r>
      <w:r w:rsidRPr="000666F8">
        <w:rPr>
          <w:rFonts w:ascii="Verdana" w:hAnsi="Verdana"/>
          <w:sz w:val="18"/>
          <w:szCs w:val="18"/>
        </w:rPr>
        <w:t xml:space="preserve"> verschillen is de hoogte van het toetsingsinkomen. De in de tabellen genoemde bedragen zijn in lopende prijzen. Dat betekent dat de opvangkosten, de hoogte van de vergoeding voor opvang en de hoogte van de eigen bijdrage </w:t>
      </w:r>
      <w:r w:rsidR="000E22AC">
        <w:rPr>
          <w:rFonts w:ascii="Verdana" w:hAnsi="Verdana"/>
          <w:sz w:val="18"/>
          <w:szCs w:val="18"/>
        </w:rPr>
        <w:t xml:space="preserve">zijn gebaseerd op het (verwachte) prijsniveau in het betreffende jaar. Hiervoor is uitgegaan van de </w:t>
      </w:r>
      <w:r w:rsidR="00370DE2">
        <w:rPr>
          <w:rFonts w:ascii="Verdana" w:hAnsi="Verdana"/>
          <w:sz w:val="18"/>
          <w:szCs w:val="18"/>
        </w:rPr>
        <w:t xml:space="preserve">CPB-raming van de </w:t>
      </w:r>
      <w:r w:rsidRPr="000666F8">
        <w:rPr>
          <w:rFonts w:ascii="Verdana" w:hAnsi="Verdana"/>
          <w:sz w:val="18"/>
          <w:szCs w:val="18"/>
        </w:rPr>
        <w:t>loon- en prijsontwikkeling</w:t>
      </w:r>
      <w:r w:rsidR="000E22AC">
        <w:rPr>
          <w:rStyle w:val="Voetnootmarkering"/>
          <w:rFonts w:ascii="Verdana" w:hAnsi="Verdana"/>
          <w:sz w:val="18"/>
          <w:szCs w:val="18"/>
        </w:rPr>
        <w:footnoteReference w:id="4"/>
      </w:r>
      <w:r w:rsidRPr="000666F8">
        <w:rPr>
          <w:rFonts w:ascii="Verdana" w:hAnsi="Verdana"/>
          <w:sz w:val="18"/>
          <w:szCs w:val="18"/>
        </w:rPr>
        <w:t xml:space="preserve">. De tabellen tonen ook de eigen bijdrage </w:t>
      </w:r>
      <w:r w:rsidR="008D32EE">
        <w:rPr>
          <w:rFonts w:ascii="Verdana" w:hAnsi="Verdana"/>
          <w:sz w:val="18"/>
          <w:szCs w:val="18"/>
        </w:rPr>
        <w:t xml:space="preserve">en de overheidsbijdrage </w:t>
      </w:r>
      <w:r w:rsidRPr="000666F8">
        <w:rPr>
          <w:rFonts w:ascii="Verdana" w:hAnsi="Verdana"/>
          <w:sz w:val="18"/>
          <w:szCs w:val="18"/>
        </w:rPr>
        <w:t xml:space="preserve">als percentage van de totale opvangkosten. </w:t>
      </w:r>
      <w:r w:rsidR="008D32EE">
        <w:rPr>
          <w:rFonts w:ascii="Verdana" w:hAnsi="Verdana"/>
          <w:sz w:val="18"/>
          <w:szCs w:val="18"/>
        </w:rPr>
        <w:t>Deze percentages corrigeren</w:t>
      </w:r>
      <w:r w:rsidRPr="000666F8">
        <w:rPr>
          <w:rFonts w:ascii="Verdana" w:hAnsi="Verdana"/>
          <w:sz w:val="18"/>
          <w:szCs w:val="18"/>
        </w:rPr>
        <w:t xml:space="preserve"> automatisch voor deze loon- en prijsontwikkelingen. Voor een analyse van de verandering in de eigen bijdrage tussen twee jaren moet daarom gekeken worden naar deze percentages.</w:t>
      </w:r>
      <w:r w:rsidR="00717F0C">
        <w:rPr>
          <w:rFonts w:ascii="Verdana" w:hAnsi="Verdana"/>
          <w:sz w:val="18"/>
          <w:szCs w:val="18"/>
        </w:rPr>
        <w:t xml:space="preserve"> De percentages</w:t>
      </w:r>
      <w:r w:rsidR="005211A2">
        <w:rPr>
          <w:rFonts w:ascii="Verdana" w:hAnsi="Verdana"/>
          <w:sz w:val="18"/>
          <w:szCs w:val="18"/>
        </w:rPr>
        <w:t xml:space="preserve"> ouderbijdrage </w:t>
      </w:r>
      <w:r w:rsidR="00717F0C">
        <w:rPr>
          <w:rFonts w:ascii="Verdana" w:hAnsi="Verdana"/>
          <w:sz w:val="18"/>
          <w:szCs w:val="18"/>
        </w:rPr>
        <w:t xml:space="preserve">wijken af van de vergoedingspercentages in de KOT-tabel </w:t>
      </w:r>
      <w:r w:rsidR="00940553">
        <w:rPr>
          <w:rFonts w:ascii="Verdana" w:hAnsi="Verdana"/>
          <w:sz w:val="18"/>
          <w:szCs w:val="18"/>
        </w:rPr>
        <w:t>omdat</w:t>
      </w:r>
      <w:r w:rsidR="00717F0C">
        <w:rPr>
          <w:rFonts w:ascii="Verdana" w:hAnsi="Verdana"/>
          <w:sz w:val="18"/>
          <w:szCs w:val="18"/>
        </w:rPr>
        <w:t xml:space="preserve"> in de rekenvoorbeelden is uitgegaan van een huishouden met twee kinderen en een </w:t>
      </w:r>
      <w:r w:rsidR="00AE120F">
        <w:rPr>
          <w:rFonts w:ascii="Verdana" w:hAnsi="Verdana"/>
          <w:sz w:val="18"/>
          <w:szCs w:val="18"/>
        </w:rPr>
        <w:t xml:space="preserve">doorsnee </w:t>
      </w:r>
      <w:r w:rsidR="00717F0C">
        <w:rPr>
          <w:rFonts w:ascii="Verdana" w:hAnsi="Verdana"/>
          <w:sz w:val="18"/>
          <w:szCs w:val="18"/>
        </w:rPr>
        <w:t>tarief dat boven de MUP ligt.</w:t>
      </w:r>
      <w:r w:rsidR="005211A2">
        <w:rPr>
          <w:rFonts w:ascii="Verdana" w:hAnsi="Verdana"/>
          <w:sz w:val="18"/>
          <w:szCs w:val="18"/>
        </w:rPr>
        <w:t xml:space="preserve"> Het vergoedingspercentage voor het tweede kind ligt meestal hoger dan voor het eerste kind.</w:t>
      </w:r>
    </w:p>
    <w:p w:rsidR="00336DF3" w:rsidP="00405E76" w:rsidRDefault="00336DF3" w14:paraId="55686B44" w14:textId="7BEA0E3F">
      <w:pPr>
        <w:autoSpaceDE w:val="0"/>
        <w:autoSpaceDN w:val="0"/>
        <w:adjustRightInd w:val="0"/>
        <w:spacing w:after="0" w:line="240" w:lineRule="auto"/>
        <w:rPr>
          <w:rFonts w:ascii="Verdana" w:hAnsi="Verdana" w:eastAsia="DejaVuSerifCondensed" w:cs="DejaVuSerifCondensed"/>
          <w:color w:val="000000"/>
          <w:kern w:val="0"/>
          <w:sz w:val="18"/>
          <w:szCs w:val="18"/>
        </w:rPr>
      </w:pPr>
    </w:p>
    <w:p w:rsidR="00E55D8C" w:rsidP="00405E76" w:rsidRDefault="00131021" w14:paraId="150912EA" w14:textId="6DCF42BD">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De rekenvoorbeelden laten zien dat</w:t>
      </w:r>
      <w:r w:rsidR="009F0232">
        <w:rPr>
          <w:rFonts w:ascii="Verdana" w:hAnsi="Verdana" w:eastAsia="DejaVuSerifCondensed" w:cs="DejaVuSerifCondensed"/>
          <w:color w:val="000000"/>
          <w:kern w:val="0"/>
          <w:sz w:val="18"/>
          <w:szCs w:val="18"/>
        </w:rPr>
        <w:t xml:space="preserve"> voor alle vier de voorbeeldhuishoudens</w:t>
      </w:r>
      <w:r>
        <w:rPr>
          <w:rFonts w:ascii="Verdana" w:hAnsi="Verdana" w:eastAsia="DejaVuSerifCondensed" w:cs="DejaVuSerifCondensed"/>
          <w:color w:val="000000"/>
          <w:kern w:val="0"/>
          <w:sz w:val="18"/>
          <w:szCs w:val="18"/>
        </w:rPr>
        <w:t xml:space="preserve"> </w:t>
      </w:r>
      <w:r w:rsidR="009F0232">
        <w:rPr>
          <w:rFonts w:ascii="Verdana" w:hAnsi="Verdana" w:eastAsia="DejaVuSerifCondensed" w:cs="DejaVuSerifCondensed"/>
          <w:color w:val="000000"/>
          <w:kern w:val="0"/>
          <w:sz w:val="18"/>
          <w:szCs w:val="18"/>
        </w:rPr>
        <w:t xml:space="preserve">het percentage </w:t>
      </w:r>
      <w:r w:rsidR="00692BC4">
        <w:rPr>
          <w:rFonts w:ascii="Verdana" w:hAnsi="Verdana" w:eastAsia="DejaVuSerifCondensed" w:cs="DejaVuSerifCondensed"/>
          <w:color w:val="000000"/>
          <w:kern w:val="0"/>
          <w:sz w:val="18"/>
          <w:szCs w:val="18"/>
        </w:rPr>
        <w:t>eigen bijdrage in 2024 is gedaald ten opzichte van 2023. Dit komt door het verhogen van de maximum uurprijzen</w:t>
      </w:r>
      <w:r w:rsidR="00DB2A3F">
        <w:rPr>
          <w:rFonts w:ascii="Verdana" w:hAnsi="Verdana" w:eastAsia="DejaVuSerifCondensed" w:cs="DejaVuSerifCondensed"/>
          <w:color w:val="000000"/>
          <w:kern w:val="0"/>
          <w:sz w:val="18"/>
          <w:szCs w:val="18"/>
        </w:rPr>
        <w:t xml:space="preserve"> (MUP)</w:t>
      </w:r>
      <w:r w:rsidR="00692BC4">
        <w:rPr>
          <w:rFonts w:ascii="Verdana" w:hAnsi="Verdana" w:eastAsia="DejaVuSerifCondensed" w:cs="DejaVuSerifCondensed"/>
          <w:color w:val="000000"/>
          <w:kern w:val="0"/>
          <w:sz w:val="18"/>
          <w:szCs w:val="18"/>
        </w:rPr>
        <w:t xml:space="preserve"> voor in totaal circa € </w:t>
      </w:r>
      <w:r w:rsidR="009636B2">
        <w:rPr>
          <w:rFonts w:ascii="Verdana" w:hAnsi="Verdana" w:eastAsia="DejaVuSerifCondensed" w:cs="DejaVuSerifCondensed"/>
          <w:color w:val="000000"/>
          <w:kern w:val="0"/>
          <w:sz w:val="18"/>
          <w:szCs w:val="18"/>
        </w:rPr>
        <w:t>508</w:t>
      </w:r>
      <w:r w:rsidR="00692BC4">
        <w:rPr>
          <w:rFonts w:ascii="Verdana" w:hAnsi="Verdana" w:eastAsia="DejaVuSerifCondensed" w:cs="DejaVuSerifCondensed"/>
          <w:color w:val="000000"/>
          <w:kern w:val="0"/>
          <w:sz w:val="18"/>
          <w:szCs w:val="18"/>
        </w:rPr>
        <w:t xml:space="preserve"> miljoen</w:t>
      </w:r>
      <w:r w:rsidR="00512061">
        <w:rPr>
          <w:rFonts w:ascii="Verdana" w:hAnsi="Verdana" w:eastAsia="DejaVuSerifCondensed" w:cs="DejaVuSerifCondensed"/>
          <w:color w:val="000000"/>
          <w:kern w:val="0"/>
          <w:sz w:val="18"/>
          <w:szCs w:val="18"/>
        </w:rPr>
        <w:t xml:space="preserve"> in 2024</w:t>
      </w:r>
      <w:r w:rsidR="00692BC4">
        <w:rPr>
          <w:rStyle w:val="Voetnootmarkering"/>
          <w:rFonts w:ascii="Verdana" w:hAnsi="Verdana" w:eastAsia="DejaVuSerifCondensed" w:cs="DejaVuSerifCondensed"/>
          <w:color w:val="000000"/>
          <w:kern w:val="0"/>
          <w:sz w:val="18"/>
          <w:szCs w:val="18"/>
        </w:rPr>
        <w:footnoteReference w:id="5"/>
      </w:r>
      <w:r w:rsidR="00692BC4">
        <w:rPr>
          <w:rFonts w:ascii="Verdana" w:hAnsi="Verdana" w:eastAsia="DejaVuSerifCondensed" w:cs="DejaVuSerifCondensed"/>
          <w:color w:val="000000"/>
          <w:kern w:val="0"/>
          <w:sz w:val="18"/>
          <w:szCs w:val="18"/>
        </w:rPr>
        <w:t>.</w:t>
      </w:r>
    </w:p>
    <w:p w:rsidR="00E55D8C" w:rsidP="00405E76" w:rsidRDefault="00E55D8C" w14:paraId="187DEBBC"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E55D8C" w:rsidP="00405E76" w:rsidRDefault="009F0232" w14:paraId="13F8A64D" w14:textId="710A213C">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In 2025 is het percentage eigen bijdrage verder gedaald voor de</w:t>
      </w:r>
      <w:r w:rsidR="005C4721">
        <w:rPr>
          <w:rFonts w:ascii="Verdana" w:hAnsi="Verdana" w:eastAsia="DejaVuSerifCondensed" w:cs="DejaVuSerifCondensed"/>
          <w:color w:val="000000"/>
          <w:kern w:val="0"/>
          <w:sz w:val="18"/>
          <w:szCs w:val="18"/>
        </w:rPr>
        <w:t xml:space="preserve"> voorbeeldhuishoudens</w:t>
      </w:r>
      <w:r>
        <w:rPr>
          <w:rFonts w:ascii="Verdana" w:hAnsi="Verdana" w:eastAsia="DejaVuSerifCondensed" w:cs="DejaVuSerifCondensed"/>
          <w:color w:val="000000"/>
          <w:kern w:val="0"/>
          <w:sz w:val="18"/>
          <w:szCs w:val="18"/>
        </w:rPr>
        <w:t xml:space="preserve"> met </w:t>
      </w:r>
      <w:r w:rsidR="005C4721">
        <w:rPr>
          <w:rFonts w:ascii="Verdana" w:hAnsi="Verdana" w:eastAsia="DejaVuSerifCondensed" w:cs="DejaVuSerifCondensed"/>
          <w:color w:val="000000"/>
          <w:kern w:val="0"/>
          <w:sz w:val="18"/>
          <w:szCs w:val="18"/>
        </w:rPr>
        <w:t>een modaal, dubbelmodaal en hoger</w:t>
      </w:r>
      <w:r w:rsidR="009F65E2">
        <w:rPr>
          <w:rFonts w:ascii="Verdana" w:hAnsi="Verdana" w:eastAsia="DejaVuSerifCondensed" w:cs="DejaVuSerifCondensed"/>
          <w:color w:val="000000"/>
          <w:kern w:val="0"/>
          <w:sz w:val="18"/>
          <w:szCs w:val="18"/>
        </w:rPr>
        <w:t xml:space="preserve"> inkomen</w:t>
      </w:r>
      <w:r>
        <w:rPr>
          <w:rFonts w:ascii="Verdana" w:hAnsi="Verdana" w:eastAsia="DejaVuSerifCondensed" w:cs="DejaVuSerifCondensed"/>
          <w:color w:val="000000"/>
          <w:kern w:val="0"/>
          <w:sz w:val="18"/>
          <w:szCs w:val="18"/>
        </w:rPr>
        <w:t>. Dit komt door de eerste stap op het ingroeipad</w:t>
      </w:r>
      <w:r w:rsidR="00205E39">
        <w:rPr>
          <w:rStyle w:val="Voetnootmarkering"/>
          <w:rFonts w:ascii="Verdana" w:hAnsi="Verdana" w:eastAsia="DejaVuSerifCondensed" w:cs="DejaVuSerifCondensed"/>
          <w:color w:val="000000"/>
          <w:kern w:val="0"/>
          <w:sz w:val="18"/>
          <w:szCs w:val="18"/>
        </w:rPr>
        <w:footnoteReference w:id="6"/>
      </w:r>
      <w:r>
        <w:rPr>
          <w:rFonts w:ascii="Verdana" w:hAnsi="Verdana" w:eastAsia="DejaVuSerifCondensed" w:cs="DejaVuSerifCondensed"/>
          <w:color w:val="000000"/>
          <w:kern w:val="0"/>
          <w:sz w:val="18"/>
          <w:szCs w:val="18"/>
        </w:rPr>
        <w:t xml:space="preserve"> richting de hoge, inkomensonafhankelijke vergoeding in het nieuwe financieringsstelsel.</w:t>
      </w:r>
    </w:p>
    <w:p w:rsidR="00E55D8C" w:rsidP="00405E76" w:rsidRDefault="00E55D8C" w14:paraId="5F64B288"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27103F" w:rsidRDefault="005C4721" w14:paraId="4EC27A6E" w14:textId="4A53B30A">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In 2026 neemt</w:t>
      </w:r>
      <w:r w:rsidRPr="0070093C" w:rsidR="0070093C">
        <w:t xml:space="preserve"> </w:t>
      </w:r>
      <w:r w:rsidR="00E55D8C">
        <w:t>v</w:t>
      </w:r>
      <w:r w:rsidRPr="0070093C" w:rsidR="00E55D8C">
        <w:rPr>
          <w:rFonts w:ascii="Verdana" w:hAnsi="Verdana" w:eastAsia="DejaVuSerifCondensed" w:cs="DejaVuSerifCondensed"/>
          <w:color w:val="000000"/>
          <w:kern w:val="0"/>
          <w:sz w:val="18"/>
          <w:szCs w:val="18"/>
        </w:rPr>
        <w:t>oor de eerste twee voorbeeldhuishoudens (laag inkomen en modaal inkomen)</w:t>
      </w:r>
      <w:r w:rsidR="00E55D8C">
        <w:rPr>
          <w:rFonts w:ascii="Verdana" w:hAnsi="Verdana" w:eastAsia="DejaVuSerifCondensed" w:cs="DejaVuSerifCondensed"/>
          <w:color w:val="000000"/>
          <w:kern w:val="0"/>
          <w:sz w:val="18"/>
          <w:szCs w:val="18"/>
        </w:rPr>
        <w:t xml:space="preserve"> </w:t>
      </w:r>
      <w:r w:rsidRPr="0070093C" w:rsidR="0070093C">
        <w:rPr>
          <w:rFonts w:ascii="Verdana" w:hAnsi="Verdana" w:eastAsia="DejaVuSerifCondensed" w:cs="DejaVuSerifCondensed"/>
          <w:color w:val="000000"/>
          <w:kern w:val="0"/>
          <w:sz w:val="18"/>
          <w:szCs w:val="18"/>
        </w:rPr>
        <w:t xml:space="preserve">het percentage eigen bijdrage </w:t>
      </w:r>
      <w:r w:rsidR="00E55D8C">
        <w:rPr>
          <w:rFonts w:ascii="Verdana" w:hAnsi="Verdana" w:eastAsia="DejaVuSerifCondensed" w:cs="DejaVuSerifCondensed"/>
          <w:color w:val="000000"/>
          <w:kern w:val="0"/>
          <w:sz w:val="18"/>
          <w:szCs w:val="18"/>
        </w:rPr>
        <w:t xml:space="preserve">naar verwachting </w:t>
      </w:r>
      <w:r w:rsidRPr="0070093C" w:rsidR="0070093C">
        <w:rPr>
          <w:rFonts w:ascii="Verdana" w:hAnsi="Verdana" w:eastAsia="DejaVuSerifCondensed" w:cs="DejaVuSerifCondensed"/>
          <w:color w:val="000000"/>
          <w:kern w:val="0"/>
          <w:sz w:val="18"/>
          <w:szCs w:val="18"/>
        </w:rPr>
        <w:t xml:space="preserve">toe met </w:t>
      </w:r>
      <w:r w:rsidRPr="00B36B24" w:rsidR="0070093C">
        <w:rPr>
          <w:rFonts w:ascii="Verdana" w:hAnsi="Verdana" w:eastAsia="DejaVuSerifCondensed" w:cs="DejaVuSerifCondensed"/>
          <w:color w:val="000000"/>
          <w:kern w:val="0"/>
          <w:sz w:val="18"/>
          <w:szCs w:val="18"/>
        </w:rPr>
        <w:t xml:space="preserve">circa </w:t>
      </w:r>
      <w:r w:rsidRPr="00DB2A3F" w:rsidR="0070093C">
        <w:rPr>
          <w:rFonts w:ascii="Verdana" w:hAnsi="Verdana" w:eastAsia="DejaVuSerifCondensed" w:cs="DejaVuSerifCondensed"/>
          <w:color w:val="000000"/>
          <w:kern w:val="0"/>
          <w:sz w:val="18"/>
          <w:szCs w:val="18"/>
        </w:rPr>
        <w:t>3,4</w:t>
      </w:r>
      <w:r w:rsidRPr="00B36B24" w:rsidR="0070093C">
        <w:rPr>
          <w:rFonts w:ascii="Verdana" w:hAnsi="Verdana" w:eastAsia="DejaVuSerifCondensed" w:cs="DejaVuSerifCondensed"/>
          <w:color w:val="000000"/>
          <w:kern w:val="0"/>
          <w:sz w:val="18"/>
          <w:szCs w:val="18"/>
        </w:rPr>
        <w:t xml:space="preserve">%-punt. Dit komt door het niet-indexeren van de </w:t>
      </w:r>
      <w:r w:rsidR="00DB2A3F">
        <w:rPr>
          <w:rFonts w:ascii="Verdana" w:hAnsi="Verdana" w:eastAsia="DejaVuSerifCondensed" w:cs="DejaVuSerifCondensed"/>
          <w:color w:val="000000"/>
          <w:kern w:val="0"/>
          <w:sz w:val="18"/>
          <w:szCs w:val="18"/>
        </w:rPr>
        <w:t>MUP</w:t>
      </w:r>
      <w:r w:rsidRPr="00B36B24" w:rsidR="0070093C">
        <w:rPr>
          <w:rFonts w:ascii="Verdana" w:hAnsi="Verdana" w:eastAsia="DejaVuSerifCondensed" w:cs="DejaVuSerifCondensed"/>
          <w:color w:val="000000"/>
          <w:kern w:val="0"/>
          <w:sz w:val="18"/>
          <w:szCs w:val="18"/>
        </w:rPr>
        <w:t xml:space="preserve">. Voor het voorbeeldhuishouden met een dubbelmodaal inkomen gaat de eigen bijdrage omlaag met circa </w:t>
      </w:r>
      <w:r w:rsidRPr="00DB2A3F" w:rsidR="0070093C">
        <w:rPr>
          <w:rFonts w:ascii="Verdana" w:hAnsi="Verdana" w:eastAsia="DejaVuSerifCondensed" w:cs="DejaVuSerifCondensed"/>
          <w:color w:val="000000"/>
          <w:kern w:val="0"/>
          <w:sz w:val="18"/>
          <w:szCs w:val="18"/>
        </w:rPr>
        <w:t>1,7</w:t>
      </w:r>
      <w:r w:rsidRPr="00B36B24" w:rsidR="0070093C">
        <w:rPr>
          <w:rFonts w:ascii="Verdana" w:hAnsi="Verdana" w:eastAsia="DejaVuSerifCondensed" w:cs="DejaVuSerifCondensed"/>
          <w:color w:val="000000"/>
          <w:kern w:val="0"/>
          <w:sz w:val="18"/>
          <w:szCs w:val="18"/>
        </w:rPr>
        <w:t xml:space="preserve">%-punt. Voor het voorbeeldhuishouden met een hoog inkomen daalt de eigen bijdrage met </w:t>
      </w:r>
      <w:r w:rsidRPr="00DB2A3F" w:rsidR="0070093C">
        <w:rPr>
          <w:rFonts w:ascii="Verdana" w:hAnsi="Verdana" w:eastAsia="DejaVuSerifCondensed" w:cs="DejaVuSerifCondensed"/>
          <w:color w:val="000000"/>
          <w:kern w:val="0"/>
          <w:sz w:val="18"/>
          <w:szCs w:val="18"/>
        </w:rPr>
        <w:t>2,4</w:t>
      </w:r>
      <w:r w:rsidRPr="00B36B24" w:rsidR="0070093C">
        <w:rPr>
          <w:rFonts w:ascii="Verdana" w:hAnsi="Verdana" w:eastAsia="DejaVuSerifCondensed" w:cs="DejaVuSerifCondensed"/>
          <w:color w:val="000000"/>
          <w:kern w:val="0"/>
          <w:sz w:val="18"/>
          <w:szCs w:val="18"/>
        </w:rPr>
        <w:t>%-punt</w:t>
      </w:r>
      <w:r w:rsidRPr="0070093C" w:rsidR="0070093C">
        <w:rPr>
          <w:rFonts w:ascii="Verdana" w:hAnsi="Verdana" w:eastAsia="DejaVuSerifCondensed" w:cs="DejaVuSerifCondensed"/>
          <w:color w:val="000000"/>
          <w:kern w:val="0"/>
          <w:sz w:val="18"/>
          <w:szCs w:val="18"/>
        </w:rPr>
        <w:t>. Hoewel de eigen bijdragen van deze laatste twee voorbeeldhuishoudens in eerste instantie ook stijgen door het niet-indexeren, wordt deze stijging meer dan gecompenseerd door de verhoging van de vergoedingspercentages</w:t>
      </w:r>
      <w:r w:rsidR="00B95D46">
        <w:rPr>
          <w:rFonts w:ascii="Verdana" w:hAnsi="Verdana" w:eastAsia="DejaVuSerifCondensed" w:cs="DejaVuSerifCondensed"/>
          <w:color w:val="000000"/>
          <w:kern w:val="0"/>
          <w:sz w:val="18"/>
          <w:szCs w:val="18"/>
        </w:rPr>
        <w:t xml:space="preserve"> per 2026</w:t>
      </w:r>
      <w:r w:rsidRPr="0070093C" w:rsidR="0070093C">
        <w:rPr>
          <w:rFonts w:ascii="Verdana" w:hAnsi="Verdana" w:eastAsia="DejaVuSerifCondensed" w:cs="DejaVuSerifCondensed"/>
          <w:color w:val="000000"/>
          <w:kern w:val="0"/>
          <w:sz w:val="18"/>
          <w:szCs w:val="18"/>
        </w:rPr>
        <w:t xml:space="preserve">. </w:t>
      </w:r>
    </w:p>
    <w:p w:rsidR="0027103F" w:rsidRDefault="0027103F" w14:paraId="666D7514"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27103F" w:rsidRDefault="0027103F" w14:paraId="43220907" w14:textId="06B5DDE2">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Bij het interpreteren van dergelijke rekenvoorbeelden is het belangrijk om </w:t>
      </w:r>
      <w:r w:rsidR="00E5752D">
        <w:rPr>
          <w:rFonts w:ascii="Verdana" w:hAnsi="Verdana" w:eastAsia="DejaVuSerifCondensed" w:cs="DejaVuSerifCondensed"/>
          <w:color w:val="000000"/>
          <w:kern w:val="0"/>
          <w:sz w:val="18"/>
          <w:szCs w:val="18"/>
        </w:rPr>
        <w:t>inzicht</w:t>
      </w:r>
      <w:r>
        <w:rPr>
          <w:rFonts w:ascii="Verdana" w:hAnsi="Verdana" w:eastAsia="DejaVuSerifCondensed" w:cs="DejaVuSerifCondensed"/>
          <w:color w:val="000000"/>
          <w:kern w:val="0"/>
          <w:sz w:val="18"/>
          <w:szCs w:val="18"/>
        </w:rPr>
        <w:t xml:space="preserve"> te hebben </w:t>
      </w:r>
      <w:r w:rsidR="00E5752D">
        <w:rPr>
          <w:rFonts w:ascii="Verdana" w:hAnsi="Verdana" w:eastAsia="DejaVuSerifCondensed" w:cs="DejaVuSerifCondensed"/>
          <w:color w:val="000000"/>
          <w:kern w:val="0"/>
          <w:sz w:val="18"/>
          <w:szCs w:val="18"/>
        </w:rPr>
        <w:t xml:space="preserve">in </w:t>
      </w:r>
      <w:r>
        <w:rPr>
          <w:rFonts w:ascii="Verdana" w:hAnsi="Verdana" w:eastAsia="DejaVuSerifCondensed" w:cs="DejaVuSerifCondensed"/>
          <w:color w:val="000000"/>
          <w:kern w:val="0"/>
          <w:sz w:val="18"/>
          <w:szCs w:val="18"/>
        </w:rPr>
        <w:t xml:space="preserve">de werkelijke inkomensverdeling </w:t>
      </w:r>
      <w:r w:rsidR="00B62311">
        <w:rPr>
          <w:rFonts w:ascii="Verdana" w:hAnsi="Verdana" w:eastAsia="DejaVuSerifCondensed" w:cs="DejaVuSerifCondensed"/>
          <w:color w:val="000000"/>
          <w:kern w:val="0"/>
          <w:sz w:val="18"/>
          <w:szCs w:val="18"/>
        </w:rPr>
        <w:t>van huishoudens die kinderopvangtoeslag ontvangen</w:t>
      </w:r>
      <w:r>
        <w:rPr>
          <w:rFonts w:ascii="Verdana" w:hAnsi="Verdana" w:eastAsia="DejaVuSerifCondensed" w:cs="DejaVuSerifCondensed"/>
          <w:color w:val="000000"/>
          <w:kern w:val="0"/>
          <w:sz w:val="18"/>
          <w:szCs w:val="18"/>
        </w:rPr>
        <w:t>. Daarom heb ik onderstaande grafiek opgenomen</w:t>
      </w:r>
      <w:r w:rsidR="00E5752D">
        <w:rPr>
          <w:rFonts w:ascii="Verdana" w:hAnsi="Verdana" w:eastAsia="DejaVuSerifCondensed" w:cs="DejaVuSerifCondensed"/>
          <w:color w:val="000000"/>
          <w:kern w:val="0"/>
          <w:sz w:val="18"/>
          <w:szCs w:val="18"/>
        </w:rPr>
        <w:t xml:space="preserve">, die gebaseerd is op data van Dienst Toeslagen </w:t>
      </w:r>
      <w:r w:rsidR="00842A7C">
        <w:rPr>
          <w:rFonts w:ascii="Verdana" w:hAnsi="Verdana" w:eastAsia="DejaVuSerifCondensed" w:cs="DejaVuSerifCondensed"/>
          <w:color w:val="000000"/>
          <w:kern w:val="0"/>
          <w:sz w:val="18"/>
          <w:szCs w:val="18"/>
        </w:rPr>
        <w:t>van peildatum</w:t>
      </w:r>
      <w:r w:rsidR="00E5752D">
        <w:rPr>
          <w:rFonts w:ascii="Verdana" w:hAnsi="Verdana" w:eastAsia="DejaVuSerifCondensed" w:cs="DejaVuSerifCondensed"/>
          <w:color w:val="000000"/>
          <w:kern w:val="0"/>
          <w:sz w:val="18"/>
          <w:szCs w:val="18"/>
        </w:rPr>
        <w:t xml:space="preserve"> </w:t>
      </w:r>
      <w:r w:rsidR="00842A7C">
        <w:rPr>
          <w:rFonts w:ascii="Verdana" w:hAnsi="Verdana" w:eastAsia="DejaVuSerifCondensed" w:cs="DejaVuSerifCondensed"/>
          <w:color w:val="000000"/>
          <w:kern w:val="0"/>
          <w:sz w:val="18"/>
          <w:szCs w:val="18"/>
        </w:rPr>
        <w:t>31 maart 2024</w:t>
      </w:r>
      <w:r w:rsidR="00E5752D">
        <w:rPr>
          <w:rFonts w:ascii="Verdana" w:hAnsi="Verdana" w:eastAsia="DejaVuSerifCondensed" w:cs="DejaVuSerifCondensed"/>
          <w:color w:val="000000"/>
          <w:kern w:val="0"/>
          <w:sz w:val="18"/>
          <w:szCs w:val="18"/>
        </w:rPr>
        <w:t>.</w:t>
      </w:r>
      <w:r w:rsidR="00A931B8">
        <w:rPr>
          <w:rFonts w:ascii="Verdana" w:hAnsi="Verdana" w:eastAsia="DejaVuSerifCondensed" w:cs="DejaVuSerifCondensed"/>
          <w:color w:val="000000"/>
          <w:kern w:val="0"/>
          <w:sz w:val="18"/>
          <w:szCs w:val="18"/>
        </w:rPr>
        <w:t xml:space="preserve"> De grafiek maakt duidelijk dat het overgrote deel van de huishoudens met kinderopvangtoeslag een bovenmodaal </w:t>
      </w:r>
      <w:r w:rsidR="00791436">
        <w:rPr>
          <w:rFonts w:ascii="Verdana" w:hAnsi="Verdana" w:eastAsia="DejaVuSerifCondensed" w:cs="DejaVuSerifCondensed"/>
          <w:color w:val="000000"/>
          <w:kern w:val="0"/>
          <w:sz w:val="18"/>
          <w:szCs w:val="18"/>
        </w:rPr>
        <w:t>toetsings</w:t>
      </w:r>
      <w:r w:rsidR="00A931B8">
        <w:rPr>
          <w:rFonts w:ascii="Verdana" w:hAnsi="Verdana" w:eastAsia="DejaVuSerifCondensed" w:cs="DejaVuSerifCondensed"/>
          <w:color w:val="000000"/>
          <w:kern w:val="0"/>
          <w:sz w:val="18"/>
          <w:szCs w:val="18"/>
        </w:rPr>
        <w:t xml:space="preserve">inkomen </w:t>
      </w:r>
      <w:r w:rsidR="00791436">
        <w:rPr>
          <w:rFonts w:ascii="Verdana" w:hAnsi="Verdana" w:eastAsia="DejaVuSerifCondensed" w:cs="DejaVuSerifCondensed"/>
          <w:color w:val="000000"/>
          <w:kern w:val="0"/>
          <w:sz w:val="18"/>
          <w:szCs w:val="18"/>
        </w:rPr>
        <w:t>heeft</w:t>
      </w:r>
      <w:r w:rsidR="00A931B8">
        <w:rPr>
          <w:rFonts w:ascii="Verdana" w:hAnsi="Verdana" w:eastAsia="DejaVuSerifCondensed" w:cs="DejaVuSerifCondensed"/>
          <w:color w:val="000000"/>
          <w:kern w:val="0"/>
          <w:sz w:val="18"/>
          <w:szCs w:val="18"/>
        </w:rPr>
        <w:t xml:space="preserve">. </w:t>
      </w:r>
    </w:p>
    <w:p w:rsidR="0027103F" w:rsidRDefault="0027103F" w14:paraId="31E3CA59"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F14419" w:rsidP="00842A7C" w:rsidRDefault="00842A7C" w14:paraId="4CFFA971" w14:textId="7FFD08AE">
      <w:pPr>
        <w:autoSpaceDE w:val="0"/>
        <w:autoSpaceDN w:val="0"/>
        <w:adjustRightInd w:val="0"/>
        <w:spacing w:after="0" w:line="240" w:lineRule="auto"/>
        <w:jc w:val="center"/>
        <w:rPr>
          <w:rFonts w:ascii="Verdana" w:hAnsi="Verdana" w:eastAsia="DejaVuSerifCondensed" w:cs="DejaVuSerifCondensed"/>
          <w:color w:val="000000"/>
          <w:kern w:val="0"/>
          <w:sz w:val="18"/>
          <w:szCs w:val="18"/>
        </w:rPr>
      </w:pPr>
      <w:r>
        <w:rPr>
          <w:noProof/>
        </w:rPr>
        <w:lastRenderedPageBreak/>
        <w:drawing>
          <wp:inline distT="0" distB="0" distL="0" distR="0" wp14:anchorId="2942EA42" wp14:editId="457B2764">
            <wp:extent cx="4595854" cy="3062045"/>
            <wp:effectExtent l="0" t="0" r="0" b="5080"/>
            <wp:docPr id="1518991570" name="Grafiek 1">
              <a:extLst xmlns:a="http://schemas.openxmlformats.org/drawingml/2006/main">
                <a:ext uri="{FF2B5EF4-FFF2-40B4-BE49-F238E27FC236}">
                  <a16:creationId xmlns:a16="http://schemas.microsoft.com/office/drawing/2014/main" id="{72BA9A01-E987-46B8-81CE-57596BCA11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Pr="006D36F3" w:rsidR="00405E76" w:rsidP="00405E76" w:rsidRDefault="00405E76" w14:paraId="189C9B3F"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6D36F3">
        <w:rPr>
          <w:rFonts w:ascii="Verdana" w:hAnsi="Verdana" w:eastAsia="DejaVuSerifCondensed" w:cs="DejaVuSerifCondensed"/>
          <w:b/>
          <w:bCs/>
          <w:color w:val="000000"/>
          <w:kern w:val="0"/>
          <w:sz w:val="18"/>
          <w:szCs w:val="18"/>
        </w:rPr>
        <w:t>9. Vindt u dit wenselijk op deze krappe arbeidsmarkt?</w:t>
      </w:r>
    </w:p>
    <w:p w:rsidR="00405E76" w:rsidP="00405E76" w:rsidRDefault="00405E76" w14:paraId="4AFC7456"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D6069" w:rsidP="00414293" w:rsidRDefault="00BD6069" w14:paraId="7706B31E" w14:textId="43785E7E">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Zoals ik hierboven </w:t>
      </w:r>
      <w:r w:rsidR="00040986">
        <w:rPr>
          <w:rFonts w:ascii="Verdana" w:hAnsi="Verdana" w:eastAsia="DejaVuSerifCondensed" w:cs="DejaVuSerifCondensed"/>
          <w:color w:val="000000"/>
          <w:kern w:val="0"/>
          <w:sz w:val="18"/>
          <w:szCs w:val="18"/>
        </w:rPr>
        <w:t xml:space="preserve">heb aangegeven </w:t>
      </w:r>
      <w:r>
        <w:rPr>
          <w:rFonts w:ascii="Verdana" w:hAnsi="Verdana" w:eastAsia="DejaVuSerifCondensed" w:cs="DejaVuSerifCondensed"/>
          <w:color w:val="000000"/>
          <w:kern w:val="0"/>
          <w:sz w:val="18"/>
          <w:szCs w:val="18"/>
        </w:rPr>
        <w:t xml:space="preserve">is het lastig te voorspellen wat de gevolgen van de kabinetsplannen zijn voor de arbeidsparticipatie van ouders en daarmee de arbeidsmarkt. </w:t>
      </w:r>
      <w:r w:rsidR="00405E76">
        <w:rPr>
          <w:rFonts w:ascii="Verdana" w:hAnsi="Verdana" w:eastAsia="DejaVuSerifCondensed" w:cs="DejaVuSerifCondensed"/>
          <w:color w:val="000000"/>
          <w:kern w:val="0"/>
          <w:sz w:val="18"/>
          <w:szCs w:val="18"/>
        </w:rPr>
        <w:t xml:space="preserve">De verwachting is dat de meeste ouders </w:t>
      </w:r>
      <w:r>
        <w:rPr>
          <w:rFonts w:ascii="Verdana" w:hAnsi="Verdana" w:eastAsia="DejaVuSerifCondensed" w:cs="DejaVuSerifCondensed"/>
          <w:color w:val="000000"/>
          <w:kern w:val="0"/>
          <w:sz w:val="18"/>
          <w:szCs w:val="18"/>
        </w:rPr>
        <w:t xml:space="preserve">de komende jaren per saldo </w:t>
      </w:r>
      <w:r w:rsidR="00405E76">
        <w:rPr>
          <w:rFonts w:ascii="Verdana" w:hAnsi="Verdana" w:eastAsia="DejaVuSerifCondensed" w:cs="DejaVuSerifCondensed"/>
          <w:color w:val="000000"/>
          <w:kern w:val="0"/>
          <w:sz w:val="18"/>
          <w:szCs w:val="18"/>
        </w:rPr>
        <w:t>minder zullen gaan betalen voor kinderopvang. Ouders houden zo meer over van een dag (meer) werken.</w:t>
      </w:r>
      <w:r>
        <w:rPr>
          <w:rFonts w:ascii="Verdana" w:hAnsi="Verdana" w:eastAsia="DejaVuSerifCondensed" w:cs="DejaVuSerifCondensed"/>
          <w:color w:val="000000"/>
          <w:kern w:val="0"/>
          <w:sz w:val="18"/>
          <w:szCs w:val="18"/>
        </w:rPr>
        <w:t xml:space="preserve"> Ook kan de veel grotere eenvoud en zekerheid van de nieuwe financiering van kinderopvang, samen met de hogere vergoedingspercentages, zorgen voor een cultuurverandering in het gebruik van formele kinderopvang.</w:t>
      </w:r>
    </w:p>
    <w:p w:rsidR="00821075" w:rsidP="00414293" w:rsidRDefault="00821075" w14:paraId="7116857A"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414293" w:rsidR="00414293" w:rsidP="00414293" w:rsidRDefault="00414293" w14:paraId="2E88FA75" w14:textId="743A0674">
      <w:pPr>
        <w:autoSpaceDE w:val="0"/>
        <w:autoSpaceDN w:val="0"/>
        <w:adjustRightInd w:val="0"/>
        <w:spacing w:after="0" w:line="240" w:lineRule="auto"/>
        <w:rPr>
          <w:rFonts w:ascii="Verdana" w:hAnsi="Verdana" w:eastAsia="DejaVuSerifCondensed" w:cs="DejaVuSerifCondensed"/>
          <w:color w:val="000000"/>
          <w:kern w:val="0"/>
          <w:sz w:val="18"/>
          <w:szCs w:val="18"/>
        </w:rPr>
      </w:pPr>
      <w:r w:rsidRPr="00414293">
        <w:rPr>
          <w:rFonts w:ascii="Verdana" w:hAnsi="Verdana" w:eastAsia="DejaVuSerifCondensed" w:cs="DejaVuSerifCondensed"/>
          <w:color w:val="000000"/>
          <w:kern w:val="0"/>
          <w:sz w:val="18"/>
          <w:szCs w:val="18"/>
        </w:rPr>
        <w:t>1) De Telegraaf, 23 januari 2025, 'Alarm om stijgende kosten kinderopvang: ouders straks tot duizend euro</w:t>
      </w:r>
    </w:p>
    <w:p w:rsidRPr="00414293" w:rsidR="00414293" w:rsidP="00414293" w:rsidRDefault="00414293" w14:paraId="57FD2D86"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414293">
        <w:rPr>
          <w:rFonts w:ascii="Verdana" w:hAnsi="Verdana" w:eastAsia="DejaVuSerifCondensed" w:cs="DejaVuSerifCondensed"/>
          <w:color w:val="000000"/>
          <w:kern w:val="0"/>
          <w:sz w:val="18"/>
          <w:szCs w:val="18"/>
        </w:rPr>
        <w:t>meer kwijt',</w:t>
      </w:r>
    </w:p>
    <w:p w:rsidRPr="00414293" w:rsidR="00414293" w:rsidP="00414293" w:rsidRDefault="00414293" w14:paraId="26C85169" w14:textId="77777777">
      <w:pPr>
        <w:autoSpaceDE w:val="0"/>
        <w:autoSpaceDN w:val="0"/>
        <w:adjustRightInd w:val="0"/>
        <w:spacing w:after="0" w:line="240" w:lineRule="auto"/>
        <w:rPr>
          <w:rFonts w:ascii="Verdana" w:hAnsi="Verdana" w:eastAsia="DejaVuSerifCondensed" w:cs="DejaVuSerifCondensed"/>
          <w:color w:val="0000FF"/>
          <w:kern w:val="0"/>
          <w:sz w:val="18"/>
          <w:szCs w:val="18"/>
        </w:rPr>
      </w:pPr>
      <w:r w:rsidRPr="00414293">
        <w:rPr>
          <w:rFonts w:ascii="Verdana" w:hAnsi="Verdana" w:eastAsia="DejaVuSerifCondensed" w:cs="DejaVuSerifCondensed"/>
          <w:color w:val="000000"/>
          <w:kern w:val="0"/>
          <w:sz w:val="18"/>
          <w:szCs w:val="18"/>
        </w:rPr>
        <w:t>(</w:t>
      </w:r>
      <w:r w:rsidRPr="00414293">
        <w:rPr>
          <w:rFonts w:ascii="Verdana" w:hAnsi="Verdana" w:eastAsia="DejaVuSerifCondensed" w:cs="DejaVuSerifCondensed"/>
          <w:color w:val="0000FF"/>
          <w:kern w:val="0"/>
          <w:sz w:val="18"/>
          <w:szCs w:val="18"/>
        </w:rPr>
        <w:t>https://www.telegraaf.nl/financieel/1997451270/alarm-om-stijgende-kosten-kinderopvang-ouders-straks-totduizend-</w:t>
      </w:r>
    </w:p>
    <w:p w:rsidR="00414293" w:rsidP="00414293" w:rsidRDefault="00414293" w14:paraId="20055DAC" w14:textId="6DE7F9EA">
      <w:pPr>
        <w:rPr>
          <w:rFonts w:ascii="Verdana" w:hAnsi="Verdana" w:eastAsia="DejaVuSerifCondensed" w:cs="DejaVuSerifCondensed"/>
          <w:color w:val="000000"/>
          <w:kern w:val="0"/>
          <w:sz w:val="18"/>
          <w:szCs w:val="18"/>
        </w:rPr>
      </w:pPr>
      <w:r w:rsidRPr="00414293">
        <w:rPr>
          <w:rFonts w:ascii="Verdana" w:hAnsi="Verdana" w:eastAsia="DejaVuSerifCondensed" w:cs="DejaVuSerifCondensed"/>
          <w:color w:val="0000FF"/>
          <w:kern w:val="0"/>
          <w:sz w:val="18"/>
          <w:szCs w:val="18"/>
        </w:rPr>
        <w:t>euro-meer-kwijt</w:t>
      </w:r>
      <w:r w:rsidRPr="00414293">
        <w:rPr>
          <w:rFonts w:ascii="Verdana" w:hAnsi="Verdana" w:eastAsia="DejaVuSerifCondensed" w:cs="DejaVuSerifCondensed"/>
          <w:color w:val="000000"/>
          <w:kern w:val="0"/>
          <w:sz w:val="18"/>
          <w:szCs w:val="18"/>
        </w:rPr>
        <w:t>).</w:t>
      </w:r>
    </w:p>
    <w:p w:rsidR="006E7A61" w:rsidRDefault="006E7A61" w14:paraId="0CADFBEE" w14:textId="297319E7">
      <w:pPr>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br w:type="page"/>
      </w:r>
    </w:p>
    <w:p w:rsidRPr="00E01B89" w:rsidR="006E7A61" w:rsidP="00414293" w:rsidRDefault="006E7A61" w14:paraId="3FB57BC0" w14:textId="7BCDE20F">
      <w:pPr>
        <w:rPr>
          <w:rFonts w:ascii="Verdana" w:hAnsi="Verdana"/>
          <w:b/>
          <w:bCs/>
          <w:sz w:val="18"/>
          <w:szCs w:val="18"/>
        </w:rPr>
      </w:pPr>
      <w:r w:rsidRPr="00E01B89">
        <w:rPr>
          <w:rFonts w:ascii="Verdana" w:hAnsi="Verdana"/>
          <w:b/>
          <w:bCs/>
          <w:sz w:val="18"/>
          <w:szCs w:val="18"/>
        </w:rPr>
        <w:lastRenderedPageBreak/>
        <w:t>Bijlage 1</w:t>
      </w:r>
      <w:r>
        <w:rPr>
          <w:rFonts w:ascii="Verdana" w:hAnsi="Verdana"/>
          <w:b/>
          <w:bCs/>
          <w:sz w:val="18"/>
          <w:szCs w:val="18"/>
        </w:rPr>
        <w:t xml:space="preserve"> – rekenvoorbeelden bij </w:t>
      </w:r>
      <w:r w:rsidR="00FE5A01">
        <w:rPr>
          <w:rFonts w:ascii="Verdana" w:hAnsi="Verdana"/>
          <w:b/>
          <w:bCs/>
          <w:sz w:val="18"/>
          <w:szCs w:val="18"/>
        </w:rPr>
        <w:t>beantwoording vraag 8</w:t>
      </w:r>
    </w:p>
    <w:tbl>
      <w:tblPr>
        <w:tblW w:w="0" w:type="auto"/>
        <w:tblCellMar>
          <w:left w:w="70" w:type="dxa"/>
          <w:right w:w="70" w:type="dxa"/>
        </w:tblCellMar>
        <w:tblLook w:val="04A0" w:firstRow="1" w:lastRow="0" w:firstColumn="1" w:lastColumn="0" w:noHBand="0" w:noVBand="1"/>
      </w:tblPr>
      <w:tblGrid>
        <w:gridCol w:w="2420"/>
        <w:gridCol w:w="774"/>
        <w:gridCol w:w="774"/>
        <w:gridCol w:w="774"/>
        <w:gridCol w:w="774"/>
        <w:gridCol w:w="387"/>
        <w:gridCol w:w="387"/>
        <w:gridCol w:w="774"/>
        <w:gridCol w:w="189"/>
        <w:gridCol w:w="234"/>
        <w:gridCol w:w="234"/>
        <w:gridCol w:w="118"/>
        <w:gridCol w:w="111"/>
        <w:gridCol w:w="221"/>
        <w:gridCol w:w="221"/>
        <w:gridCol w:w="221"/>
      </w:tblGrid>
      <w:tr w:rsidRPr="006E7A61" w:rsidR="000512F9" w:rsidTr="005A3490" w14:paraId="0BD66340" w14:textId="77777777">
        <w:trPr>
          <w:trHeight w:val="300"/>
        </w:trPr>
        <w:tc>
          <w:tcPr>
            <w:tcW w:w="0" w:type="auto"/>
            <w:gridSpan w:val="8"/>
            <w:shd w:val="clear" w:color="000000" w:fill="FFFFFF"/>
            <w:noWrap/>
            <w:vAlign w:val="bottom"/>
            <w:hideMark/>
          </w:tcPr>
          <w:p w:rsidRPr="00E01B89" w:rsidR="006E7A61" w:rsidP="006E7A61" w:rsidRDefault="006E7A61" w14:paraId="346E3E47" w14:textId="0292E98E">
            <w:pPr>
              <w:spacing w:after="0" w:line="240" w:lineRule="auto"/>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Tabel 1</w:t>
            </w:r>
          </w:p>
        </w:tc>
        <w:tc>
          <w:tcPr>
            <w:tcW w:w="0" w:type="auto"/>
            <w:shd w:val="clear" w:color="000000" w:fill="FFFFFF"/>
          </w:tcPr>
          <w:p w:rsidRPr="006E7A61" w:rsidR="006E7A61" w:rsidP="006E7A61" w:rsidRDefault="006E7A61" w14:paraId="3385E822" w14:textId="77777777">
            <w:pPr>
              <w:spacing w:after="0" w:line="240" w:lineRule="auto"/>
              <w:rPr>
                <w:rFonts w:ascii="Calibri" w:hAnsi="Calibri" w:eastAsia="Times New Roman" w:cs="Calibri"/>
                <w:color w:val="000000"/>
                <w:kern w:val="0"/>
                <w:sz w:val="18"/>
                <w:szCs w:val="18"/>
                <w:lang w:eastAsia="nl-NL"/>
                <w14:ligatures w14:val="none"/>
              </w:rPr>
            </w:pPr>
          </w:p>
        </w:tc>
        <w:tc>
          <w:tcPr>
            <w:tcW w:w="0" w:type="auto"/>
            <w:shd w:val="clear" w:color="000000" w:fill="FFFFFF"/>
            <w:noWrap/>
            <w:vAlign w:val="bottom"/>
            <w:hideMark/>
          </w:tcPr>
          <w:p w:rsidRPr="00E01B89" w:rsidR="006E7A61" w:rsidP="006E7A61" w:rsidRDefault="006E7A61" w14:paraId="0457F433" w14:textId="7E343298">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shd w:val="clear" w:color="000000" w:fill="FFFFFF"/>
            <w:noWrap/>
            <w:vAlign w:val="bottom"/>
            <w:hideMark/>
          </w:tcPr>
          <w:p w:rsidRPr="00E01B89" w:rsidR="006E7A61" w:rsidP="006E7A61" w:rsidRDefault="006E7A61" w14:paraId="3D400A2A"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gridSpan w:val="2"/>
            <w:shd w:val="clear" w:color="000000" w:fill="FFFFFF"/>
            <w:noWrap/>
            <w:vAlign w:val="bottom"/>
            <w:hideMark/>
          </w:tcPr>
          <w:p w:rsidRPr="00E01B89" w:rsidR="006E7A61" w:rsidP="006E7A61" w:rsidRDefault="006E7A61" w14:paraId="5CD2CB97"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shd w:val="clear" w:color="000000" w:fill="FFFFFF"/>
            <w:noWrap/>
            <w:vAlign w:val="bottom"/>
            <w:hideMark/>
          </w:tcPr>
          <w:p w:rsidRPr="00E01B89" w:rsidR="006E7A61" w:rsidP="006E7A61" w:rsidRDefault="006E7A61" w14:paraId="1DD953FF"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shd w:val="clear" w:color="000000" w:fill="FFFFFF"/>
            <w:noWrap/>
            <w:vAlign w:val="bottom"/>
            <w:hideMark/>
          </w:tcPr>
          <w:p w:rsidRPr="00E01B89" w:rsidR="006E7A61" w:rsidP="006E7A61" w:rsidRDefault="006E7A61" w14:paraId="357825F2"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shd w:val="clear" w:color="000000" w:fill="FFFFFF"/>
            <w:noWrap/>
            <w:vAlign w:val="bottom"/>
            <w:hideMark/>
          </w:tcPr>
          <w:p w:rsidRPr="00E01B89" w:rsidR="006E7A61" w:rsidP="006E7A61" w:rsidRDefault="006E7A61" w14:paraId="5D547341"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r>
      <w:tr w:rsidRPr="006E7A61" w:rsidR="00FC7CA6" w:rsidTr="005A3490" w14:paraId="6903AE14" w14:textId="77777777">
        <w:trPr>
          <w:trHeight w:val="300"/>
        </w:trPr>
        <w:tc>
          <w:tcPr>
            <w:tcW w:w="0" w:type="auto"/>
            <w:shd w:val="clear" w:color="000000" w:fill="FFFFFF"/>
            <w:noWrap/>
            <w:vAlign w:val="bottom"/>
            <w:hideMark/>
          </w:tcPr>
          <w:p w:rsidRPr="00E01B89" w:rsidR="006E7A61" w:rsidP="006E7A61" w:rsidRDefault="006E7A61" w14:paraId="3AAA5189" w14:textId="0C934B60">
            <w:pPr>
              <w:spacing w:after="0" w:line="240" w:lineRule="auto"/>
              <w:rPr>
                <w:rFonts w:ascii="Calibri" w:hAnsi="Calibri" w:eastAsia="Times New Roman" w:cs="Calibri"/>
                <w:b/>
                <w:bCs/>
                <w:color w:val="000000"/>
                <w:kern w:val="0"/>
                <w:sz w:val="18"/>
                <w:szCs w:val="18"/>
                <w:lang w:eastAsia="nl-NL"/>
                <w14:ligatures w14:val="none"/>
              </w:rPr>
            </w:pPr>
          </w:p>
        </w:tc>
        <w:tc>
          <w:tcPr>
            <w:tcW w:w="0" w:type="auto"/>
            <w:gridSpan w:val="5"/>
            <w:shd w:val="clear" w:color="000000" w:fill="FFFFFF"/>
            <w:noWrap/>
            <w:vAlign w:val="bottom"/>
            <w:hideMark/>
          </w:tcPr>
          <w:p w:rsidRPr="00E01B89" w:rsidR="006E7A61" w:rsidP="006E7A61" w:rsidRDefault="006E7A61" w14:paraId="3306D2F5"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gridSpan w:val="2"/>
            <w:shd w:val="clear" w:color="000000" w:fill="FFFFFF"/>
            <w:noWrap/>
            <w:vAlign w:val="bottom"/>
            <w:hideMark/>
          </w:tcPr>
          <w:p w:rsidRPr="00E01B89" w:rsidR="006E7A61" w:rsidP="006E7A61" w:rsidRDefault="006E7A61" w14:paraId="27D7C0D8"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shd w:val="clear" w:color="000000" w:fill="FFFFFF"/>
          </w:tcPr>
          <w:p w:rsidRPr="006E7A61" w:rsidR="006E7A61" w:rsidP="006E7A61" w:rsidRDefault="006E7A61" w14:paraId="7EB76C18" w14:textId="77777777">
            <w:pPr>
              <w:spacing w:after="0" w:line="240" w:lineRule="auto"/>
              <w:rPr>
                <w:rFonts w:ascii="Calibri" w:hAnsi="Calibri" w:eastAsia="Times New Roman" w:cs="Calibri"/>
                <w:color w:val="000000"/>
                <w:kern w:val="0"/>
                <w:sz w:val="18"/>
                <w:szCs w:val="18"/>
                <w:lang w:eastAsia="nl-NL"/>
                <w14:ligatures w14:val="none"/>
              </w:rPr>
            </w:pPr>
          </w:p>
        </w:tc>
        <w:tc>
          <w:tcPr>
            <w:tcW w:w="0" w:type="auto"/>
            <w:shd w:val="clear" w:color="000000" w:fill="FFFFFF"/>
            <w:noWrap/>
            <w:vAlign w:val="bottom"/>
            <w:hideMark/>
          </w:tcPr>
          <w:p w:rsidRPr="00E01B89" w:rsidR="006E7A61" w:rsidP="006E7A61" w:rsidRDefault="006E7A61" w14:paraId="1B0DEF05" w14:textId="33271E05">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shd w:val="clear" w:color="000000" w:fill="FFFFFF"/>
            <w:noWrap/>
            <w:vAlign w:val="bottom"/>
            <w:hideMark/>
          </w:tcPr>
          <w:p w:rsidRPr="00E01B89" w:rsidR="006E7A61" w:rsidP="006E7A61" w:rsidRDefault="006E7A61" w14:paraId="00975069"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gridSpan w:val="2"/>
            <w:shd w:val="clear" w:color="000000" w:fill="FFFFFF"/>
            <w:noWrap/>
            <w:vAlign w:val="bottom"/>
            <w:hideMark/>
          </w:tcPr>
          <w:p w:rsidRPr="00E01B89" w:rsidR="006E7A61" w:rsidP="006E7A61" w:rsidRDefault="006E7A61" w14:paraId="47F48B75"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shd w:val="clear" w:color="000000" w:fill="FFFFFF"/>
            <w:noWrap/>
            <w:vAlign w:val="bottom"/>
            <w:hideMark/>
          </w:tcPr>
          <w:p w:rsidRPr="00E01B89" w:rsidR="006E7A61" w:rsidP="006E7A61" w:rsidRDefault="006E7A61" w14:paraId="0B96F401"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shd w:val="clear" w:color="000000" w:fill="FFFFFF"/>
            <w:noWrap/>
            <w:vAlign w:val="bottom"/>
            <w:hideMark/>
          </w:tcPr>
          <w:p w:rsidRPr="00E01B89" w:rsidR="006E7A61" w:rsidP="006E7A61" w:rsidRDefault="006E7A61" w14:paraId="391B89E7"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shd w:val="clear" w:color="000000" w:fill="FFFFFF"/>
            <w:noWrap/>
            <w:vAlign w:val="bottom"/>
            <w:hideMark/>
          </w:tcPr>
          <w:p w:rsidRPr="00E01B89" w:rsidR="006E7A61" w:rsidP="006E7A61" w:rsidRDefault="006E7A61" w14:paraId="70863DF4"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r>
      <w:tr w:rsidRPr="006E7A61" w:rsidR="00FC7CA6" w:rsidTr="005A3490" w14:paraId="5422E682" w14:textId="77777777">
        <w:trPr>
          <w:trHeight w:val="600"/>
        </w:trPr>
        <w:tc>
          <w:tcPr>
            <w:tcW w:w="0" w:type="auto"/>
            <w:shd w:val="clear" w:color="000000" w:fill="9BC2E6"/>
            <w:vAlign w:val="center"/>
            <w:hideMark/>
          </w:tcPr>
          <w:p w:rsidRPr="00E01B89" w:rsidR="00FC7CA6" w:rsidP="006E7A61" w:rsidRDefault="00FC7CA6" w14:paraId="4D3A1998"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Laag inkomen</w:t>
            </w:r>
            <w:r w:rsidRPr="00E01B89">
              <w:rPr>
                <w:rFonts w:ascii="Calibri" w:hAnsi="Calibri" w:eastAsia="Times New Roman" w:cs="Calibri"/>
                <w:b/>
                <w:bCs/>
                <w:color w:val="000000"/>
                <w:kern w:val="0"/>
                <w:sz w:val="18"/>
                <w:szCs w:val="18"/>
                <w:lang w:eastAsia="nl-NL"/>
                <w14:ligatures w14:val="none"/>
              </w:rPr>
              <w:br/>
            </w:r>
            <w:r w:rsidRPr="00E01B89">
              <w:rPr>
                <w:rFonts w:ascii="Calibri" w:hAnsi="Calibri" w:eastAsia="Times New Roman" w:cs="Calibri"/>
                <w:i/>
                <w:iCs/>
                <w:color w:val="000000"/>
                <w:kern w:val="0"/>
                <w:sz w:val="18"/>
                <w:szCs w:val="18"/>
                <w:lang w:eastAsia="nl-NL"/>
                <w14:ligatures w14:val="none"/>
              </w:rPr>
              <w:t>(had recht op 96% in 2024)</w:t>
            </w:r>
          </w:p>
        </w:tc>
        <w:tc>
          <w:tcPr>
            <w:tcW w:w="0" w:type="auto"/>
            <w:shd w:val="clear" w:color="000000" w:fill="9BC2E6"/>
            <w:noWrap/>
            <w:vAlign w:val="center"/>
            <w:hideMark/>
          </w:tcPr>
          <w:p w:rsidRPr="00E01B89" w:rsidR="00FC7CA6" w:rsidP="006E7A61" w:rsidRDefault="00FC7CA6" w14:paraId="48F4BE60"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2023</w:t>
            </w:r>
          </w:p>
        </w:tc>
        <w:tc>
          <w:tcPr>
            <w:tcW w:w="0" w:type="auto"/>
            <w:shd w:val="clear" w:color="000000" w:fill="9BC2E6"/>
            <w:noWrap/>
            <w:vAlign w:val="center"/>
            <w:hideMark/>
          </w:tcPr>
          <w:p w:rsidRPr="00E01B89" w:rsidR="00FC7CA6" w:rsidP="006E7A61" w:rsidRDefault="00FC7CA6" w14:paraId="703840C3"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2024</w:t>
            </w:r>
          </w:p>
        </w:tc>
        <w:tc>
          <w:tcPr>
            <w:tcW w:w="0" w:type="auto"/>
            <w:shd w:val="clear" w:color="000000" w:fill="9BC2E6"/>
            <w:noWrap/>
            <w:vAlign w:val="center"/>
            <w:hideMark/>
          </w:tcPr>
          <w:p w:rsidRPr="00E01B89" w:rsidR="00FC7CA6" w:rsidP="006E7A61" w:rsidRDefault="00FC7CA6" w14:paraId="39197B84" w14:textId="5DBAE375">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2025</w:t>
            </w:r>
          </w:p>
        </w:tc>
        <w:tc>
          <w:tcPr>
            <w:tcW w:w="0" w:type="auto"/>
            <w:shd w:val="clear" w:color="000000" w:fill="9BC2E6"/>
            <w:noWrap/>
            <w:vAlign w:val="center"/>
            <w:hideMark/>
          </w:tcPr>
          <w:p w:rsidRPr="00E01B89" w:rsidR="00FC7CA6" w:rsidP="006E7A61" w:rsidRDefault="00FC7CA6" w14:paraId="21A44867"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2026</w:t>
            </w:r>
          </w:p>
        </w:tc>
        <w:tc>
          <w:tcPr>
            <w:tcW w:w="0" w:type="auto"/>
            <w:gridSpan w:val="2"/>
            <w:shd w:val="clear" w:color="000000" w:fill="9BC2E6"/>
            <w:noWrap/>
            <w:vAlign w:val="center"/>
            <w:hideMark/>
          </w:tcPr>
          <w:p w:rsidRPr="00E01B89" w:rsidR="00FC7CA6" w:rsidP="006E7A61" w:rsidRDefault="00FC7CA6" w14:paraId="367A5BE7"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2027</w:t>
            </w:r>
          </w:p>
        </w:tc>
        <w:tc>
          <w:tcPr>
            <w:tcW w:w="0" w:type="auto"/>
            <w:shd w:val="clear" w:color="000000" w:fill="9BC2E6"/>
            <w:noWrap/>
            <w:vAlign w:val="center"/>
            <w:hideMark/>
          </w:tcPr>
          <w:p w:rsidRPr="00E01B89" w:rsidR="00FC7CA6" w:rsidP="006E7A61" w:rsidRDefault="00FC7CA6" w14:paraId="0F248782"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2028</w:t>
            </w:r>
          </w:p>
        </w:tc>
        <w:tc>
          <w:tcPr>
            <w:tcW w:w="0" w:type="auto"/>
            <w:gridSpan w:val="4"/>
            <w:shd w:val="clear" w:color="000000" w:fill="9BC2E6"/>
            <w:noWrap/>
            <w:vAlign w:val="center"/>
            <w:hideMark/>
          </w:tcPr>
          <w:p w:rsidRPr="00E01B89" w:rsidR="00FC7CA6" w:rsidP="006E7A61" w:rsidRDefault="00FC7CA6" w14:paraId="076F50DC"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2029</w:t>
            </w:r>
          </w:p>
        </w:tc>
        <w:tc>
          <w:tcPr>
            <w:tcW w:w="0" w:type="auto"/>
            <w:gridSpan w:val="4"/>
            <w:shd w:val="clear" w:color="000000" w:fill="9BC2E6"/>
            <w:noWrap/>
            <w:vAlign w:val="center"/>
            <w:hideMark/>
          </w:tcPr>
          <w:p w:rsidRPr="00E01B89" w:rsidR="00FC7CA6" w:rsidP="006E7A61" w:rsidRDefault="00FC7CA6" w14:paraId="547DB81A"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2030</w:t>
            </w:r>
          </w:p>
        </w:tc>
      </w:tr>
      <w:tr w:rsidRPr="006E7A61" w:rsidR="00FC7CA6" w:rsidTr="005A3490" w14:paraId="420D06EE" w14:textId="77777777">
        <w:trPr>
          <w:trHeight w:val="300"/>
        </w:trPr>
        <w:tc>
          <w:tcPr>
            <w:tcW w:w="0" w:type="auto"/>
            <w:shd w:val="clear" w:color="000000" w:fill="FFFFFF"/>
            <w:noWrap/>
            <w:vAlign w:val="bottom"/>
            <w:hideMark/>
          </w:tcPr>
          <w:p w:rsidRPr="00E01B89" w:rsidR="00FC7CA6" w:rsidP="006E7A61" w:rsidRDefault="00FC7CA6" w14:paraId="5AE6CAC5"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Kosten opvang per jaar:</w:t>
            </w:r>
          </w:p>
        </w:tc>
        <w:tc>
          <w:tcPr>
            <w:tcW w:w="0" w:type="auto"/>
            <w:shd w:val="clear" w:color="000000" w:fill="FFFFFF"/>
            <w:noWrap/>
            <w:vAlign w:val="bottom"/>
            <w:hideMark/>
          </w:tcPr>
          <w:p w:rsidRPr="00E01B89" w:rsidR="00FC7CA6" w:rsidP="006E7A61" w:rsidRDefault="00FC7CA6" w14:paraId="62FDCBBE"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€ 22.151</w:t>
            </w:r>
          </w:p>
        </w:tc>
        <w:tc>
          <w:tcPr>
            <w:tcW w:w="0" w:type="auto"/>
            <w:shd w:val="clear" w:color="000000" w:fill="FFFFFF"/>
            <w:noWrap/>
            <w:vAlign w:val="bottom"/>
            <w:hideMark/>
          </w:tcPr>
          <w:p w:rsidRPr="00E01B89" w:rsidR="00FC7CA6" w:rsidP="006E7A61" w:rsidRDefault="00FC7CA6" w14:paraId="3D7E329B"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€ 24.024</w:t>
            </w:r>
          </w:p>
        </w:tc>
        <w:tc>
          <w:tcPr>
            <w:tcW w:w="0" w:type="auto"/>
            <w:shd w:val="clear" w:color="000000" w:fill="FFFFFF"/>
            <w:noWrap/>
            <w:vAlign w:val="bottom"/>
            <w:hideMark/>
          </w:tcPr>
          <w:p w:rsidRPr="00E01B89" w:rsidR="00FC7CA6" w:rsidP="006E7A61" w:rsidRDefault="00FC7CA6" w14:paraId="2D684471" w14:textId="662B14D4">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€ 25.102</w:t>
            </w:r>
          </w:p>
        </w:tc>
        <w:tc>
          <w:tcPr>
            <w:tcW w:w="0" w:type="auto"/>
            <w:shd w:val="clear" w:color="000000" w:fill="FFFFFF"/>
            <w:noWrap/>
            <w:vAlign w:val="bottom"/>
            <w:hideMark/>
          </w:tcPr>
          <w:p w:rsidRPr="00E01B89" w:rsidR="00FC7CA6" w:rsidP="006E7A61" w:rsidRDefault="00FC7CA6" w14:paraId="14167E9E"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€ 26.046</w:t>
            </w:r>
          </w:p>
        </w:tc>
        <w:tc>
          <w:tcPr>
            <w:tcW w:w="0" w:type="auto"/>
            <w:gridSpan w:val="2"/>
            <w:shd w:val="clear" w:color="000000" w:fill="FFFFFF"/>
            <w:noWrap/>
            <w:vAlign w:val="bottom"/>
            <w:hideMark/>
          </w:tcPr>
          <w:p w:rsidRPr="00E01B89" w:rsidR="00FC7CA6" w:rsidP="006E7A61" w:rsidRDefault="00FC7CA6" w14:paraId="3E042587"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€ 27.020</w:t>
            </w:r>
          </w:p>
        </w:tc>
        <w:tc>
          <w:tcPr>
            <w:tcW w:w="0" w:type="auto"/>
            <w:shd w:val="clear" w:color="000000" w:fill="FFFFFF"/>
            <w:noWrap/>
            <w:vAlign w:val="bottom"/>
            <w:hideMark/>
          </w:tcPr>
          <w:p w:rsidRPr="00E01B89" w:rsidR="00FC7CA6" w:rsidP="006E7A61" w:rsidRDefault="00FC7CA6" w14:paraId="40207360"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€ 27.966</w:t>
            </w:r>
          </w:p>
        </w:tc>
        <w:tc>
          <w:tcPr>
            <w:tcW w:w="0" w:type="auto"/>
            <w:gridSpan w:val="4"/>
            <w:shd w:val="clear" w:color="000000" w:fill="FFFFFF"/>
            <w:noWrap/>
            <w:vAlign w:val="bottom"/>
            <w:hideMark/>
          </w:tcPr>
          <w:p w:rsidRPr="00E01B89" w:rsidR="00FC7CA6" w:rsidP="006E7A61" w:rsidRDefault="00FC7CA6" w14:paraId="37F700B8"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€ 28.956</w:t>
            </w:r>
          </w:p>
        </w:tc>
        <w:tc>
          <w:tcPr>
            <w:tcW w:w="0" w:type="auto"/>
            <w:gridSpan w:val="4"/>
            <w:shd w:val="clear" w:color="000000" w:fill="FFFFFF"/>
            <w:noWrap/>
            <w:vAlign w:val="bottom"/>
            <w:hideMark/>
          </w:tcPr>
          <w:p w:rsidRPr="00E01B89" w:rsidR="00FC7CA6" w:rsidP="006E7A61" w:rsidRDefault="00FC7CA6" w14:paraId="19E35A54"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€ 29.981</w:t>
            </w:r>
          </w:p>
        </w:tc>
      </w:tr>
      <w:tr w:rsidRPr="006E7A61" w:rsidR="00FC7CA6" w:rsidTr="005A3490" w14:paraId="534182E9" w14:textId="77777777">
        <w:trPr>
          <w:trHeight w:val="300"/>
        </w:trPr>
        <w:tc>
          <w:tcPr>
            <w:tcW w:w="0" w:type="auto"/>
            <w:shd w:val="clear" w:color="000000" w:fill="DDEBF7"/>
            <w:noWrap/>
            <w:vAlign w:val="bottom"/>
            <w:hideMark/>
          </w:tcPr>
          <w:p w:rsidRPr="00E01B89" w:rsidR="00FC7CA6" w:rsidP="006E7A61" w:rsidRDefault="00FC7CA6" w14:paraId="08CFBE11"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KOT/VKO per jaar:</w:t>
            </w:r>
          </w:p>
        </w:tc>
        <w:tc>
          <w:tcPr>
            <w:tcW w:w="0" w:type="auto"/>
            <w:shd w:val="clear" w:color="000000" w:fill="DDEBF7"/>
            <w:noWrap/>
            <w:vAlign w:val="bottom"/>
            <w:hideMark/>
          </w:tcPr>
          <w:p w:rsidRPr="00E01B89" w:rsidR="00FC7CA6" w:rsidP="006E7A61" w:rsidRDefault="00FC7CA6" w14:paraId="24BB5158"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€ 20.032</w:t>
            </w:r>
          </w:p>
        </w:tc>
        <w:tc>
          <w:tcPr>
            <w:tcW w:w="0" w:type="auto"/>
            <w:shd w:val="clear" w:color="000000" w:fill="DDEBF7"/>
            <w:noWrap/>
            <w:vAlign w:val="bottom"/>
            <w:hideMark/>
          </w:tcPr>
          <w:p w:rsidRPr="00E01B89" w:rsidR="00FC7CA6" w:rsidP="006E7A61" w:rsidRDefault="00FC7CA6" w14:paraId="412C552A"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€ 22.514</w:t>
            </w:r>
          </w:p>
        </w:tc>
        <w:tc>
          <w:tcPr>
            <w:tcW w:w="0" w:type="auto"/>
            <w:shd w:val="clear" w:color="000000" w:fill="DDEBF7"/>
            <w:noWrap/>
            <w:vAlign w:val="bottom"/>
            <w:hideMark/>
          </w:tcPr>
          <w:p w:rsidRPr="00E01B89" w:rsidR="00FC7CA6" w:rsidP="006E7A61" w:rsidRDefault="00FC7CA6" w14:paraId="5CCC0EF0" w14:textId="0E369D29">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€ 23.524</w:t>
            </w:r>
          </w:p>
        </w:tc>
        <w:tc>
          <w:tcPr>
            <w:tcW w:w="0" w:type="auto"/>
            <w:shd w:val="clear" w:color="000000" w:fill="DDEBF7"/>
            <w:noWrap/>
            <w:vAlign w:val="bottom"/>
            <w:hideMark/>
          </w:tcPr>
          <w:p w:rsidRPr="00E01B89" w:rsidR="00FC7CA6" w:rsidP="006E7A61" w:rsidRDefault="00FC7CA6" w14:paraId="1B65EF7F"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€ 23.524</w:t>
            </w:r>
          </w:p>
        </w:tc>
        <w:tc>
          <w:tcPr>
            <w:tcW w:w="0" w:type="auto"/>
            <w:gridSpan w:val="2"/>
            <w:shd w:val="clear" w:color="000000" w:fill="DDEBF7"/>
            <w:noWrap/>
            <w:vAlign w:val="bottom"/>
            <w:hideMark/>
          </w:tcPr>
          <w:p w:rsidRPr="00E01B89" w:rsidR="00FC7CA6" w:rsidP="006E7A61" w:rsidRDefault="00FC7CA6" w14:paraId="30A19A9A"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€ 24.404</w:t>
            </w:r>
          </w:p>
        </w:tc>
        <w:tc>
          <w:tcPr>
            <w:tcW w:w="0" w:type="auto"/>
            <w:shd w:val="clear" w:color="000000" w:fill="DDEBF7"/>
            <w:noWrap/>
            <w:vAlign w:val="bottom"/>
            <w:hideMark/>
          </w:tcPr>
          <w:p w:rsidRPr="00E01B89" w:rsidR="00FC7CA6" w:rsidP="006E7A61" w:rsidRDefault="00FC7CA6" w14:paraId="42B4DA04"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€ 25.258</w:t>
            </w:r>
          </w:p>
        </w:tc>
        <w:tc>
          <w:tcPr>
            <w:tcW w:w="0" w:type="auto"/>
            <w:gridSpan w:val="4"/>
            <w:shd w:val="clear" w:color="000000" w:fill="DDEBF7"/>
            <w:noWrap/>
            <w:vAlign w:val="bottom"/>
            <w:hideMark/>
          </w:tcPr>
          <w:p w:rsidRPr="00E01B89" w:rsidR="00FC7CA6" w:rsidP="006E7A61" w:rsidRDefault="00FC7CA6" w14:paraId="2F1C9DA7"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€ 26.152</w:t>
            </w:r>
          </w:p>
        </w:tc>
        <w:tc>
          <w:tcPr>
            <w:tcW w:w="0" w:type="auto"/>
            <w:gridSpan w:val="4"/>
            <w:shd w:val="clear" w:color="000000" w:fill="DDEBF7"/>
            <w:noWrap/>
            <w:vAlign w:val="bottom"/>
            <w:hideMark/>
          </w:tcPr>
          <w:p w:rsidRPr="00E01B89" w:rsidR="00FC7CA6" w:rsidP="006E7A61" w:rsidRDefault="00FC7CA6" w14:paraId="77D8CD1B"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€ 27.078</w:t>
            </w:r>
          </w:p>
        </w:tc>
      </w:tr>
      <w:tr w:rsidRPr="006E7A61" w:rsidR="00FC7CA6" w:rsidTr="005A3490" w14:paraId="2CCAC25F" w14:textId="77777777">
        <w:trPr>
          <w:trHeight w:val="300"/>
        </w:trPr>
        <w:tc>
          <w:tcPr>
            <w:tcW w:w="0" w:type="auto"/>
            <w:shd w:val="clear" w:color="000000" w:fill="FFFFFF"/>
            <w:noWrap/>
            <w:vAlign w:val="bottom"/>
            <w:hideMark/>
          </w:tcPr>
          <w:p w:rsidRPr="00E01B89" w:rsidR="00FC7CA6" w:rsidP="006E7A61" w:rsidRDefault="00FC7CA6" w14:paraId="13481976"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Eigen bijdrage per jaar:</w:t>
            </w:r>
          </w:p>
        </w:tc>
        <w:tc>
          <w:tcPr>
            <w:tcW w:w="0" w:type="auto"/>
            <w:shd w:val="clear" w:color="000000" w:fill="FFFFFF"/>
            <w:noWrap/>
            <w:vAlign w:val="bottom"/>
            <w:hideMark/>
          </w:tcPr>
          <w:p w:rsidRPr="00E01B89" w:rsidR="00FC7CA6" w:rsidP="006E7A61" w:rsidRDefault="00FC7CA6" w14:paraId="50057E29"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€ 2.119</w:t>
            </w:r>
          </w:p>
        </w:tc>
        <w:tc>
          <w:tcPr>
            <w:tcW w:w="0" w:type="auto"/>
            <w:shd w:val="clear" w:color="000000" w:fill="FFFFFF"/>
            <w:noWrap/>
            <w:vAlign w:val="bottom"/>
            <w:hideMark/>
          </w:tcPr>
          <w:p w:rsidRPr="00E01B89" w:rsidR="00FC7CA6" w:rsidP="006E7A61" w:rsidRDefault="00FC7CA6" w14:paraId="7DC5D0DE"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€ 1.510</w:t>
            </w:r>
          </w:p>
        </w:tc>
        <w:tc>
          <w:tcPr>
            <w:tcW w:w="0" w:type="auto"/>
            <w:shd w:val="clear" w:color="000000" w:fill="FFFFFF"/>
            <w:noWrap/>
            <w:vAlign w:val="bottom"/>
            <w:hideMark/>
          </w:tcPr>
          <w:p w:rsidRPr="00E01B89" w:rsidR="00FC7CA6" w:rsidP="006E7A61" w:rsidRDefault="00FC7CA6" w14:paraId="28EADD05" w14:textId="5CCD742A">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€ 1.578</w:t>
            </w:r>
          </w:p>
        </w:tc>
        <w:tc>
          <w:tcPr>
            <w:tcW w:w="0" w:type="auto"/>
            <w:shd w:val="clear" w:color="000000" w:fill="FFFFFF"/>
            <w:noWrap/>
            <w:vAlign w:val="bottom"/>
            <w:hideMark/>
          </w:tcPr>
          <w:p w:rsidRPr="00E01B89" w:rsidR="00FC7CA6" w:rsidP="006E7A61" w:rsidRDefault="00FC7CA6" w14:paraId="552DD2C5"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€ 2.522</w:t>
            </w:r>
          </w:p>
        </w:tc>
        <w:tc>
          <w:tcPr>
            <w:tcW w:w="0" w:type="auto"/>
            <w:gridSpan w:val="2"/>
            <w:shd w:val="clear" w:color="000000" w:fill="FFFFFF"/>
            <w:noWrap/>
            <w:vAlign w:val="bottom"/>
            <w:hideMark/>
          </w:tcPr>
          <w:p w:rsidRPr="00E01B89" w:rsidR="00FC7CA6" w:rsidP="006E7A61" w:rsidRDefault="00FC7CA6" w14:paraId="59FBB41E"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€ 2.616</w:t>
            </w:r>
          </w:p>
        </w:tc>
        <w:tc>
          <w:tcPr>
            <w:tcW w:w="0" w:type="auto"/>
            <w:shd w:val="clear" w:color="000000" w:fill="FFFFFF"/>
            <w:noWrap/>
            <w:vAlign w:val="bottom"/>
            <w:hideMark/>
          </w:tcPr>
          <w:p w:rsidRPr="00E01B89" w:rsidR="00FC7CA6" w:rsidP="006E7A61" w:rsidRDefault="00FC7CA6" w14:paraId="2839D9F6"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€ 2.708</w:t>
            </w:r>
          </w:p>
        </w:tc>
        <w:tc>
          <w:tcPr>
            <w:tcW w:w="0" w:type="auto"/>
            <w:gridSpan w:val="4"/>
            <w:shd w:val="clear" w:color="000000" w:fill="FFFFFF"/>
            <w:noWrap/>
            <w:vAlign w:val="bottom"/>
            <w:hideMark/>
          </w:tcPr>
          <w:p w:rsidRPr="00E01B89" w:rsidR="00FC7CA6" w:rsidP="006E7A61" w:rsidRDefault="00FC7CA6" w14:paraId="4E6B7DE5"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€ 2.803</w:t>
            </w:r>
          </w:p>
        </w:tc>
        <w:tc>
          <w:tcPr>
            <w:tcW w:w="0" w:type="auto"/>
            <w:gridSpan w:val="4"/>
            <w:shd w:val="clear" w:color="000000" w:fill="FFFFFF"/>
            <w:noWrap/>
            <w:vAlign w:val="bottom"/>
            <w:hideMark/>
          </w:tcPr>
          <w:p w:rsidRPr="00E01B89" w:rsidR="00FC7CA6" w:rsidP="006E7A61" w:rsidRDefault="00FC7CA6" w14:paraId="0CC997A1"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€ 2.903</w:t>
            </w:r>
          </w:p>
        </w:tc>
      </w:tr>
      <w:tr w:rsidRPr="006E7A61" w:rsidR="00FC7CA6" w:rsidTr="005A3490" w14:paraId="4744C146" w14:textId="77777777">
        <w:trPr>
          <w:trHeight w:val="300"/>
        </w:trPr>
        <w:tc>
          <w:tcPr>
            <w:tcW w:w="0" w:type="auto"/>
            <w:shd w:val="clear" w:color="auto" w:fill="DEEAF6" w:themeFill="accent5" w:themeFillTint="33"/>
            <w:noWrap/>
            <w:vAlign w:val="bottom"/>
          </w:tcPr>
          <w:p w:rsidRPr="005A3490" w:rsidR="00FC7CA6" w:rsidP="00FC7CA6" w:rsidRDefault="00FC7CA6" w14:paraId="2491F6FA" w14:textId="520EDE03">
            <w:pPr>
              <w:spacing w:after="0" w:line="240" w:lineRule="auto"/>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Percentage eigen bijdrage:</w:t>
            </w:r>
          </w:p>
        </w:tc>
        <w:tc>
          <w:tcPr>
            <w:tcW w:w="0" w:type="auto"/>
            <w:shd w:val="clear" w:color="auto" w:fill="DEEAF6" w:themeFill="accent5" w:themeFillTint="33"/>
            <w:noWrap/>
            <w:vAlign w:val="bottom"/>
          </w:tcPr>
          <w:p w:rsidRPr="005A3490" w:rsidR="00FC7CA6" w:rsidP="00FC7CA6" w:rsidRDefault="00FC7CA6" w14:paraId="0EBC976F" w14:textId="1F680A16">
            <w:pPr>
              <w:spacing w:after="0" w:line="240" w:lineRule="auto"/>
              <w:jc w:val="right"/>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9,6%</w:t>
            </w:r>
          </w:p>
        </w:tc>
        <w:tc>
          <w:tcPr>
            <w:tcW w:w="0" w:type="auto"/>
            <w:shd w:val="clear" w:color="auto" w:fill="DEEAF6" w:themeFill="accent5" w:themeFillTint="33"/>
            <w:noWrap/>
            <w:vAlign w:val="bottom"/>
          </w:tcPr>
          <w:p w:rsidRPr="005A3490" w:rsidR="00FC7CA6" w:rsidP="00FC7CA6" w:rsidRDefault="00FC7CA6" w14:paraId="740A4328" w14:textId="75579E2B">
            <w:pPr>
              <w:spacing w:after="0" w:line="240" w:lineRule="auto"/>
              <w:jc w:val="right"/>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6,3%</w:t>
            </w:r>
          </w:p>
        </w:tc>
        <w:tc>
          <w:tcPr>
            <w:tcW w:w="0" w:type="auto"/>
            <w:shd w:val="clear" w:color="auto" w:fill="DEEAF6" w:themeFill="accent5" w:themeFillTint="33"/>
            <w:noWrap/>
            <w:vAlign w:val="bottom"/>
          </w:tcPr>
          <w:p w:rsidRPr="005A3490" w:rsidR="00FC7CA6" w:rsidP="00FC7CA6" w:rsidRDefault="00FC7CA6" w14:paraId="6B328E1E" w14:textId="3D5BCFF5">
            <w:pPr>
              <w:spacing w:after="0" w:line="240" w:lineRule="auto"/>
              <w:jc w:val="right"/>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6,3%</w:t>
            </w:r>
          </w:p>
        </w:tc>
        <w:tc>
          <w:tcPr>
            <w:tcW w:w="0" w:type="auto"/>
            <w:shd w:val="clear" w:color="auto" w:fill="DEEAF6" w:themeFill="accent5" w:themeFillTint="33"/>
            <w:noWrap/>
            <w:vAlign w:val="bottom"/>
          </w:tcPr>
          <w:p w:rsidRPr="005A3490" w:rsidR="00FC7CA6" w:rsidP="00FC7CA6" w:rsidRDefault="00FC7CA6" w14:paraId="0D82F928" w14:textId="0645B90F">
            <w:pPr>
              <w:spacing w:after="0" w:line="240" w:lineRule="auto"/>
              <w:jc w:val="right"/>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9,7%</w:t>
            </w:r>
          </w:p>
        </w:tc>
        <w:tc>
          <w:tcPr>
            <w:tcW w:w="0" w:type="auto"/>
            <w:gridSpan w:val="2"/>
            <w:shd w:val="clear" w:color="auto" w:fill="DEEAF6" w:themeFill="accent5" w:themeFillTint="33"/>
            <w:noWrap/>
            <w:vAlign w:val="bottom"/>
          </w:tcPr>
          <w:p w:rsidRPr="005A3490" w:rsidR="00FC7CA6" w:rsidP="00FC7CA6" w:rsidRDefault="00FC7CA6" w14:paraId="749D2881" w14:textId="3BD919C4">
            <w:pPr>
              <w:spacing w:after="0" w:line="240" w:lineRule="auto"/>
              <w:jc w:val="right"/>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9,7%</w:t>
            </w:r>
          </w:p>
        </w:tc>
        <w:tc>
          <w:tcPr>
            <w:tcW w:w="0" w:type="auto"/>
            <w:shd w:val="clear" w:color="auto" w:fill="DEEAF6" w:themeFill="accent5" w:themeFillTint="33"/>
            <w:noWrap/>
            <w:vAlign w:val="bottom"/>
          </w:tcPr>
          <w:p w:rsidRPr="005A3490" w:rsidR="00FC7CA6" w:rsidP="00FC7CA6" w:rsidRDefault="00FC7CA6" w14:paraId="4C27C6D0" w14:textId="12BE3937">
            <w:pPr>
              <w:spacing w:after="0" w:line="240" w:lineRule="auto"/>
              <w:jc w:val="right"/>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9,7%</w:t>
            </w:r>
          </w:p>
        </w:tc>
        <w:tc>
          <w:tcPr>
            <w:tcW w:w="0" w:type="auto"/>
            <w:gridSpan w:val="4"/>
            <w:shd w:val="clear" w:color="auto" w:fill="DEEAF6" w:themeFill="accent5" w:themeFillTint="33"/>
            <w:noWrap/>
            <w:vAlign w:val="bottom"/>
          </w:tcPr>
          <w:p w:rsidRPr="005A3490" w:rsidR="00FC7CA6" w:rsidP="00FC7CA6" w:rsidRDefault="00FC7CA6" w14:paraId="2D02ED69" w14:textId="26A5B19F">
            <w:pPr>
              <w:spacing w:after="0" w:line="240" w:lineRule="auto"/>
              <w:jc w:val="right"/>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9,7%</w:t>
            </w:r>
          </w:p>
        </w:tc>
        <w:tc>
          <w:tcPr>
            <w:tcW w:w="0" w:type="auto"/>
            <w:gridSpan w:val="4"/>
            <w:shd w:val="clear" w:color="auto" w:fill="DEEAF6" w:themeFill="accent5" w:themeFillTint="33"/>
            <w:noWrap/>
            <w:vAlign w:val="bottom"/>
          </w:tcPr>
          <w:p w:rsidRPr="005A3490" w:rsidR="00FC7CA6" w:rsidP="00FC7CA6" w:rsidRDefault="00FC7CA6" w14:paraId="645A926F" w14:textId="3D9BF4E8">
            <w:pPr>
              <w:spacing w:after="0" w:line="240" w:lineRule="auto"/>
              <w:jc w:val="right"/>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9,7%</w:t>
            </w:r>
          </w:p>
        </w:tc>
      </w:tr>
      <w:tr w:rsidRPr="006E7A61" w:rsidR="00FC7CA6" w:rsidTr="005A3490" w14:paraId="43156741" w14:textId="77777777">
        <w:trPr>
          <w:trHeight w:val="300"/>
        </w:trPr>
        <w:tc>
          <w:tcPr>
            <w:tcW w:w="0" w:type="auto"/>
            <w:shd w:val="clear" w:color="auto" w:fill="FFFFFF" w:themeFill="background1"/>
            <w:noWrap/>
            <w:vAlign w:val="bottom"/>
            <w:hideMark/>
          </w:tcPr>
          <w:p w:rsidRPr="00E01B89" w:rsidR="00FC7CA6" w:rsidP="00FC7CA6" w:rsidRDefault="00FC7CA6" w14:paraId="798F89E7" w14:textId="48ADC719">
            <w:pPr>
              <w:spacing w:after="0" w:line="240" w:lineRule="auto"/>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 xml:space="preserve">Percentage </w:t>
            </w:r>
            <w:r>
              <w:rPr>
                <w:rFonts w:ascii="Calibri" w:hAnsi="Calibri" w:eastAsia="Times New Roman" w:cs="Calibri"/>
                <w:b/>
                <w:bCs/>
                <w:color w:val="000000"/>
                <w:kern w:val="0"/>
                <w:sz w:val="18"/>
                <w:szCs w:val="18"/>
                <w:lang w:eastAsia="nl-NL"/>
                <w14:ligatures w14:val="none"/>
              </w:rPr>
              <w:t>overheids</w:t>
            </w:r>
            <w:r w:rsidRPr="00E01B89">
              <w:rPr>
                <w:rFonts w:ascii="Calibri" w:hAnsi="Calibri" w:eastAsia="Times New Roman" w:cs="Calibri"/>
                <w:b/>
                <w:bCs/>
                <w:color w:val="000000"/>
                <w:kern w:val="0"/>
                <w:sz w:val="18"/>
                <w:szCs w:val="18"/>
                <w:lang w:eastAsia="nl-NL"/>
                <w14:ligatures w14:val="none"/>
              </w:rPr>
              <w:t>bijdrage:</w:t>
            </w:r>
          </w:p>
        </w:tc>
        <w:tc>
          <w:tcPr>
            <w:tcW w:w="0" w:type="auto"/>
            <w:shd w:val="clear" w:color="auto" w:fill="FFFFFF" w:themeFill="background1"/>
            <w:noWrap/>
            <w:vAlign w:val="bottom"/>
          </w:tcPr>
          <w:p w:rsidRPr="00E01B89" w:rsidR="00FC7CA6" w:rsidP="00FC7CA6" w:rsidRDefault="000512F9" w14:paraId="12AA697E" w14:textId="4DBBE2F2">
            <w:pPr>
              <w:spacing w:after="0" w:line="240" w:lineRule="auto"/>
              <w:jc w:val="right"/>
              <w:rPr>
                <w:rFonts w:ascii="Calibri" w:hAnsi="Calibri" w:eastAsia="Times New Roman" w:cs="Calibri"/>
                <w:b/>
                <w:bCs/>
                <w:color w:val="000000"/>
                <w:kern w:val="0"/>
                <w:sz w:val="18"/>
                <w:szCs w:val="18"/>
                <w:lang w:eastAsia="nl-NL"/>
                <w14:ligatures w14:val="none"/>
              </w:rPr>
            </w:pPr>
            <w:r>
              <w:rPr>
                <w:rFonts w:ascii="Calibri" w:hAnsi="Calibri" w:eastAsia="Times New Roman" w:cs="Calibri"/>
                <w:b/>
                <w:bCs/>
                <w:color w:val="000000"/>
                <w:kern w:val="0"/>
                <w:sz w:val="18"/>
                <w:szCs w:val="18"/>
                <w:lang w:eastAsia="nl-NL"/>
                <w14:ligatures w14:val="none"/>
              </w:rPr>
              <w:t>90,4%</w:t>
            </w:r>
          </w:p>
        </w:tc>
        <w:tc>
          <w:tcPr>
            <w:tcW w:w="0" w:type="auto"/>
            <w:shd w:val="clear" w:color="auto" w:fill="FFFFFF" w:themeFill="background1"/>
            <w:noWrap/>
            <w:vAlign w:val="bottom"/>
          </w:tcPr>
          <w:p w:rsidRPr="00E01B89" w:rsidR="00FC7CA6" w:rsidP="00FC7CA6" w:rsidRDefault="000512F9" w14:paraId="2E9DC2F1" w14:textId="3BFE4817">
            <w:pPr>
              <w:spacing w:after="0" w:line="240" w:lineRule="auto"/>
              <w:jc w:val="right"/>
              <w:rPr>
                <w:rFonts w:ascii="Calibri" w:hAnsi="Calibri" w:eastAsia="Times New Roman" w:cs="Calibri"/>
                <w:b/>
                <w:bCs/>
                <w:color w:val="000000"/>
                <w:kern w:val="0"/>
                <w:sz w:val="18"/>
                <w:szCs w:val="18"/>
                <w:lang w:eastAsia="nl-NL"/>
                <w14:ligatures w14:val="none"/>
              </w:rPr>
            </w:pPr>
            <w:r>
              <w:rPr>
                <w:rFonts w:ascii="Calibri" w:hAnsi="Calibri" w:eastAsia="Times New Roman" w:cs="Calibri"/>
                <w:b/>
                <w:bCs/>
                <w:color w:val="000000"/>
                <w:kern w:val="0"/>
                <w:sz w:val="18"/>
                <w:szCs w:val="18"/>
                <w:lang w:eastAsia="nl-NL"/>
                <w14:ligatures w14:val="none"/>
              </w:rPr>
              <w:t>93,7%</w:t>
            </w:r>
          </w:p>
        </w:tc>
        <w:tc>
          <w:tcPr>
            <w:tcW w:w="0" w:type="auto"/>
            <w:shd w:val="clear" w:color="auto" w:fill="FFFFFF" w:themeFill="background1"/>
            <w:noWrap/>
            <w:vAlign w:val="bottom"/>
          </w:tcPr>
          <w:p w:rsidRPr="00E01B89" w:rsidR="00FC7CA6" w:rsidP="00FC7CA6" w:rsidRDefault="000512F9" w14:paraId="754C6BEB" w14:textId="25205C98">
            <w:pPr>
              <w:spacing w:after="0" w:line="240" w:lineRule="auto"/>
              <w:jc w:val="right"/>
              <w:rPr>
                <w:rFonts w:ascii="Calibri" w:hAnsi="Calibri" w:eastAsia="Times New Roman" w:cs="Calibri"/>
                <w:b/>
                <w:bCs/>
                <w:color w:val="000000"/>
                <w:kern w:val="0"/>
                <w:sz w:val="18"/>
                <w:szCs w:val="18"/>
                <w:lang w:eastAsia="nl-NL"/>
                <w14:ligatures w14:val="none"/>
              </w:rPr>
            </w:pPr>
            <w:r>
              <w:rPr>
                <w:rFonts w:ascii="Calibri" w:hAnsi="Calibri" w:eastAsia="Times New Roman" w:cs="Calibri"/>
                <w:b/>
                <w:bCs/>
                <w:color w:val="000000"/>
                <w:kern w:val="0"/>
                <w:sz w:val="18"/>
                <w:szCs w:val="18"/>
                <w:lang w:eastAsia="nl-NL"/>
                <w14:ligatures w14:val="none"/>
              </w:rPr>
              <w:t>93,7%</w:t>
            </w:r>
          </w:p>
        </w:tc>
        <w:tc>
          <w:tcPr>
            <w:tcW w:w="0" w:type="auto"/>
            <w:shd w:val="clear" w:color="auto" w:fill="FFFFFF" w:themeFill="background1"/>
            <w:noWrap/>
            <w:vAlign w:val="bottom"/>
          </w:tcPr>
          <w:p w:rsidRPr="00E01B89" w:rsidR="00FC7CA6" w:rsidP="00FC7CA6" w:rsidRDefault="000512F9" w14:paraId="0FD50472" w14:textId="658CFC92">
            <w:pPr>
              <w:spacing w:after="0" w:line="240" w:lineRule="auto"/>
              <w:jc w:val="right"/>
              <w:rPr>
                <w:rFonts w:ascii="Calibri" w:hAnsi="Calibri" w:eastAsia="Times New Roman" w:cs="Calibri"/>
                <w:b/>
                <w:bCs/>
                <w:color w:val="000000"/>
                <w:kern w:val="0"/>
                <w:sz w:val="18"/>
                <w:szCs w:val="18"/>
                <w:lang w:eastAsia="nl-NL"/>
                <w14:ligatures w14:val="none"/>
              </w:rPr>
            </w:pPr>
            <w:r>
              <w:rPr>
                <w:rFonts w:ascii="Calibri" w:hAnsi="Calibri" w:eastAsia="Times New Roman" w:cs="Calibri"/>
                <w:b/>
                <w:bCs/>
                <w:color w:val="000000"/>
                <w:kern w:val="0"/>
                <w:sz w:val="18"/>
                <w:szCs w:val="18"/>
                <w:lang w:eastAsia="nl-NL"/>
                <w14:ligatures w14:val="none"/>
              </w:rPr>
              <w:t>90,3%</w:t>
            </w:r>
          </w:p>
        </w:tc>
        <w:tc>
          <w:tcPr>
            <w:tcW w:w="0" w:type="auto"/>
            <w:gridSpan w:val="2"/>
            <w:shd w:val="clear" w:color="auto" w:fill="FFFFFF" w:themeFill="background1"/>
            <w:noWrap/>
            <w:vAlign w:val="bottom"/>
          </w:tcPr>
          <w:p w:rsidRPr="00E01B89" w:rsidR="00FC7CA6" w:rsidP="00FC7CA6" w:rsidRDefault="000512F9" w14:paraId="7A183671" w14:textId="6CC26692">
            <w:pPr>
              <w:spacing w:after="0" w:line="240" w:lineRule="auto"/>
              <w:jc w:val="right"/>
              <w:rPr>
                <w:rFonts w:ascii="Calibri" w:hAnsi="Calibri" w:eastAsia="Times New Roman" w:cs="Calibri"/>
                <w:b/>
                <w:bCs/>
                <w:color w:val="000000"/>
                <w:kern w:val="0"/>
                <w:sz w:val="18"/>
                <w:szCs w:val="18"/>
                <w:lang w:eastAsia="nl-NL"/>
                <w14:ligatures w14:val="none"/>
              </w:rPr>
            </w:pPr>
            <w:r>
              <w:rPr>
                <w:rFonts w:ascii="Calibri" w:hAnsi="Calibri" w:eastAsia="Times New Roman" w:cs="Calibri"/>
                <w:b/>
                <w:bCs/>
                <w:color w:val="000000"/>
                <w:kern w:val="0"/>
                <w:sz w:val="18"/>
                <w:szCs w:val="18"/>
                <w:lang w:eastAsia="nl-NL"/>
                <w14:ligatures w14:val="none"/>
              </w:rPr>
              <w:t>90,3%</w:t>
            </w:r>
          </w:p>
        </w:tc>
        <w:tc>
          <w:tcPr>
            <w:tcW w:w="0" w:type="auto"/>
            <w:shd w:val="clear" w:color="auto" w:fill="FFFFFF" w:themeFill="background1"/>
            <w:noWrap/>
            <w:vAlign w:val="bottom"/>
          </w:tcPr>
          <w:p w:rsidRPr="00E01B89" w:rsidR="00FC7CA6" w:rsidP="00FC7CA6" w:rsidRDefault="000512F9" w14:paraId="0DED93A0" w14:textId="78E5E0B4">
            <w:pPr>
              <w:spacing w:after="0" w:line="240" w:lineRule="auto"/>
              <w:jc w:val="right"/>
              <w:rPr>
                <w:rFonts w:ascii="Calibri" w:hAnsi="Calibri" w:eastAsia="Times New Roman" w:cs="Calibri"/>
                <w:b/>
                <w:bCs/>
                <w:color w:val="000000"/>
                <w:kern w:val="0"/>
                <w:sz w:val="18"/>
                <w:szCs w:val="18"/>
                <w:lang w:eastAsia="nl-NL"/>
                <w14:ligatures w14:val="none"/>
              </w:rPr>
            </w:pPr>
            <w:r>
              <w:rPr>
                <w:rFonts w:ascii="Calibri" w:hAnsi="Calibri" w:eastAsia="Times New Roman" w:cs="Calibri"/>
                <w:b/>
                <w:bCs/>
                <w:color w:val="000000"/>
                <w:kern w:val="0"/>
                <w:sz w:val="18"/>
                <w:szCs w:val="18"/>
                <w:lang w:eastAsia="nl-NL"/>
                <w14:ligatures w14:val="none"/>
              </w:rPr>
              <w:t>90,3%</w:t>
            </w:r>
          </w:p>
        </w:tc>
        <w:tc>
          <w:tcPr>
            <w:tcW w:w="0" w:type="auto"/>
            <w:gridSpan w:val="4"/>
            <w:shd w:val="clear" w:color="auto" w:fill="FFFFFF" w:themeFill="background1"/>
            <w:noWrap/>
            <w:vAlign w:val="bottom"/>
          </w:tcPr>
          <w:p w:rsidRPr="00E01B89" w:rsidR="00FC7CA6" w:rsidP="00FC7CA6" w:rsidRDefault="000512F9" w14:paraId="6E451D4A" w14:textId="25EA485D">
            <w:pPr>
              <w:spacing w:after="0" w:line="240" w:lineRule="auto"/>
              <w:jc w:val="right"/>
              <w:rPr>
                <w:rFonts w:ascii="Calibri" w:hAnsi="Calibri" w:eastAsia="Times New Roman" w:cs="Calibri"/>
                <w:b/>
                <w:bCs/>
                <w:color w:val="000000"/>
                <w:kern w:val="0"/>
                <w:sz w:val="18"/>
                <w:szCs w:val="18"/>
                <w:lang w:eastAsia="nl-NL"/>
                <w14:ligatures w14:val="none"/>
              </w:rPr>
            </w:pPr>
            <w:r>
              <w:rPr>
                <w:rFonts w:ascii="Calibri" w:hAnsi="Calibri" w:eastAsia="Times New Roman" w:cs="Calibri"/>
                <w:b/>
                <w:bCs/>
                <w:color w:val="000000"/>
                <w:kern w:val="0"/>
                <w:sz w:val="18"/>
                <w:szCs w:val="18"/>
                <w:lang w:eastAsia="nl-NL"/>
                <w14:ligatures w14:val="none"/>
              </w:rPr>
              <w:t>90,3%</w:t>
            </w:r>
          </w:p>
        </w:tc>
        <w:tc>
          <w:tcPr>
            <w:tcW w:w="0" w:type="auto"/>
            <w:gridSpan w:val="4"/>
            <w:shd w:val="clear" w:color="auto" w:fill="FFFFFF" w:themeFill="background1"/>
            <w:noWrap/>
            <w:vAlign w:val="bottom"/>
          </w:tcPr>
          <w:p w:rsidRPr="00E01B89" w:rsidR="00FC7CA6" w:rsidP="00FC7CA6" w:rsidRDefault="000512F9" w14:paraId="6C819A9D" w14:textId="27E6CBB6">
            <w:pPr>
              <w:spacing w:after="0" w:line="240" w:lineRule="auto"/>
              <w:jc w:val="right"/>
              <w:rPr>
                <w:rFonts w:ascii="Calibri" w:hAnsi="Calibri" w:eastAsia="Times New Roman" w:cs="Calibri"/>
                <w:b/>
                <w:bCs/>
                <w:color w:val="000000"/>
                <w:kern w:val="0"/>
                <w:sz w:val="18"/>
                <w:szCs w:val="18"/>
                <w:lang w:eastAsia="nl-NL"/>
                <w14:ligatures w14:val="none"/>
              </w:rPr>
            </w:pPr>
            <w:r>
              <w:rPr>
                <w:rFonts w:ascii="Calibri" w:hAnsi="Calibri" w:eastAsia="Times New Roman" w:cs="Calibri"/>
                <w:b/>
                <w:bCs/>
                <w:color w:val="000000"/>
                <w:kern w:val="0"/>
                <w:sz w:val="18"/>
                <w:szCs w:val="18"/>
                <w:lang w:eastAsia="nl-NL"/>
                <w14:ligatures w14:val="none"/>
              </w:rPr>
              <w:t>90,3%</w:t>
            </w:r>
          </w:p>
        </w:tc>
      </w:tr>
      <w:tr w:rsidRPr="006E7A61" w:rsidR="00FC7CA6" w:rsidTr="005A3490" w14:paraId="3D7746DC" w14:textId="77777777">
        <w:trPr>
          <w:trHeight w:val="300"/>
        </w:trPr>
        <w:tc>
          <w:tcPr>
            <w:tcW w:w="0" w:type="auto"/>
            <w:shd w:val="clear" w:color="000000" w:fill="FFFFFF"/>
            <w:noWrap/>
            <w:vAlign w:val="bottom"/>
            <w:hideMark/>
          </w:tcPr>
          <w:p w:rsidRPr="00E01B89" w:rsidR="00FC7CA6" w:rsidP="00FC7CA6" w:rsidRDefault="00FC7CA6" w14:paraId="272709F2"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shd w:val="clear" w:color="000000" w:fill="FFFFFF"/>
            <w:noWrap/>
            <w:vAlign w:val="bottom"/>
            <w:hideMark/>
          </w:tcPr>
          <w:p w:rsidRPr="00E01B89" w:rsidR="00FC7CA6" w:rsidP="00FC7CA6" w:rsidRDefault="00FC7CA6" w14:paraId="1FB560E2"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shd w:val="clear" w:color="000000" w:fill="FFFFFF"/>
            <w:noWrap/>
            <w:vAlign w:val="bottom"/>
            <w:hideMark/>
          </w:tcPr>
          <w:p w:rsidRPr="00E01B89" w:rsidR="00FC7CA6" w:rsidP="00FC7CA6" w:rsidRDefault="00FC7CA6" w14:paraId="0C527B06"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shd w:val="clear" w:color="000000" w:fill="FFFFFF"/>
            <w:noWrap/>
            <w:vAlign w:val="bottom"/>
            <w:hideMark/>
          </w:tcPr>
          <w:p w:rsidRPr="00E01B89" w:rsidR="00FC7CA6" w:rsidP="00FC7CA6" w:rsidRDefault="00FC7CA6" w14:paraId="53463C24" w14:textId="1F45E34D">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shd w:val="clear" w:color="000000" w:fill="FFFFFF"/>
            <w:noWrap/>
            <w:vAlign w:val="bottom"/>
            <w:hideMark/>
          </w:tcPr>
          <w:p w:rsidRPr="00E01B89" w:rsidR="00FC7CA6" w:rsidP="00FC7CA6" w:rsidRDefault="00FC7CA6" w14:paraId="487E1C4D"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gridSpan w:val="2"/>
            <w:shd w:val="clear" w:color="000000" w:fill="FFFFFF"/>
            <w:noWrap/>
            <w:vAlign w:val="bottom"/>
            <w:hideMark/>
          </w:tcPr>
          <w:p w:rsidRPr="00E01B89" w:rsidR="00FC7CA6" w:rsidP="00FC7CA6" w:rsidRDefault="00FC7CA6" w14:paraId="29108D0B"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shd w:val="clear" w:color="000000" w:fill="FFFFFF"/>
            <w:noWrap/>
            <w:vAlign w:val="bottom"/>
            <w:hideMark/>
          </w:tcPr>
          <w:p w:rsidRPr="00E01B89" w:rsidR="00FC7CA6" w:rsidP="00FC7CA6" w:rsidRDefault="00FC7CA6" w14:paraId="7AFF9504"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gridSpan w:val="4"/>
            <w:shd w:val="clear" w:color="000000" w:fill="FFFFFF"/>
            <w:noWrap/>
            <w:vAlign w:val="bottom"/>
            <w:hideMark/>
          </w:tcPr>
          <w:p w:rsidRPr="00E01B89" w:rsidR="00FC7CA6" w:rsidP="00FC7CA6" w:rsidRDefault="00FC7CA6" w14:paraId="3A04B93C"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gridSpan w:val="4"/>
            <w:shd w:val="clear" w:color="000000" w:fill="FFFFFF"/>
            <w:noWrap/>
            <w:vAlign w:val="bottom"/>
            <w:hideMark/>
          </w:tcPr>
          <w:p w:rsidRPr="00E01B89" w:rsidR="00FC7CA6" w:rsidP="00FC7CA6" w:rsidRDefault="00FC7CA6" w14:paraId="6242F329"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r>
      <w:tr w:rsidRPr="006E7A61" w:rsidR="00FC7CA6" w:rsidTr="005A3490" w14:paraId="73C89997" w14:textId="77777777">
        <w:trPr>
          <w:trHeight w:val="600"/>
        </w:trPr>
        <w:tc>
          <w:tcPr>
            <w:tcW w:w="0" w:type="auto"/>
            <w:shd w:val="clear" w:color="000000" w:fill="9BC2E6"/>
            <w:vAlign w:val="center"/>
            <w:hideMark/>
          </w:tcPr>
          <w:p w:rsidRPr="00E01B89" w:rsidR="00FC7CA6" w:rsidP="00FC7CA6" w:rsidRDefault="00FC7CA6" w14:paraId="23E62D08"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Middeninkomen</w:t>
            </w:r>
            <w:r w:rsidRPr="00E01B89">
              <w:rPr>
                <w:rFonts w:ascii="Calibri" w:hAnsi="Calibri" w:eastAsia="Times New Roman" w:cs="Calibri"/>
                <w:b/>
                <w:bCs/>
                <w:color w:val="000000"/>
                <w:kern w:val="0"/>
                <w:sz w:val="18"/>
                <w:szCs w:val="18"/>
                <w:lang w:eastAsia="nl-NL"/>
                <w14:ligatures w14:val="none"/>
              </w:rPr>
              <w:br/>
            </w:r>
            <w:r w:rsidRPr="00E01B89">
              <w:rPr>
                <w:rFonts w:ascii="Calibri" w:hAnsi="Calibri" w:eastAsia="Times New Roman" w:cs="Calibri"/>
                <w:i/>
                <w:iCs/>
                <w:color w:val="000000"/>
                <w:kern w:val="0"/>
                <w:sz w:val="18"/>
                <w:szCs w:val="18"/>
                <w:lang w:eastAsia="nl-NL"/>
                <w14:ligatures w14:val="none"/>
              </w:rPr>
              <w:t>(1 x modaal in 2024)</w:t>
            </w:r>
          </w:p>
        </w:tc>
        <w:tc>
          <w:tcPr>
            <w:tcW w:w="0" w:type="auto"/>
            <w:shd w:val="clear" w:color="000000" w:fill="9BC2E6"/>
            <w:noWrap/>
            <w:vAlign w:val="center"/>
            <w:hideMark/>
          </w:tcPr>
          <w:p w:rsidRPr="00E01B89" w:rsidR="00FC7CA6" w:rsidP="00FC7CA6" w:rsidRDefault="00FC7CA6" w14:paraId="505A4DD8"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2023</w:t>
            </w:r>
          </w:p>
        </w:tc>
        <w:tc>
          <w:tcPr>
            <w:tcW w:w="0" w:type="auto"/>
            <w:shd w:val="clear" w:color="000000" w:fill="9BC2E6"/>
            <w:noWrap/>
            <w:vAlign w:val="center"/>
            <w:hideMark/>
          </w:tcPr>
          <w:p w:rsidRPr="00E01B89" w:rsidR="00FC7CA6" w:rsidP="00FC7CA6" w:rsidRDefault="00FC7CA6" w14:paraId="33692B51"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2024</w:t>
            </w:r>
          </w:p>
        </w:tc>
        <w:tc>
          <w:tcPr>
            <w:tcW w:w="0" w:type="auto"/>
            <w:shd w:val="clear" w:color="000000" w:fill="9BC2E6"/>
            <w:noWrap/>
            <w:vAlign w:val="center"/>
            <w:hideMark/>
          </w:tcPr>
          <w:p w:rsidRPr="00E01B89" w:rsidR="00FC7CA6" w:rsidP="00FC7CA6" w:rsidRDefault="00FC7CA6" w14:paraId="64AF7FB7" w14:textId="14783784">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2025</w:t>
            </w:r>
          </w:p>
        </w:tc>
        <w:tc>
          <w:tcPr>
            <w:tcW w:w="0" w:type="auto"/>
            <w:shd w:val="clear" w:color="000000" w:fill="9BC2E6"/>
            <w:noWrap/>
            <w:vAlign w:val="center"/>
            <w:hideMark/>
          </w:tcPr>
          <w:p w:rsidRPr="00E01B89" w:rsidR="00FC7CA6" w:rsidP="00FC7CA6" w:rsidRDefault="00FC7CA6" w14:paraId="3BC37FA6"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2026</w:t>
            </w:r>
          </w:p>
        </w:tc>
        <w:tc>
          <w:tcPr>
            <w:tcW w:w="0" w:type="auto"/>
            <w:gridSpan w:val="2"/>
            <w:shd w:val="clear" w:color="000000" w:fill="9BC2E6"/>
            <w:noWrap/>
            <w:vAlign w:val="center"/>
            <w:hideMark/>
          </w:tcPr>
          <w:p w:rsidRPr="00E01B89" w:rsidR="00FC7CA6" w:rsidP="00FC7CA6" w:rsidRDefault="00FC7CA6" w14:paraId="5604D9EC"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2027</w:t>
            </w:r>
          </w:p>
        </w:tc>
        <w:tc>
          <w:tcPr>
            <w:tcW w:w="0" w:type="auto"/>
            <w:shd w:val="clear" w:color="000000" w:fill="9BC2E6"/>
            <w:noWrap/>
            <w:vAlign w:val="center"/>
            <w:hideMark/>
          </w:tcPr>
          <w:p w:rsidRPr="00E01B89" w:rsidR="00FC7CA6" w:rsidP="00FC7CA6" w:rsidRDefault="00FC7CA6" w14:paraId="13290BAD"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2028</w:t>
            </w:r>
          </w:p>
        </w:tc>
        <w:tc>
          <w:tcPr>
            <w:tcW w:w="0" w:type="auto"/>
            <w:gridSpan w:val="4"/>
            <w:shd w:val="clear" w:color="000000" w:fill="9BC2E6"/>
            <w:noWrap/>
            <w:vAlign w:val="center"/>
            <w:hideMark/>
          </w:tcPr>
          <w:p w:rsidRPr="00E01B89" w:rsidR="00FC7CA6" w:rsidP="00FC7CA6" w:rsidRDefault="00FC7CA6" w14:paraId="28B1B6A1"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2029</w:t>
            </w:r>
          </w:p>
        </w:tc>
        <w:tc>
          <w:tcPr>
            <w:tcW w:w="0" w:type="auto"/>
            <w:gridSpan w:val="4"/>
            <w:shd w:val="clear" w:color="000000" w:fill="9BC2E6"/>
            <w:noWrap/>
            <w:vAlign w:val="center"/>
            <w:hideMark/>
          </w:tcPr>
          <w:p w:rsidRPr="00E01B89" w:rsidR="00FC7CA6" w:rsidP="00FC7CA6" w:rsidRDefault="00FC7CA6" w14:paraId="44B7FC9B"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2030</w:t>
            </w:r>
          </w:p>
        </w:tc>
      </w:tr>
      <w:tr w:rsidRPr="006E7A61" w:rsidR="00FC7CA6" w:rsidTr="00DB2A3F" w14:paraId="2ED1B5FE" w14:textId="77777777">
        <w:trPr>
          <w:trHeight w:val="300"/>
        </w:trPr>
        <w:tc>
          <w:tcPr>
            <w:tcW w:w="0" w:type="auto"/>
            <w:shd w:val="clear" w:color="000000" w:fill="FFFFFF"/>
            <w:noWrap/>
            <w:vAlign w:val="bottom"/>
            <w:hideMark/>
          </w:tcPr>
          <w:p w:rsidRPr="00E01B89" w:rsidR="00FC7CA6" w:rsidP="00FC7CA6" w:rsidRDefault="00FC7CA6" w14:paraId="1D3C9F49"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Kosten opvang per jaar:</w:t>
            </w:r>
          </w:p>
        </w:tc>
        <w:tc>
          <w:tcPr>
            <w:tcW w:w="0" w:type="auto"/>
            <w:shd w:val="clear" w:color="000000" w:fill="FFFFFF"/>
            <w:noWrap/>
            <w:vAlign w:val="bottom"/>
            <w:hideMark/>
          </w:tcPr>
          <w:p w:rsidRPr="00E01B89" w:rsidR="00FC7CA6" w:rsidP="00844ABB" w:rsidRDefault="00FC7CA6" w14:paraId="39B76A38"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€ 22.151</w:t>
            </w:r>
          </w:p>
        </w:tc>
        <w:tc>
          <w:tcPr>
            <w:tcW w:w="0" w:type="auto"/>
            <w:shd w:val="clear" w:color="000000" w:fill="FFFFFF"/>
            <w:noWrap/>
            <w:vAlign w:val="bottom"/>
            <w:hideMark/>
          </w:tcPr>
          <w:p w:rsidRPr="00E01B89" w:rsidR="00FC7CA6" w:rsidP="00844ABB" w:rsidRDefault="00FC7CA6" w14:paraId="4C72B0BF"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€ 24.024</w:t>
            </w:r>
          </w:p>
        </w:tc>
        <w:tc>
          <w:tcPr>
            <w:tcW w:w="0" w:type="auto"/>
            <w:shd w:val="clear" w:color="000000" w:fill="FFFFFF"/>
            <w:noWrap/>
            <w:vAlign w:val="bottom"/>
            <w:hideMark/>
          </w:tcPr>
          <w:p w:rsidRPr="00E01B89" w:rsidR="00FC7CA6" w:rsidP="00844ABB" w:rsidRDefault="00FC7CA6" w14:paraId="66F37763" w14:textId="2360F4B0">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€ 25.102</w:t>
            </w:r>
          </w:p>
        </w:tc>
        <w:tc>
          <w:tcPr>
            <w:tcW w:w="0" w:type="auto"/>
            <w:shd w:val="clear" w:color="000000" w:fill="FFFFFF"/>
            <w:noWrap/>
            <w:vAlign w:val="bottom"/>
            <w:hideMark/>
          </w:tcPr>
          <w:p w:rsidRPr="00E01B89" w:rsidR="00FC7CA6" w:rsidP="00844ABB" w:rsidRDefault="00FC7CA6" w14:paraId="2537EF4D"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€ 26.046</w:t>
            </w:r>
          </w:p>
        </w:tc>
        <w:tc>
          <w:tcPr>
            <w:tcW w:w="0" w:type="auto"/>
            <w:gridSpan w:val="2"/>
            <w:shd w:val="clear" w:color="000000" w:fill="FFFFFF"/>
            <w:noWrap/>
            <w:vAlign w:val="bottom"/>
            <w:hideMark/>
          </w:tcPr>
          <w:p w:rsidRPr="00E01B89" w:rsidR="00FC7CA6" w:rsidP="00844ABB" w:rsidRDefault="00FC7CA6" w14:paraId="6DE42ABF"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€ 27.020</w:t>
            </w:r>
          </w:p>
        </w:tc>
        <w:tc>
          <w:tcPr>
            <w:tcW w:w="0" w:type="auto"/>
            <w:shd w:val="clear" w:color="000000" w:fill="FFFFFF"/>
            <w:noWrap/>
            <w:vAlign w:val="bottom"/>
            <w:hideMark/>
          </w:tcPr>
          <w:p w:rsidRPr="00E01B89" w:rsidR="00FC7CA6" w:rsidP="00844ABB" w:rsidRDefault="00FC7CA6" w14:paraId="6548D00E"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€ 27.966</w:t>
            </w:r>
          </w:p>
        </w:tc>
        <w:tc>
          <w:tcPr>
            <w:tcW w:w="0" w:type="auto"/>
            <w:gridSpan w:val="4"/>
            <w:shd w:val="clear" w:color="000000" w:fill="FFFFFF"/>
            <w:noWrap/>
            <w:vAlign w:val="bottom"/>
            <w:hideMark/>
          </w:tcPr>
          <w:p w:rsidRPr="00E01B89" w:rsidR="00FC7CA6" w:rsidP="00844ABB" w:rsidRDefault="00FC7CA6" w14:paraId="35628DDE"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€ 28.956</w:t>
            </w:r>
          </w:p>
        </w:tc>
        <w:tc>
          <w:tcPr>
            <w:tcW w:w="0" w:type="auto"/>
            <w:gridSpan w:val="4"/>
            <w:shd w:val="clear" w:color="000000" w:fill="FFFFFF"/>
            <w:noWrap/>
            <w:vAlign w:val="bottom"/>
            <w:hideMark/>
          </w:tcPr>
          <w:p w:rsidRPr="00E01B89" w:rsidR="00FC7CA6" w:rsidP="00844ABB" w:rsidRDefault="00FC7CA6" w14:paraId="20E93CE4"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€ 29.981</w:t>
            </w:r>
          </w:p>
        </w:tc>
      </w:tr>
      <w:tr w:rsidRPr="006E7A61" w:rsidR="00FC7CA6" w:rsidTr="00DB2A3F" w14:paraId="66261A86" w14:textId="77777777">
        <w:trPr>
          <w:trHeight w:val="300"/>
        </w:trPr>
        <w:tc>
          <w:tcPr>
            <w:tcW w:w="0" w:type="auto"/>
            <w:shd w:val="clear" w:color="000000" w:fill="DDEBF7"/>
            <w:noWrap/>
            <w:vAlign w:val="bottom"/>
            <w:hideMark/>
          </w:tcPr>
          <w:p w:rsidRPr="00E01B89" w:rsidR="00FC7CA6" w:rsidP="00FC7CA6" w:rsidRDefault="00FC7CA6" w14:paraId="3E3FAFD5"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KOT/VKO per jaar:</w:t>
            </w:r>
          </w:p>
        </w:tc>
        <w:tc>
          <w:tcPr>
            <w:tcW w:w="0" w:type="auto"/>
            <w:shd w:val="clear" w:color="000000" w:fill="DDEBF7"/>
            <w:noWrap/>
            <w:vAlign w:val="bottom"/>
            <w:hideMark/>
          </w:tcPr>
          <w:p w:rsidRPr="00E01B89" w:rsidR="00FC7CA6" w:rsidP="00844ABB" w:rsidRDefault="00FC7CA6" w14:paraId="2C496110"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€ 18.968</w:t>
            </w:r>
          </w:p>
        </w:tc>
        <w:tc>
          <w:tcPr>
            <w:tcW w:w="0" w:type="auto"/>
            <w:shd w:val="clear" w:color="000000" w:fill="DDEBF7"/>
            <w:noWrap/>
            <w:vAlign w:val="bottom"/>
            <w:hideMark/>
          </w:tcPr>
          <w:p w:rsidRPr="00E01B89" w:rsidR="00FC7CA6" w:rsidP="00844ABB" w:rsidRDefault="00FC7CA6" w14:paraId="161D5EC2"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€ 21.318</w:t>
            </w:r>
          </w:p>
        </w:tc>
        <w:tc>
          <w:tcPr>
            <w:tcW w:w="0" w:type="auto"/>
            <w:shd w:val="clear" w:color="000000" w:fill="DDEBF7"/>
            <w:noWrap/>
            <w:vAlign w:val="bottom"/>
            <w:hideMark/>
          </w:tcPr>
          <w:p w:rsidRPr="00E01B89" w:rsidR="00FC7CA6" w:rsidP="00844ABB" w:rsidRDefault="00FC7CA6" w14:paraId="7FC8F7F0" w14:textId="2F4F8D8E">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€ 23.524</w:t>
            </w:r>
          </w:p>
        </w:tc>
        <w:tc>
          <w:tcPr>
            <w:tcW w:w="0" w:type="auto"/>
            <w:shd w:val="clear" w:color="000000" w:fill="DDEBF7"/>
            <w:noWrap/>
            <w:vAlign w:val="bottom"/>
            <w:hideMark/>
          </w:tcPr>
          <w:p w:rsidRPr="00E01B89" w:rsidR="00FC7CA6" w:rsidP="00844ABB" w:rsidRDefault="00FC7CA6" w14:paraId="5BDCAC9E"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€ 23.524</w:t>
            </w:r>
          </w:p>
        </w:tc>
        <w:tc>
          <w:tcPr>
            <w:tcW w:w="0" w:type="auto"/>
            <w:gridSpan w:val="2"/>
            <w:shd w:val="clear" w:color="000000" w:fill="DDEBF7"/>
            <w:noWrap/>
            <w:vAlign w:val="bottom"/>
            <w:hideMark/>
          </w:tcPr>
          <w:p w:rsidRPr="00E01B89" w:rsidR="00FC7CA6" w:rsidP="00844ABB" w:rsidRDefault="00FC7CA6" w14:paraId="3BD7221C"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€ 24.404</w:t>
            </w:r>
          </w:p>
        </w:tc>
        <w:tc>
          <w:tcPr>
            <w:tcW w:w="0" w:type="auto"/>
            <w:shd w:val="clear" w:color="000000" w:fill="DDEBF7"/>
            <w:noWrap/>
            <w:vAlign w:val="bottom"/>
            <w:hideMark/>
          </w:tcPr>
          <w:p w:rsidRPr="00E01B89" w:rsidR="00FC7CA6" w:rsidP="00844ABB" w:rsidRDefault="00FC7CA6" w14:paraId="4744578D"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€ 25.258</w:t>
            </w:r>
          </w:p>
        </w:tc>
        <w:tc>
          <w:tcPr>
            <w:tcW w:w="0" w:type="auto"/>
            <w:gridSpan w:val="4"/>
            <w:shd w:val="clear" w:color="000000" w:fill="DDEBF7"/>
            <w:noWrap/>
            <w:vAlign w:val="bottom"/>
            <w:hideMark/>
          </w:tcPr>
          <w:p w:rsidRPr="00E01B89" w:rsidR="00FC7CA6" w:rsidP="00844ABB" w:rsidRDefault="00FC7CA6" w14:paraId="23DF8BB9"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€ 26.152</w:t>
            </w:r>
          </w:p>
        </w:tc>
        <w:tc>
          <w:tcPr>
            <w:tcW w:w="0" w:type="auto"/>
            <w:gridSpan w:val="4"/>
            <w:shd w:val="clear" w:color="000000" w:fill="DDEBF7"/>
            <w:noWrap/>
            <w:vAlign w:val="bottom"/>
            <w:hideMark/>
          </w:tcPr>
          <w:p w:rsidRPr="00E01B89" w:rsidR="00FC7CA6" w:rsidP="00844ABB" w:rsidRDefault="00FC7CA6" w14:paraId="52000755"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€ 27.078</w:t>
            </w:r>
          </w:p>
        </w:tc>
      </w:tr>
      <w:tr w:rsidRPr="006E7A61" w:rsidR="00FC7CA6" w:rsidTr="00DB2A3F" w14:paraId="5193B6EB" w14:textId="77777777">
        <w:trPr>
          <w:trHeight w:val="300"/>
        </w:trPr>
        <w:tc>
          <w:tcPr>
            <w:tcW w:w="0" w:type="auto"/>
            <w:shd w:val="clear" w:color="000000" w:fill="FFFFFF"/>
            <w:noWrap/>
            <w:vAlign w:val="bottom"/>
            <w:hideMark/>
          </w:tcPr>
          <w:p w:rsidRPr="00E01B89" w:rsidR="00FC7CA6" w:rsidP="00FC7CA6" w:rsidRDefault="00FC7CA6" w14:paraId="5ED46DEE"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Eigen bijdrage per jaar:</w:t>
            </w:r>
          </w:p>
        </w:tc>
        <w:tc>
          <w:tcPr>
            <w:tcW w:w="0" w:type="auto"/>
            <w:shd w:val="clear" w:color="000000" w:fill="FFFFFF"/>
            <w:noWrap/>
            <w:vAlign w:val="bottom"/>
            <w:hideMark/>
          </w:tcPr>
          <w:p w:rsidRPr="00E01B89" w:rsidR="00FC7CA6" w:rsidP="00844ABB" w:rsidRDefault="00FC7CA6" w14:paraId="168A28D7"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€ 3.183</w:t>
            </w:r>
          </w:p>
        </w:tc>
        <w:tc>
          <w:tcPr>
            <w:tcW w:w="0" w:type="auto"/>
            <w:shd w:val="clear" w:color="000000" w:fill="FFFFFF"/>
            <w:noWrap/>
            <w:vAlign w:val="bottom"/>
            <w:hideMark/>
          </w:tcPr>
          <w:p w:rsidRPr="00E01B89" w:rsidR="00FC7CA6" w:rsidP="00844ABB" w:rsidRDefault="00FC7CA6" w14:paraId="4D4D90BA"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€ 2.706</w:t>
            </w:r>
          </w:p>
        </w:tc>
        <w:tc>
          <w:tcPr>
            <w:tcW w:w="0" w:type="auto"/>
            <w:shd w:val="clear" w:color="000000" w:fill="FFFFFF"/>
            <w:noWrap/>
            <w:vAlign w:val="bottom"/>
            <w:hideMark/>
          </w:tcPr>
          <w:p w:rsidRPr="00E01B89" w:rsidR="00FC7CA6" w:rsidP="00844ABB" w:rsidRDefault="00FC7CA6" w14:paraId="33B61A7E" w14:textId="1B4E1564">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€ 1.578</w:t>
            </w:r>
          </w:p>
        </w:tc>
        <w:tc>
          <w:tcPr>
            <w:tcW w:w="0" w:type="auto"/>
            <w:shd w:val="clear" w:color="000000" w:fill="FFFFFF"/>
            <w:noWrap/>
            <w:vAlign w:val="bottom"/>
            <w:hideMark/>
          </w:tcPr>
          <w:p w:rsidRPr="00E01B89" w:rsidR="00FC7CA6" w:rsidP="00844ABB" w:rsidRDefault="00FC7CA6" w14:paraId="6C233554"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€ 2.522</w:t>
            </w:r>
          </w:p>
        </w:tc>
        <w:tc>
          <w:tcPr>
            <w:tcW w:w="0" w:type="auto"/>
            <w:gridSpan w:val="2"/>
            <w:shd w:val="clear" w:color="000000" w:fill="FFFFFF"/>
            <w:noWrap/>
            <w:vAlign w:val="bottom"/>
            <w:hideMark/>
          </w:tcPr>
          <w:p w:rsidRPr="00E01B89" w:rsidR="00FC7CA6" w:rsidP="00844ABB" w:rsidRDefault="00FC7CA6" w14:paraId="1DC1C464"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€ 2.616</w:t>
            </w:r>
          </w:p>
        </w:tc>
        <w:tc>
          <w:tcPr>
            <w:tcW w:w="0" w:type="auto"/>
            <w:shd w:val="clear" w:color="000000" w:fill="FFFFFF"/>
            <w:noWrap/>
            <w:vAlign w:val="bottom"/>
            <w:hideMark/>
          </w:tcPr>
          <w:p w:rsidRPr="00E01B89" w:rsidR="00FC7CA6" w:rsidP="00844ABB" w:rsidRDefault="00FC7CA6" w14:paraId="2D97E0F5"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€ 2.708</w:t>
            </w:r>
          </w:p>
        </w:tc>
        <w:tc>
          <w:tcPr>
            <w:tcW w:w="0" w:type="auto"/>
            <w:gridSpan w:val="4"/>
            <w:shd w:val="clear" w:color="000000" w:fill="FFFFFF"/>
            <w:noWrap/>
            <w:vAlign w:val="bottom"/>
            <w:hideMark/>
          </w:tcPr>
          <w:p w:rsidRPr="00E01B89" w:rsidR="00FC7CA6" w:rsidP="00844ABB" w:rsidRDefault="00FC7CA6" w14:paraId="369DEC6C"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€ 2.803</w:t>
            </w:r>
          </w:p>
        </w:tc>
        <w:tc>
          <w:tcPr>
            <w:tcW w:w="0" w:type="auto"/>
            <w:gridSpan w:val="4"/>
            <w:shd w:val="clear" w:color="000000" w:fill="FFFFFF"/>
            <w:noWrap/>
            <w:vAlign w:val="bottom"/>
            <w:hideMark/>
          </w:tcPr>
          <w:p w:rsidRPr="00E01B89" w:rsidR="00FC7CA6" w:rsidP="00844ABB" w:rsidRDefault="00FC7CA6" w14:paraId="6383C7C5"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€ 2.903</w:t>
            </w:r>
          </w:p>
        </w:tc>
      </w:tr>
      <w:tr w:rsidRPr="005A3490" w:rsidR="000512F9" w:rsidTr="00DB2A3F" w14:paraId="67D633CC" w14:textId="77777777">
        <w:trPr>
          <w:trHeight w:val="300"/>
        </w:trPr>
        <w:tc>
          <w:tcPr>
            <w:tcW w:w="0" w:type="auto"/>
            <w:shd w:val="clear" w:color="000000" w:fill="DDEBF7"/>
            <w:noWrap/>
            <w:vAlign w:val="bottom"/>
            <w:hideMark/>
          </w:tcPr>
          <w:p w:rsidRPr="00E01B89" w:rsidR="000512F9" w:rsidP="000512F9" w:rsidRDefault="000512F9" w14:paraId="2ADD33DB" w14:textId="5C21DA3C">
            <w:pPr>
              <w:spacing w:after="0" w:line="240" w:lineRule="auto"/>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Percentage eigen bijdrage:</w:t>
            </w:r>
          </w:p>
        </w:tc>
        <w:tc>
          <w:tcPr>
            <w:tcW w:w="0" w:type="auto"/>
            <w:shd w:val="clear" w:color="000000" w:fill="DDEBF7"/>
            <w:noWrap/>
            <w:vAlign w:val="bottom"/>
            <w:hideMark/>
          </w:tcPr>
          <w:p w:rsidRPr="00E01B89" w:rsidR="000512F9" w:rsidP="00844ABB" w:rsidRDefault="000512F9" w14:paraId="031B3446" w14:textId="19BE16D3">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14,4%</w:t>
            </w:r>
          </w:p>
        </w:tc>
        <w:tc>
          <w:tcPr>
            <w:tcW w:w="0" w:type="auto"/>
            <w:shd w:val="clear" w:color="000000" w:fill="DDEBF7"/>
            <w:noWrap/>
            <w:vAlign w:val="bottom"/>
            <w:hideMark/>
          </w:tcPr>
          <w:p w:rsidRPr="00E01B89" w:rsidR="000512F9" w:rsidP="00844ABB" w:rsidRDefault="000512F9" w14:paraId="45B1217E" w14:textId="2C7E6D20">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11,3%</w:t>
            </w:r>
          </w:p>
        </w:tc>
        <w:tc>
          <w:tcPr>
            <w:tcW w:w="0" w:type="auto"/>
            <w:shd w:val="clear" w:color="000000" w:fill="DDEBF7"/>
            <w:noWrap/>
            <w:vAlign w:val="bottom"/>
            <w:hideMark/>
          </w:tcPr>
          <w:p w:rsidRPr="00E01B89" w:rsidR="000512F9" w:rsidP="00844ABB" w:rsidRDefault="000512F9" w14:paraId="375EC43B" w14:textId="092D419D">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6,3%</w:t>
            </w:r>
          </w:p>
        </w:tc>
        <w:tc>
          <w:tcPr>
            <w:tcW w:w="0" w:type="auto"/>
            <w:shd w:val="clear" w:color="000000" w:fill="DDEBF7"/>
            <w:noWrap/>
            <w:vAlign w:val="bottom"/>
            <w:hideMark/>
          </w:tcPr>
          <w:p w:rsidRPr="00E01B89" w:rsidR="000512F9" w:rsidP="00844ABB" w:rsidRDefault="000512F9" w14:paraId="499AD3AA" w14:textId="283AE779">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9,7%</w:t>
            </w:r>
          </w:p>
        </w:tc>
        <w:tc>
          <w:tcPr>
            <w:tcW w:w="0" w:type="auto"/>
            <w:gridSpan w:val="2"/>
            <w:shd w:val="clear" w:color="000000" w:fill="DDEBF7"/>
            <w:noWrap/>
            <w:vAlign w:val="bottom"/>
            <w:hideMark/>
          </w:tcPr>
          <w:p w:rsidRPr="00E01B89" w:rsidR="000512F9" w:rsidP="00844ABB" w:rsidRDefault="000512F9" w14:paraId="53B6FE7E" w14:textId="76CED2B6">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9,7%</w:t>
            </w:r>
          </w:p>
        </w:tc>
        <w:tc>
          <w:tcPr>
            <w:tcW w:w="0" w:type="auto"/>
            <w:shd w:val="clear" w:color="000000" w:fill="DDEBF7"/>
            <w:noWrap/>
            <w:vAlign w:val="bottom"/>
            <w:hideMark/>
          </w:tcPr>
          <w:p w:rsidRPr="00E01B89" w:rsidR="000512F9" w:rsidP="00844ABB" w:rsidRDefault="000512F9" w14:paraId="2E4E0A88" w14:textId="77769470">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9,7%</w:t>
            </w:r>
          </w:p>
        </w:tc>
        <w:tc>
          <w:tcPr>
            <w:tcW w:w="0" w:type="auto"/>
            <w:gridSpan w:val="4"/>
            <w:shd w:val="clear" w:color="000000" w:fill="DDEBF7"/>
            <w:noWrap/>
            <w:vAlign w:val="bottom"/>
            <w:hideMark/>
          </w:tcPr>
          <w:p w:rsidRPr="00E01B89" w:rsidR="000512F9" w:rsidP="00844ABB" w:rsidRDefault="000512F9" w14:paraId="02F6C652" w14:textId="1B298480">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9,7%</w:t>
            </w:r>
          </w:p>
        </w:tc>
        <w:tc>
          <w:tcPr>
            <w:tcW w:w="0" w:type="auto"/>
            <w:gridSpan w:val="4"/>
            <w:shd w:val="clear" w:color="000000" w:fill="DDEBF7"/>
            <w:noWrap/>
            <w:vAlign w:val="bottom"/>
            <w:hideMark/>
          </w:tcPr>
          <w:p w:rsidRPr="00E01B89" w:rsidR="000512F9" w:rsidP="00844ABB" w:rsidRDefault="000512F9" w14:paraId="5022F322" w14:textId="22CCE710">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9,7%</w:t>
            </w:r>
          </w:p>
        </w:tc>
      </w:tr>
      <w:tr w:rsidRPr="005A3490" w:rsidR="005A3490" w:rsidTr="00DB2A3F" w14:paraId="46E3C05E" w14:textId="77777777">
        <w:trPr>
          <w:trHeight w:val="300"/>
        </w:trPr>
        <w:tc>
          <w:tcPr>
            <w:tcW w:w="0" w:type="auto"/>
            <w:shd w:val="clear" w:color="auto" w:fill="FFFFFF" w:themeFill="background1"/>
            <w:noWrap/>
            <w:vAlign w:val="bottom"/>
          </w:tcPr>
          <w:p w:rsidRPr="00E01B89" w:rsidR="000512F9" w:rsidP="000512F9" w:rsidRDefault="000512F9" w14:paraId="70B389AE" w14:textId="48324F92">
            <w:pPr>
              <w:spacing w:after="0" w:line="240" w:lineRule="auto"/>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 xml:space="preserve">Percentage </w:t>
            </w:r>
            <w:r>
              <w:rPr>
                <w:rFonts w:ascii="Calibri" w:hAnsi="Calibri" w:eastAsia="Times New Roman" w:cs="Calibri"/>
                <w:b/>
                <w:bCs/>
                <w:color w:val="000000"/>
                <w:kern w:val="0"/>
                <w:sz w:val="18"/>
                <w:szCs w:val="18"/>
                <w:lang w:eastAsia="nl-NL"/>
                <w14:ligatures w14:val="none"/>
              </w:rPr>
              <w:t>overheids</w:t>
            </w:r>
            <w:r w:rsidRPr="00E01B89">
              <w:rPr>
                <w:rFonts w:ascii="Calibri" w:hAnsi="Calibri" w:eastAsia="Times New Roman" w:cs="Calibri"/>
                <w:b/>
                <w:bCs/>
                <w:color w:val="000000"/>
                <w:kern w:val="0"/>
                <w:sz w:val="18"/>
                <w:szCs w:val="18"/>
                <w:lang w:eastAsia="nl-NL"/>
                <w14:ligatures w14:val="none"/>
              </w:rPr>
              <w:t>bijdrage:</w:t>
            </w:r>
          </w:p>
        </w:tc>
        <w:tc>
          <w:tcPr>
            <w:tcW w:w="0" w:type="auto"/>
            <w:shd w:val="clear" w:color="auto" w:fill="FFFFFF" w:themeFill="background1"/>
            <w:noWrap/>
            <w:vAlign w:val="bottom"/>
          </w:tcPr>
          <w:p w:rsidRPr="00E01B89" w:rsidR="000512F9" w:rsidP="00844ABB" w:rsidRDefault="000512F9" w14:paraId="32B5C6BC" w14:textId="087BD66A">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85,6%</w:t>
            </w:r>
          </w:p>
        </w:tc>
        <w:tc>
          <w:tcPr>
            <w:tcW w:w="0" w:type="auto"/>
            <w:shd w:val="clear" w:color="auto" w:fill="FFFFFF" w:themeFill="background1"/>
            <w:noWrap/>
            <w:vAlign w:val="bottom"/>
          </w:tcPr>
          <w:p w:rsidRPr="00E01B89" w:rsidR="000512F9" w:rsidP="00844ABB" w:rsidRDefault="000512F9" w14:paraId="0295D652" w14:textId="11DD4B25">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88,7%</w:t>
            </w:r>
          </w:p>
        </w:tc>
        <w:tc>
          <w:tcPr>
            <w:tcW w:w="0" w:type="auto"/>
            <w:shd w:val="clear" w:color="auto" w:fill="FFFFFF" w:themeFill="background1"/>
            <w:noWrap/>
            <w:vAlign w:val="bottom"/>
          </w:tcPr>
          <w:p w:rsidRPr="00E01B89" w:rsidR="000512F9" w:rsidP="00844ABB" w:rsidRDefault="000512F9" w14:paraId="494BA7DC" w14:textId="71988B7A">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93,7%</w:t>
            </w:r>
          </w:p>
        </w:tc>
        <w:tc>
          <w:tcPr>
            <w:tcW w:w="0" w:type="auto"/>
            <w:shd w:val="clear" w:color="auto" w:fill="FFFFFF" w:themeFill="background1"/>
            <w:noWrap/>
            <w:vAlign w:val="bottom"/>
          </w:tcPr>
          <w:p w:rsidRPr="00E01B89" w:rsidR="000512F9" w:rsidP="00844ABB" w:rsidRDefault="000512F9" w14:paraId="767372DF" w14:textId="042BBAA4">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90,3%</w:t>
            </w:r>
          </w:p>
        </w:tc>
        <w:tc>
          <w:tcPr>
            <w:tcW w:w="0" w:type="auto"/>
            <w:gridSpan w:val="2"/>
            <w:shd w:val="clear" w:color="auto" w:fill="FFFFFF" w:themeFill="background1"/>
            <w:noWrap/>
            <w:vAlign w:val="bottom"/>
          </w:tcPr>
          <w:p w:rsidRPr="00E01B89" w:rsidR="000512F9" w:rsidP="00844ABB" w:rsidRDefault="000512F9" w14:paraId="460ABE96" w14:textId="1CA3C7AC">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90,3%</w:t>
            </w:r>
          </w:p>
        </w:tc>
        <w:tc>
          <w:tcPr>
            <w:tcW w:w="0" w:type="auto"/>
            <w:shd w:val="clear" w:color="auto" w:fill="FFFFFF" w:themeFill="background1"/>
            <w:noWrap/>
            <w:vAlign w:val="bottom"/>
          </w:tcPr>
          <w:p w:rsidRPr="00E01B89" w:rsidR="000512F9" w:rsidP="00844ABB" w:rsidRDefault="000512F9" w14:paraId="253E57C9" w14:textId="522FDDC3">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90,3%</w:t>
            </w:r>
          </w:p>
        </w:tc>
        <w:tc>
          <w:tcPr>
            <w:tcW w:w="0" w:type="auto"/>
            <w:gridSpan w:val="4"/>
            <w:shd w:val="clear" w:color="auto" w:fill="FFFFFF" w:themeFill="background1"/>
            <w:noWrap/>
            <w:vAlign w:val="bottom"/>
          </w:tcPr>
          <w:p w:rsidRPr="00E01B89" w:rsidR="000512F9" w:rsidP="00844ABB" w:rsidRDefault="000512F9" w14:paraId="63BA84F2" w14:textId="115B583C">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90,3%</w:t>
            </w:r>
          </w:p>
        </w:tc>
        <w:tc>
          <w:tcPr>
            <w:tcW w:w="0" w:type="auto"/>
            <w:gridSpan w:val="4"/>
            <w:shd w:val="clear" w:color="auto" w:fill="FFFFFF" w:themeFill="background1"/>
            <w:noWrap/>
            <w:vAlign w:val="bottom"/>
          </w:tcPr>
          <w:p w:rsidRPr="00E01B89" w:rsidR="000512F9" w:rsidP="00844ABB" w:rsidRDefault="000512F9" w14:paraId="058B2A55" w14:textId="7854B9D4">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90,3%</w:t>
            </w:r>
          </w:p>
        </w:tc>
      </w:tr>
      <w:tr w:rsidRPr="006E7A61" w:rsidR="00FC7CA6" w:rsidTr="005A3490" w14:paraId="52D3F654" w14:textId="77777777">
        <w:trPr>
          <w:trHeight w:val="300"/>
        </w:trPr>
        <w:tc>
          <w:tcPr>
            <w:tcW w:w="0" w:type="auto"/>
            <w:shd w:val="clear" w:color="000000" w:fill="FFFFFF"/>
            <w:noWrap/>
            <w:vAlign w:val="bottom"/>
            <w:hideMark/>
          </w:tcPr>
          <w:p w:rsidRPr="00E01B89" w:rsidR="00FC7CA6" w:rsidP="00FC7CA6" w:rsidRDefault="00FC7CA6" w14:paraId="1F8DFECA"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shd w:val="clear" w:color="000000" w:fill="FFFFFF"/>
            <w:noWrap/>
            <w:vAlign w:val="bottom"/>
            <w:hideMark/>
          </w:tcPr>
          <w:p w:rsidRPr="00E01B89" w:rsidR="00FC7CA6" w:rsidP="00FC7CA6" w:rsidRDefault="00FC7CA6" w14:paraId="25745185"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shd w:val="clear" w:color="000000" w:fill="FFFFFF"/>
            <w:noWrap/>
            <w:vAlign w:val="bottom"/>
            <w:hideMark/>
          </w:tcPr>
          <w:p w:rsidRPr="00E01B89" w:rsidR="00FC7CA6" w:rsidP="00FC7CA6" w:rsidRDefault="00FC7CA6" w14:paraId="7A680F63"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shd w:val="clear" w:color="000000" w:fill="FFFFFF"/>
            <w:noWrap/>
            <w:vAlign w:val="bottom"/>
            <w:hideMark/>
          </w:tcPr>
          <w:p w:rsidRPr="00E01B89" w:rsidR="00FC7CA6" w:rsidP="00FC7CA6" w:rsidRDefault="00FC7CA6" w14:paraId="05235263" w14:textId="6FE78F1B">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shd w:val="clear" w:color="000000" w:fill="FFFFFF"/>
            <w:noWrap/>
            <w:vAlign w:val="bottom"/>
            <w:hideMark/>
          </w:tcPr>
          <w:p w:rsidRPr="00E01B89" w:rsidR="00FC7CA6" w:rsidP="00FC7CA6" w:rsidRDefault="00FC7CA6" w14:paraId="371C5889"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gridSpan w:val="2"/>
            <w:shd w:val="clear" w:color="000000" w:fill="FFFFFF"/>
            <w:noWrap/>
            <w:vAlign w:val="bottom"/>
            <w:hideMark/>
          </w:tcPr>
          <w:p w:rsidRPr="00E01B89" w:rsidR="00FC7CA6" w:rsidP="00FC7CA6" w:rsidRDefault="00FC7CA6" w14:paraId="557D5EED"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shd w:val="clear" w:color="000000" w:fill="FFFFFF"/>
            <w:noWrap/>
            <w:vAlign w:val="bottom"/>
            <w:hideMark/>
          </w:tcPr>
          <w:p w:rsidRPr="00E01B89" w:rsidR="00FC7CA6" w:rsidP="00FC7CA6" w:rsidRDefault="00FC7CA6" w14:paraId="45AF9E29"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gridSpan w:val="4"/>
            <w:shd w:val="clear" w:color="000000" w:fill="FFFFFF"/>
            <w:noWrap/>
            <w:vAlign w:val="bottom"/>
            <w:hideMark/>
          </w:tcPr>
          <w:p w:rsidRPr="00E01B89" w:rsidR="00FC7CA6" w:rsidP="00FC7CA6" w:rsidRDefault="00FC7CA6" w14:paraId="7D537298"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gridSpan w:val="4"/>
            <w:shd w:val="clear" w:color="000000" w:fill="FFFFFF"/>
            <w:noWrap/>
            <w:vAlign w:val="bottom"/>
            <w:hideMark/>
          </w:tcPr>
          <w:p w:rsidRPr="00E01B89" w:rsidR="00FC7CA6" w:rsidP="00FC7CA6" w:rsidRDefault="00FC7CA6" w14:paraId="05601A0C"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r>
      <w:tr w:rsidRPr="006E7A61" w:rsidR="00FC7CA6" w:rsidTr="005A3490" w14:paraId="302647F9" w14:textId="77777777">
        <w:trPr>
          <w:trHeight w:val="600"/>
        </w:trPr>
        <w:tc>
          <w:tcPr>
            <w:tcW w:w="0" w:type="auto"/>
            <w:shd w:val="clear" w:color="000000" w:fill="9BC2E6"/>
            <w:vAlign w:val="center"/>
            <w:hideMark/>
          </w:tcPr>
          <w:p w:rsidRPr="00E01B89" w:rsidR="00FC7CA6" w:rsidP="00FC7CA6" w:rsidRDefault="00FC7CA6" w14:paraId="289DE8A8"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Middeninkomen</w:t>
            </w:r>
            <w:r w:rsidRPr="00E01B89">
              <w:rPr>
                <w:rFonts w:ascii="Calibri" w:hAnsi="Calibri" w:eastAsia="Times New Roman" w:cs="Calibri"/>
                <w:b/>
                <w:bCs/>
                <w:color w:val="000000"/>
                <w:kern w:val="0"/>
                <w:sz w:val="18"/>
                <w:szCs w:val="18"/>
                <w:lang w:eastAsia="nl-NL"/>
                <w14:ligatures w14:val="none"/>
              </w:rPr>
              <w:br/>
            </w:r>
            <w:r w:rsidRPr="00E01B89">
              <w:rPr>
                <w:rFonts w:ascii="Calibri" w:hAnsi="Calibri" w:eastAsia="Times New Roman" w:cs="Calibri"/>
                <w:i/>
                <w:iCs/>
                <w:color w:val="000000"/>
                <w:kern w:val="0"/>
                <w:sz w:val="18"/>
                <w:szCs w:val="18"/>
                <w:lang w:eastAsia="nl-NL"/>
                <w14:ligatures w14:val="none"/>
              </w:rPr>
              <w:t>(2 x modaal in 2024)</w:t>
            </w:r>
          </w:p>
        </w:tc>
        <w:tc>
          <w:tcPr>
            <w:tcW w:w="0" w:type="auto"/>
            <w:shd w:val="clear" w:color="000000" w:fill="9BC2E6"/>
            <w:noWrap/>
            <w:vAlign w:val="center"/>
            <w:hideMark/>
          </w:tcPr>
          <w:p w:rsidRPr="00E01B89" w:rsidR="00FC7CA6" w:rsidP="00FC7CA6" w:rsidRDefault="00FC7CA6" w14:paraId="4CF33D56"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2023</w:t>
            </w:r>
          </w:p>
        </w:tc>
        <w:tc>
          <w:tcPr>
            <w:tcW w:w="0" w:type="auto"/>
            <w:shd w:val="clear" w:color="000000" w:fill="9BC2E6"/>
            <w:noWrap/>
            <w:vAlign w:val="center"/>
            <w:hideMark/>
          </w:tcPr>
          <w:p w:rsidRPr="00E01B89" w:rsidR="00FC7CA6" w:rsidP="00FC7CA6" w:rsidRDefault="00FC7CA6" w14:paraId="2A84F0F3"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2024</w:t>
            </w:r>
          </w:p>
        </w:tc>
        <w:tc>
          <w:tcPr>
            <w:tcW w:w="0" w:type="auto"/>
            <w:shd w:val="clear" w:color="000000" w:fill="9BC2E6"/>
            <w:noWrap/>
            <w:vAlign w:val="center"/>
            <w:hideMark/>
          </w:tcPr>
          <w:p w:rsidRPr="00E01B89" w:rsidR="00FC7CA6" w:rsidP="00FC7CA6" w:rsidRDefault="00FC7CA6" w14:paraId="491C528C" w14:textId="78637F1D">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2025</w:t>
            </w:r>
          </w:p>
        </w:tc>
        <w:tc>
          <w:tcPr>
            <w:tcW w:w="0" w:type="auto"/>
            <w:shd w:val="clear" w:color="000000" w:fill="9BC2E6"/>
            <w:noWrap/>
            <w:vAlign w:val="center"/>
            <w:hideMark/>
          </w:tcPr>
          <w:p w:rsidRPr="00E01B89" w:rsidR="00FC7CA6" w:rsidP="00FC7CA6" w:rsidRDefault="00FC7CA6" w14:paraId="5E97AE82"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2026</w:t>
            </w:r>
          </w:p>
        </w:tc>
        <w:tc>
          <w:tcPr>
            <w:tcW w:w="0" w:type="auto"/>
            <w:gridSpan w:val="2"/>
            <w:shd w:val="clear" w:color="000000" w:fill="9BC2E6"/>
            <w:noWrap/>
            <w:vAlign w:val="center"/>
            <w:hideMark/>
          </w:tcPr>
          <w:p w:rsidRPr="00E01B89" w:rsidR="00FC7CA6" w:rsidP="00FC7CA6" w:rsidRDefault="00FC7CA6" w14:paraId="7C0E8F68"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2027</w:t>
            </w:r>
          </w:p>
        </w:tc>
        <w:tc>
          <w:tcPr>
            <w:tcW w:w="0" w:type="auto"/>
            <w:shd w:val="clear" w:color="000000" w:fill="9BC2E6"/>
            <w:noWrap/>
            <w:vAlign w:val="center"/>
            <w:hideMark/>
          </w:tcPr>
          <w:p w:rsidRPr="00E01B89" w:rsidR="00FC7CA6" w:rsidP="00FC7CA6" w:rsidRDefault="00FC7CA6" w14:paraId="55A09559"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2028</w:t>
            </w:r>
          </w:p>
        </w:tc>
        <w:tc>
          <w:tcPr>
            <w:tcW w:w="0" w:type="auto"/>
            <w:gridSpan w:val="4"/>
            <w:shd w:val="clear" w:color="000000" w:fill="9BC2E6"/>
            <w:noWrap/>
            <w:vAlign w:val="center"/>
            <w:hideMark/>
          </w:tcPr>
          <w:p w:rsidRPr="00E01B89" w:rsidR="00FC7CA6" w:rsidP="00FC7CA6" w:rsidRDefault="00FC7CA6" w14:paraId="0C8E47E2"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2029</w:t>
            </w:r>
          </w:p>
        </w:tc>
        <w:tc>
          <w:tcPr>
            <w:tcW w:w="0" w:type="auto"/>
            <w:gridSpan w:val="4"/>
            <w:shd w:val="clear" w:color="000000" w:fill="9BC2E6"/>
            <w:noWrap/>
            <w:vAlign w:val="center"/>
            <w:hideMark/>
          </w:tcPr>
          <w:p w:rsidRPr="00E01B89" w:rsidR="00FC7CA6" w:rsidP="00FC7CA6" w:rsidRDefault="00FC7CA6" w14:paraId="496866B1"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2030</w:t>
            </w:r>
          </w:p>
        </w:tc>
      </w:tr>
      <w:tr w:rsidRPr="006E7A61" w:rsidR="00FC7CA6" w:rsidTr="00DB2A3F" w14:paraId="24659293" w14:textId="77777777">
        <w:trPr>
          <w:trHeight w:val="300"/>
        </w:trPr>
        <w:tc>
          <w:tcPr>
            <w:tcW w:w="0" w:type="auto"/>
            <w:shd w:val="clear" w:color="000000" w:fill="FFFFFF"/>
            <w:noWrap/>
            <w:vAlign w:val="bottom"/>
            <w:hideMark/>
          </w:tcPr>
          <w:p w:rsidRPr="00E01B89" w:rsidR="00FC7CA6" w:rsidP="00FC7CA6" w:rsidRDefault="00FC7CA6" w14:paraId="22AC5852"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Kosten opvang per jaar:</w:t>
            </w:r>
          </w:p>
        </w:tc>
        <w:tc>
          <w:tcPr>
            <w:tcW w:w="0" w:type="auto"/>
            <w:shd w:val="clear" w:color="000000" w:fill="FFFFFF"/>
            <w:noWrap/>
            <w:vAlign w:val="bottom"/>
            <w:hideMark/>
          </w:tcPr>
          <w:p w:rsidRPr="00E01B89" w:rsidR="00FC7CA6" w:rsidP="00844ABB" w:rsidRDefault="00FC7CA6" w14:paraId="48C4F5DD"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€ 22.151</w:t>
            </w:r>
          </w:p>
        </w:tc>
        <w:tc>
          <w:tcPr>
            <w:tcW w:w="0" w:type="auto"/>
            <w:shd w:val="clear" w:color="000000" w:fill="FFFFFF"/>
            <w:noWrap/>
            <w:vAlign w:val="bottom"/>
            <w:hideMark/>
          </w:tcPr>
          <w:p w:rsidRPr="00E01B89" w:rsidR="00FC7CA6" w:rsidP="00844ABB" w:rsidRDefault="00FC7CA6" w14:paraId="47190257"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€ 24.024</w:t>
            </w:r>
          </w:p>
        </w:tc>
        <w:tc>
          <w:tcPr>
            <w:tcW w:w="0" w:type="auto"/>
            <w:shd w:val="clear" w:color="000000" w:fill="FFFFFF"/>
            <w:noWrap/>
            <w:vAlign w:val="bottom"/>
            <w:hideMark/>
          </w:tcPr>
          <w:p w:rsidRPr="00E01B89" w:rsidR="00FC7CA6" w:rsidP="00844ABB" w:rsidRDefault="00FC7CA6" w14:paraId="257BA264" w14:textId="3C909434">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€ 25.102</w:t>
            </w:r>
          </w:p>
        </w:tc>
        <w:tc>
          <w:tcPr>
            <w:tcW w:w="0" w:type="auto"/>
            <w:shd w:val="clear" w:color="000000" w:fill="FFFFFF"/>
            <w:noWrap/>
            <w:vAlign w:val="bottom"/>
            <w:hideMark/>
          </w:tcPr>
          <w:p w:rsidRPr="00E01B89" w:rsidR="00FC7CA6" w:rsidP="00844ABB" w:rsidRDefault="00FC7CA6" w14:paraId="1311A78E"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€ 26.046</w:t>
            </w:r>
          </w:p>
        </w:tc>
        <w:tc>
          <w:tcPr>
            <w:tcW w:w="0" w:type="auto"/>
            <w:gridSpan w:val="2"/>
            <w:shd w:val="clear" w:color="000000" w:fill="FFFFFF"/>
            <w:noWrap/>
            <w:vAlign w:val="bottom"/>
            <w:hideMark/>
          </w:tcPr>
          <w:p w:rsidRPr="00E01B89" w:rsidR="00FC7CA6" w:rsidP="00844ABB" w:rsidRDefault="00FC7CA6" w14:paraId="2755A22B"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€ 27.020</w:t>
            </w:r>
          </w:p>
        </w:tc>
        <w:tc>
          <w:tcPr>
            <w:tcW w:w="0" w:type="auto"/>
            <w:shd w:val="clear" w:color="000000" w:fill="FFFFFF"/>
            <w:noWrap/>
            <w:vAlign w:val="bottom"/>
            <w:hideMark/>
          </w:tcPr>
          <w:p w:rsidRPr="00E01B89" w:rsidR="00FC7CA6" w:rsidP="00844ABB" w:rsidRDefault="00FC7CA6" w14:paraId="1B3B0C36"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€ 27.966</w:t>
            </w:r>
          </w:p>
        </w:tc>
        <w:tc>
          <w:tcPr>
            <w:tcW w:w="0" w:type="auto"/>
            <w:gridSpan w:val="4"/>
            <w:shd w:val="clear" w:color="000000" w:fill="FFFFFF"/>
            <w:noWrap/>
            <w:vAlign w:val="bottom"/>
            <w:hideMark/>
          </w:tcPr>
          <w:p w:rsidRPr="00E01B89" w:rsidR="00FC7CA6" w:rsidP="00844ABB" w:rsidRDefault="00FC7CA6" w14:paraId="43503D1F"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€ 28.956</w:t>
            </w:r>
          </w:p>
        </w:tc>
        <w:tc>
          <w:tcPr>
            <w:tcW w:w="0" w:type="auto"/>
            <w:gridSpan w:val="4"/>
            <w:shd w:val="clear" w:color="000000" w:fill="FFFFFF"/>
            <w:noWrap/>
            <w:vAlign w:val="bottom"/>
            <w:hideMark/>
          </w:tcPr>
          <w:p w:rsidRPr="00E01B89" w:rsidR="00FC7CA6" w:rsidP="00844ABB" w:rsidRDefault="00FC7CA6" w14:paraId="7845AF5E"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€ 29.981</w:t>
            </w:r>
          </w:p>
        </w:tc>
      </w:tr>
      <w:tr w:rsidRPr="006E7A61" w:rsidR="00FC7CA6" w:rsidTr="00DB2A3F" w14:paraId="4468495C" w14:textId="77777777">
        <w:trPr>
          <w:trHeight w:val="300"/>
        </w:trPr>
        <w:tc>
          <w:tcPr>
            <w:tcW w:w="0" w:type="auto"/>
            <w:shd w:val="clear" w:color="000000" w:fill="DDEBF7"/>
            <w:noWrap/>
            <w:vAlign w:val="bottom"/>
            <w:hideMark/>
          </w:tcPr>
          <w:p w:rsidRPr="00E01B89" w:rsidR="00FC7CA6" w:rsidP="00FC7CA6" w:rsidRDefault="00FC7CA6" w14:paraId="67B4DAC1"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KOT/VKO per jaar:</w:t>
            </w:r>
          </w:p>
        </w:tc>
        <w:tc>
          <w:tcPr>
            <w:tcW w:w="0" w:type="auto"/>
            <w:shd w:val="clear" w:color="000000" w:fill="DDEBF7"/>
            <w:noWrap/>
            <w:vAlign w:val="bottom"/>
            <w:hideMark/>
          </w:tcPr>
          <w:p w:rsidRPr="00E01B89" w:rsidR="00FC7CA6" w:rsidP="00844ABB" w:rsidRDefault="00FC7CA6" w14:paraId="203917A6"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€ 16.203</w:t>
            </w:r>
          </w:p>
        </w:tc>
        <w:tc>
          <w:tcPr>
            <w:tcW w:w="0" w:type="auto"/>
            <w:shd w:val="clear" w:color="000000" w:fill="DDEBF7"/>
            <w:noWrap/>
            <w:vAlign w:val="bottom"/>
            <w:hideMark/>
          </w:tcPr>
          <w:p w:rsidRPr="00E01B89" w:rsidR="00FC7CA6" w:rsidP="00844ABB" w:rsidRDefault="00FC7CA6" w14:paraId="494D069B"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€ 18.210</w:t>
            </w:r>
          </w:p>
        </w:tc>
        <w:tc>
          <w:tcPr>
            <w:tcW w:w="0" w:type="auto"/>
            <w:shd w:val="clear" w:color="000000" w:fill="DDEBF7"/>
            <w:noWrap/>
            <w:vAlign w:val="bottom"/>
            <w:hideMark/>
          </w:tcPr>
          <w:p w:rsidRPr="00E01B89" w:rsidR="00FC7CA6" w:rsidP="00844ABB" w:rsidRDefault="00FC7CA6" w14:paraId="2B035734" w14:textId="3613DEC6">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€ 20.081</w:t>
            </w:r>
          </w:p>
        </w:tc>
        <w:tc>
          <w:tcPr>
            <w:tcW w:w="0" w:type="auto"/>
            <w:shd w:val="clear" w:color="000000" w:fill="DDEBF7"/>
            <w:noWrap/>
            <w:vAlign w:val="bottom"/>
            <w:hideMark/>
          </w:tcPr>
          <w:p w:rsidRPr="00E01B89" w:rsidR="00FC7CA6" w:rsidP="00844ABB" w:rsidRDefault="00FC7CA6" w14:paraId="3A353923"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€ 21.270</w:t>
            </w:r>
          </w:p>
        </w:tc>
        <w:tc>
          <w:tcPr>
            <w:tcW w:w="0" w:type="auto"/>
            <w:gridSpan w:val="2"/>
            <w:shd w:val="clear" w:color="000000" w:fill="DDEBF7"/>
            <w:noWrap/>
            <w:vAlign w:val="bottom"/>
            <w:hideMark/>
          </w:tcPr>
          <w:p w:rsidRPr="00E01B89" w:rsidR="00FC7CA6" w:rsidP="00844ABB" w:rsidRDefault="00FC7CA6" w14:paraId="26DDC5FD"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€ 24.404</w:t>
            </w:r>
          </w:p>
        </w:tc>
        <w:tc>
          <w:tcPr>
            <w:tcW w:w="0" w:type="auto"/>
            <w:shd w:val="clear" w:color="000000" w:fill="DDEBF7"/>
            <w:noWrap/>
            <w:vAlign w:val="bottom"/>
            <w:hideMark/>
          </w:tcPr>
          <w:p w:rsidRPr="00E01B89" w:rsidR="00FC7CA6" w:rsidP="00844ABB" w:rsidRDefault="00FC7CA6" w14:paraId="25013F52"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€ 25.258</w:t>
            </w:r>
          </w:p>
        </w:tc>
        <w:tc>
          <w:tcPr>
            <w:tcW w:w="0" w:type="auto"/>
            <w:gridSpan w:val="4"/>
            <w:shd w:val="clear" w:color="000000" w:fill="DDEBF7"/>
            <w:noWrap/>
            <w:vAlign w:val="bottom"/>
            <w:hideMark/>
          </w:tcPr>
          <w:p w:rsidRPr="00E01B89" w:rsidR="00FC7CA6" w:rsidP="00844ABB" w:rsidRDefault="00FC7CA6" w14:paraId="3BE70069"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€ 26.152</w:t>
            </w:r>
          </w:p>
        </w:tc>
        <w:tc>
          <w:tcPr>
            <w:tcW w:w="0" w:type="auto"/>
            <w:gridSpan w:val="4"/>
            <w:shd w:val="clear" w:color="000000" w:fill="DDEBF7"/>
            <w:noWrap/>
            <w:vAlign w:val="bottom"/>
            <w:hideMark/>
          </w:tcPr>
          <w:p w:rsidRPr="00E01B89" w:rsidR="00FC7CA6" w:rsidP="00844ABB" w:rsidRDefault="00FC7CA6" w14:paraId="28078AE5"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€ 27.078</w:t>
            </w:r>
          </w:p>
        </w:tc>
      </w:tr>
      <w:tr w:rsidRPr="006E7A61" w:rsidR="00FC7CA6" w:rsidTr="00DB2A3F" w14:paraId="4EBBDBB5" w14:textId="77777777">
        <w:trPr>
          <w:trHeight w:val="300"/>
        </w:trPr>
        <w:tc>
          <w:tcPr>
            <w:tcW w:w="0" w:type="auto"/>
            <w:shd w:val="clear" w:color="000000" w:fill="FFFFFF"/>
            <w:noWrap/>
            <w:vAlign w:val="bottom"/>
            <w:hideMark/>
          </w:tcPr>
          <w:p w:rsidRPr="00E01B89" w:rsidR="00FC7CA6" w:rsidP="00FC7CA6" w:rsidRDefault="00FC7CA6" w14:paraId="6FD323EA"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Eigen bijdrage per jaar:</w:t>
            </w:r>
          </w:p>
        </w:tc>
        <w:tc>
          <w:tcPr>
            <w:tcW w:w="0" w:type="auto"/>
            <w:shd w:val="clear" w:color="000000" w:fill="FFFFFF"/>
            <w:noWrap/>
            <w:vAlign w:val="bottom"/>
            <w:hideMark/>
          </w:tcPr>
          <w:p w:rsidRPr="00E01B89" w:rsidR="00FC7CA6" w:rsidP="00844ABB" w:rsidRDefault="00FC7CA6" w14:paraId="1215AB84"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€ 5.948</w:t>
            </w:r>
          </w:p>
        </w:tc>
        <w:tc>
          <w:tcPr>
            <w:tcW w:w="0" w:type="auto"/>
            <w:shd w:val="clear" w:color="000000" w:fill="FFFFFF"/>
            <w:noWrap/>
            <w:vAlign w:val="bottom"/>
            <w:hideMark/>
          </w:tcPr>
          <w:p w:rsidRPr="00E01B89" w:rsidR="00FC7CA6" w:rsidP="00844ABB" w:rsidRDefault="00FC7CA6" w14:paraId="6461A2D2"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€ 5.814</w:t>
            </w:r>
          </w:p>
        </w:tc>
        <w:tc>
          <w:tcPr>
            <w:tcW w:w="0" w:type="auto"/>
            <w:shd w:val="clear" w:color="000000" w:fill="FFFFFF"/>
            <w:noWrap/>
            <w:vAlign w:val="bottom"/>
            <w:hideMark/>
          </w:tcPr>
          <w:p w:rsidRPr="00E01B89" w:rsidR="00FC7CA6" w:rsidP="00844ABB" w:rsidRDefault="00FC7CA6" w14:paraId="10B03127" w14:textId="0B24DE64">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€ 5.021</w:t>
            </w:r>
          </w:p>
        </w:tc>
        <w:tc>
          <w:tcPr>
            <w:tcW w:w="0" w:type="auto"/>
            <w:shd w:val="clear" w:color="000000" w:fill="FFFFFF"/>
            <w:noWrap/>
            <w:vAlign w:val="bottom"/>
            <w:hideMark/>
          </w:tcPr>
          <w:p w:rsidRPr="00E01B89" w:rsidR="00FC7CA6" w:rsidP="00844ABB" w:rsidRDefault="00FC7CA6" w14:paraId="525A56FF"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€ 4.776</w:t>
            </w:r>
          </w:p>
        </w:tc>
        <w:tc>
          <w:tcPr>
            <w:tcW w:w="0" w:type="auto"/>
            <w:gridSpan w:val="2"/>
            <w:shd w:val="clear" w:color="000000" w:fill="FFFFFF"/>
            <w:noWrap/>
            <w:vAlign w:val="bottom"/>
            <w:hideMark/>
          </w:tcPr>
          <w:p w:rsidRPr="00E01B89" w:rsidR="00FC7CA6" w:rsidP="00844ABB" w:rsidRDefault="00FC7CA6" w14:paraId="6EC84675"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€ 2.616</w:t>
            </w:r>
          </w:p>
        </w:tc>
        <w:tc>
          <w:tcPr>
            <w:tcW w:w="0" w:type="auto"/>
            <w:shd w:val="clear" w:color="000000" w:fill="FFFFFF"/>
            <w:noWrap/>
            <w:vAlign w:val="bottom"/>
            <w:hideMark/>
          </w:tcPr>
          <w:p w:rsidRPr="00E01B89" w:rsidR="00FC7CA6" w:rsidP="00844ABB" w:rsidRDefault="00FC7CA6" w14:paraId="1443DDD5"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€ 2.708</w:t>
            </w:r>
          </w:p>
        </w:tc>
        <w:tc>
          <w:tcPr>
            <w:tcW w:w="0" w:type="auto"/>
            <w:gridSpan w:val="4"/>
            <w:shd w:val="clear" w:color="000000" w:fill="FFFFFF"/>
            <w:noWrap/>
            <w:vAlign w:val="bottom"/>
            <w:hideMark/>
          </w:tcPr>
          <w:p w:rsidRPr="00E01B89" w:rsidR="00FC7CA6" w:rsidP="00844ABB" w:rsidRDefault="00FC7CA6" w14:paraId="0AA1FA71"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€ 2.803</w:t>
            </w:r>
          </w:p>
        </w:tc>
        <w:tc>
          <w:tcPr>
            <w:tcW w:w="0" w:type="auto"/>
            <w:gridSpan w:val="4"/>
            <w:shd w:val="clear" w:color="000000" w:fill="FFFFFF"/>
            <w:noWrap/>
            <w:vAlign w:val="bottom"/>
            <w:hideMark/>
          </w:tcPr>
          <w:p w:rsidRPr="00E01B89" w:rsidR="00FC7CA6" w:rsidP="00844ABB" w:rsidRDefault="00FC7CA6" w14:paraId="03116E29"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€ 2.903</w:t>
            </w:r>
          </w:p>
        </w:tc>
      </w:tr>
      <w:tr w:rsidRPr="005A3490" w:rsidR="000512F9" w:rsidTr="00DB2A3F" w14:paraId="571293D4" w14:textId="77777777">
        <w:trPr>
          <w:trHeight w:val="300"/>
        </w:trPr>
        <w:tc>
          <w:tcPr>
            <w:tcW w:w="0" w:type="auto"/>
            <w:shd w:val="clear" w:color="000000" w:fill="DDEBF7"/>
            <w:noWrap/>
            <w:vAlign w:val="bottom"/>
            <w:hideMark/>
          </w:tcPr>
          <w:p w:rsidRPr="00E01B89" w:rsidR="000512F9" w:rsidP="000512F9" w:rsidRDefault="000512F9" w14:paraId="17E88D2B" w14:textId="29C90C02">
            <w:pPr>
              <w:spacing w:after="0" w:line="240" w:lineRule="auto"/>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Percentage eigen bijdrage:</w:t>
            </w:r>
          </w:p>
        </w:tc>
        <w:tc>
          <w:tcPr>
            <w:tcW w:w="0" w:type="auto"/>
            <w:shd w:val="clear" w:color="000000" w:fill="DDEBF7"/>
            <w:noWrap/>
            <w:vAlign w:val="bottom"/>
            <w:hideMark/>
          </w:tcPr>
          <w:p w:rsidRPr="00E01B89" w:rsidR="000512F9" w:rsidP="00844ABB" w:rsidRDefault="000512F9" w14:paraId="4F7C7001" w14:textId="20DE6F3C">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26,9%</w:t>
            </w:r>
          </w:p>
        </w:tc>
        <w:tc>
          <w:tcPr>
            <w:tcW w:w="0" w:type="auto"/>
            <w:shd w:val="clear" w:color="000000" w:fill="DDEBF7"/>
            <w:noWrap/>
            <w:vAlign w:val="bottom"/>
            <w:hideMark/>
          </w:tcPr>
          <w:p w:rsidRPr="00E01B89" w:rsidR="000512F9" w:rsidP="00844ABB" w:rsidRDefault="000512F9" w14:paraId="73E1B7D8" w14:textId="105E27B8">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24,2%</w:t>
            </w:r>
          </w:p>
        </w:tc>
        <w:tc>
          <w:tcPr>
            <w:tcW w:w="0" w:type="auto"/>
            <w:shd w:val="clear" w:color="000000" w:fill="DDEBF7"/>
            <w:noWrap/>
            <w:vAlign w:val="bottom"/>
            <w:hideMark/>
          </w:tcPr>
          <w:p w:rsidRPr="00E01B89" w:rsidR="000512F9" w:rsidP="00844ABB" w:rsidRDefault="000512F9" w14:paraId="3556BF5F" w14:textId="072665EF">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20,0%</w:t>
            </w:r>
          </w:p>
        </w:tc>
        <w:tc>
          <w:tcPr>
            <w:tcW w:w="0" w:type="auto"/>
            <w:shd w:val="clear" w:color="000000" w:fill="DDEBF7"/>
            <w:noWrap/>
            <w:vAlign w:val="bottom"/>
            <w:hideMark/>
          </w:tcPr>
          <w:p w:rsidRPr="00E01B89" w:rsidR="000512F9" w:rsidP="00844ABB" w:rsidRDefault="000512F9" w14:paraId="5BF87A8C" w14:textId="67213C1E">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18,3%</w:t>
            </w:r>
          </w:p>
        </w:tc>
        <w:tc>
          <w:tcPr>
            <w:tcW w:w="0" w:type="auto"/>
            <w:gridSpan w:val="2"/>
            <w:shd w:val="clear" w:color="000000" w:fill="DDEBF7"/>
            <w:noWrap/>
            <w:vAlign w:val="bottom"/>
            <w:hideMark/>
          </w:tcPr>
          <w:p w:rsidRPr="00E01B89" w:rsidR="000512F9" w:rsidP="00844ABB" w:rsidRDefault="000512F9" w14:paraId="6682414C" w14:textId="010C30E1">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9,7%</w:t>
            </w:r>
          </w:p>
        </w:tc>
        <w:tc>
          <w:tcPr>
            <w:tcW w:w="0" w:type="auto"/>
            <w:shd w:val="clear" w:color="000000" w:fill="DDEBF7"/>
            <w:noWrap/>
            <w:vAlign w:val="bottom"/>
            <w:hideMark/>
          </w:tcPr>
          <w:p w:rsidRPr="00E01B89" w:rsidR="000512F9" w:rsidP="00844ABB" w:rsidRDefault="000512F9" w14:paraId="2E0FE4CA" w14:textId="4BBBE361">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9,7%</w:t>
            </w:r>
          </w:p>
        </w:tc>
        <w:tc>
          <w:tcPr>
            <w:tcW w:w="0" w:type="auto"/>
            <w:gridSpan w:val="4"/>
            <w:shd w:val="clear" w:color="000000" w:fill="DDEBF7"/>
            <w:noWrap/>
            <w:vAlign w:val="bottom"/>
            <w:hideMark/>
          </w:tcPr>
          <w:p w:rsidRPr="00E01B89" w:rsidR="000512F9" w:rsidP="00844ABB" w:rsidRDefault="000512F9" w14:paraId="32C8ED9A" w14:textId="020EF090">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9,7%</w:t>
            </w:r>
          </w:p>
        </w:tc>
        <w:tc>
          <w:tcPr>
            <w:tcW w:w="0" w:type="auto"/>
            <w:gridSpan w:val="4"/>
            <w:shd w:val="clear" w:color="000000" w:fill="DDEBF7"/>
            <w:noWrap/>
            <w:vAlign w:val="bottom"/>
            <w:hideMark/>
          </w:tcPr>
          <w:p w:rsidRPr="00E01B89" w:rsidR="000512F9" w:rsidP="00844ABB" w:rsidRDefault="000512F9" w14:paraId="61500D14" w14:textId="122F679B">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9,7%</w:t>
            </w:r>
          </w:p>
        </w:tc>
      </w:tr>
      <w:tr w:rsidRPr="005A3490" w:rsidR="005A3490" w:rsidTr="00DB2A3F" w14:paraId="05FFBA72" w14:textId="77777777">
        <w:trPr>
          <w:trHeight w:val="300"/>
        </w:trPr>
        <w:tc>
          <w:tcPr>
            <w:tcW w:w="0" w:type="auto"/>
            <w:shd w:val="clear" w:color="auto" w:fill="FFFFFF" w:themeFill="background1"/>
            <w:noWrap/>
            <w:vAlign w:val="bottom"/>
          </w:tcPr>
          <w:p w:rsidRPr="00E01B89" w:rsidR="000512F9" w:rsidP="000512F9" w:rsidRDefault="000512F9" w14:paraId="33E2C9A7" w14:textId="41F4CB72">
            <w:pPr>
              <w:spacing w:after="0" w:line="240" w:lineRule="auto"/>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 xml:space="preserve">Percentage </w:t>
            </w:r>
            <w:r>
              <w:rPr>
                <w:rFonts w:ascii="Calibri" w:hAnsi="Calibri" w:eastAsia="Times New Roman" w:cs="Calibri"/>
                <w:b/>
                <w:bCs/>
                <w:color w:val="000000"/>
                <w:kern w:val="0"/>
                <w:sz w:val="18"/>
                <w:szCs w:val="18"/>
                <w:lang w:eastAsia="nl-NL"/>
                <w14:ligatures w14:val="none"/>
              </w:rPr>
              <w:t>overheids</w:t>
            </w:r>
            <w:r w:rsidRPr="00E01B89">
              <w:rPr>
                <w:rFonts w:ascii="Calibri" w:hAnsi="Calibri" w:eastAsia="Times New Roman" w:cs="Calibri"/>
                <w:b/>
                <w:bCs/>
                <w:color w:val="000000"/>
                <w:kern w:val="0"/>
                <w:sz w:val="18"/>
                <w:szCs w:val="18"/>
                <w:lang w:eastAsia="nl-NL"/>
                <w14:ligatures w14:val="none"/>
              </w:rPr>
              <w:t>bijdrage:</w:t>
            </w:r>
          </w:p>
        </w:tc>
        <w:tc>
          <w:tcPr>
            <w:tcW w:w="0" w:type="auto"/>
            <w:shd w:val="clear" w:color="auto" w:fill="FFFFFF" w:themeFill="background1"/>
            <w:noWrap/>
            <w:vAlign w:val="bottom"/>
          </w:tcPr>
          <w:p w:rsidRPr="00E01B89" w:rsidR="000512F9" w:rsidP="00844ABB" w:rsidRDefault="000512F9" w14:paraId="1E5EE955" w14:textId="14C57E06">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73,1%</w:t>
            </w:r>
          </w:p>
        </w:tc>
        <w:tc>
          <w:tcPr>
            <w:tcW w:w="0" w:type="auto"/>
            <w:shd w:val="clear" w:color="auto" w:fill="FFFFFF" w:themeFill="background1"/>
            <w:noWrap/>
            <w:vAlign w:val="bottom"/>
          </w:tcPr>
          <w:p w:rsidRPr="00E01B89" w:rsidR="000512F9" w:rsidP="00844ABB" w:rsidRDefault="000512F9" w14:paraId="3A2A174E" w14:textId="77806B31">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75,8%</w:t>
            </w:r>
          </w:p>
        </w:tc>
        <w:tc>
          <w:tcPr>
            <w:tcW w:w="0" w:type="auto"/>
            <w:shd w:val="clear" w:color="auto" w:fill="FFFFFF" w:themeFill="background1"/>
            <w:noWrap/>
            <w:vAlign w:val="bottom"/>
          </w:tcPr>
          <w:p w:rsidRPr="00E01B89" w:rsidR="000512F9" w:rsidP="00844ABB" w:rsidRDefault="000512F9" w14:paraId="7BCCD25D" w14:textId="149D2DCA">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80,0%</w:t>
            </w:r>
          </w:p>
        </w:tc>
        <w:tc>
          <w:tcPr>
            <w:tcW w:w="0" w:type="auto"/>
            <w:shd w:val="clear" w:color="auto" w:fill="FFFFFF" w:themeFill="background1"/>
            <w:noWrap/>
            <w:vAlign w:val="bottom"/>
          </w:tcPr>
          <w:p w:rsidRPr="00E01B89" w:rsidR="000512F9" w:rsidP="00844ABB" w:rsidRDefault="000512F9" w14:paraId="7BAF417A" w14:textId="6CF262F1">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81,7%</w:t>
            </w:r>
          </w:p>
        </w:tc>
        <w:tc>
          <w:tcPr>
            <w:tcW w:w="0" w:type="auto"/>
            <w:gridSpan w:val="2"/>
            <w:shd w:val="clear" w:color="auto" w:fill="FFFFFF" w:themeFill="background1"/>
            <w:noWrap/>
            <w:vAlign w:val="bottom"/>
          </w:tcPr>
          <w:p w:rsidRPr="00E01B89" w:rsidR="000512F9" w:rsidP="00844ABB" w:rsidRDefault="000512F9" w14:paraId="0D6FE3BA" w14:textId="29CA991C">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90,3%</w:t>
            </w:r>
          </w:p>
        </w:tc>
        <w:tc>
          <w:tcPr>
            <w:tcW w:w="0" w:type="auto"/>
            <w:shd w:val="clear" w:color="auto" w:fill="FFFFFF" w:themeFill="background1"/>
            <w:noWrap/>
            <w:vAlign w:val="bottom"/>
          </w:tcPr>
          <w:p w:rsidRPr="00E01B89" w:rsidR="000512F9" w:rsidP="00844ABB" w:rsidRDefault="000512F9" w14:paraId="18801A88" w14:textId="5C608DD4">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90,3%</w:t>
            </w:r>
          </w:p>
        </w:tc>
        <w:tc>
          <w:tcPr>
            <w:tcW w:w="0" w:type="auto"/>
            <w:gridSpan w:val="4"/>
            <w:shd w:val="clear" w:color="auto" w:fill="FFFFFF" w:themeFill="background1"/>
            <w:noWrap/>
            <w:vAlign w:val="bottom"/>
          </w:tcPr>
          <w:p w:rsidRPr="00E01B89" w:rsidR="000512F9" w:rsidP="00844ABB" w:rsidRDefault="000512F9" w14:paraId="0586A395" w14:textId="7F2DE2DE">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90,3%</w:t>
            </w:r>
          </w:p>
        </w:tc>
        <w:tc>
          <w:tcPr>
            <w:tcW w:w="0" w:type="auto"/>
            <w:gridSpan w:val="4"/>
            <w:shd w:val="clear" w:color="auto" w:fill="FFFFFF" w:themeFill="background1"/>
            <w:noWrap/>
            <w:vAlign w:val="bottom"/>
          </w:tcPr>
          <w:p w:rsidRPr="00E01B89" w:rsidR="000512F9" w:rsidP="00844ABB" w:rsidRDefault="000512F9" w14:paraId="193E4C3F" w14:textId="1E654B39">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90,3%</w:t>
            </w:r>
          </w:p>
        </w:tc>
      </w:tr>
      <w:tr w:rsidRPr="006E7A61" w:rsidR="00FC7CA6" w:rsidTr="005A3490" w14:paraId="4695D80D" w14:textId="77777777">
        <w:trPr>
          <w:trHeight w:val="300"/>
        </w:trPr>
        <w:tc>
          <w:tcPr>
            <w:tcW w:w="0" w:type="auto"/>
            <w:shd w:val="clear" w:color="000000" w:fill="FFFFFF"/>
            <w:noWrap/>
            <w:vAlign w:val="bottom"/>
            <w:hideMark/>
          </w:tcPr>
          <w:p w:rsidRPr="00E01B89" w:rsidR="00FC7CA6" w:rsidP="00FC7CA6" w:rsidRDefault="00FC7CA6" w14:paraId="7EBE0481"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shd w:val="clear" w:color="000000" w:fill="FFFFFF"/>
            <w:noWrap/>
            <w:vAlign w:val="bottom"/>
            <w:hideMark/>
          </w:tcPr>
          <w:p w:rsidRPr="00E01B89" w:rsidR="00FC7CA6" w:rsidP="00FC7CA6" w:rsidRDefault="00FC7CA6" w14:paraId="5ABFB68F"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shd w:val="clear" w:color="000000" w:fill="FFFFFF"/>
            <w:noWrap/>
            <w:vAlign w:val="bottom"/>
            <w:hideMark/>
          </w:tcPr>
          <w:p w:rsidRPr="00E01B89" w:rsidR="00FC7CA6" w:rsidP="00FC7CA6" w:rsidRDefault="00FC7CA6" w14:paraId="07CB62CB"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shd w:val="clear" w:color="000000" w:fill="FFFFFF"/>
            <w:noWrap/>
            <w:vAlign w:val="bottom"/>
            <w:hideMark/>
          </w:tcPr>
          <w:p w:rsidRPr="00E01B89" w:rsidR="00FC7CA6" w:rsidP="00FC7CA6" w:rsidRDefault="00FC7CA6" w14:paraId="2099CD3B" w14:textId="2002AF48">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shd w:val="clear" w:color="000000" w:fill="FFFFFF"/>
            <w:noWrap/>
            <w:vAlign w:val="bottom"/>
            <w:hideMark/>
          </w:tcPr>
          <w:p w:rsidRPr="00E01B89" w:rsidR="00FC7CA6" w:rsidP="00FC7CA6" w:rsidRDefault="00FC7CA6" w14:paraId="47630ED9"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gridSpan w:val="2"/>
            <w:shd w:val="clear" w:color="000000" w:fill="FFFFFF"/>
            <w:noWrap/>
            <w:vAlign w:val="bottom"/>
            <w:hideMark/>
          </w:tcPr>
          <w:p w:rsidRPr="00E01B89" w:rsidR="00FC7CA6" w:rsidP="00FC7CA6" w:rsidRDefault="00FC7CA6" w14:paraId="3E3D806F"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shd w:val="clear" w:color="000000" w:fill="FFFFFF"/>
            <w:noWrap/>
            <w:vAlign w:val="bottom"/>
            <w:hideMark/>
          </w:tcPr>
          <w:p w:rsidRPr="00E01B89" w:rsidR="00FC7CA6" w:rsidP="00FC7CA6" w:rsidRDefault="00FC7CA6" w14:paraId="587507DA"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gridSpan w:val="4"/>
            <w:shd w:val="clear" w:color="000000" w:fill="FFFFFF"/>
            <w:noWrap/>
            <w:vAlign w:val="bottom"/>
            <w:hideMark/>
          </w:tcPr>
          <w:p w:rsidRPr="00E01B89" w:rsidR="00FC7CA6" w:rsidP="00FC7CA6" w:rsidRDefault="00FC7CA6" w14:paraId="1CBB14C2"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c>
          <w:tcPr>
            <w:tcW w:w="0" w:type="auto"/>
            <w:gridSpan w:val="4"/>
            <w:shd w:val="clear" w:color="000000" w:fill="FFFFFF"/>
            <w:noWrap/>
            <w:vAlign w:val="bottom"/>
            <w:hideMark/>
          </w:tcPr>
          <w:p w:rsidRPr="00E01B89" w:rsidR="00FC7CA6" w:rsidP="00FC7CA6" w:rsidRDefault="00FC7CA6" w14:paraId="501812CB"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w:t>
            </w:r>
          </w:p>
        </w:tc>
      </w:tr>
      <w:tr w:rsidRPr="006E7A61" w:rsidR="00FC7CA6" w:rsidTr="005A3490" w14:paraId="20A657D8" w14:textId="77777777">
        <w:trPr>
          <w:trHeight w:val="600"/>
        </w:trPr>
        <w:tc>
          <w:tcPr>
            <w:tcW w:w="0" w:type="auto"/>
            <w:shd w:val="clear" w:color="000000" w:fill="9BC2E6"/>
            <w:vAlign w:val="center"/>
            <w:hideMark/>
          </w:tcPr>
          <w:p w:rsidRPr="00E01B89" w:rsidR="00FC7CA6" w:rsidP="00FC7CA6" w:rsidRDefault="00FC7CA6" w14:paraId="7D8E508C"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Hoger inkomen</w:t>
            </w:r>
            <w:r w:rsidRPr="00E01B89">
              <w:rPr>
                <w:rFonts w:ascii="Calibri" w:hAnsi="Calibri" w:eastAsia="Times New Roman" w:cs="Calibri"/>
                <w:b/>
                <w:bCs/>
                <w:color w:val="000000"/>
                <w:kern w:val="0"/>
                <w:sz w:val="18"/>
                <w:szCs w:val="18"/>
                <w:lang w:eastAsia="nl-NL"/>
                <w14:ligatures w14:val="none"/>
              </w:rPr>
              <w:br/>
            </w:r>
            <w:r w:rsidRPr="00E01B89">
              <w:rPr>
                <w:rFonts w:ascii="Calibri" w:hAnsi="Calibri" w:eastAsia="Times New Roman" w:cs="Calibri"/>
                <w:i/>
                <w:iCs/>
                <w:color w:val="000000"/>
                <w:kern w:val="0"/>
                <w:sz w:val="18"/>
                <w:szCs w:val="18"/>
                <w:lang w:eastAsia="nl-NL"/>
                <w14:ligatures w14:val="none"/>
              </w:rPr>
              <w:t>(had recht op 33,3% in 2024)</w:t>
            </w:r>
          </w:p>
        </w:tc>
        <w:tc>
          <w:tcPr>
            <w:tcW w:w="0" w:type="auto"/>
            <w:shd w:val="clear" w:color="000000" w:fill="9BC2E6"/>
            <w:noWrap/>
            <w:vAlign w:val="center"/>
            <w:hideMark/>
          </w:tcPr>
          <w:p w:rsidRPr="00E01B89" w:rsidR="00FC7CA6" w:rsidP="00FC7CA6" w:rsidRDefault="00FC7CA6" w14:paraId="57B5054B"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2023</w:t>
            </w:r>
          </w:p>
        </w:tc>
        <w:tc>
          <w:tcPr>
            <w:tcW w:w="0" w:type="auto"/>
            <w:shd w:val="clear" w:color="000000" w:fill="9BC2E6"/>
            <w:noWrap/>
            <w:vAlign w:val="center"/>
            <w:hideMark/>
          </w:tcPr>
          <w:p w:rsidRPr="00E01B89" w:rsidR="00FC7CA6" w:rsidP="00FC7CA6" w:rsidRDefault="00FC7CA6" w14:paraId="5698E097"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2024</w:t>
            </w:r>
          </w:p>
        </w:tc>
        <w:tc>
          <w:tcPr>
            <w:tcW w:w="0" w:type="auto"/>
            <w:shd w:val="clear" w:color="000000" w:fill="9BC2E6"/>
            <w:noWrap/>
            <w:vAlign w:val="center"/>
            <w:hideMark/>
          </w:tcPr>
          <w:p w:rsidRPr="00E01B89" w:rsidR="00FC7CA6" w:rsidP="00FC7CA6" w:rsidRDefault="00FC7CA6" w14:paraId="41ECF299" w14:textId="1E28016A">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2025</w:t>
            </w:r>
          </w:p>
        </w:tc>
        <w:tc>
          <w:tcPr>
            <w:tcW w:w="0" w:type="auto"/>
            <w:shd w:val="clear" w:color="000000" w:fill="9BC2E6"/>
            <w:noWrap/>
            <w:vAlign w:val="center"/>
            <w:hideMark/>
          </w:tcPr>
          <w:p w:rsidRPr="00E01B89" w:rsidR="00FC7CA6" w:rsidP="00FC7CA6" w:rsidRDefault="00FC7CA6" w14:paraId="3A23A715"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2026</w:t>
            </w:r>
          </w:p>
        </w:tc>
        <w:tc>
          <w:tcPr>
            <w:tcW w:w="0" w:type="auto"/>
            <w:gridSpan w:val="2"/>
            <w:shd w:val="clear" w:color="000000" w:fill="9BC2E6"/>
            <w:noWrap/>
            <w:vAlign w:val="center"/>
            <w:hideMark/>
          </w:tcPr>
          <w:p w:rsidRPr="00E01B89" w:rsidR="00FC7CA6" w:rsidP="00FC7CA6" w:rsidRDefault="00FC7CA6" w14:paraId="04CD9FC2"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2027</w:t>
            </w:r>
          </w:p>
        </w:tc>
        <w:tc>
          <w:tcPr>
            <w:tcW w:w="0" w:type="auto"/>
            <w:shd w:val="clear" w:color="000000" w:fill="9BC2E6"/>
            <w:noWrap/>
            <w:vAlign w:val="center"/>
            <w:hideMark/>
          </w:tcPr>
          <w:p w:rsidRPr="00E01B89" w:rsidR="00FC7CA6" w:rsidP="00FC7CA6" w:rsidRDefault="00FC7CA6" w14:paraId="5F7681C2"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2028</w:t>
            </w:r>
          </w:p>
        </w:tc>
        <w:tc>
          <w:tcPr>
            <w:tcW w:w="0" w:type="auto"/>
            <w:gridSpan w:val="4"/>
            <w:shd w:val="clear" w:color="000000" w:fill="9BC2E6"/>
            <w:noWrap/>
            <w:vAlign w:val="center"/>
            <w:hideMark/>
          </w:tcPr>
          <w:p w:rsidRPr="00E01B89" w:rsidR="00FC7CA6" w:rsidP="00FC7CA6" w:rsidRDefault="00FC7CA6" w14:paraId="605CD6BA"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2029</w:t>
            </w:r>
          </w:p>
        </w:tc>
        <w:tc>
          <w:tcPr>
            <w:tcW w:w="0" w:type="auto"/>
            <w:gridSpan w:val="4"/>
            <w:shd w:val="clear" w:color="000000" w:fill="9BC2E6"/>
            <w:noWrap/>
            <w:vAlign w:val="center"/>
            <w:hideMark/>
          </w:tcPr>
          <w:p w:rsidRPr="00E01B89" w:rsidR="00FC7CA6" w:rsidP="00FC7CA6" w:rsidRDefault="00FC7CA6" w14:paraId="64A682F2" w14:textId="77777777">
            <w:pPr>
              <w:spacing w:after="0" w:line="240" w:lineRule="auto"/>
              <w:jc w:val="center"/>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2030</w:t>
            </w:r>
          </w:p>
        </w:tc>
      </w:tr>
      <w:tr w:rsidRPr="006E7A61" w:rsidR="00FC7CA6" w:rsidTr="00DB2A3F" w14:paraId="587439A4" w14:textId="77777777">
        <w:trPr>
          <w:trHeight w:val="300"/>
        </w:trPr>
        <w:tc>
          <w:tcPr>
            <w:tcW w:w="0" w:type="auto"/>
            <w:shd w:val="clear" w:color="000000" w:fill="FFFFFF"/>
            <w:noWrap/>
            <w:vAlign w:val="bottom"/>
            <w:hideMark/>
          </w:tcPr>
          <w:p w:rsidRPr="00E01B89" w:rsidR="00FC7CA6" w:rsidP="00FC7CA6" w:rsidRDefault="00FC7CA6" w14:paraId="3D63867A"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Kosten opvang per jaar:</w:t>
            </w:r>
          </w:p>
        </w:tc>
        <w:tc>
          <w:tcPr>
            <w:tcW w:w="0" w:type="auto"/>
            <w:shd w:val="clear" w:color="000000" w:fill="FFFFFF"/>
            <w:noWrap/>
            <w:vAlign w:val="bottom"/>
            <w:hideMark/>
          </w:tcPr>
          <w:p w:rsidRPr="00E01B89" w:rsidR="00FC7CA6" w:rsidP="00844ABB" w:rsidRDefault="00FC7CA6" w14:paraId="2E2AD7E1"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€ 22.151</w:t>
            </w:r>
          </w:p>
        </w:tc>
        <w:tc>
          <w:tcPr>
            <w:tcW w:w="0" w:type="auto"/>
            <w:shd w:val="clear" w:color="000000" w:fill="FFFFFF"/>
            <w:noWrap/>
            <w:vAlign w:val="bottom"/>
            <w:hideMark/>
          </w:tcPr>
          <w:p w:rsidRPr="00E01B89" w:rsidR="00FC7CA6" w:rsidP="00844ABB" w:rsidRDefault="00FC7CA6" w14:paraId="3CA8993F"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€ 24.024</w:t>
            </w:r>
          </w:p>
        </w:tc>
        <w:tc>
          <w:tcPr>
            <w:tcW w:w="0" w:type="auto"/>
            <w:shd w:val="clear" w:color="000000" w:fill="FFFFFF"/>
            <w:noWrap/>
            <w:vAlign w:val="bottom"/>
            <w:hideMark/>
          </w:tcPr>
          <w:p w:rsidRPr="00E01B89" w:rsidR="00FC7CA6" w:rsidP="00844ABB" w:rsidRDefault="00FC7CA6" w14:paraId="2B0BDCCE" w14:textId="284E59EB">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€ 25.102</w:t>
            </w:r>
          </w:p>
        </w:tc>
        <w:tc>
          <w:tcPr>
            <w:tcW w:w="0" w:type="auto"/>
            <w:shd w:val="clear" w:color="000000" w:fill="FFFFFF"/>
            <w:noWrap/>
            <w:vAlign w:val="bottom"/>
            <w:hideMark/>
          </w:tcPr>
          <w:p w:rsidRPr="00E01B89" w:rsidR="00FC7CA6" w:rsidP="00844ABB" w:rsidRDefault="00FC7CA6" w14:paraId="0122994A"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€ 26.046</w:t>
            </w:r>
          </w:p>
        </w:tc>
        <w:tc>
          <w:tcPr>
            <w:tcW w:w="0" w:type="auto"/>
            <w:gridSpan w:val="2"/>
            <w:shd w:val="clear" w:color="000000" w:fill="FFFFFF"/>
            <w:noWrap/>
            <w:vAlign w:val="bottom"/>
            <w:hideMark/>
          </w:tcPr>
          <w:p w:rsidRPr="00E01B89" w:rsidR="00FC7CA6" w:rsidP="00844ABB" w:rsidRDefault="00FC7CA6" w14:paraId="275F662E"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€ 27.020</w:t>
            </w:r>
          </w:p>
        </w:tc>
        <w:tc>
          <w:tcPr>
            <w:tcW w:w="0" w:type="auto"/>
            <w:shd w:val="clear" w:color="000000" w:fill="FFFFFF"/>
            <w:noWrap/>
            <w:vAlign w:val="bottom"/>
            <w:hideMark/>
          </w:tcPr>
          <w:p w:rsidRPr="00E01B89" w:rsidR="00FC7CA6" w:rsidP="00844ABB" w:rsidRDefault="00FC7CA6" w14:paraId="11DFB254"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€ 27.966</w:t>
            </w:r>
          </w:p>
        </w:tc>
        <w:tc>
          <w:tcPr>
            <w:tcW w:w="0" w:type="auto"/>
            <w:gridSpan w:val="4"/>
            <w:shd w:val="clear" w:color="000000" w:fill="FFFFFF"/>
            <w:noWrap/>
            <w:vAlign w:val="bottom"/>
            <w:hideMark/>
          </w:tcPr>
          <w:p w:rsidRPr="00E01B89" w:rsidR="00FC7CA6" w:rsidP="00844ABB" w:rsidRDefault="00FC7CA6" w14:paraId="4DC907A9"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€ 28.956</w:t>
            </w:r>
          </w:p>
        </w:tc>
        <w:tc>
          <w:tcPr>
            <w:tcW w:w="0" w:type="auto"/>
            <w:gridSpan w:val="4"/>
            <w:shd w:val="clear" w:color="000000" w:fill="FFFFFF"/>
            <w:noWrap/>
            <w:vAlign w:val="bottom"/>
            <w:hideMark/>
          </w:tcPr>
          <w:p w:rsidRPr="00E01B89" w:rsidR="00FC7CA6" w:rsidP="00844ABB" w:rsidRDefault="00FC7CA6" w14:paraId="3437B700"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€ 29.981</w:t>
            </w:r>
          </w:p>
        </w:tc>
      </w:tr>
      <w:tr w:rsidRPr="006E7A61" w:rsidR="00FC7CA6" w:rsidTr="00DB2A3F" w14:paraId="287E07E1" w14:textId="77777777">
        <w:trPr>
          <w:trHeight w:val="300"/>
        </w:trPr>
        <w:tc>
          <w:tcPr>
            <w:tcW w:w="0" w:type="auto"/>
            <w:shd w:val="clear" w:color="000000" w:fill="DDEBF7"/>
            <w:noWrap/>
            <w:vAlign w:val="bottom"/>
            <w:hideMark/>
          </w:tcPr>
          <w:p w:rsidRPr="00E01B89" w:rsidR="00FC7CA6" w:rsidP="00FC7CA6" w:rsidRDefault="00FC7CA6" w14:paraId="7DD41CB8"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KOT/VKO per jaar:</w:t>
            </w:r>
          </w:p>
        </w:tc>
        <w:tc>
          <w:tcPr>
            <w:tcW w:w="0" w:type="auto"/>
            <w:shd w:val="clear" w:color="000000" w:fill="DDEBF7"/>
            <w:noWrap/>
            <w:vAlign w:val="bottom"/>
            <w:hideMark/>
          </w:tcPr>
          <w:p w:rsidRPr="00E01B89" w:rsidR="00FC7CA6" w:rsidP="00844ABB" w:rsidRDefault="00FC7CA6" w14:paraId="4D5EBE5F"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€ 12.123</w:t>
            </w:r>
          </w:p>
        </w:tc>
        <w:tc>
          <w:tcPr>
            <w:tcW w:w="0" w:type="auto"/>
            <w:shd w:val="clear" w:color="000000" w:fill="DDEBF7"/>
            <w:noWrap/>
            <w:vAlign w:val="bottom"/>
            <w:hideMark/>
          </w:tcPr>
          <w:p w:rsidRPr="00E01B89" w:rsidR="00FC7CA6" w:rsidP="00844ABB" w:rsidRDefault="00FC7CA6" w14:paraId="46BA2258"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€ 13.626</w:t>
            </w:r>
          </w:p>
        </w:tc>
        <w:tc>
          <w:tcPr>
            <w:tcW w:w="0" w:type="auto"/>
            <w:shd w:val="clear" w:color="000000" w:fill="DDEBF7"/>
            <w:noWrap/>
            <w:vAlign w:val="bottom"/>
            <w:hideMark/>
          </w:tcPr>
          <w:p w:rsidRPr="00E01B89" w:rsidR="00FC7CA6" w:rsidP="00844ABB" w:rsidRDefault="00FC7CA6" w14:paraId="6DC47005" w14:textId="7FE892B4">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€ 15.217</w:t>
            </w:r>
          </w:p>
        </w:tc>
        <w:tc>
          <w:tcPr>
            <w:tcW w:w="0" w:type="auto"/>
            <w:shd w:val="clear" w:color="000000" w:fill="DDEBF7"/>
            <w:noWrap/>
            <w:vAlign w:val="bottom"/>
            <w:hideMark/>
          </w:tcPr>
          <w:p w:rsidRPr="00E01B89" w:rsidR="00FC7CA6" w:rsidP="00844ABB" w:rsidRDefault="00FC7CA6" w14:paraId="240A58CB"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€ 16.406</w:t>
            </w:r>
          </w:p>
        </w:tc>
        <w:tc>
          <w:tcPr>
            <w:tcW w:w="0" w:type="auto"/>
            <w:gridSpan w:val="2"/>
            <w:shd w:val="clear" w:color="000000" w:fill="DDEBF7"/>
            <w:noWrap/>
            <w:vAlign w:val="bottom"/>
            <w:hideMark/>
          </w:tcPr>
          <w:p w:rsidRPr="00E01B89" w:rsidR="00FC7CA6" w:rsidP="00844ABB" w:rsidRDefault="00FC7CA6" w14:paraId="3BFD29A8"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€ 24.404</w:t>
            </w:r>
          </w:p>
        </w:tc>
        <w:tc>
          <w:tcPr>
            <w:tcW w:w="0" w:type="auto"/>
            <w:shd w:val="clear" w:color="000000" w:fill="DDEBF7"/>
            <w:noWrap/>
            <w:vAlign w:val="bottom"/>
            <w:hideMark/>
          </w:tcPr>
          <w:p w:rsidRPr="00E01B89" w:rsidR="00FC7CA6" w:rsidP="00844ABB" w:rsidRDefault="00FC7CA6" w14:paraId="7A33D790"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€ 25.258</w:t>
            </w:r>
          </w:p>
        </w:tc>
        <w:tc>
          <w:tcPr>
            <w:tcW w:w="0" w:type="auto"/>
            <w:gridSpan w:val="4"/>
            <w:shd w:val="clear" w:color="000000" w:fill="DDEBF7"/>
            <w:noWrap/>
            <w:vAlign w:val="bottom"/>
            <w:hideMark/>
          </w:tcPr>
          <w:p w:rsidRPr="00E01B89" w:rsidR="00FC7CA6" w:rsidP="00844ABB" w:rsidRDefault="00FC7CA6" w14:paraId="31E19EBB"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€ 26.152</w:t>
            </w:r>
          </w:p>
        </w:tc>
        <w:tc>
          <w:tcPr>
            <w:tcW w:w="0" w:type="auto"/>
            <w:gridSpan w:val="4"/>
            <w:shd w:val="clear" w:color="000000" w:fill="DDEBF7"/>
            <w:noWrap/>
            <w:vAlign w:val="bottom"/>
            <w:hideMark/>
          </w:tcPr>
          <w:p w:rsidRPr="00E01B89" w:rsidR="00FC7CA6" w:rsidP="00844ABB" w:rsidRDefault="00FC7CA6" w14:paraId="379349AB"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€ 27.078</w:t>
            </w:r>
          </w:p>
        </w:tc>
      </w:tr>
      <w:tr w:rsidRPr="006E7A61" w:rsidR="00FC7CA6" w:rsidTr="00DB2A3F" w14:paraId="01577FC6" w14:textId="77777777">
        <w:trPr>
          <w:trHeight w:val="300"/>
        </w:trPr>
        <w:tc>
          <w:tcPr>
            <w:tcW w:w="0" w:type="auto"/>
            <w:shd w:val="clear" w:color="000000" w:fill="FFFFFF"/>
            <w:noWrap/>
            <w:vAlign w:val="bottom"/>
            <w:hideMark/>
          </w:tcPr>
          <w:p w:rsidRPr="00E01B89" w:rsidR="00FC7CA6" w:rsidP="00FC7CA6" w:rsidRDefault="00FC7CA6" w14:paraId="060105A7" w14:textId="77777777">
            <w:pPr>
              <w:spacing w:after="0" w:line="240" w:lineRule="auto"/>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Eigen bijdrage per jaar:</w:t>
            </w:r>
          </w:p>
        </w:tc>
        <w:tc>
          <w:tcPr>
            <w:tcW w:w="0" w:type="auto"/>
            <w:shd w:val="clear" w:color="000000" w:fill="FFFFFF"/>
            <w:noWrap/>
            <w:vAlign w:val="bottom"/>
            <w:hideMark/>
          </w:tcPr>
          <w:p w:rsidRPr="00E01B89" w:rsidR="00FC7CA6" w:rsidP="00844ABB" w:rsidRDefault="00FC7CA6" w14:paraId="70429302"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€ 10.028</w:t>
            </w:r>
          </w:p>
        </w:tc>
        <w:tc>
          <w:tcPr>
            <w:tcW w:w="0" w:type="auto"/>
            <w:shd w:val="clear" w:color="000000" w:fill="FFFFFF"/>
            <w:noWrap/>
            <w:vAlign w:val="bottom"/>
            <w:hideMark/>
          </w:tcPr>
          <w:p w:rsidRPr="00E01B89" w:rsidR="00FC7CA6" w:rsidP="00844ABB" w:rsidRDefault="00FC7CA6" w14:paraId="450EAE89"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€ 10.398</w:t>
            </w:r>
          </w:p>
        </w:tc>
        <w:tc>
          <w:tcPr>
            <w:tcW w:w="0" w:type="auto"/>
            <w:shd w:val="clear" w:color="000000" w:fill="FFFFFF"/>
            <w:noWrap/>
            <w:vAlign w:val="bottom"/>
            <w:hideMark/>
          </w:tcPr>
          <w:p w:rsidRPr="00E01B89" w:rsidR="00FC7CA6" w:rsidP="00844ABB" w:rsidRDefault="00FC7CA6" w14:paraId="5F4A8C85" w14:textId="75A4FFBE">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€ 9.885</w:t>
            </w:r>
          </w:p>
        </w:tc>
        <w:tc>
          <w:tcPr>
            <w:tcW w:w="0" w:type="auto"/>
            <w:shd w:val="clear" w:color="000000" w:fill="FFFFFF"/>
            <w:noWrap/>
            <w:vAlign w:val="bottom"/>
            <w:hideMark/>
          </w:tcPr>
          <w:p w:rsidRPr="00E01B89" w:rsidR="00FC7CA6" w:rsidP="00844ABB" w:rsidRDefault="00FC7CA6" w14:paraId="49FDA07C"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€ 9.640</w:t>
            </w:r>
          </w:p>
        </w:tc>
        <w:tc>
          <w:tcPr>
            <w:tcW w:w="0" w:type="auto"/>
            <w:gridSpan w:val="2"/>
            <w:shd w:val="clear" w:color="000000" w:fill="FFFFFF"/>
            <w:noWrap/>
            <w:vAlign w:val="bottom"/>
            <w:hideMark/>
          </w:tcPr>
          <w:p w:rsidRPr="00E01B89" w:rsidR="00FC7CA6" w:rsidP="00844ABB" w:rsidRDefault="00FC7CA6" w14:paraId="22028A8B"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€ 2.616</w:t>
            </w:r>
          </w:p>
        </w:tc>
        <w:tc>
          <w:tcPr>
            <w:tcW w:w="0" w:type="auto"/>
            <w:shd w:val="clear" w:color="000000" w:fill="FFFFFF"/>
            <w:noWrap/>
            <w:vAlign w:val="bottom"/>
            <w:hideMark/>
          </w:tcPr>
          <w:p w:rsidRPr="00E01B89" w:rsidR="00FC7CA6" w:rsidP="00844ABB" w:rsidRDefault="00FC7CA6" w14:paraId="5689B3A3"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€ 2.708</w:t>
            </w:r>
          </w:p>
        </w:tc>
        <w:tc>
          <w:tcPr>
            <w:tcW w:w="0" w:type="auto"/>
            <w:gridSpan w:val="4"/>
            <w:shd w:val="clear" w:color="000000" w:fill="FFFFFF"/>
            <w:noWrap/>
            <w:vAlign w:val="bottom"/>
            <w:hideMark/>
          </w:tcPr>
          <w:p w:rsidRPr="00E01B89" w:rsidR="00FC7CA6" w:rsidP="00844ABB" w:rsidRDefault="00FC7CA6" w14:paraId="7BBD5671"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€ 2.803</w:t>
            </w:r>
          </w:p>
        </w:tc>
        <w:tc>
          <w:tcPr>
            <w:tcW w:w="0" w:type="auto"/>
            <w:gridSpan w:val="4"/>
            <w:shd w:val="clear" w:color="000000" w:fill="FFFFFF"/>
            <w:noWrap/>
            <w:vAlign w:val="bottom"/>
            <w:hideMark/>
          </w:tcPr>
          <w:p w:rsidRPr="00E01B89" w:rsidR="00FC7CA6" w:rsidP="00844ABB" w:rsidRDefault="00FC7CA6" w14:paraId="29AA3246" w14:textId="77777777">
            <w:pPr>
              <w:spacing w:after="0" w:line="240" w:lineRule="auto"/>
              <w:jc w:val="right"/>
              <w:rPr>
                <w:rFonts w:ascii="Calibri" w:hAnsi="Calibri" w:eastAsia="Times New Roman" w:cs="Calibri"/>
                <w:color w:val="000000"/>
                <w:kern w:val="0"/>
                <w:sz w:val="18"/>
                <w:szCs w:val="18"/>
                <w:lang w:eastAsia="nl-NL"/>
                <w14:ligatures w14:val="none"/>
              </w:rPr>
            </w:pPr>
            <w:r w:rsidRPr="00E01B89">
              <w:rPr>
                <w:rFonts w:ascii="Calibri" w:hAnsi="Calibri" w:eastAsia="Times New Roman" w:cs="Calibri"/>
                <w:color w:val="000000"/>
                <w:kern w:val="0"/>
                <w:sz w:val="18"/>
                <w:szCs w:val="18"/>
                <w:lang w:eastAsia="nl-NL"/>
                <w14:ligatures w14:val="none"/>
              </w:rPr>
              <w:t>€ 2.903</w:t>
            </w:r>
          </w:p>
        </w:tc>
      </w:tr>
      <w:tr w:rsidRPr="006E7A61" w:rsidR="000512F9" w:rsidTr="00DB2A3F" w14:paraId="634D0C08" w14:textId="77777777">
        <w:trPr>
          <w:trHeight w:val="315"/>
        </w:trPr>
        <w:tc>
          <w:tcPr>
            <w:tcW w:w="0" w:type="auto"/>
            <w:shd w:val="clear" w:color="000000" w:fill="DDEBF7"/>
            <w:noWrap/>
            <w:vAlign w:val="bottom"/>
            <w:hideMark/>
          </w:tcPr>
          <w:p w:rsidRPr="00E01B89" w:rsidR="000512F9" w:rsidP="000512F9" w:rsidRDefault="000512F9" w14:paraId="14CD8854" w14:textId="3FA66DFE">
            <w:pPr>
              <w:spacing w:after="0" w:line="240" w:lineRule="auto"/>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Percentage eigen bijdrage:</w:t>
            </w:r>
          </w:p>
        </w:tc>
        <w:tc>
          <w:tcPr>
            <w:tcW w:w="0" w:type="auto"/>
            <w:shd w:val="clear" w:color="000000" w:fill="DDEBF7"/>
            <w:noWrap/>
            <w:vAlign w:val="bottom"/>
            <w:hideMark/>
          </w:tcPr>
          <w:p w:rsidRPr="00E01B89" w:rsidR="000512F9" w:rsidP="00844ABB" w:rsidRDefault="000512F9" w14:paraId="2BF3B73D" w14:textId="6ED67B18">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45,3%</w:t>
            </w:r>
          </w:p>
        </w:tc>
        <w:tc>
          <w:tcPr>
            <w:tcW w:w="0" w:type="auto"/>
            <w:shd w:val="clear" w:color="000000" w:fill="DDEBF7"/>
            <w:noWrap/>
            <w:vAlign w:val="bottom"/>
            <w:hideMark/>
          </w:tcPr>
          <w:p w:rsidRPr="00E01B89" w:rsidR="000512F9" w:rsidP="00844ABB" w:rsidRDefault="000512F9" w14:paraId="3FC97165" w14:textId="353D2F0C">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43,3%</w:t>
            </w:r>
          </w:p>
        </w:tc>
        <w:tc>
          <w:tcPr>
            <w:tcW w:w="0" w:type="auto"/>
            <w:shd w:val="clear" w:color="000000" w:fill="DDEBF7"/>
            <w:noWrap/>
            <w:vAlign w:val="bottom"/>
            <w:hideMark/>
          </w:tcPr>
          <w:p w:rsidRPr="00E01B89" w:rsidR="000512F9" w:rsidP="00844ABB" w:rsidRDefault="000512F9" w14:paraId="2E1003CD" w14:textId="0742A56C">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39,4%</w:t>
            </w:r>
          </w:p>
        </w:tc>
        <w:tc>
          <w:tcPr>
            <w:tcW w:w="0" w:type="auto"/>
            <w:shd w:val="clear" w:color="000000" w:fill="DDEBF7"/>
            <w:noWrap/>
            <w:vAlign w:val="bottom"/>
            <w:hideMark/>
          </w:tcPr>
          <w:p w:rsidRPr="00E01B89" w:rsidR="000512F9" w:rsidP="00844ABB" w:rsidRDefault="000512F9" w14:paraId="376E9203" w14:textId="22D0CD58">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37,0%</w:t>
            </w:r>
          </w:p>
        </w:tc>
        <w:tc>
          <w:tcPr>
            <w:tcW w:w="0" w:type="auto"/>
            <w:gridSpan w:val="2"/>
            <w:shd w:val="clear" w:color="000000" w:fill="DDEBF7"/>
            <w:noWrap/>
            <w:vAlign w:val="bottom"/>
            <w:hideMark/>
          </w:tcPr>
          <w:p w:rsidRPr="00E01B89" w:rsidR="000512F9" w:rsidP="00844ABB" w:rsidRDefault="000512F9" w14:paraId="27E43BF5" w14:textId="3F6269C8">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9,7%</w:t>
            </w:r>
          </w:p>
        </w:tc>
        <w:tc>
          <w:tcPr>
            <w:tcW w:w="0" w:type="auto"/>
            <w:shd w:val="clear" w:color="000000" w:fill="DDEBF7"/>
            <w:noWrap/>
            <w:vAlign w:val="bottom"/>
            <w:hideMark/>
          </w:tcPr>
          <w:p w:rsidRPr="00E01B89" w:rsidR="000512F9" w:rsidP="00844ABB" w:rsidRDefault="000512F9" w14:paraId="79DCE8B0" w14:textId="3D80FC11">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9,7%</w:t>
            </w:r>
          </w:p>
        </w:tc>
        <w:tc>
          <w:tcPr>
            <w:tcW w:w="0" w:type="auto"/>
            <w:gridSpan w:val="4"/>
            <w:shd w:val="clear" w:color="000000" w:fill="DDEBF7"/>
            <w:noWrap/>
            <w:vAlign w:val="bottom"/>
            <w:hideMark/>
          </w:tcPr>
          <w:p w:rsidRPr="00E01B89" w:rsidR="000512F9" w:rsidP="00844ABB" w:rsidRDefault="000512F9" w14:paraId="2AD79B1B" w14:textId="1852ECEC">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9,7%</w:t>
            </w:r>
          </w:p>
        </w:tc>
        <w:tc>
          <w:tcPr>
            <w:tcW w:w="0" w:type="auto"/>
            <w:gridSpan w:val="4"/>
            <w:shd w:val="clear" w:color="000000" w:fill="DDEBF7"/>
            <w:noWrap/>
            <w:vAlign w:val="bottom"/>
            <w:hideMark/>
          </w:tcPr>
          <w:p w:rsidRPr="00E01B89" w:rsidR="000512F9" w:rsidP="00844ABB" w:rsidRDefault="000512F9" w14:paraId="2C661554" w14:textId="4057DDEB">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9,7%</w:t>
            </w:r>
          </w:p>
        </w:tc>
      </w:tr>
      <w:tr w:rsidRPr="006E7A61" w:rsidR="000512F9" w:rsidTr="00DB2A3F" w14:paraId="29C59DB1" w14:textId="77777777">
        <w:trPr>
          <w:trHeight w:val="315"/>
        </w:trPr>
        <w:tc>
          <w:tcPr>
            <w:tcW w:w="0" w:type="auto"/>
            <w:shd w:val="clear" w:color="auto" w:fill="FFFFFF" w:themeFill="background1"/>
            <w:noWrap/>
            <w:vAlign w:val="bottom"/>
          </w:tcPr>
          <w:p w:rsidRPr="00E01B89" w:rsidR="000512F9" w:rsidP="000512F9" w:rsidRDefault="000512F9" w14:paraId="1E4B6A7A" w14:textId="5F106799">
            <w:pPr>
              <w:spacing w:after="0" w:line="240" w:lineRule="auto"/>
              <w:rPr>
                <w:rFonts w:ascii="Calibri" w:hAnsi="Calibri" w:eastAsia="Times New Roman" w:cs="Calibri"/>
                <w:b/>
                <w:bCs/>
                <w:color w:val="000000"/>
                <w:kern w:val="0"/>
                <w:sz w:val="18"/>
                <w:szCs w:val="18"/>
                <w:lang w:eastAsia="nl-NL"/>
                <w14:ligatures w14:val="none"/>
              </w:rPr>
            </w:pPr>
            <w:r w:rsidRPr="00E01B89">
              <w:rPr>
                <w:rFonts w:ascii="Calibri" w:hAnsi="Calibri" w:eastAsia="Times New Roman" w:cs="Calibri"/>
                <w:b/>
                <w:bCs/>
                <w:color w:val="000000"/>
                <w:kern w:val="0"/>
                <w:sz w:val="18"/>
                <w:szCs w:val="18"/>
                <w:lang w:eastAsia="nl-NL"/>
                <w14:ligatures w14:val="none"/>
              </w:rPr>
              <w:t xml:space="preserve">Percentage </w:t>
            </w:r>
            <w:r>
              <w:rPr>
                <w:rFonts w:ascii="Calibri" w:hAnsi="Calibri" w:eastAsia="Times New Roman" w:cs="Calibri"/>
                <w:b/>
                <w:bCs/>
                <w:color w:val="000000"/>
                <w:kern w:val="0"/>
                <w:sz w:val="18"/>
                <w:szCs w:val="18"/>
                <w:lang w:eastAsia="nl-NL"/>
                <w14:ligatures w14:val="none"/>
              </w:rPr>
              <w:t>overheids</w:t>
            </w:r>
            <w:r w:rsidRPr="00E01B89">
              <w:rPr>
                <w:rFonts w:ascii="Calibri" w:hAnsi="Calibri" w:eastAsia="Times New Roman" w:cs="Calibri"/>
                <w:b/>
                <w:bCs/>
                <w:color w:val="000000"/>
                <w:kern w:val="0"/>
                <w:sz w:val="18"/>
                <w:szCs w:val="18"/>
                <w:lang w:eastAsia="nl-NL"/>
                <w14:ligatures w14:val="none"/>
              </w:rPr>
              <w:t>bijdrage:</w:t>
            </w:r>
          </w:p>
        </w:tc>
        <w:tc>
          <w:tcPr>
            <w:tcW w:w="0" w:type="auto"/>
            <w:shd w:val="clear" w:color="auto" w:fill="FFFFFF" w:themeFill="background1"/>
            <w:noWrap/>
            <w:vAlign w:val="bottom"/>
          </w:tcPr>
          <w:p w:rsidRPr="00E01B89" w:rsidR="000512F9" w:rsidP="00844ABB" w:rsidRDefault="000512F9" w14:paraId="4E40977F" w14:textId="10820C5B">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54,7%</w:t>
            </w:r>
          </w:p>
        </w:tc>
        <w:tc>
          <w:tcPr>
            <w:tcW w:w="0" w:type="auto"/>
            <w:shd w:val="clear" w:color="auto" w:fill="FFFFFF" w:themeFill="background1"/>
            <w:noWrap/>
            <w:vAlign w:val="bottom"/>
          </w:tcPr>
          <w:p w:rsidRPr="00E01B89" w:rsidR="000512F9" w:rsidP="00844ABB" w:rsidRDefault="000512F9" w14:paraId="1F00C06D" w14:textId="6820C9AF">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56,7%</w:t>
            </w:r>
          </w:p>
        </w:tc>
        <w:tc>
          <w:tcPr>
            <w:tcW w:w="0" w:type="auto"/>
            <w:shd w:val="clear" w:color="auto" w:fill="FFFFFF" w:themeFill="background1"/>
            <w:noWrap/>
            <w:vAlign w:val="bottom"/>
          </w:tcPr>
          <w:p w:rsidRPr="00E01B89" w:rsidR="000512F9" w:rsidP="00844ABB" w:rsidRDefault="000512F9" w14:paraId="7AE2CE8A" w14:textId="4CE63B7B">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60,6%</w:t>
            </w:r>
          </w:p>
        </w:tc>
        <w:tc>
          <w:tcPr>
            <w:tcW w:w="0" w:type="auto"/>
            <w:shd w:val="clear" w:color="auto" w:fill="FFFFFF" w:themeFill="background1"/>
            <w:noWrap/>
            <w:vAlign w:val="bottom"/>
          </w:tcPr>
          <w:p w:rsidRPr="00E01B89" w:rsidR="000512F9" w:rsidP="00844ABB" w:rsidRDefault="000512F9" w14:paraId="6A1A8622" w14:textId="3784AFA8">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63,0%</w:t>
            </w:r>
          </w:p>
        </w:tc>
        <w:tc>
          <w:tcPr>
            <w:tcW w:w="0" w:type="auto"/>
            <w:gridSpan w:val="2"/>
            <w:shd w:val="clear" w:color="auto" w:fill="FFFFFF" w:themeFill="background1"/>
            <w:noWrap/>
            <w:vAlign w:val="bottom"/>
          </w:tcPr>
          <w:p w:rsidRPr="00E01B89" w:rsidR="000512F9" w:rsidP="00844ABB" w:rsidRDefault="000512F9" w14:paraId="1698A5E3" w14:textId="78538EED">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90,3%</w:t>
            </w:r>
          </w:p>
        </w:tc>
        <w:tc>
          <w:tcPr>
            <w:tcW w:w="0" w:type="auto"/>
            <w:shd w:val="clear" w:color="auto" w:fill="FFFFFF" w:themeFill="background1"/>
            <w:noWrap/>
            <w:vAlign w:val="bottom"/>
          </w:tcPr>
          <w:p w:rsidRPr="00E01B89" w:rsidR="000512F9" w:rsidP="00844ABB" w:rsidRDefault="000512F9" w14:paraId="7920BFA4" w14:textId="389F2491">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90,3%</w:t>
            </w:r>
          </w:p>
        </w:tc>
        <w:tc>
          <w:tcPr>
            <w:tcW w:w="0" w:type="auto"/>
            <w:gridSpan w:val="4"/>
            <w:shd w:val="clear" w:color="auto" w:fill="FFFFFF" w:themeFill="background1"/>
            <w:noWrap/>
            <w:vAlign w:val="bottom"/>
          </w:tcPr>
          <w:p w:rsidRPr="00E01B89" w:rsidR="000512F9" w:rsidP="00844ABB" w:rsidRDefault="000512F9" w14:paraId="7864F009" w14:textId="4C4A9BED">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90,3%</w:t>
            </w:r>
          </w:p>
        </w:tc>
        <w:tc>
          <w:tcPr>
            <w:tcW w:w="0" w:type="auto"/>
            <w:gridSpan w:val="4"/>
            <w:shd w:val="clear" w:color="auto" w:fill="FFFFFF" w:themeFill="background1"/>
            <w:noWrap/>
            <w:vAlign w:val="bottom"/>
          </w:tcPr>
          <w:p w:rsidRPr="00E01B89" w:rsidR="000512F9" w:rsidP="00844ABB" w:rsidRDefault="000512F9" w14:paraId="5359740B" w14:textId="654CB75A">
            <w:pPr>
              <w:spacing w:after="0" w:line="240" w:lineRule="auto"/>
              <w:jc w:val="right"/>
              <w:rPr>
                <w:rFonts w:ascii="Calibri" w:hAnsi="Calibri" w:eastAsia="Times New Roman" w:cs="Calibri"/>
                <w:b/>
                <w:bCs/>
                <w:color w:val="000000"/>
                <w:kern w:val="0"/>
                <w:sz w:val="18"/>
                <w:szCs w:val="18"/>
                <w:lang w:eastAsia="nl-NL"/>
                <w14:ligatures w14:val="none"/>
              </w:rPr>
            </w:pPr>
            <w:r w:rsidRPr="005A3490">
              <w:rPr>
                <w:rFonts w:ascii="Calibri" w:hAnsi="Calibri" w:eastAsia="Times New Roman" w:cs="Calibri"/>
                <w:b/>
                <w:bCs/>
                <w:color w:val="000000"/>
                <w:kern w:val="0"/>
                <w:sz w:val="18"/>
                <w:szCs w:val="18"/>
                <w:lang w:eastAsia="nl-NL"/>
                <w14:ligatures w14:val="none"/>
              </w:rPr>
              <w:t>90,3%</w:t>
            </w:r>
          </w:p>
        </w:tc>
      </w:tr>
    </w:tbl>
    <w:p w:rsidR="0038798A" w:rsidP="00414293" w:rsidRDefault="0038798A" w14:paraId="252B1047" w14:textId="51D2684D">
      <w:pPr>
        <w:rPr>
          <w:sz w:val="18"/>
          <w:szCs w:val="18"/>
        </w:rPr>
      </w:pPr>
    </w:p>
    <w:p w:rsidRPr="005A3490" w:rsidR="00717F0C" w:rsidP="00717F0C" w:rsidRDefault="00717F0C" w14:paraId="72DE795F" w14:textId="77777777">
      <w:pPr>
        <w:rPr>
          <w:i/>
          <w:iCs/>
          <w:sz w:val="18"/>
          <w:szCs w:val="18"/>
        </w:rPr>
      </w:pPr>
      <w:r>
        <w:rPr>
          <w:i/>
          <w:iCs/>
          <w:sz w:val="18"/>
          <w:szCs w:val="18"/>
        </w:rPr>
        <w:t>NB De afkorting KOT staat voor kinderopvangtoeslag. De afkorting VKO betekent Vergoeding Kinderopvang. Hiermee wordt de nieuwe financiering van kinderopvang bedoeld.</w:t>
      </w:r>
    </w:p>
    <w:p w:rsidRPr="005A3490" w:rsidR="0038798A" w:rsidP="00414293" w:rsidRDefault="0038798A" w14:paraId="0F7C5822" w14:textId="54F0137F">
      <w:pPr>
        <w:rPr>
          <w:i/>
          <w:iCs/>
          <w:sz w:val="18"/>
          <w:szCs w:val="18"/>
        </w:rPr>
      </w:pPr>
    </w:p>
    <w:sectPr w:rsidRPr="005A3490" w:rsidR="0038798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74F3E" w14:textId="77777777" w:rsidR="00AB5BC9" w:rsidRDefault="00AB5BC9" w:rsidP="001B329B">
      <w:pPr>
        <w:spacing w:after="0" w:line="240" w:lineRule="auto"/>
      </w:pPr>
      <w:r>
        <w:separator/>
      </w:r>
    </w:p>
  </w:endnote>
  <w:endnote w:type="continuationSeparator" w:id="0">
    <w:p w14:paraId="1CDAF683" w14:textId="77777777" w:rsidR="00AB5BC9" w:rsidRDefault="00AB5BC9" w:rsidP="001B329B">
      <w:pPr>
        <w:spacing w:after="0" w:line="240" w:lineRule="auto"/>
      </w:pPr>
      <w:r>
        <w:continuationSeparator/>
      </w:r>
    </w:p>
  </w:endnote>
  <w:endnote w:type="continuationNotice" w:id="1">
    <w:p w14:paraId="2ADEE07F" w14:textId="77777777" w:rsidR="00F451BD" w:rsidRDefault="00F451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741AA" w14:textId="77777777" w:rsidR="000A6142" w:rsidRDefault="000A61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F6990" w14:textId="77777777" w:rsidR="000A6142" w:rsidRDefault="000A61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28E88" w14:textId="77777777" w:rsidR="000A6142" w:rsidRDefault="000A61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2B010" w14:textId="77777777" w:rsidR="00AB5BC9" w:rsidRDefault="00AB5BC9" w:rsidP="001B329B">
      <w:pPr>
        <w:spacing w:after="0" w:line="240" w:lineRule="auto"/>
      </w:pPr>
      <w:r>
        <w:separator/>
      </w:r>
    </w:p>
  </w:footnote>
  <w:footnote w:type="continuationSeparator" w:id="0">
    <w:p w14:paraId="3553A2CE" w14:textId="77777777" w:rsidR="00AB5BC9" w:rsidRDefault="00AB5BC9" w:rsidP="001B329B">
      <w:pPr>
        <w:spacing w:after="0" w:line="240" w:lineRule="auto"/>
      </w:pPr>
      <w:r>
        <w:continuationSeparator/>
      </w:r>
    </w:p>
  </w:footnote>
  <w:footnote w:type="continuationNotice" w:id="1">
    <w:p w14:paraId="1ED66F86" w14:textId="77777777" w:rsidR="00F451BD" w:rsidRDefault="00F451BD">
      <w:pPr>
        <w:spacing w:after="0" w:line="240" w:lineRule="auto"/>
      </w:pPr>
    </w:p>
  </w:footnote>
  <w:footnote w:id="2">
    <w:p w14:paraId="0D3C814A" w14:textId="77777777" w:rsidR="004E7A2A" w:rsidRPr="0020588D" w:rsidRDefault="004E7A2A" w:rsidP="004E7A2A">
      <w:pPr>
        <w:pStyle w:val="Voetnoottekst"/>
        <w:rPr>
          <w:rFonts w:ascii="Verdana" w:hAnsi="Verdana"/>
          <w:sz w:val="16"/>
          <w:szCs w:val="16"/>
        </w:rPr>
      </w:pPr>
      <w:r w:rsidRPr="0020588D">
        <w:rPr>
          <w:rStyle w:val="Voetnootmarkering"/>
          <w:rFonts w:ascii="Verdana" w:hAnsi="Verdana"/>
          <w:sz w:val="16"/>
          <w:szCs w:val="16"/>
        </w:rPr>
        <w:footnoteRef/>
      </w:r>
      <w:r w:rsidRPr="0020588D">
        <w:rPr>
          <w:rFonts w:ascii="Verdana" w:hAnsi="Verdana"/>
          <w:sz w:val="16"/>
          <w:szCs w:val="16"/>
        </w:rPr>
        <w:t xml:space="preserve"> Kamerstukken II, 2024-25, 31322, nr. 547</w:t>
      </w:r>
    </w:p>
  </w:footnote>
  <w:footnote w:id="3">
    <w:p w14:paraId="5D3179AD" w14:textId="43BFB471" w:rsidR="00336DF3" w:rsidRPr="0020588D" w:rsidRDefault="00336DF3" w:rsidP="0020588D">
      <w:pPr>
        <w:spacing w:after="0" w:line="240" w:lineRule="auto"/>
        <w:rPr>
          <w:rFonts w:ascii="Verdana" w:hAnsi="Verdana"/>
          <w:sz w:val="16"/>
          <w:szCs w:val="16"/>
        </w:rPr>
      </w:pPr>
      <w:r w:rsidRPr="00E01B89">
        <w:rPr>
          <w:rStyle w:val="Voetnootmarkering"/>
          <w:rFonts w:ascii="Verdana" w:hAnsi="Verdana"/>
          <w:sz w:val="16"/>
          <w:szCs w:val="16"/>
        </w:rPr>
        <w:footnoteRef/>
      </w:r>
      <w:r w:rsidRPr="00E01B89">
        <w:rPr>
          <w:rFonts w:ascii="Verdana" w:hAnsi="Verdana"/>
          <w:sz w:val="16"/>
          <w:szCs w:val="16"/>
        </w:rPr>
        <w:t xml:space="preserve"> Als een kinderopvangorganisatie een hoger of lager tarief rekent dan in deze rekenvoorbeelden is aangehouden, zijn de gevolgen voor de hoogte van de eigen bijdrage ook anders.</w:t>
      </w:r>
    </w:p>
  </w:footnote>
  <w:footnote w:id="4">
    <w:p w14:paraId="21D2DAA5" w14:textId="7DA62CE1" w:rsidR="000E22AC" w:rsidRPr="0020588D" w:rsidRDefault="000E22AC" w:rsidP="0020588D">
      <w:pPr>
        <w:pStyle w:val="Voetnoottekst"/>
        <w:rPr>
          <w:rFonts w:ascii="Verdana" w:hAnsi="Verdana"/>
          <w:sz w:val="16"/>
          <w:szCs w:val="16"/>
        </w:rPr>
      </w:pPr>
      <w:r w:rsidRPr="0020588D">
        <w:rPr>
          <w:rStyle w:val="Voetnootmarkering"/>
          <w:rFonts w:ascii="Verdana" w:hAnsi="Verdana"/>
          <w:sz w:val="16"/>
          <w:szCs w:val="16"/>
        </w:rPr>
        <w:footnoteRef/>
      </w:r>
      <w:r w:rsidRPr="0020588D">
        <w:rPr>
          <w:rFonts w:ascii="Verdana" w:hAnsi="Verdana"/>
          <w:sz w:val="16"/>
          <w:szCs w:val="16"/>
        </w:rPr>
        <w:t xml:space="preserve"> </w:t>
      </w:r>
      <w:r w:rsidR="003D4A50" w:rsidRPr="0020588D">
        <w:rPr>
          <w:rFonts w:ascii="Verdana" w:hAnsi="Verdana"/>
          <w:sz w:val="16"/>
          <w:szCs w:val="16"/>
        </w:rPr>
        <w:t xml:space="preserve">Volgens het Centraal Economisch Plan </w:t>
      </w:r>
      <w:r w:rsidR="00854E78" w:rsidRPr="0020588D">
        <w:rPr>
          <w:rFonts w:ascii="Verdana" w:hAnsi="Verdana"/>
          <w:sz w:val="16"/>
          <w:szCs w:val="16"/>
        </w:rPr>
        <w:t xml:space="preserve">(CEP) </w:t>
      </w:r>
      <w:r w:rsidR="003D4A50" w:rsidRPr="0020588D">
        <w:rPr>
          <w:rFonts w:ascii="Verdana" w:hAnsi="Verdana"/>
          <w:sz w:val="16"/>
          <w:szCs w:val="16"/>
        </w:rPr>
        <w:t>2024</w:t>
      </w:r>
      <w:r w:rsidR="00854E78" w:rsidRPr="0020588D">
        <w:rPr>
          <w:rFonts w:ascii="Verdana" w:hAnsi="Verdana"/>
          <w:sz w:val="16"/>
          <w:szCs w:val="16"/>
        </w:rPr>
        <w:t xml:space="preserve"> van het CPB.</w:t>
      </w:r>
    </w:p>
  </w:footnote>
  <w:footnote w:id="5">
    <w:p w14:paraId="089B469F" w14:textId="3850C798" w:rsidR="00692BC4" w:rsidRPr="00E01B89" w:rsidRDefault="00692BC4" w:rsidP="0020588D">
      <w:pPr>
        <w:pStyle w:val="Voetnoottekst"/>
        <w:rPr>
          <w:rFonts w:ascii="Verdana" w:hAnsi="Verdana"/>
          <w:sz w:val="16"/>
          <w:szCs w:val="16"/>
        </w:rPr>
      </w:pPr>
      <w:r w:rsidRPr="00E01B89">
        <w:rPr>
          <w:rStyle w:val="Voetnootmarkering"/>
          <w:rFonts w:ascii="Verdana" w:hAnsi="Verdana"/>
          <w:sz w:val="16"/>
          <w:szCs w:val="16"/>
        </w:rPr>
        <w:footnoteRef/>
      </w:r>
      <w:r w:rsidRPr="00E01B89">
        <w:rPr>
          <w:rFonts w:ascii="Verdana" w:hAnsi="Verdana"/>
          <w:sz w:val="16"/>
          <w:szCs w:val="16"/>
        </w:rPr>
        <w:t xml:space="preserve"> </w:t>
      </w:r>
      <w:r w:rsidR="00886196" w:rsidRPr="00E01B89">
        <w:rPr>
          <w:rFonts w:ascii="Verdana" w:hAnsi="Verdana"/>
          <w:sz w:val="16"/>
          <w:szCs w:val="16"/>
        </w:rPr>
        <w:t>Kamerstukken II, 2023/24, 31 322, nr. 516.</w:t>
      </w:r>
    </w:p>
  </w:footnote>
  <w:footnote w:id="6">
    <w:p w14:paraId="2CA9F502" w14:textId="77777777" w:rsidR="00205E39" w:rsidRPr="00E01B89" w:rsidRDefault="00205E39" w:rsidP="00205E39">
      <w:pPr>
        <w:pStyle w:val="Voetnoottekst"/>
        <w:rPr>
          <w:rFonts w:ascii="Verdana" w:hAnsi="Verdana"/>
          <w:sz w:val="16"/>
          <w:szCs w:val="16"/>
        </w:rPr>
      </w:pPr>
      <w:r w:rsidRPr="00E01B89">
        <w:rPr>
          <w:rStyle w:val="Voetnootmarkering"/>
          <w:rFonts w:ascii="Verdana" w:hAnsi="Verdana"/>
          <w:sz w:val="16"/>
          <w:szCs w:val="16"/>
        </w:rPr>
        <w:footnoteRef/>
      </w:r>
      <w:r w:rsidRPr="00E01B89">
        <w:rPr>
          <w:rFonts w:ascii="Verdana" w:hAnsi="Verdana"/>
          <w:sz w:val="16"/>
          <w:szCs w:val="16"/>
        </w:rPr>
        <w:t xml:space="preserve"> Stb 2024, 273.</w:t>
      </w:r>
    </w:p>
    <w:p w14:paraId="0F290B19" w14:textId="77777777" w:rsidR="00205E39" w:rsidRDefault="00205E39" w:rsidP="00205E39">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616A1" w14:textId="77777777" w:rsidR="000A6142" w:rsidRDefault="000A61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8A263" w14:textId="77777777" w:rsidR="000A6142" w:rsidRDefault="000A614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83F83" w14:textId="77777777" w:rsidR="000A6142" w:rsidRDefault="000A614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293"/>
    <w:rsid w:val="000111E7"/>
    <w:rsid w:val="00017AE4"/>
    <w:rsid w:val="00030A80"/>
    <w:rsid w:val="0003508D"/>
    <w:rsid w:val="000365D4"/>
    <w:rsid w:val="00036847"/>
    <w:rsid w:val="00040986"/>
    <w:rsid w:val="00046117"/>
    <w:rsid w:val="00050FA6"/>
    <w:rsid w:val="000512F9"/>
    <w:rsid w:val="00065B07"/>
    <w:rsid w:val="000666F8"/>
    <w:rsid w:val="00071753"/>
    <w:rsid w:val="000856CF"/>
    <w:rsid w:val="000A6142"/>
    <w:rsid w:val="000B75F2"/>
    <w:rsid w:val="000C25E9"/>
    <w:rsid w:val="000D21F6"/>
    <w:rsid w:val="000E22AC"/>
    <w:rsid w:val="000E3B59"/>
    <w:rsid w:val="000F12DF"/>
    <w:rsid w:val="0010138B"/>
    <w:rsid w:val="001037C4"/>
    <w:rsid w:val="00105618"/>
    <w:rsid w:val="00107444"/>
    <w:rsid w:val="00113A33"/>
    <w:rsid w:val="00116034"/>
    <w:rsid w:val="00120CD4"/>
    <w:rsid w:val="00124996"/>
    <w:rsid w:val="00131021"/>
    <w:rsid w:val="001320E4"/>
    <w:rsid w:val="00142620"/>
    <w:rsid w:val="001505EA"/>
    <w:rsid w:val="00152DCA"/>
    <w:rsid w:val="00167A1C"/>
    <w:rsid w:val="001A6932"/>
    <w:rsid w:val="001A7015"/>
    <w:rsid w:val="001B329B"/>
    <w:rsid w:val="001D44ED"/>
    <w:rsid w:val="001E1004"/>
    <w:rsid w:val="001E3BB6"/>
    <w:rsid w:val="001F34D5"/>
    <w:rsid w:val="001F4FDE"/>
    <w:rsid w:val="00203806"/>
    <w:rsid w:val="0020588D"/>
    <w:rsid w:val="00205A34"/>
    <w:rsid w:val="00205E39"/>
    <w:rsid w:val="0020771C"/>
    <w:rsid w:val="00210BA1"/>
    <w:rsid w:val="0022103F"/>
    <w:rsid w:val="002219F3"/>
    <w:rsid w:val="00233CA1"/>
    <w:rsid w:val="00236D31"/>
    <w:rsid w:val="00237BD2"/>
    <w:rsid w:val="0024481E"/>
    <w:rsid w:val="00247CBC"/>
    <w:rsid w:val="00267062"/>
    <w:rsid w:val="0027103F"/>
    <w:rsid w:val="002721BD"/>
    <w:rsid w:val="002834B8"/>
    <w:rsid w:val="002866D5"/>
    <w:rsid w:val="00287E15"/>
    <w:rsid w:val="00292E80"/>
    <w:rsid w:val="00297306"/>
    <w:rsid w:val="002A221A"/>
    <w:rsid w:val="00336DF3"/>
    <w:rsid w:val="003372F9"/>
    <w:rsid w:val="00346F9A"/>
    <w:rsid w:val="00356951"/>
    <w:rsid w:val="00357A4E"/>
    <w:rsid w:val="00370C54"/>
    <w:rsid w:val="00370DE2"/>
    <w:rsid w:val="003769E3"/>
    <w:rsid w:val="00383322"/>
    <w:rsid w:val="00386AAD"/>
    <w:rsid w:val="0038798A"/>
    <w:rsid w:val="003A44BC"/>
    <w:rsid w:val="003A75C5"/>
    <w:rsid w:val="003B5209"/>
    <w:rsid w:val="003C5A73"/>
    <w:rsid w:val="003C786A"/>
    <w:rsid w:val="003D32FD"/>
    <w:rsid w:val="003D4A50"/>
    <w:rsid w:val="003D64D0"/>
    <w:rsid w:val="003E55F0"/>
    <w:rsid w:val="003F3672"/>
    <w:rsid w:val="00405E76"/>
    <w:rsid w:val="00412823"/>
    <w:rsid w:val="00414293"/>
    <w:rsid w:val="004258C6"/>
    <w:rsid w:val="00426F06"/>
    <w:rsid w:val="00435547"/>
    <w:rsid w:val="00440F3E"/>
    <w:rsid w:val="00441BE3"/>
    <w:rsid w:val="004436AD"/>
    <w:rsid w:val="00447D11"/>
    <w:rsid w:val="004505AA"/>
    <w:rsid w:val="00451927"/>
    <w:rsid w:val="004530F4"/>
    <w:rsid w:val="00460471"/>
    <w:rsid w:val="0049093E"/>
    <w:rsid w:val="004B71B8"/>
    <w:rsid w:val="004B758F"/>
    <w:rsid w:val="004C4EA9"/>
    <w:rsid w:val="004C5AD7"/>
    <w:rsid w:val="004C6EA2"/>
    <w:rsid w:val="004D035E"/>
    <w:rsid w:val="004D3D19"/>
    <w:rsid w:val="004E0412"/>
    <w:rsid w:val="004E7A2A"/>
    <w:rsid w:val="004F01B0"/>
    <w:rsid w:val="004F4169"/>
    <w:rsid w:val="00512061"/>
    <w:rsid w:val="00516D20"/>
    <w:rsid w:val="005211A2"/>
    <w:rsid w:val="00537F6B"/>
    <w:rsid w:val="00545B11"/>
    <w:rsid w:val="005464B4"/>
    <w:rsid w:val="00552D52"/>
    <w:rsid w:val="00562722"/>
    <w:rsid w:val="00562A54"/>
    <w:rsid w:val="00571D25"/>
    <w:rsid w:val="00573786"/>
    <w:rsid w:val="005838A5"/>
    <w:rsid w:val="00586283"/>
    <w:rsid w:val="00590F6B"/>
    <w:rsid w:val="005A3490"/>
    <w:rsid w:val="005A753D"/>
    <w:rsid w:val="005B5BCE"/>
    <w:rsid w:val="005C4721"/>
    <w:rsid w:val="005E577E"/>
    <w:rsid w:val="0060216D"/>
    <w:rsid w:val="00616D7D"/>
    <w:rsid w:val="006221C9"/>
    <w:rsid w:val="00622496"/>
    <w:rsid w:val="00622507"/>
    <w:rsid w:val="00622EF6"/>
    <w:rsid w:val="00627A7D"/>
    <w:rsid w:val="006443A4"/>
    <w:rsid w:val="00657FE9"/>
    <w:rsid w:val="006610D8"/>
    <w:rsid w:val="00675945"/>
    <w:rsid w:val="006805C3"/>
    <w:rsid w:val="00681FE9"/>
    <w:rsid w:val="00682A54"/>
    <w:rsid w:val="00683632"/>
    <w:rsid w:val="00684A7B"/>
    <w:rsid w:val="00692BC4"/>
    <w:rsid w:val="00693321"/>
    <w:rsid w:val="00697395"/>
    <w:rsid w:val="006A0590"/>
    <w:rsid w:val="006A79AA"/>
    <w:rsid w:val="006B5F1B"/>
    <w:rsid w:val="006D23CE"/>
    <w:rsid w:val="006E7A61"/>
    <w:rsid w:val="006F07C8"/>
    <w:rsid w:val="0070093C"/>
    <w:rsid w:val="00700B32"/>
    <w:rsid w:val="00712674"/>
    <w:rsid w:val="00717F0C"/>
    <w:rsid w:val="00732229"/>
    <w:rsid w:val="00733558"/>
    <w:rsid w:val="00734BB9"/>
    <w:rsid w:val="00754CE0"/>
    <w:rsid w:val="00764C49"/>
    <w:rsid w:val="0077272F"/>
    <w:rsid w:val="0078206C"/>
    <w:rsid w:val="00783FD3"/>
    <w:rsid w:val="00791436"/>
    <w:rsid w:val="007A1457"/>
    <w:rsid w:val="007A211F"/>
    <w:rsid w:val="007C0DEC"/>
    <w:rsid w:val="007D308C"/>
    <w:rsid w:val="007F0A7C"/>
    <w:rsid w:val="007F260F"/>
    <w:rsid w:val="007F5D97"/>
    <w:rsid w:val="00814EF9"/>
    <w:rsid w:val="00821075"/>
    <w:rsid w:val="0082473B"/>
    <w:rsid w:val="00826540"/>
    <w:rsid w:val="0083641B"/>
    <w:rsid w:val="00836ED4"/>
    <w:rsid w:val="00842A7C"/>
    <w:rsid w:val="00842E49"/>
    <w:rsid w:val="00844ABB"/>
    <w:rsid w:val="0084547D"/>
    <w:rsid w:val="00854E78"/>
    <w:rsid w:val="00856164"/>
    <w:rsid w:val="008710A4"/>
    <w:rsid w:val="0088226F"/>
    <w:rsid w:val="00884E15"/>
    <w:rsid w:val="00886196"/>
    <w:rsid w:val="008906F4"/>
    <w:rsid w:val="00897E90"/>
    <w:rsid w:val="008B0579"/>
    <w:rsid w:val="008B167D"/>
    <w:rsid w:val="008C0AB5"/>
    <w:rsid w:val="008D32EE"/>
    <w:rsid w:val="008D44C9"/>
    <w:rsid w:val="008E2704"/>
    <w:rsid w:val="008F5532"/>
    <w:rsid w:val="008F6379"/>
    <w:rsid w:val="00916BB3"/>
    <w:rsid w:val="00930A5E"/>
    <w:rsid w:val="0093247C"/>
    <w:rsid w:val="00940553"/>
    <w:rsid w:val="00945F5C"/>
    <w:rsid w:val="009636B2"/>
    <w:rsid w:val="0097077F"/>
    <w:rsid w:val="009821CE"/>
    <w:rsid w:val="00983993"/>
    <w:rsid w:val="00990F7F"/>
    <w:rsid w:val="00992132"/>
    <w:rsid w:val="00993ADC"/>
    <w:rsid w:val="009A4F67"/>
    <w:rsid w:val="009C6BAE"/>
    <w:rsid w:val="009D375B"/>
    <w:rsid w:val="009E2AC6"/>
    <w:rsid w:val="009E6012"/>
    <w:rsid w:val="009F0232"/>
    <w:rsid w:val="009F65E2"/>
    <w:rsid w:val="00A024B1"/>
    <w:rsid w:val="00A10966"/>
    <w:rsid w:val="00A15F80"/>
    <w:rsid w:val="00A16D33"/>
    <w:rsid w:val="00A24D90"/>
    <w:rsid w:val="00A36A74"/>
    <w:rsid w:val="00A44BEC"/>
    <w:rsid w:val="00A47689"/>
    <w:rsid w:val="00A5072A"/>
    <w:rsid w:val="00A513DB"/>
    <w:rsid w:val="00A57EAF"/>
    <w:rsid w:val="00A71369"/>
    <w:rsid w:val="00A8104D"/>
    <w:rsid w:val="00A92359"/>
    <w:rsid w:val="00A931B8"/>
    <w:rsid w:val="00AA1AEE"/>
    <w:rsid w:val="00AA6591"/>
    <w:rsid w:val="00AA7FD1"/>
    <w:rsid w:val="00AB239D"/>
    <w:rsid w:val="00AB517A"/>
    <w:rsid w:val="00AB5BC9"/>
    <w:rsid w:val="00AC706E"/>
    <w:rsid w:val="00AD6160"/>
    <w:rsid w:val="00AE120F"/>
    <w:rsid w:val="00AE15EF"/>
    <w:rsid w:val="00AE6D18"/>
    <w:rsid w:val="00B03245"/>
    <w:rsid w:val="00B04B02"/>
    <w:rsid w:val="00B32CD5"/>
    <w:rsid w:val="00B36B24"/>
    <w:rsid w:val="00B42ACB"/>
    <w:rsid w:val="00B50594"/>
    <w:rsid w:val="00B55B15"/>
    <w:rsid w:val="00B62311"/>
    <w:rsid w:val="00B6323A"/>
    <w:rsid w:val="00B73E8D"/>
    <w:rsid w:val="00B77943"/>
    <w:rsid w:val="00B90C7A"/>
    <w:rsid w:val="00B95D46"/>
    <w:rsid w:val="00B963DD"/>
    <w:rsid w:val="00B9666E"/>
    <w:rsid w:val="00BD1427"/>
    <w:rsid w:val="00BD266B"/>
    <w:rsid w:val="00BD6069"/>
    <w:rsid w:val="00BE0D44"/>
    <w:rsid w:val="00BE1AA7"/>
    <w:rsid w:val="00BE4823"/>
    <w:rsid w:val="00BE506A"/>
    <w:rsid w:val="00C02FEA"/>
    <w:rsid w:val="00C05217"/>
    <w:rsid w:val="00C21C4B"/>
    <w:rsid w:val="00C2250A"/>
    <w:rsid w:val="00C232E0"/>
    <w:rsid w:val="00C30A99"/>
    <w:rsid w:val="00C33490"/>
    <w:rsid w:val="00C51897"/>
    <w:rsid w:val="00C568CE"/>
    <w:rsid w:val="00C64A54"/>
    <w:rsid w:val="00C64E14"/>
    <w:rsid w:val="00C65D81"/>
    <w:rsid w:val="00C73925"/>
    <w:rsid w:val="00CA21F3"/>
    <w:rsid w:val="00CA53C3"/>
    <w:rsid w:val="00CB63AC"/>
    <w:rsid w:val="00CB699A"/>
    <w:rsid w:val="00CC2BE4"/>
    <w:rsid w:val="00CC5DFA"/>
    <w:rsid w:val="00CD5BB4"/>
    <w:rsid w:val="00CE12CB"/>
    <w:rsid w:val="00D03FAD"/>
    <w:rsid w:val="00D136D6"/>
    <w:rsid w:val="00D16986"/>
    <w:rsid w:val="00D221D6"/>
    <w:rsid w:val="00D26857"/>
    <w:rsid w:val="00D312A7"/>
    <w:rsid w:val="00D37CC1"/>
    <w:rsid w:val="00D50BC7"/>
    <w:rsid w:val="00D65726"/>
    <w:rsid w:val="00D70BEE"/>
    <w:rsid w:val="00D81BA7"/>
    <w:rsid w:val="00DA0133"/>
    <w:rsid w:val="00DB2A3F"/>
    <w:rsid w:val="00DB733E"/>
    <w:rsid w:val="00DB7752"/>
    <w:rsid w:val="00E01B89"/>
    <w:rsid w:val="00E03A39"/>
    <w:rsid w:val="00E1751E"/>
    <w:rsid w:val="00E222B8"/>
    <w:rsid w:val="00E27265"/>
    <w:rsid w:val="00E51A42"/>
    <w:rsid w:val="00E52223"/>
    <w:rsid w:val="00E55D8C"/>
    <w:rsid w:val="00E5752D"/>
    <w:rsid w:val="00E63299"/>
    <w:rsid w:val="00E65825"/>
    <w:rsid w:val="00E72D1D"/>
    <w:rsid w:val="00E74BAC"/>
    <w:rsid w:val="00E75AE8"/>
    <w:rsid w:val="00E82D7B"/>
    <w:rsid w:val="00E87318"/>
    <w:rsid w:val="00EC227A"/>
    <w:rsid w:val="00EC3702"/>
    <w:rsid w:val="00EC5CA8"/>
    <w:rsid w:val="00ED7A6E"/>
    <w:rsid w:val="00EE5A97"/>
    <w:rsid w:val="00EF490D"/>
    <w:rsid w:val="00F04527"/>
    <w:rsid w:val="00F06F26"/>
    <w:rsid w:val="00F14419"/>
    <w:rsid w:val="00F322F6"/>
    <w:rsid w:val="00F451BD"/>
    <w:rsid w:val="00F4714F"/>
    <w:rsid w:val="00F72108"/>
    <w:rsid w:val="00F82533"/>
    <w:rsid w:val="00FA2AE4"/>
    <w:rsid w:val="00FA56C9"/>
    <w:rsid w:val="00FB3171"/>
    <w:rsid w:val="00FB6A15"/>
    <w:rsid w:val="00FC7CA6"/>
    <w:rsid w:val="00FD13EB"/>
    <w:rsid w:val="00FD181F"/>
    <w:rsid w:val="00FD2717"/>
    <w:rsid w:val="00FE2ACC"/>
    <w:rsid w:val="00FE3241"/>
    <w:rsid w:val="00FE3E42"/>
    <w:rsid w:val="00FE414D"/>
    <w:rsid w:val="00FE5682"/>
    <w:rsid w:val="00FE5A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E90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405E76"/>
    <w:rPr>
      <w:sz w:val="16"/>
      <w:szCs w:val="16"/>
    </w:rPr>
  </w:style>
  <w:style w:type="paragraph" w:styleId="Tekstopmerking">
    <w:name w:val="annotation text"/>
    <w:basedOn w:val="Standaard"/>
    <w:link w:val="TekstopmerkingChar"/>
    <w:uiPriority w:val="99"/>
    <w:unhideWhenUsed/>
    <w:rsid w:val="00405E76"/>
    <w:pPr>
      <w:spacing w:line="240" w:lineRule="auto"/>
    </w:pPr>
    <w:rPr>
      <w:sz w:val="20"/>
      <w:szCs w:val="20"/>
    </w:rPr>
  </w:style>
  <w:style w:type="character" w:customStyle="1" w:styleId="TekstopmerkingChar">
    <w:name w:val="Tekst opmerking Char"/>
    <w:basedOn w:val="Standaardalinea-lettertype"/>
    <w:link w:val="Tekstopmerking"/>
    <w:uiPriority w:val="99"/>
    <w:rsid w:val="00405E76"/>
    <w:rPr>
      <w:sz w:val="20"/>
      <w:szCs w:val="20"/>
    </w:rPr>
  </w:style>
  <w:style w:type="table" w:styleId="Tabelraster">
    <w:name w:val="Table Grid"/>
    <w:basedOn w:val="Standaardtabel"/>
    <w:uiPriority w:val="39"/>
    <w:rsid w:val="00405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E1751E"/>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167A1C"/>
    <w:rPr>
      <w:b/>
      <w:bCs/>
    </w:rPr>
  </w:style>
  <w:style w:type="character" w:customStyle="1" w:styleId="OnderwerpvanopmerkingChar">
    <w:name w:val="Onderwerp van opmerking Char"/>
    <w:basedOn w:val="TekstopmerkingChar"/>
    <w:link w:val="Onderwerpvanopmerking"/>
    <w:uiPriority w:val="99"/>
    <w:semiHidden/>
    <w:rsid w:val="00167A1C"/>
    <w:rPr>
      <w:b/>
      <w:bCs/>
      <w:sz w:val="20"/>
      <w:szCs w:val="20"/>
    </w:rPr>
  </w:style>
  <w:style w:type="paragraph" w:styleId="Voetnoottekst">
    <w:name w:val="footnote text"/>
    <w:basedOn w:val="Standaard"/>
    <w:link w:val="VoetnoottekstChar"/>
    <w:uiPriority w:val="99"/>
    <w:semiHidden/>
    <w:unhideWhenUsed/>
    <w:rsid w:val="001B329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B329B"/>
    <w:rPr>
      <w:sz w:val="20"/>
      <w:szCs w:val="20"/>
    </w:rPr>
  </w:style>
  <w:style w:type="character" w:styleId="Voetnootmarkering">
    <w:name w:val="footnote reference"/>
    <w:basedOn w:val="Standaardalinea-lettertype"/>
    <w:unhideWhenUsed/>
    <w:rsid w:val="001B329B"/>
    <w:rPr>
      <w:vertAlign w:val="superscript"/>
    </w:rPr>
  </w:style>
  <w:style w:type="paragraph" w:styleId="Koptekst">
    <w:name w:val="header"/>
    <w:basedOn w:val="Standaard"/>
    <w:link w:val="KoptekstChar"/>
    <w:uiPriority w:val="99"/>
    <w:unhideWhenUsed/>
    <w:rsid w:val="00F451B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451BD"/>
  </w:style>
  <w:style w:type="paragraph" w:styleId="Voettekst">
    <w:name w:val="footer"/>
    <w:basedOn w:val="Standaard"/>
    <w:link w:val="VoettekstChar"/>
    <w:uiPriority w:val="99"/>
    <w:unhideWhenUsed/>
    <w:rsid w:val="00F451B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451BD"/>
  </w:style>
  <w:style w:type="paragraph" w:customStyle="1" w:styleId="Default">
    <w:name w:val="Default"/>
    <w:rsid w:val="00AB239D"/>
    <w:pPr>
      <w:autoSpaceDE w:val="0"/>
      <w:autoSpaceDN w:val="0"/>
      <w:adjustRightInd w:val="0"/>
      <w:spacing w:after="0" w:line="240" w:lineRule="auto"/>
    </w:pPr>
    <w:rPr>
      <w:rFonts w:ascii="Verdana" w:eastAsia="Times New Roman" w:hAnsi="Verdana" w:cs="Verdana"/>
      <w:color w:val="000000"/>
      <w:kern w:val="0"/>
      <w:sz w:val="24"/>
      <w:szCs w:val="24"/>
      <w:lang w:eastAsia="nl-NL"/>
      <w14:ligatures w14:val="none"/>
    </w:rPr>
  </w:style>
  <w:style w:type="character" w:styleId="Hyperlink">
    <w:name w:val="Hyperlink"/>
    <w:basedOn w:val="Standaardalinea-lettertype"/>
    <w:uiPriority w:val="99"/>
    <w:semiHidden/>
    <w:unhideWhenUsed/>
    <w:rsid w:val="006E7A61"/>
    <w:rPr>
      <w:color w:val="0563C1"/>
      <w:u w:val="single"/>
    </w:rPr>
  </w:style>
  <w:style w:type="character" w:styleId="GevolgdeHyperlink">
    <w:name w:val="FollowedHyperlink"/>
    <w:basedOn w:val="Standaardalinea-lettertype"/>
    <w:uiPriority w:val="99"/>
    <w:semiHidden/>
    <w:unhideWhenUsed/>
    <w:rsid w:val="006E7A61"/>
    <w:rPr>
      <w:color w:val="954F72"/>
      <w:u w:val="single"/>
    </w:rPr>
  </w:style>
  <w:style w:type="paragraph" w:customStyle="1" w:styleId="msonormal0">
    <w:name w:val="msonormal"/>
    <w:basedOn w:val="Standaard"/>
    <w:rsid w:val="006E7A6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font5">
    <w:name w:val="font5"/>
    <w:basedOn w:val="Standaard"/>
    <w:rsid w:val="006E7A61"/>
    <w:pPr>
      <w:spacing w:before="100" w:beforeAutospacing="1" w:after="100" w:afterAutospacing="1" w:line="240" w:lineRule="auto"/>
    </w:pPr>
    <w:rPr>
      <w:rFonts w:ascii="Calibri" w:eastAsia="Times New Roman" w:hAnsi="Calibri" w:cs="Calibri"/>
      <w:i/>
      <w:iCs/>
      <w:color w:val="000000"/>
      <w:kern w:val="0"/>
      <w:lang w:eastAsia="nl-NL"/>
      <w14:ligatures w14:val="none"/>
    </w:rPr>
  </w:style>
  <w:style w:type="paragraph" w:customStyle="1" w:styleId="xl63">
    <w:name w:val="xl63"/>
    <w:basedOn w:val="Standaard"/>
    <w:rsid w:val="006E7A61"/>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64">
    <w:name w:val="xl64"/>
    <w:basedOn w:val="Standaard"/>
    <w:rsid w:val="006E7A61"/>
    <w:pPr>
      <w:pBdr>
        <w:top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nl-NL"/>
      <w14:ligatures w14:val="none"/>
    </w:rPr>
  </w:style>
  <w:style w:type="paragraph" w:customStyle="1" w:styleId="xl65">
    <w:name w:val="xl65"/>
    <w:basedOn w:val="Standaard"/>
    <w:rsid w:val="006E7A61"/>
    <w:pPr>
      <w:pBdr>
        <w:bottom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b/>
      <w:bCs/>
      <w:kern w:val="0"/>
      <w:sz w:val="24"/>
      <w:szCs w:val="24"/>
      <w:lang w:eastAsia="nl-NL"/>
      <w14:ligatures w14:val="none"/>
    </w:rPr>
  </w:style>
  <w:style w:type="paragraph" w:customStyle="1" w:styleId="xl66">
    <w:name w:val="xl66"/>
    <w:basedOn w:val="Standaard"/>
    <w:rsid w:val="006E7A61"/>
    <w:pPr>
      <w:pBdr>
        <w:top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67">
    <w:name w:val="xl67"/>
    <w:basedOn w:val="Standaard"/>
    <w:rsid w:val="006E7A61"/>
    <w:pPr>
      <w:pBdr>
        <w:top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68">
    <w:name w:val="xl68"/>
    <w:basedOn w:val="Standaard"/>
    <w:rsid w:val="006E7A61"/>
    <w:pPr>
      <w:pBdr>
        <w:lef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4"/>
      <w:szCs w:val="24"/>
      <w:lang w:eastAsia="nl-NL"/>
      <w14:ligatures w14:val="none"/>
    </w:rPr>
  </w:style>
  <w:style w:type="paragraph" w:customStyle="1" w:styleId="xl69">
    <w:name w:val="xl69"/>
    <w:basedOn w:val="Standaard"/>
    <w:rsid w:val="006E7A61"/>
    <w:pPr>
      <w:pBdr>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70">
    <w:name w:val="xl70"/>
    <w:basedOn w:val="Standaard"/>
    <w:rsid w:val="006E7A61"/>
    <w:pPr>
      <w:pBdr>
        <w:top w:val="single" w:sz="4" w:space="0" w:color="auto"/>
        <w:left w:val="single" w:sz="8" w:space="0" w:color="auto"/>
      </w:pBdr>
      <w:shd w:val="clear" w:color="000000" w:fill="9BC2E6"/>
      <w:spacing w:before="100" w:beforeAutospacing="1" w:after="100" w:afterAutospacing="1" w:line="240" w:lineRule="auto"/>
      <w:jc w:val="center"/>
    </w:pPr>
    <w:rPr>
      <w:rFonts w:ascii="Times New Roman" w:eastAsia="Times New Roman" w:hAnsi="Times New Roman" w:cs="Times New Roman"/>
      <w:b/>
      <w:bCs/>
      <w:kern w:val="0"/>
      <w:sz w:val="24"/>
      <w:szCs w:val="24"/>
      <w:lang w:eastAsia="nl-NL"/>
      <w14:ligatures w14:val="none"/>
    </w:rPr>
  </w:style>
  <w:style w:type="paragraph" w:customStyle="1" w:styleId="xl71">
    <w:name w:val="xl71"/>
    <w:basedOn w:val="Standaard"/>
    <w:rsid w:val="006E7A61"/>
    <w:pPr>
      <w:pBdr>
        <w:top w:val="single" w:sz="4"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nl-NL"/>
      <w14:ligatures w14:val="none"/>
    </w:rPr>
  </w:style>
  <w:style w:type="paragraph" w:customStyle="1" w:styleId="xl72">
    <w:name w:val="xl72"/>
    <w:basedOn w:val="Standaard"/>
    <w:rsid w:val="006E7A61"/>
    <w:pPr>
      <w:pBdr>
        <w:lef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73">
    <w:name w:val="xl73"/>
    <w:basedOn w:val="Standaard"/>
    <w:rsid w:val="006E7A61"/>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74">
    <w:name w:val="xl74"/>
    <w:basedOn w:val="Standaard"/>
    <w:rsid w:val="006E7A61"/>
    <w:pPr>
      <w:pBdr>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75">
    <w:name w:val="xl75"/>
    <w:basedOn w:val="Standaard"/>
    <w:rsid w:val="006E7A61"/>
    <w:pPr>
      <w:pBdr>
        <w:left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76">
    <w:name w:val="xl76"/>
    <w:basedOn w:val="Standaard"/>
    <w:rsid w:val="006E7A61"/>
    <w:pPr>
      <w:shd w:val="clear" w:color="000000" w:fill="DDEBF7"/>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77">
    <w:name w:val="xl77"/>
    <w:basedOn w:val="Standaard"/>
    <w:rsid w:val="006E7A61"/>
    <w:pPr>
      <w:pBdr>
        <w:right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78">
    <w:name w:val="xl78"/>
    <w:basedOn w:val="Standaard"/>
    <w:rsid w:val="006E7A61"/>
    <w:pPr>
      <w:pBdr>
        <w:left w:val="single" w:sz="8" w:space="0" w:color="auto"/>
        <w:bottom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b/>
      <w:bCs/>
      <w:kern w:val="0"/>
      <w:sz w:val="24"/>
      <w:szCs w:val="24"/>
      <w:lang w:eastAsia="nl-NL"/>
      <w14:ligatures w14:val="none"/>
    </w:rPr>
  </w:style>
  <w:style w:type="paragraph" w:customStyle="1" w:styleId="xl79">
    <w:name w:val="xl79"/>
    <w:basedOn w:val="Standaard"/>
    <w:rsid w:val="006E7A61"/>
    <w:pPr>
      <w:pBdr>
        <w:bottom w:val="single" w:sz="4" w:space="0" w:color="auto"/>
        <w:right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b/>
      <w:bCs/>
      <w:kern w:val="0"/>
      <w:sz w:val="24"/>
      <w:szCs w:val="24"/>
      <w:lang w:eastAsia="nl-NL"/>
      <w14:ligatures w14:val="none"/>
    </w:rPr>
  </w:style>
  <w:style w:type="paragraph" w:customStyle="1" w:styleId="xl80">
    <w:name w:val="xl80"/>
    <w:basedOn w:val="Standaard"/>
    <w:rsid w:val="006E7A61"/>
    <w:pPr>
      <w:pBdr>
        <w:left w:val="single" w:sz="8" w:space="0" w:color="auto"/>
        <w:bottom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b/>
      <w:bCs/>
      <w:kern w:val="0"/>
      <w:sz w:val="24"/>
      <w:szCs w:val="24"/>
      <w:lang w:eastAsia="nl-NL"/>
      <w14:ligatures w14:val="none"/>
    </w:rPr>
  </w:style>
  <w:style w:type="paragraph" w:customStyle="1" w:styleId="xl81">
    <w:name w:val="xl81"/>
    <w:basedOn w:val="Standaard"/>
    <w:rsid w:val="006E7A61"/>
    <w:pPr>
      <w:pBdr>
        <w:bottom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b/>
      <w:bCs/>
      <w:kern w:val="0"/>
      <w:sz w:val="24"/>
      <w:szCs w:val="24"/>
      <w:lang w:eastAsia="nl-NL"/>
      <w14:ligatures w14:val="none"/>
    </w:rPr>
  </w:style>
  <w:style w:type="paragraph" w:customStyle="1" w:styleId="xl82">
    <w:name w:val="xl82"/>
    <w:basedOn w:val="Standaard"/>
    <w:rsid w:val="006E7A61"/>
    <w:pPr>
      <w:pBdr>
        <w:bottom w:val="single" w:sz="8" w:space="0" w:color="auto"/>
        <w:right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b/>
      <w:bCs/>
      <w:kern w:val="0"/>
      <w:sz w:val="24"/>
      <w:szCs w:val="24"/>
      <w:lang w:eastAsia="nl-NL"/>
      <w14:ligatures w14:val="none"/>
    </w:rPr>
  </w:style>
  <w:style w:type="paragraph" w:customStyle="1" w:styleId="xl83">
    <w:name w:val="xl83"/>
    <w:basedOn w:val="Standaard"/>
    <w:rsid w:val="006E7A61"/>
    <w:pPr>
      <w:pBdr>
        <w:top w:val="single" w:sz="8" w:space="0" w:color="auto"/>
        <w:lef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4"/>
      <w:szCs w:val="24"/>
      <w:lang w:eastAsia="nl-NL"/>
      <w14:ligatures w14:val="none"/>
    </w:rPr>
  </w:style>
  <w:style w:type="paragraph" w:customStyle="1" w:styleId="xl84">
    <w:name w:val="xl84"/>
    <w:basedOn w:val="Standaard"/>
    <w:rsid w:val="006E7A61"/>
    <w:pPr>
      <w:pBdr>
        <w:bottom w:val="single" w:sz="8" w:space="0" w:color="auto"/>
        <w:right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b/>
      <w:bCs/>
      <w:kern w:val="0"/>
      <w:sz w:val="24"/>
      <w:szCs w:val="24"/>
      <w:lang w:eastAsia="nl-NL"/>
      <w14:ligatures w14:val="none"/>
    </w:rPr>
  </w:style>
  <w:style w:type="paragraph" w:customStyle="1" w:styleId="xl85">
    <w:name w:val="xl85"/>
    <w:basedOn w:val="Standaard"/>
    <w:rsid w:val="006E7A61"/>
    <w:pPr>
      <w:pBdr>
        <w:top w:val="single" w:sz="8" w:space="0" w:color="auto"/>
        <w:lef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684190">
      <w:bodyDiv w:val="1"/>
      <w:marLeft w:val="0"/>
      <w:marRight w:val="0"/>
      <w:marTop w:val="0"/>
      <w:marBottom w:val="0"/>
      <w:divBdr>
        <w:top w:val="none" w:sz="0" w:space="0" w:color="auto"/>
        <w:left w:val="none" w:sz="0" w:space="0" w:color="auto"/>
        <w:bottom w:val="none" w:sz="0" w:space="0" w:color="auto"/>
        <w:right w:val="none" w:sz="0" w:space="0" w:color="auto"/>
      </w:divBdr>
    </w:div>
    <w:div w:id="190598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chart" Target="charts/chart1.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charts/_rels/chart1.xml.rels><?xml version="1.0" encoding="UTF-8" standalone="yes"?>
<Relationships xmlns="http://schemas.openxmlformats.org/package/2006/relationships"><Relationship Id="rId3" Type="http://schemas.openxmlformats.org/officeDocument/2006/relationships/oleObject" Target="file:///H:\Application%20Data\Microsoft%20Office\Outlook\SecureTempFolder\2025%2001%2030%20Aantal%20huishoudens%20AMvB%20KOT%202026%20tbv%20internetconsultatie_AA_R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nl-NL" sz="1050" b="1" i="0" u="none" strike="noStrike" kern="1200" spc="0" baseline="0">
                <a:solidFill>
                  <a:sysClr val="windowText" lastClr="000000">
                    <a:lumMod val="65000"/>
                    <a:lumOff val="35000"/>
                  </a:sysClr>
                </a:solidFill>
              </a:rPr>
              <a:t>Verdeling toetsingsinkomens KOT-huishoudens</a:t>
            </a:r>
            <a:br>
              <a:rPr lang="nl-NL" sz="1050" b="1" i="0" u="none" strike="noStrike" kern="1200" spc="0" baseline="0">
                <a:solidFill>
                  <a:sysClr val="windowText" lastClr="000000">
                    <a:lumMod val="65000"/>
                    <a:lumOff val="35000"/>
                  </a:sysClr>
                </a:solidFill>
              </a:rPr>
            </a:br>
            <a:r>
              <a:rPr lang="nl-NL" sz="1050" b="0" i="1" u="none" strike="noStrike" kern="1200" spc="0" baseline="0">
                <a:solidFill>
                  <a:sysClr val="windowText" lastClr="000000">
                    <a:lumMod val="65000"/>
                    <a:lumOff val="35000"/>
                  </a:sysClr>
                </a:solidFill>
              </a:rPr>
              <a:t>(peildatum: 31 maart 2024)</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strRef>
              <c:f>Grafiek!$C$7</c:f>
              <c:strCache>
                <c:ptCount val="1"/>
                <c:pt idx="0">
                  <c:v>Aantal huishoudens</c:v>
                </c:pt>
              </c:strCache>
            </c:strRef>
          </c:tx>
          <c:spPr>
            <a:solidFill>
              <a:schemeClr val="accent1"/>
            </a:solidFill>
            <a:ln>
              <a:noFill/>
            </a:ln>
            <a:effectLst/>
          </c:spPr>
          <c:invertIfNegative val="0"/>
          <c:cat>
            <c:numRef>
              <c:f>Grafiek!$B$8:$B$76</c:f>
              <c:numCache>
                <c:formatCode>#,##0</c:formatCode>
                <c:ptCount val="69"/>
                <c:pt idx="0">
                  <c:v>0</c:v>
                </c:pt>
                <c:pt idx="1">
                  <c:v>23211.8289</c:v>
                </c:pt>
                <c:pt idx="2">
                  <c:v>24757.414499999999</c:v>
                </c:pt>
                <c:pt idx="3">
                  <c:v>26300.922699999999</c:v>
                </c:pt>
                <c:pt idx="4">
                  <c:v>27848.5857</c:v>
                </c:pt>
                <c:pt idx="5">
                  <c:v>29393.132599999997</c:v>
                </c:pt>
                <c:pt idx="6">
                  <c:v>30939.7569</c:v>
                </c:pt>
                <c:pt idx="7">
                  <c:v>32484.303799999998</c:v>
                </c:pt>
                <c:pt idx="8">
                  <c:v>34025.734599999996</c:v>
                </c:pt>
                <c:pt idx="9">
                  <c:v>35687.654600000002</c:v>
                </c:pt>
                <c:pt idx="10">
                  <c:v>37347.497199999998</c:v>
                </c:pt>
                <c:pt idx="11">
                  <c:v>39011.494599999998</c:v>
                </c:pt>
                <c:pt idx="12">
                  <c:v>40671.337200000002</c:v>
                </c:pt>
                <c:pt idx="13">
                  <c:v>42337.411999999997</c:v>
                </c:pt>
                <c:pt idx="14">
                  <c:v>43999.331999999995</c:v>
                </c:pt>
                <c:pt idx="15">
                  <c:v>45700.722600000001</c:v>
                </c:pt>
                <c:pt idx="16">
                  <c:v>47404.190599999994</c:v>
                </c:pt>
                <c:pt idx="17">
                  <c:v>49108.6973</c:v>
                </c:pt>
                <c:pt idx="18">
                  <c:v>50812.165300000001</c:v>
                </c:pt>
                <c:pt idx="19">
                  <c:v>52519.788099999998</c:v>
                </c:pt>
                <c:pt idx="20">
                  <c:v>54222.217400000001</c:v>
                </c:pt>
                <c:pt idx="21">
                  <c:v>55925.685399999995</c:v>
                </c:pt>
                <c:pt idx="22">
                  <c:v>57630.1921</c:v>
                </c:pt>
                <c:pt idx="23">
                  <c:v>59492.581200000001</c:v>
                </c:pt>
                <c:pt idx="24">
                  <c:v>63144.650399999999</c:v>
                </c:pt>
                <c:pt idx="25">
                  <c:v>66794.642200000002</c:v>
                </c:pt>
                <c:pt idx="26">
                  <c:v>70446.7114</c:v>
                </c:pt>
                <c:pt idx="27">
                  <c:v>74100.857999999993</c:v>
                </c:pt>
                <c:pt idx="28">
                  <c:v>77750.849799999996</c:v>
                </c:pt>
                <c:pt idx="29">
                  <c:v>81404.996400000004</c:v>
                </c:pt>
                <c:pt idx="30">
                  <c:v>85056.026899999997</c:v>
                </c:pt>
                <c:pt idx="31">
                  <c:v>88708.096099999995</c:v>
                </c:pt>
                <c:pt idx="32">
                  <c:v>92361.203999999998</c:v>
                </c:pt>
                <c:pt idx="33">
                  <c:v>96011.195800000001</c:v>
                </c:pt>
                <c:pt idx="34">
                  <c:v>99668.458499999993</c:v>
                </c:pt>
                <c:pt idx="35">
                  <c:v>103319.489</c:v>
                </c:pt>
                <c:pt idx="36">
                  <c:v>106969.48079999999</c:v>
                </c:pt>
                <c:pt idx="37">
                  <c:v>110621.54999999999</c:v>
                </c:pt>
                <c:pt idx="38">
                  <c:v>114345.2895</c:v>
                </c:pt>
                <c:pt idx="39">
                  <c:v>118086.6869</c:v>
                </c:pt>
                <c:pt idx="40">
                  <c:v>121826.00689999999</c:v>
                </c:pt>
                <c:pt idx="41">
                  <c:v>125566.36559999999</c:v>
                </c:pt>
                <c:pt idx="42">
                  <c:v>129303.60819999999</c:v>
                </c:pt>
                <c:pt idx="43">
                  <c:v>133046.04430000001</c:v>
                </c:pt>
                <c:pt idx="44">
                  <c:v>136787.4417</c:v>
                </c:pt>
                <c:pt idx="45">
                  <c:v>140528.83909999998</c:v>
                </c:pt>
                <c:pt idx="46">
                  <c:v>144265.04300000001</c:v>
                </c:pt>
                <c:pt idx="47">
                  <c:v>148004.36299999998</c:v>
                </c:pt>
                <c:pt idx="48">
                  <c:v>151746.7991</c:v>
                </c:pt>
                <c:pt idx="49">
                  <c:v>155485.08040000001</c:v>
                </c:pt>
                <c:pt idx="50">
                  <c:v>159225.43909999999</c:v>
                </c:pt>
                <c:pt idx="51">
                  <c:v>162963.72039999999</c:v>
                </c:pt>
                <c:pt idx="52">
                  <c:v>166706.15649999998</c:v>
                </c:pt>
                <c:pt idx="53">
                  <c:v>170449.63129999998</c:v>
                </c:pt>
                <c:pt idx="54">
                  <c:v>174186.87390000001</c:v>
                </c:pt>
                <c:pt idx="55">
                  <c:v>177927.23259999999</c:v>
                </c:pt>
                <c:pt idx="56">
                  <c:v>181664.47519999999</c:v>
                </c:pt>
                <c:pt idx="57">
                  <c:v>185406.91129999998</c:v>
                </c:pt>
                <c:pt idx="58">
                  <c:v>189148.30869999999</c:v>
                </c:pt>
                <c:pt idx="59">
                  <c:v>192888.66740000001</c:v>
                </c:pt>
                <c:pt idx="60">
                  <c:v>196627.98739999998</c:v>
                </c:pt>
                <c:pt idx="61">
                  <c:v>200364.19130000001</c:v>
                </c:pt>
                <c:pt idx="62">
                  <c:v>204107.6661</c:v>
                </c:pt>
                <c:pt idx="63">
                  <c:v>207845.9474</c:v>
                </c:pt>
                <c:pt idx="64">
                  <c:v>211587.34479999999</c:v>
                </c:pt>
                <c:pt idx="65">
                  <c:v>215327.7035</c:v>
                </c:pt>
                <c:pt idx="66">
                  <c:v>219065.98479999998</c:v>
                </c:pt>
                <c:pt idx="67">
                  <c:v>222807.38219999999</c:v>
                </c:pt>
                <c:pt idx="68">
                  <c:v>226545.6635</c:v>
                </c:pt>
              </c:numCache>
            </c:numRef>
          </c:cat>
          <c:val>
            <c:numRef>
              <c:f>Grafiek!$C$8:$C$76</c:f>
              <c:numCache>
                <c:formatCode>#,##0</c:formatCode>
                <c:ptCount val="69"/>
                <c:pt idx="0">
                  <c:v>26251.383855906966</c:v>
                </c:pt>
                <c:pt idx="1">
                  <c:v>3366.8650288130889</c:v>
                </c:pt>
                <c:pt idx="2">
                  <c:v>4136.0925524128834</c:v>
                </c:pt>
                <c:pt idx="3">
                  <c:v>3561.1647271316897</c:v>
                </c:pt>
                <c:pt idx="4">
                  <c:v>4275.5897717185453</c:v>
                </c:pt>
                <c:pt idx="5">
                  <c:v>3375.8327071970243</c:v>
                </c:pt>
                <c:pt idx="6">
                  <c:v>4186.9093965885177</c:v>
                </c:pt>
                <c:pt idx="7">
                  <c:v>3410.7070120234398</c:v>
                </c:pt>
                <c:pt idx="8">
                  <c:v>3396.7572900928735</c:v>
                </c:pt>
                <c:pt idx="9">
                  <c:v>3518.319152630665</c:v>
                </c:pt>
                <c:pt idx="10">
                  <c:v>3288.1487407763225</c:v>
                </c:pt>
                <c:pt idx="11">
                  <c:v>3492.412526188185</c:v>
                </c:pt>
                <c:pt idx="12">
                  <c:v>3151.6407475986389</c:v>
                </c:pt>
                <c:pt idx="13">
                  <c:v>3182.5294175877498</c:v>
                </c:pt>
                <c:pt idx="14">
                  <c:v>3385.796794290286</c:v>
                </c:pt>
                <c:pt idx="15">
                  <c:v>3814.252539300534</c:v>
                </c:pt>
                <c:pt idx="16">
                  <c:v>3489.4233000602067</c:v>
                </c:pt>
                <c:pt idx="17">
                  <c:v>3930.8323582916946</c:v>
                </c:pt>
                <c:pt idx="18">
                  <c:v>4271.6041368812412</c:v>
                </c:pt>
                <c:pt idx="19">
                  <c:v>4278.5789978465236</c:v>
                </c:pt>
                <c:pt idx="20">
                  <c:v>4256.6580062413486</c:v>
                </c:pt>
                <c:pt idx="21">
                  <c:v>5641.666112204708</c:v>
                </c:pt>
                <c:pt idx="22">
                  <c:v>5955.5348556424487</c:v>
                </c:pt>
                <c:pt idx="23">
                  <c:v>13595.996838755431</c:v>
                </c:pt>
                <c:pt idx="24">
                  <c:v>15399.496602635776</c:v>
                </c:pt>
                <c:pt idx="25">
                  <c:v>18134.63850973608</c:v>
                </c:pt>
                <c:pt idx="26">
                  <c:v>20337.698166056216</c:v>
                </c:pt>
                <c:pt idx="27">
                  <c:v>20515.058916316273</c:v>
                </c:pt>
                <c:pt idx="28">
                  <c:v>22623.459745250424</c:v>
                </c:pt>
                <c:pt idx="29">
                  <c:v>22387.310881140125</c:v>
                </c:pt>
                <c:pt idx="30">
                  <c:v>22504.887108840612</c:v>
                </c:pt>
                <c:pt idx="31">
                  <c:v>21136.817950935798</c:v>
                </c:pt>
                <c:pt idx="32">
                  <c:v>21221.51269122852</c:v>
                </c:pt>
                <c:pt idx="33">
                  <c:v>20307.805904776433</c:v>
                </c:pt>
                <c:pt idx="34">
                  <c:v>19240.652177088119</c:v>
                </c:pt>
                <c:pt idx="35">
                  <c:v>18735.472961459756</c:v>
                </c:pt>
                <c:pt idx="36">
                  <c:v>17406.26374321866</c:v>
                </c:pt>
                <c:pt idx="37">
                  <c:v>17932.367541742871</c:v>
                </c:pt>
                <c:pt idx="38">
                  <c:v>15403.482237473081</c:v>
                </c:pt>
                <c:pt idx="39">
                  <c:v>14474.829320381103</c:v>
                </c:pt>
                <c:pt idx="40">
                  <c:v>13945.736295728912</c:v>
                </c:pt>
                <c:pt idx="41">
                  <c:v>12119.319131534065</c:v>
                </c:pt>
                <c:pt idx="42">
                  <c:v>11660.97112524403</c:v>
                </c:pt>
                <c:pt idx="43">
                  <c:v>10947.542489366502</c:v>
                </c:pt>
                <c:pt idx="44">
                  <c:v>9903.3061619926884</c:v>
                </c:pt>
                <c:pt idx="45">
                  <c:v>8409.6895067127771</c:v>
                </c:pt>
                <c:pt idx="46">
                  <c:v>8615.9461095432907</c:v>
                </c:pt>
                <c:pt idx="47">
                  <c:v>7619.5374002171329</c:v>
                </c:pt>
                <c:pt idx="48">
                  <c:v>6468.6853409454197</c:v>
                </c:pt>
                <c:pt idx="49">
                  <c:v>6802.4822585696829</c:v>
                </c:pt>
                <c:pt idx="50">
                  <c:v>5775.1848792544133</c:v>
                </c:pt>
                <c:pt idx="51">
                  <c:v>5396.5495697104734</c:v>
                </c:pt>
                <c:pt idx="52">
                  <c:v>4964.1081898629209</c:v>
                </c:pt>
                <c:pt idx="53">
                  <c:v>4511.738635828845</c:v>
                </c:pt>
                <c:pt idx="54">
                  <c:v>4199.8627098097577</c:v>
                </c:pt>
                <c:pt idx="55">
                  <c:v>3914.8898189424763</c:v>
                </c:pt>
                <c:pt idx="56">
                  <c:v>3633.9025629124994</c:v>
                </c:pt>
                <c:pt idx="57">
                  <c:v>3309.0733236721717</c:v>
                </c:pt>
                <c:pt idx="58">
                  <c:v>3092.8526337483954</c:v>
                </c:pt>
                <c:pt idx="59">
                  <c:v>2767.0269857987419</c:v>
                </c:pt>
                <c:pt idx="60">
                  <c:v>2615.5728619811657</c:v>
                </c:pt>
                <c:pt idx="61">
                  <c:v>2515.9319910485497</c:v>
                </c:pt>
                <c:pt idx="62">
                  <c:v>2404.3342156040198</c:v>
                </c:pt>
                <c:pt idx="63">
                  <c:v>1937.0185309300518</c:v>
                </c:pt>
                <c:pt idx="64">
                  <c:v>2012.7455928388399</c:v>
                </c:pt>
                <c:pt idx="65">
                  <c:v>1835.3848425787837</c:v>
                </c:pt>
                <c:pt idx="66">
                  <c:v>1604.2180220151149</c:v>
                </c:pt>
                <c:pt idx="67">
                  <c:v>1743.7152413207771</c:v>
                </c:pt>
                <c:pt idx="68">
                  <c:v>26296.222247826645</c:v>
                </c:pt>
              </c:numCache>
            </c:numRef>
          </c:val>
          <c:extLst>
            <c:ext xmlns:c16="http://schemas.microsoft.com/office/drawing/2014/chart" uri="{C3380CC4-5D6E-409C-BE32-E72D297353CC}">
              <c16:uniqueId val="{00000000-46DF-478D-ABFB-1E6EE203A9A5}"/>
            </c:ext>
          </c:extLst>
        </c:ser>
        <c:dLbls>
          <c:showLegendKey val="0"/>
          <c:showVal val="0"/>
          <c:showCatName val="0"/>
          <c:showSerName val="0"/>
          <c:showPercent val="0"/>
          <c:showBubbleSize val="0"/>
        </c:dLbls>
        <c:gapWidth val="75"/>
        <c:overlap val="100"/>
        <c:axId val="992066464"/>
        <c:axId val="992092384"/>
      </c:barChart>
      <c:catAx>
        <c:axId val="9920664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Huishoudinkomen</a:t>
                </a:r>
                <a:r>
                  <a:rPr lang="nl-NL" baseline="0"/>
                  <a:t> (loonpeil 2025)</a:t>
                </a:r>
                <a:endParaRPr lang="nl-NL"/>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quot;€&quot;\ #,##0" sourceLinked="0"/>
        <c:majorTickMark val="out"/>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992092384"/>
        <c:crosses val="autoZero"/>
        <c:auto val="1"/>
        <c:lblAlgn val="ctr"/>
        <c:lblOffset val="100"/>
        <c:tickMarkSkip val="1"/>
        <c:noMultiLvlLbl val="0"/>
      </c:catAx>
      <c:valAx>
        <c:axId val="992092384"/>
        <c:scaling>
          <c:orientation val="minMax"/>
        </c:scaling>
        <c:delete val="0"/>
        <c:axPos val="l"/>
        <c:majorGridlines>
          <c:spPr>
            <a:ln w="9525" cap="flat" cmpd="sng" algn="ctr">
              <a:solidFill>
                <a:schemeClr val="tx1">
                  <a:lumMod val="15000"/>
                  <a:lumOff val="85000"/>
                </a:schemeClr>
              </a:solidFill>
              <a:prstDash val="sysDot"/>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99206646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2277</ap:Words>
  <ap:Characters>12524</ap:Characters>
  <ap:DocSecurity>0</ap:DocSecurity>
  <ap:Lines>104</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14772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2025-01-29T15:29:00.0000000Z</dcterms:created>
  <dcterms:modified xsi:type="dcterms:W3CDTF">2025-02-18T14:54:00.0000000Z</dcterms:modified>
  <version/>
  <category/>
</coreProperties>
</file>