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6C12" w:rsidRDefault="00C029FE" w14:paraId="0BF0A431" w14:textId="77777777">
      <w:r>
        <w:t>Geachte</w:t>
      </w:r>
      <w:r w:rsidR="00801433">
        <w:t xml:space="preserve"> voorzitter</w:t>
      </w:r>
      <w:r>
        <w:t>,</w:t>
      </w:r>
    </w:p>
    <w:p w:rsidR="002B6C12" w:rsidRDefault="002B6C12" w14:paraId="29D7A75F" w14:textId="77777777"/>
    <w:p w:rsidR="00801433" w:rsidRDefault="008475DC" w14:paraId="513CAA7F" w14:textId="77777777">
      <w:r>
        <w:t>O</w:t>
      </w:r>
      <w:r w:rsidR="00801433">
        <w:t xml:space="preserve">p donderdag 13 februari </w:t>
      </w:r>
      <w:r>
        <w:t xml:space="preserve">vond het commissiedebat btw plaats. Daarin </w:t>
      </w:r>
      <w:r w:rsidR="00801433">
        <w:t>heeft u verzocht om</w:t>
      </w:r>
      <w:r>
        <w:t xml:space="preserve"> </w:t>
      </w:r>
      <w:r w:rsidR="00801433">
        <w:t xml:space="preserve">in </w:t>
      </w:r>
      <w:r>
        <w:t xml:space="preserve">de </w:t>
      </w:r>
      <w:r w:rsidR="00801433">
        <w:t>aanloop naar het vervolg van dit debat</w:t>
      </w:r>
      <w:r>
        <w:t xml:space="preserve">, </w:t>
      </w:r>
      <w:r w:rsidR="00662564">
        <w:t xml:space="preserve">dat </w:t>
      </w:r>
      <w:r>
        <w:t>plaatsvindt op</w:t>
      </w:r>
      <w:r w:rsidR="00801433">
        <w:t xml:space="preserve"> donderdag 20 februari</w:t>
      </w:r>
      <w:r>
        <w:t>, een brief te ontvangen</w:t>
      </w:r>
      <w:r w:rsidR="00801433">
        <w:t xml:space="preserve">. </w:t>
      </w:r>
      <w:r w:rsidR="00C24B34">
        <w:t>In deze brief</w:t>
      </w:r>
      <w:r w:rsidR="00014D07">
        <w:t xml:space="preserve"> licht ik</w:t>
      </w:r>
      <w:r>
        <w:t xml:space="preserve"> een aantal zaken toe</w:t>
      </w:r>
      <w:r w:rsidR="009E5AAF">
        <w:t>. Dat doe ik aan de hand van de</w:t>
      </w:r>
      <w:r>
        <w:t xml:space="preserve"> </w:t>
      </w:r>
      <w:r w:rsidR="009E5AAF">
        <w:t xml:space="preserve">nog openstaande vragen die </w:t>
      </w:r>
      <w:r w:rsidR="003647F8">
        <w:t>zijn</w:t>
      </w:r>
      <w:r w:rsidR="009E5AAF">
        <w:t xml:space="preserve"> gesteld tijdens de eerste termijn van de Kamer. </w:t>
      </w:r>
      <w:r w:rsidR="003B04A0">
        <w:t>Deze</w:t>
      </w:r>
      <w:r w:rsidR="009012FE">
        <w:t xml:space="preserve"> </w:t>
      </w:r>
      <w:r w:rsidR="005B3854">
        <w:t xml:space="preserve">gingen over </w:t>
      </w:r>
      <w:r w:rsidR="009E5AAF">
        <w:t xml:space="preserve">de noodzaak tot </w:t>
      </w:r>
      <w:r w:rsidR="009012FE">
        <w:t xml:space="preserve">budgettaire </w:t>
      </w:r>
      <w:r w:rsidR="009E5AAF">
        <w:t xml:space="preserve">dekking, </w:t>
      </w:r>
      <w:r w:rsidR="009012FE">
        <w:t>meer informatie over de stap naar een</w:t>
      </w:r>
      <w:r w:rsidR="009E5AAF">
        <w:t xml:space="preserve"> uniform tarief</w:t>
      </w:r>
      <w:r w:rsidR="005472C0">
        <w:t>,</w:t>
      </w:r>
      <w:r w:rsidR="009012FE">
        <w:t xml:space="preserve"> </w:t>
      </w:r>
      <w:r w:rsidR="009E5AAF">
        <w:t>de impact van btw-verhogingen</w:t>
      </w:r>
      <w:r w:rsidR="009012FE">
        <w:t xml:space="preserve"> op verschillende groepen</w:t>
      </w:r>
      <w:r w:rsidR="0001223D">
        <w:t xml:space="preserve"> en andere btw-onderzoeken</w:t>
      </w:r>
      <w:r w:rsidR="009E5AAF">
        <w:t xml:space="preserve">. </w:t>
      </w:r>
      <w:r w:rsidR="009012FE">
        <w:t xml:space="preserve">Ook waren er vragen over het proces. Daarom </w:t>
      </w:r>
      <w:r w:rsidR="00C24B34">
        <w:t xml:space="preserve">geef ik </w:t>
      </w:r>
      <w:r w:rsidR="009012FE">
        <w:t>aan het slot</w:t>
      </w:r>
      <w:r w:rsidR="00C24B34">
        <w:t xml:space="preserve"> </w:t>
      </w:r>
      <w:r w:rsidR="003B04A0">
        <w:t xml:space="preserve">van deze brief </w:t>
      </w:r>
      <w:r w:rsidR="00C24B34">
        <w:t xml:space="preserve">aan </w:t>
      </w:r>
      <w:r w:rsidR="00801433">
        <w:t xml:space="preserve">hoe ik het vervolgproces </w:t>
      </w:r>
      <w:r w:rsidR="00014D07">
        <w:t>vorm wil geven</w:t>
      </w:r>
      <w:r w:rsidR="00801433">
        <w:t>.</w:t>
      </w:r>
    </w:p>
    <w:p w:rsidR="000E7BB8" w:rsidRDefault="000E7BB8" w14:paraId="1F65B2D0" w14:textId="77777777"/>
    <w:p w:rsidR="005219F3" w:rsidRDefault="005219F3" w14:paraId="1B89A5E3" w14:textId="77777777">
      <w:r>
        <w:t>Zoals gewisseld in het debat op 13 februari zie ik het als mijn opdracht om te trachten de dekking binnen de btw te vinden.</w:t>
      </w:r>
    </w:p>
    <w:p w:rsidR="005219F3" w:rsidRDefault="005219F3" w14:paraId="0AADC485" w14:textId="77777777"/>
    <w:p w:rsidRPr="002949FB" w:rsidR="00754063" w:rsidP="00754063" w:rsidRDefault="00754063" w14:paraId="4758C7A1" w14:textId="77777777">
      <w:pPr>
        <w:rPr>
          <w:b/>
          <w:bCs/>
          <w:i/>
          <w:iCs/>
        </w:rPr>
      </w:pPr>
      <w:r>
        <w:rPr>
          <w:b/>
          <w:bCs/>
          <w:i/>
          <w:iCs/>
        </w:rPr>
        <w:t>Zoektocht naar mogelijke oplossingsrichtingen</w:t>
      </w:r>
    </w:p>
    <w:p w:rsidR="00754063" w:rsidP="00754063" w:rsidRDefault="00754063" w14:paraId="33EF56DD" w14:textId="77777777">
      <w:r>
        <w:t xml:space="preserve">Zoals ik aangaf in het debat van 13 februari, zou het voor het kabinet een zeer onwenselijke situatie zijn wanneer het </w:t>
      </w:r>
      <w:proofErr w:type="spellStart"/>
      <w:r>
        <w:t>nulscenario</w:t>
      </w:r>
      <w:proofErr w:type="spellEnd"/>
      <w:r>
        <w:t xml:space="preserve"> in werking treedt. Hierbij zou het </w:t>
      </w:r>
      <w:r w:rsidR="00EE5720">
        <w:t>btw-tarief</w:t>
      </w:r>
      <w:r>
        <w:t xml:space="preserve"> voor cultuur, media en sport per 2026 worden verhoogd naar het algemene tarief. En in aanloop daarnaartoe zou het overgangsrecht per 1 juli in werking treden</w:t>
      </w:r>
      <w:r w:rsidR="00EE4CC8">
        <w:t xml:space="preserve">. </w:t>
      </w:r>
      <w:r>
        <w:t xml:space="preserve">Het kabinet wil dan ook komen tot een alternatieve invulling om </w:t>
      </w:r>
      <w:proofErr w:type="gramStart"/>
      <w:r>
        <w:t>de</w:t>
      </w:r>
      <w:proofErr w:type="gramEnd"/>
      <w:r>
        <w:t xml:space="preserve"> derving van 1,3 miljard euro </w:t>
      </w:r>
      <w:r w:rsidR="00EE4CC8">
        <w:t xml:space="preserve">per 2026 </w:t>
      </w:r>
      <w:r>
        <w:t xml:space="preserve">te dekken. </w:t>
      </w:r>
    </w:p>
    <w:p w:rsidR="00754063" w:rsidP="00754063" w:rsidRDefault="00754063" w14:paraId="7FE41AEC" w14:textId="77777777"/>
    <w:p w:rsidR="00EE4CC8" w:rsidP="00754063" w:rsidRDefault="00EE4CC8" w14:paraId="6CE9CA3D" w14:textId="1B928E20">
      <w:r>
        <w:t>Ik heb in de afgelopen week gesprekken gevoerd met een aantal leden van uw Kamer. In die gesprekken merk ik een constructieve houding om gezamenlijk tot een oplossing te komen. Tegelijkertijd is er nu nog geen oplossing gevonden die de benodigde derving kan dekken. Ik hoop in de voortzetting van het debat, maar ook in de periode daarna, het constructieve gesprek met uw Kamer voort te zetten. Het kabinet wil uiterlijk in de Voorjaarsnota duidelijk</w:t>
      </w:r>
      <w:r w:rsidR="00FD5816">
        <w:t>heid</w:t>
      </w:r>
      <w:r>
        <w:t xml:space="preserve"> geven aan ondernemers, burgers en de Belastingdienst wat de alternatieve invulling per 1 juli zal worden. </w:t>
      </w:r>
    </w:p>
    <w:p w:rsidR="00EE4CC8" w:rsidRDefault="00EE4CC8" w14:paraId="600085C3" w14:textId="77777777">
      <w:pPr>
        <w:rPr>
          <w:b/>
          <w:i/>
          <w:iCs/>
        </w:rPr>
      </w:pPr>
    </w:p>
    <w:p w:rsidR="00956FBB" w:rsidRDefault="00956FBB" w14:paraId="0F187092" w14:textId="77777777">
      <w:pPr>
        <w:rPr>
          <w:b/>
          <w:i/>
          <w:iCs/>
        </w:rPr>
      </w:pPr>
      <w:r>
        <w:rPr>
          <w:b/>
          <w:i/>
          <w:iCs/>
        </w:rPr>
        <w:t>Noodzaak dekking</w:t>
      </w:r>
    </w:p>
    <w:p w:rsidR="00956FBB" w:rsidP="00D934DF" w:rsidRDefault="00956FBB" w14:paraId="37A345A4" w14:textId="77777777">
      <w:r>
        <w:t xml:space="preserve">De heer Vermeer vraagt </w:t>
      </w:r>
      <w:r w:rsidR="003B04A0">
        <w:t>ó</w:t>
      </w:r>
      <w:r>
        <w:t xml:space="preserve">f er wel een gat is in de begroting dat </w:t>
      </w:r>
      <w:r w:rsidR="003B04A0">
        <w:t>ge</w:t>
      </w:r>
      <w:r>
        <w:t>dicht</w:t>
      </w:r>
      <w:r w:rsidR="003B04A0">
        <w:t xml:space="preserve"> moet worden</w:t>
      </w:r>
      <w:r>
        <w:t xml:space="preserve"> en welke ruimte er zou ontstaan als er beter geraamd wordt. De aangenomen motie </w:t>
      </w:r>
      <w:r w:rsidR="00F6563C">
        <w:t>V</w:t>
      </w:r>
      <w:r>
        <w:t>an Dijk</w:t>
      </w:r>
      <w:r>
        <w:rPr>
          <w:rStyle w:val="Voetnootmarkering"/>
        </w:rPr>
        <w:footnoteReference w:id="2"/>
      </w:r>
      <w:r>
        <w:t xml:space="preserve"> roept op om te kijken naar een alternatief voor de voorgenomen btw-verhoging op cultuur, media en sport. Het niet verhogen van de </w:t>
      </w:r>
      <w:r>
        <w:lastRenderedPageBreak/>
        <w:t xml:space="preserve">btw op cultuur, media en sport zorgt voor een </w:t>
      </w:r>
      <w:r w:rsidR="00F7518C">
        <w:t xml:space="preserve">structurele </w:t>
      </w:r>
      <w:r>
        <w:t>derving van 1,3 miljard euro.</w:t>
      </w:r>
      <w:r>
        <w:rPr>
          <w:rStyle w:val="Voetnootmarkering"/>
        </w:rPr>
        <w:footnoteReference w:id="3"/>
      </w:r>
      <w:r>
        <w:t xml:space="preserve"> Op grond van de begrotingsregels</w:t>
      </w:r>
      <w:r w:rsidR="00D934DF">
        <w:t>,</w:t>
      </w:r>
      <w:r>
        <w:t xml:space="preserve"> </w:t>
      </w:r>
      <w:r w:rsidR="00D934DF">
        <w:t xml:space="preserve">zoals ook in het Hoofdlijnenakkoord is vastgelegd, </w:t>
      </w:r>
      <w:r>
        <w:t xml:space="preserve">geldt dat </w:t>
      </w:r>
      <w:r w:rsidR="00D934DF">
        <w:t xml:space="preserve">wordt vastgehouden aan de beleidsmatige lastenontwikkeling die bij de start van het kabinet is voorzien. Beleidsmatige afwijkingen daarvan dienen gecompenseerd te worden. </w:t>
      </w:r>
      <w:r w:rsidR="00CB2902">
        <w:t xml:space="preserve">De begrotingsregels schrijven voor dat </w:t>
      </w:r>
      <w:r w:rsidR="00662564">
        <w:t xml:space="preserve">zowel </w:t>
      </w:r>
      <w:r w:rsidR="00CB2902">
        <w:t xml:space="preserve">binnen de kabinetsperiode </w:t>
      </w:r>
      <w:r w:rsidR="00662564">
        <w:t xml:space="preserve">als </w:t>
      </w:r>
      <w:r w:rsidRPr="00CB2902" w:rsidR="00CB2902">
        <w:t xml:space="preserve">structureel </w:t>
      </w:r>
      <w:r w:rsidR="00662564">
        <w:t>dekking gevonden wordt</w:t>
      </w:r>
      <w:r w:rsidRPr="00CB2902" w:rsidR="00CB2902">
        <w:t>.</w:t>
      </w:r>
      <w:r>
        <w:t xml:space="preserve"> </w:t>
      </w:r>
    </w:p>
    <w:p w:rsidR="00956FBB" w:rsidP="00956FBB" w:rsidRDefault="00956FBB" w14:paraId="0DB36BB0" w14:textId="77777777"/>
    <w:p w:rsidR="00956FBB" w:rsidP="00956FBB" w:rsidRDefault="00956FBB" w14:paraId="373700E0" w14:textId="77777777">
      <w:r>
        <w:t>Dit kabinet streeft uiteraard naar accurate ramingen</w:t>
      </w:r>
      <w:r w:rsidR="00CB2902">
        <w:t xml:space="preserve"> voor de inkomsten en uitgaven</w:t>
      </w:r>
      <w:r>
        <w:t xml:space="preserve">. In maart worden de resultaten verwacht van de Expertgroep Ramingen. Die resultaten </w:t>
      </w:r>
      <w:r w:rsidR="00662564">
        <w:t>ziet het kabinet</w:t>
      </w:r>
      <w:r>
        <w:t xml:space="preserve"> met interesse tegemoet, maar deze gaan </w:t>
      </w:r>
      <w:r w:rsidR="00CB2902">
        <w:t xml:space="preserve">en kunnen </w:t>
      </w:r>
      <w:r>
        <w:t xml:space="preserve">het hier nu voorliggende dekkingsvraagstuk niet oplossen. </w:t>
      </w:r>
      <w:r w:rsidRPr="00F7518C" w:rsidR="00F7518C">
        <w:t xml:space="preserve">Eventuele aanpassingen aan de inkomstenraming leiden niet tot ruimte </w:t>
      </w:r>
      <w:r w:rsidR="00F7518C">
        <w:t>(</w:t>
      </w:r>
      <w:r w:rsidRPr="00F7518C" w:rsidR="00F7518C">
        <w:t>dan wel een dekkingsopgave</w:t>
      </w:r>
      <w:r w:rsidR="00F7518C">
        <w:t>)</w:t>
      </w:r>
      <w:r w:rsidRPr="00F7518C" w:rsidR="00F7518C">
        <w:t xml:space="preserve"> binnen het inkomstenkader. Een kernprincipe van trendmatig begrotingsbeleid is dat het kader aan de inkomstenkant los staat van de realisaties.</w:t>
      </w:r>
      <w:r w:rsidR="00662564">
        <w:t xml:space="preserve"> Hiermee wordt voorkomen dat lastenverzwaringen nodig zijn </w:t>
      </w:r>
      <w:r w:rsidR="006454CA">
        <w:t>op het moment dat de ontvangsten tegenvallen, bijvoorbeeld als gevolg van een economische recessie.</w:t>
      </w:r>
    </w:p>
    <w:p w:rsidR="00F2747F" w:rsidP="00014D07" w:rsidRDefault="00F2747F" w14:paraId="54296538" w14:textId="77777777"/>
    <w:p w:rsidRPr="002949FB" w:rsidR="00F2747F" w:rsidP="00F2747F" w:rsidRDefault="00666E23" w14:paraId="531CF8FF" w14:textId="77777777">
      <w:pPr>
        <w:rPr>
          <w:b/>
          <w:bCs/>
          <w:i/>
          <w:iCs/>
        </w:rPr>
      </w:pPr>
      <w:r>
        <w:rPr>
          <w:b/>
          <w:bCs/>
          <w:i/>
          <w:iCs/>
        </w:rPr>
        <w:t>E</w:t>
      </w:r>
      <w:r w:rsidR="00CA2E46">
        <w:rPr>
          <w:b/>
          <w:bCs/>
          <w:i/>
          <w:iCs/>
        </w:rPr>
        <w:t xml:space="preserve">en stap naar </w:t>
      </w:r>
      <w:r w:rsidRPr="002949FB" w:rsidR="007847A8">
        <w:rPr>
          <w:b/>
          <w:bCs/>
          <w:i/>
          <w:iCs/>
        </w:rPr>
        <w:t>uniformering</w:t>
      </w:r>
      <w:r>
        <w:rPr>
          <w:b/>
          <w:bCs/>
          <w:i/>
          <w:iCs/>
        </w:rPr>
        <w:t xml:space="preserve"> van het </w:t>
      </w:r>
      <w:r w:rsidR="00EE5720">
        <w:rPr>
          <w:b/>
          <w:bCs/>
          <w:i/>
          <w:iCs/>
        </w:rPr>
        <w:t>btw-tarief</w:t>
      </w:r>
    </w:p>
    <w:p w:rsidRPr="002E274A" w:rsidR="002D5FEB" w:rsidP="00F2747F" w:rsidRDefault="00666E23" w14:paraId="19893ECF" w14:textId="1113D861">
      <w:r>
        <w:t xml:space="preserve">Verschillende partijen hebben tijdens het commissiedebat gevraagd naar een stap richting een uniformering van het </w:t>
      </w:r>
      <w:r w:rsidR="00EE5720">
        <w:t>btw-tarief</w:t>
      </w:r>
      <w:r>
        <w:t xml:space="preserve">. </w:t>
      </w:r>
      <w:r w:rsidRPr="002E274A" w:rsidR="002E274A">
        <w:t xml:space="preserve">Deze stap naar uniformering is op z’n vroegst uitvoerbaar in 2027. </w:t>
      </w:r>
      <w:r w:rsidRPr="000301EC" w:rsidR="000301EC">
        <w:t>Vanwege de verouderde ICT kunnen er in het huidige omzetbelastingsysteem geen nieuwe tarieven worden toegevoegd</w:t>
      </w:r>
      <w:r w:rsidRPr="002E274A" w:rsidR="002E274A">
        <w:t xml:space="preserve">. Momenteel loopt een aanbestedingstraject om een nieuw omzetbelastingsysteem (pakketoplossing) te verkrijgen. Na modernisering via een pakketoplossing, is het op zijn vroegst in 2027 mogelijk om een extra btw-tarief in te voeren. Vanaf het moment dat de modernisering is afgerond kan een stap worden gezet richting een uniform btw-tarief. Dit betekent dat er in 2026 </w:t>
      </w:r>
      <w:r w:rsidR="00001D2B">
        <w:t xml:space="preserve">nog </w:t>
      </w:r>
      <w:r w:rsidRPr="002E274A" w:rsidR="002E274A">
        <w:t xml:space="preserve">een budgettaire opgave blijft bestaan die </w:t>
      </w:r>
      <w:r w:rsidRPr="002E274A" w:rsidR="00CB2902">
        <w:t>– zoals eerder beschreven - conform begrotingsregels gedekt dient te worden.</w:t>
      </w:r>
    </w:p>
    <w:p w:rsidR="002D5FEB" w:rsidP="00F2747F" w:rsidRDefault="002D5FEB" w14:paraId="413B3B74" w14:textId="77777777"/>
    <w:p w:rsidR="00666E23" w:rsidP="00666E23" w:rsidRDefault="00666E23" w14:paraId="1864AA15" w14:textId="6528B24D">
      <w:r>
        <w:t xml:space="preserve">Mevrouw </w:t>
      </w:r>
      <w:r w:rsidR="00A81646">
        <w:t>V</w:t>
      </w:r>
      <w:r>
        <w:t xml:space="preserve">an Eijk vraagt of een eindperspectief van stappen naar een uniformering van de btw kan worden betrokken in de </w:t>
      </w:r>
      <w:r w:rsidR="00D87C73">
        <w:t>K</w:t>
      </w:r>
      <w:r>
        <w:t>amerbrief met opties voor de hervorming van het toeslagen- en belastingstelsel. Ik zeg toe dat ik hier in genoemde brief aandacht aan zal besteden.</w:t>
      </w:r>
      <w:r w:rsidR="00001D2B">
        <w:t xml:space="preserve"> </w:t>
      </w:r>
      <w:r w:rsidRPr="00001D2B" w:rsidR="00001D2B">
        <w:t xml:space="preserve">Deze stap biedt daarom nog geen sluitend alternatief voor de afschaffing van het verlaagde btw-tarief op cultuur, </w:t>
      </w:r>
      <w:r w:rsidR="00001D2B">
        <w:t>conform</w:t>
      </w:r>
      <w:r w:rsidRPr="00001D2B" w:rsidR="00001D2B">
        <w:t xml:space="preserve"> de motie Inge van Dijk c.s.</w:t>
      </w:r>
    </w:p>
    <w:p w:rsidR="00666E23" w:rsidP="00666E23" w:rsidRDefault="00666E23" w14:paraId="68DDB268" w14:textId="77777777"/>
    <w:p w:rsidRPr="002949FB" w:rsidR="00B53EC5" w:rsidP="00B53EC5" w:rsidRDefault="00B53EC5" w14:paraId="1C122443" w14:textId="77777777">
      <w:pPr>
        <w:rPr>
          <w:b/>
          <w:bCs/>
          <w:i/>
          <w:iCs/>
        </w:rPr>
      </w:pPr>
      <w:r w:rsidRPr="002949FB">
        <w:rPr>
          <w:b/>
          <w:bCs/>
          <w:i/>
          <w:iCs/>
        </w:rPr>
        <w:t xml:space="preserve">Impact btw-verhoging </w:t>
      </w:r>
      <w:r w:rsidR="000019E4">
        <w:rPr>
          <w:b/>
          <w:bCs/>
          <w:i/>
          <w:iCs/>
        </w:rPr>
        <w:t xml:space="preserve">in </w:t>
      </w:r>
      <w:r w:rsidRPr="002949FB">
        <w:rPr>
          <w:b/>
          <w:bCs/>
          <w:i/>
          <w:iCs/>
        </w:rPr>
        <w:t xml:space="preserve">sectoren zonder recht </w:t>
      </w:r>
      <w:r w:rsidRPr="002949FB" w:rsidR="002D5FEB">
        <w:rPr>
          <w:b/>
          <w:bCs/>
          <w:i/>
          <w:iCs/>
        </w:rPr>
        <w:t>op</w:t>
      </w:r>
      <w:r w:rsidRPr="002949FB">
        <w:rPr>
          <w:b/>
          <w:bCs/>
          <w:i/>
          <w:iCs/>
        </w:rPr>
        <w:t xml:space="preserve"> aftrek</w:t>
      </w:r>
    </w:p>
    <w:p w:rsidR="00B53EC5" w:rsidP="00B53EC5" w:rsidRDefault="00B53EC5" w14:paraId="7F05E811" w14:textId="77777777">
      <w:r>
        <w:t xml:space="preserve">Tijdens het debat en de technische briefing kwam in algemene zin ook bij verschillende leden de vraag op welke groepen in de samenleving een afschaffing of verhoging van de bestaande verlaagde tarieven de meeste impact hebben. Een btw-verhoging slaat niet volledig neer bij huishoudens. Een gedeelte zal neerslaan bij sectoren zonder </w:t>
      </w:r>
      <w:r w:rsidR="0078469E">
        <w:t xml:space="preserve">volledig </w:t>
      </w:r>
      <w:r>
        <w:t xml:space="preserve">recht op aftrek, zoals onderwijs of de zorg. </w:t>
      </w:r>
    </w:p>
    <w:p w:rsidR="00B53EC5" w:rsidP="00B53EC5" w:rsidRDefault="00B53EC5" w14:paraId="20A4CA31" w14:textId="77777777"/>
    <w:p w:rsidR="0078469E" w:rsidP="0078469E" w:rsidRDefault="00A81646" w14:paraId="6CED7092" w14:textId="174499A4">
      <w:r>
        <w:t>Mevrouw</w:t>
      </w:r>
      <w:r w:rsidR="00D87C73">
        <w:t xml:space="preserve"> Van</w:t>
      </w:r>
      <w:r w:rsidR="00157032">
        <w:t xml:space="preserve"> Eijk </w:t>
      </w:r>
      <w:r w:rsidR="002D5FEB">
        <w:t xml:space="preserve">vraagt </w:t>
      </w:r>
      <w:r w:rsidR="00157032">
        <w:t>of en w</w:t>
      </w:r>
      <w:r w:rsidRPr="0018074F" w:rsidR="00157032">
        <w:t xml:space="preserve">anneer de Kamer </w:t>
      </w:r>
      <w:r w:rsidR="00157032">
        <w:t>kan</w:t>
      </w:r>
      <w:r w:rsidRPr="0018074F" w:rsidR="00157032">
        <w:t xml:space="preserve"> worden geïnformeerd</w:t>
      </w:r>
      <w:r w:rsidRPr="00EF1EEA" w:rsidR="00157032">
        <w:t xml:space="preserve"> </w:t>
      </w:r>
      <w:r w:rsidR="00157032">
        <w:t xml:space="preserve">over </w:t>
      </w:r>
      <w:r w:rsidRPr="00EF1EEA" w:rsidR="00157032">
        <w:t>verzoek</w:t>
      </w:r>
      <w:r w:rsidR="00157032">
        <w:t>en</w:t>
      </w:r>
      <w:r w:rsidRPr="00EF1EEA" w:rsidR="00157032">
        <w:t xml:space="preserve"> om compensatie bij (quasi-)overheidssectoren</w:t>
      </w:r>
      <w:r w:rsidRPr="0078469E" w:rsidR="0078469E">
        <w:t xml:space="preserve"> </w:t>
      </w:r>
      <w:r w:rsidR="0078469E">
        <w:t>zonder volledig recht op aftrek</w:t>
      </w:r>
      <w:r w:rsidR="00157032">
        <w:t xml:space="preserve">. De achtergrond hiervan is een passage uit een beslisnota waarin staat </w:t>
      </w:r>
      <w:r w:rsidRPr="00EF1EEA" w:rsidR="00157032">
        <w:t>dat de precieze effecten nog in kaart worden gebracht.</w:t>
      </w:r>
      <w:r w:rsidR="000019E4">
        <w:t xml:space="preserve"> </w:t>
      </w:r>
      <w:r w:rsidR="00157032">
        <w:t>Een verhoging van btw kan resulteren in hogere uitgaven</w:t>
      </w:r>
      <w:r w:rsidR="000019E4">
        <w:t xml:space="preserve"> aan,</w:t>
      </w:r>
      <w:r w:rsidR="00157032">
        <w:t xml:space="preserve"> of vragen om compensatie vanuit bepaalde (semi</w:t>
      </w:r>
      <w:proofErr w:type="gramStart"/>
      <w:r w:rsidR="0078469E">
        <w:noBreakHyphen/>
      </w:r>
      <w:r w:rsidR="00157032">
        <w:t>)overheidssectoren</w:t>
      </w:r>
      <w:proofErr w:type="gramEnd"/>
      <w:r w:rsidR="00157032">
        <w:t>, het maatschappelijke veld of de politiek. Een voorbeeld hiervan is dat bij de voorgestelde verhoging van de btw op boeken het kabinet heeft besloten</w:t>
      </w:r>
      <w:r w:rsidR="0078469E">
        <w:t>,</w:t>
      </w:r>
      <w:r w:rsidRPr="0078469E" w:rsidR="0078469E">
        <w:t xml:space="preserve"> hoewel dit niet juridisch verplicht was</w:t>
      </w:r>
      <w:r w:rsidR="0078469E">
        <w:t>,</w:t>
      </w:r>
      <w:r w:rsidR="00157032">
        <w:t xml:space="preserve"> om te voorzien in compensatie voor scholen omdat de btw-verhoging voor hen tot extra kosten zou leiden bij de inkoop van schoolboeken</w:t>
      </w:r>
      <w:r w:rsidR="006849B3">
        <w:t>, die vervolgens weer is weggegeven bij de onderhandelingen om de onderwijsbegroting</w:t>
      </w:r>
      <w:r w:rsidR="00157032">
        <w:t xml:space="preserve">. </w:t>
      </w:r>
      <w:r w:rsidRPr="0078469E" w:rsidR="0078469E">
        <w:t>Een ander voorbeeld is dat een btw-verhoging voor genees- en hulpmiddelen automatisch leidt tot hogere zorguitgaven. Dit heeft ook</w:t>
      </w:r>
      <w:r w:rsidR="0078469E">
        <w:t xml:space="preserve"> gevolgen voor de nominale premie, de inkomensafhankelijke bijdrage (IAB) en zorgtoeslag. </w:t>
      </w:r>
      <w:r w:rsidRPr="00222655" w:rsidR="0078469E">
        <w:t>Het omgekeerde geldt voor een btw-verlaging, dit kan resulteren in lagere kosten.</w:t>
      </w:r>
      <w:r w:rsidRPr="0078469E" w:rsidR="0078469E">
        <w:t xml:space="preserve"> Deze effecten worden momenteel nader in kaart gebracht</w:t>
      </w:r>
      <w:r w:rsidR="00222655">
        <w:t>.</w:t>
      </w:r>
      <w:r w:rsidR="0078469E">
        <w:t xml:space="preserve">  </w:t>
      </w:r>
    </w:p>
    <w:p w:rsidR="00B53EC5" w:rsidP="00256CA2" w:rsidRDefault="00B53EC5" w14:paraId="6C0488C6" w14:textId="77777777"/>
    <w:p w:rsidR="00256CA2" w:rsidP="00256CA2" w:rsidRDefault="00157032" w14:paraId="04FFF7F7" w14:textId="369B1D35">
      <w:pPr>
        <w:rPr>
          <w:b/>
          <w:bCs/>
          <w:highlight w:val="yellow"/>
        </w:rPr>
      </w:pPr>
      <w:r>
        <w:t>Of flankerende maatregelen nodig zijn hangt af van het gekozen alternatief. Dit punt wordt meegenomen bij de verdere uitwerking, maar als er een voorstel tot compensatie komt, zal deze ook gedekt moeten worden</w:t>
      </w:r>
      <w:r w:rsidR="00F25B75">
        <w:t xml:space="preserve"> en een budgettaire opgave bovenop de huidige 1,3 miljard met zich mee brengen</w:t>
      </w:r>
      <w:r>
        <w:t>.</w:t>
      </w:r>
    </w:p>
    <w:p w:rsidR="00CB49B8" w:rsidP="00F734C7" w:rsidRDefault="00CB49B8" w14:paraId="6AD85EB9" w14:textId="77777777"/>
    <w:p w:rsidRPr="002949FB" w:rsidR="007847A8" w:rsidP="00F734C7" w:rsidRDefault="007847A8" w14:paraId="09B6CE8E" w14:textId="77777777">
      <w:pPr>
        <w:rPr>
          <w:b/>
          <w:bCs/>
          <w:i/>
          <w:iCs/>
        </w:rPr>
      </w:pPr>
      <w:r w:rsidRPr="002949FB">
        <w:rPr>
          <w:b/>
          <w:bCs/>
          <w:i/>
          <w:iCs/>
        </w:rPr>
        <w:t>Impact btw-verhoging</w:t>
      </w:r>
      <w:r w:rsidR="000019E4">
        <w:rPr>
          <w:b/>
          <w:bCs/>
          <w:i/>
          <w:iCs/>
        </w:rPr>
        <w:t xml:space="preserve"> op</w:t>
      </w:r>
      <w:r w:rsidRPr="002949FB">
        <w:rPr>
          <w:b/>
          <w:bCs/>
          <w:i/>
          <w:iCs/>
        </w:rPr>
        <w:t xml:space="preserve"> huishoudens</w:t>
      </w:r>
    </w:p>
    <w:p w:rsidR="002D5FEB" w:rsidP="00F734C7" w:rsidRDefault="00256CA2" w14:paraId="451ECE11" w14:textId="77777777">
      <w:r>
        <w:t>Huishoudens hebben verschillende consumptiepatronen waardoor een btw-verhoging een andere impact kan hebben voor</w:t>
      </w:r>
      <w:r w:rsidR="000019E4">
        <w:t xml:space="preserve"> verschillende </w:t>
      </w:r>
      <w:r>
        <w:t xml:space="preserve">inkomensgroepen. </w:t>
      </w:r>
      <w:r w:rsidR="006F673F">
        <w:t xml:space="preserve">In 2023 </w:t>
      </w:r>
      <w:r w:rsidR="00F734C7">
        <w:t>hebben</w:t>
      </w:r>
      <w:r w:rsidR="006F673F">
        <w:t xml:space="preserve"> </w:t>
      </w:r>
      <w:proofErr w:type="spellStart"/>
      <w:r w:rsidR="006F673F">
        <w:t>Dialogic</w:t>
      </w:r>
      <w:proofErr w:type="spellEnd"/>
      <w:r w:rsidR="00F734C7">
        <w:t xml:space="preserve"> en Significant</w:t>
      </w:r>
      <w:r w:rsidR="006F673F">
        <w:t xml:space="preserve"> in </w:t>
      </w:r>
      <w:r w:rsidR="00F734C7">
        <w:t xml:space="preserve">het kader van </w:t>
      </w:r>
      <w:r w:rsidR="006F673F">
        <w:t>de evaluatie van het verlaagde btw-tarief</w:t>
      </w:r>
      <w:r w:rsidR="00473CA9">
        <w:rPr>
          <w:rStyle w:val="Voetnootmarkering"/>
        </w:rPr>
        <w:footnoteReference w:id="4"/>
      </w:r>
      <w:r w:rsidR="006F673F">
        <w:t xml:space="preserve"> in kaart gebracht </w:t>
      </w:r>
      <w:r w:rsidR="003E3013">
        <w:t>hoeveel van hun totale bestedingen verschillende</w:t>
      </w:r>
      <w:r w:rsidR="006F673F">
        <w:t xml:space="preserve"> inkomensgroepen </w:t>
      </w:r>
      <w:r w:rsidR="003E3013">
        <w:t>uitgeven aan producten waarvoor het verlaagde btw-tarief geldt.</w:t>
      </w:r>
      <w:r w:rsidR="00F734C7">
        <w:t xml:space="preserve"> Een kopie van </w:t>
      </w:r>
      <w:r w:rsidR="000019E4">
        <w:t>onderdelen</w:t>
      </w:r>
      <w:r w:rsidR="00F734C7">
        <w:t xml:space="preserve"> uit dat rapport heb ik als bijlage bij deze brief toegevoegd (zie bijlage </w:t>
      </w:r>
      <w:r w:rsidR="004C29BD">
        <w:t>1</w:t>
      </w:r>
      <w:r w:rsidR="00F734C7">
        <w:t>).</w:t>
      </w:r>
      <w:r w:rsidR="003E3013">
        <w:t xml:space="preserve"> </w:t>
      </w:r>
      <w:r w:rsidR="000019E4">
        <w:t>Daaruit</w:t>
      </w:r>
      <w:r w:rsidR="002D5FEB">
        <w:t xml:space="preserve"> blijkt </w:t>
      </w:r>
      <w:r w:rsidR="000019E4">
        <w:t xml:space="preserve">bijvoorbeeld </w:t>
      </w:r>
      <w:r w:rsidR="002D5FEB">
        <w:t xml:space="preserve">dat de impact van een btw-verhoging op personenvervoer groter is voor lagere inkomens dan voor hogere inkomens, terwijl dit bij sport precies andersom is. </w:t>
      </w:r>
    </w:p>
    <w:p w:rsidR="002D5FEB" w:rsidP="00F734C7" w:rsidRDefault="002D5FEB" w14:paraId="49D429A8" w14:textId="77777777"/>
    <w:p w:rsidR="00F734C7" w:rsidP="00014D07" w:rsidRDefault="002D5FEB" w14:paraId="6B4EF6CF" w14:textId="77777777">
      <w:r>
        <w:t>Over het algemeen geldt dat een verhoging van het verlaagde btw-tarief met 1%</w:t>
      </w:r>
      <w:r w:rsidR="00473CA9">
        <w:noBreakHyphen/>
      </w:r>
      <w:r>
        <w:t xml:space="preserve">punt </w:t>
      </w:r>
      <w:r w:rsidR="00473CA9">
        <w:t xml:space="preserve">ruwweg </w:t>
      </w:r>
      <w:r>
        <w:t xml:space="preserve">gelijk is </w:t>
      </w:r>
      <w:r w:rsidR="001A390C">
        <w:t>voor verschillende inkomensgroepen</w:t>
      </w:r>
      <w:r>
        <w:t xml:space="preserve"> als er gekeken wordt naar bestedingsaandelen.</w:t>
      </w:r>
      <w:r w:rsidR="001A390C">
        <w:t xml:space="preserve"> </w:t>
      </w:r>
      <w:r w:rsidR="00F734C7">
        <w:t xml:space="preserve">Dit beeld </w:t>
      </w:r>
      <w:r>
        <w:t>kan veranderen als er</w:t>
      </w:r>
      <w:r w:rsidR="00F734C7">
        <w:t xml:space="preserve"> gekeken wordt naar bestedingen als percentage van het besteedbaar inkomen van de inkomens</w:t>
      </w:r>
      <w:r w:rsidR="003E3013">
        <w:t>groepen</w:t>
      </w:r>
      <w:r w:rsidR="00F734C7">
        <w:t>. Dit komt doordat lagere inkomens gemiddeld genomen minder sparen dan hogere inkomens</w:t>
      </w:r>
      <w:r w:rsidR="00F6563C">
        <w:t xml:space="preserve"> waardoor lagere inkomens relatief meer uitgeven aan consumptie. </w:t>
      </w:r>
      <w:r w:rsidR="00F734C7">
        <w:t xml:space="preserve">De grafiek hieronder laat het verschil zien tussen het effect van het verhogen van het verlaagde btw-tarief met 1%-punt op bestedingen als percentage van besteedbaar inkomen en als percentage van bestedingen. </w:t>
      </w:r>
      <w:r w:rsidRPr="005B3854" w:rsidR="005B3854">
        <w:t xml:space="preserve">Ook maakt het duidelijk dat </w:t>
      </w:r>
      <w:r w:rsidR="00EE5720">
        <w:t>het</w:t>
      </w:r>
      <w:r w:rsidRPr="005B3854" w:rsidR="005B3854">
        <w:t xml:space="preserve"> totale budgettaire belang van het verlaagde btw-tarief grotendeels zit bij huishoudens met hogere inkomens. Dat is de reden dat het verlaagde btw-tarief in algemene zin als ondoelmatig is beoordeeld. Om via het verlaagde btw-tarief €1 bij de 10% minst draagkrachtige huishoudens te krijgen, moet in totaal bijna €20 worden uitgegeven.  </w:t>
      </w:r>
    </w:p>
    <w:p w:rsidR="00956FBB" w:rsidP="00014D07" w:rsidRDefault="00956FBB" w14:paraId="4F5F48CD" w14:textId="77777777"/>
    <w:p w:rsidRPr="00473CA9" w:rsidR="001C5F10" w:rsidP="00014D07" w:rsidRDefault="001C5F10" w14:paraId="5550CC8F" w14:textId="77777777">
      <w:pPr>
        <w:rPr>
          <w:i/>
          <w:iCs/>
        </w:rPr>
      </w:pPr>
      <w:r w:rsidRPr="00473CA9">
        <w:rPr>
          <w:i/>
          <w:iCs/>
        </w:rPr>
        <w:t>Grafiek 1: Illustratie bestedingsaandelen en inkomenseffecten</w:t>
      </w:r>
    </w:p>
    <w:p w:rsidR="00F734C7" w:rsidP="00014D07" w:rsidRDefault="00F734C7" w14:paraId="17C46CA2" w14:textId="77777777">
      <w:pPr>
        <w:rPr>
          <w:b/>
          <w:bCs/>
        </w:rPr>
      </w:pPr>
      <w:r>
        <w:rPr>
          <w:noProof/>
        </w:rPr>
        <w:drawing>
          <wp:inline distT="0" distB="0" distL="0" distR="0" wp14:anchorId="2BC3A53B" wp14:editId="0BA695FD">
            <wp:extent cx="4787900" cy="2257425"/>
            <wp:effectExtent l="0" t="0" r="12700" b="9525"/>
            <wp:docPr id="513740863" name="Grafiek 1">
              <a:extLst xmlns:a="http://schemas.openxmlformats.org/drawingml/2006/main">
                <a:ext uri="{FF2B5EF4-FFF2-40B4-BE49-F238E27FC236}">
                  <a16:creationId xmlns:a16="http://schemas.microsoft.com/office/drawing/2014/main" id="{4F8BCD65-4277-F466-F04D-278A6E3368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A390C" w:rsidP="001C5F10" w:rsidRDefault="001A390C" w14:paraId="65883ECB" w14:textId="77777777"/>
    <w:p w:rsidR="001C5F10" w:rsidP="001C5F10" w:rsidRDefault="001C5F10" w14:paraId="36DDD793" w14:textId="77777777">
      <w:r>
        <w:t>In welke mate de lasten van een btw-verhoging daadwerkelijk neerslaan bij consumenten</w:t>
      </w:r>
      <w:r w:rsidR="00B53EC5">
        <w:t xml:space="preserve"> of </w:t>
      </w:r>
      <w:r w:rsidR="00473CA9">
        <w:t>ondernemers</w:t>
      </w:r>
      <w:r>
        <w:t xml:space="preserve"> is afhankelijk van de mate waarin de verhoging wordt doorberekend. In de grafiek hierboven is uitgegaan van volledige doorberekening, maar in werkelijkheid zal de btw-verhoging </w:t>
      </w:r>
      <w:r w:rsidR="00C31392">
        <w:t xml:space="preserve">meestal </w:t>
      </w:r>
      <w:r>
        <w:t xml:space="preserve">niet volledig </w:t>
      </w:r>
      <w:r w:rsidR="00CB49B8">
        <w:t xml:space="preserve">worden </w:t>
      </w:r>
      <w:r>
        <w:t xml:space="preserve">doorberekend. </w:t>
      </w:r>
      <w:r w:rsidR="00473CA9">
        <w:t>Eerdergenoemde</w:t>
      </w:r>
      <w:r>
        <w:t xml:space="preserve"> evaluatie van de verlaagde btw-tarieven van </w:t>
      </w:r>
      <w:proofErr w:type="spellStart"/>
      <w:r>
        <w:t>Dialogic</w:t>
      </w:r>
      <w:proofErr w:type="spellEnd"/>
      <w:r>
        <w:t xml:space="preserve"> en Significant laat zien dat de mate van doorberekening </w:t>
      </w:r>
      <w:r w:rsidR="001A390C">
        <w:t>doorgaans</w:t>
      </w:r>
      <w:r>
        <w:t xml:space="preserve"> circa 75% is. Dit betekent dat </w:t>
      </w:r>
      <w:r w:rsidR="00473CA9">
        <w:t xml:space="preserve">bij een </w:t>
      </w:r>
      <w:r w:rsidR="00EE5720">
        <w:t>btw-verhoging</w:t>
      </w:r>
      <w:r w:rsidR="00473CA9">
        <w:t xml:space="preserve"> van € 1</w:t>
      </w:r>
      <w:r>
        <w:t xml:space="preserve"> </w:t>
      </w:r>
      <w:r w:rsidR="00473CA9">
        <w:t xml:space="preserve">de consumentenprijs met € 0,75 </w:t>
      </w:r>
      <w:r w:rsidR="00EE5720">
        <w:t>omhooggaat</w:t>
      </w:r>
      <w:r w:rsidR="00473CA9">
        <w:t>. T</w:t>
      </w:r>
      <w:r>
        <w:t xml:space="preserve">abel </w:t>
      </w:r>
      <w:r w:rsidR="00473CA9">
        <w:t xml:space="preserve">1 </w:t>
      </w:r>
      <w:r>
        <w:t>vat de uitkomsten van de voorgenoemde evaluatie samen.</w:t>
      </w:r>
      <w:r w:rsidR="00CB49B8">
        <w:t xml:space="preserve"> </w:t>
      </w:r>
      <w:r w:rsidR="00B53EC5">
        <w:t>Bij de btw-maatregel voor cultuur, media en sport is aangenomen dat de btw-verhoging voor 75% neerslaat bij huishoudens en voor 25% bij ondernemers.</w:t>
      </w:r>
    </w:p>
    <w:p w:rsidR="00D219B5" w:rsidP="001C5F10" w:rsidRDefault="00D219B5" w14:paraId="77A3F678" w14:textId="77777777"/>
    <w:p w:rsidRPr="00473CA9" w:rsidR="001C5F10" w:rsidP="001C5F10" w:rsidRDefault="001C5F10" w14:paraId="68335227" w14:textId="77777777">
      <w:pPr>
        <w:rPr>
          <w:i/>
          <w:iCs/>
        </w:rPr>
      </w:pPr>
      <w:r w:rsidRPr="00473CA9">
        <w:rPr>
          <w:i/>
          <w:iCs/>
        </w:rPr>
        <w:t>Tabel 1: Doorberekeningsfactoren</w:t>
      </w:r>
    </w:p>
    <w:tbl>
      <w:tblPr>
        <w:tblStyle w:val="Onopgemaaktetabel1"/>
        <w:tblW w:w="0" w:type="auto"/>
        <w:tblLook w:val="04A0" w:firstRow="1" w:lastRow="0" w:firstColumn="1" w:lastColumn="0" w:noHBand="0" w:noVBand="1"/>
      </w:tblPr>
      <w:tblGrid>
        <w:gridCol w:w="3539"/>
        <w:gridCol w:w="992"/>
        <w:gridCol w:w="992"/>
      </w:tblGrid>
      <w:tr w:rsidRPr="00064085" w:rsidR="001C5F10" w:rsidTr="00473CA9" w14:paraId="7A1832C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Pr="00064085" w:rsidR="001C5F10" w:rsidP="000007C3" w:rsidRDefault="001C5F10" w14:paraId="13E3860D" w14:textId="77777777">
            <w:pPr>
              <w:rPr>
                <w:i/>
                <w:iCs/>
              </w:rPr>
            </w:pPr>
          </w:p>
        </w:tc>
        <w:tc>
          <w:tcPr>
            <w:tcW w:w="992" w:type="dxa"/>
            <w:hideMark/>
          </w:tcPr>
          <w:p w:rsidRPr="00473CA9" w:rsidR="001C5F10" w:rsidP="000007C3" w:rsidRDefault="001C5F10" w14:paraId="1A9A5912" w14:textId="77777777">
            <w:pPr>
              <w:cnfStyle w:val="100000000000" w:firstRow="1" w:lastRow="0" w:firstColumn="0" w:lastColumn="0" w:oddVBand="0" w:evenVBand="0" w:oddHBand="0" w:evenHBand="0" w:firstRowFirstColumn="0" w:firstRowLastColumn="0" w:lastRowFirstColumn="0" w:lastRowLastColumn="0"/>
            </w:pPr>
            <w:r w:rsidRPr="00473CA9">
              <w:t>Min</w:t>
            </w:r>
          </w:p>
        </w:tc>
        <w:tc>
          <w:tcPr>
            <w:tcW w:w="992" w:type="dxa"/>
            <w:hideMark/>
          </w:tcPr>
          <w:p w:rsidRPr="00473CA9" w:rsidR="001C5F10" w:rsidP="000007C3" w:rsidRDefault="001C5F10" w14:paraId="2E57D1CB" w14:textId="77777777">
            <w:pPr>
              <w:cnfStyle w:val="100000000000" w:firstRow="1" w:lastRow="0" w:firstColumn="0" w:lastColumn="0" w:oddVBand="0" w:evenVBand="0" w:oddHBand="0" w:evenHBand="0" w:firstRowFirstColumn="0" w:firstRowLastColumn="0" w:lastRowFirstColumn="0" w:lastRowLastColumn="0"/>
            </w:pPr>
            <w:r w:rsidRPr="00473CA9">
              <w:t>Max</w:t>
            </w:r>
          </w:p>
        </w:tc>
      </w:tr>
      <w:tr w:rsidRPr="00064085" w:rsidR="001C5F10" w:rsidTr="00473CA9" w14:paraId="3A58E528"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539" w:type="dxa"/>
            <w:hideMark/>
          </w:tcPr>
          <w:p w:rsidRPr="00473CA9" w:rsidR="001C5F10" w:rsidP="000007C3" w:rsidRDefault="001C5F10" w14:paraId="0D6215C8" w14:textId="77777777">
            <w:r w:rsidRPr="00473CA9">
              <w:t>Voedingsmiddelen</w:t>
            </w:r>
          </w:p>
        </w:tc>
        <w:tc>
          <w:tcPr>
            <w:tcW w:w="992" w:type="dxa"/>
            <w:hideMark/>
          </w:tcPr>
          <w:p w:rsidRPr="00064085" w:rsidR="001C5F10" w:rsidP="000007C3" w:rsidRDefault="001C5F10" w14:paraId="06EA4066" w14:textId="77777777">
            <w:pPr>
              <w:cnfStyle w:val="000000100000" w:firstRow="0" w:lastRow="0" w:firstColumn="0" w:lastColumn="0" w:oddVBand="0" w:evenVBand="0" w:oddHBand="1" w:evenHBand="0" w:firstRowFirstColumn="0" w:firstRowLastColumn="0" w:lastRowFirstColumn="0" w:lastRowLastColumn="0"/>
              <w:rPr>
                <w:i/>
                <w:iCs/>
              </w:rPr>
            </w:pPr>
            <w:r w:rsidRPr="00064085">
              <w:rPr>
                <w:i/>
                <w:iCs/>
              </w:rPr>
              <w:t>71%</w:t>
            </w:r>
          </w:p>
        </w:tc>
        <w:tc>
          <w:tcPr>
            <w:tcW w:w="992" w:type="dxa"/>
            <w:hideMark/>
          </w:tcPr>
          <w:p w:rsidRPr="00064085" w:rsidR="001C5F10" w:rsidP="000007C3" w:rsidRDefault="001C5F10" w14:paraId="63B53902" w14:textId="77777777">
            <w:pPr>
              <w:cnfStyle w:val="000000100000" w:firstRow="0" w:lastRow="0" w:firstColumn="0" w:lastColumn="0" w:oddVBand="0" w:evenVBand="0" w:oddHBand="1" w:evenHBand="0" w:firstRowFirstColumn="0" w:firstRowLastColumn="0" w:lastRowFirstColumn="0" w:lastRowLastColumn="0"/>
              <w:rPr>
                <w:i/>
                <w:iCs/>
              </w:rPr>
            </w:pPr>
            <w:r w:rsidRPr="00064085">
              <w:rPr>
                <w:i/>
                <w:iCs/>
              </w:rPr>
              <w:t>81%</w:t>
            </w:r>
          </w:p>
        </w:tc>
      </w:tr>
      <w:tr w:rsidRPr="00064085" w:rsidR="001C5F10" w:rsidTr="00473CA9" w14:paraId="2645762E" w14:textId="77777777">
        <w:tc>
          <w:tcPr>
            <w:cnfStyle w:val="001000000000" w:firstRow="0" w:lastRow="0" w:firstColumn="1" w:lastColumn="0" w:oddVBand="0" w:evenVBand="0" w:oddHBand="0" w:evenHBand="0" w:firstRowFirstColumn="0" w:firstRowLastColumn="0" w:lastRowFirstColumn="0" w:lastRowLastColumn="0"/>
            <w:tcW w:w="3539" w:type="dxa"/>
            <w:hideMark/>
          </w:tcPr>
          <w:p w:rsidRPr="00473CA9" w:rsidR="001C5F10" w:rsidP="000007C3" w:rsidRDefault="001C5F10" w14:paraId="7F5C0ACA" w14:textId="77777777">
            <w:r w:rsidRPr="00473CA9">
              <w:t>Herenkappers</w:t>
            </w:r>
          </w:p>
        </w:tc>
        <w:tc>
          <w:tcPr>
            <w:tcW w:w="992" w:type="dxa"/>
            <w:hideMark/>
          </w:tcPr>
          <w:p w:rsidRPr="00064085" w:rsidR="001C5F10" w:rsidP="000007C3" w:rsidRDefault="001C5F10" w14:paraId="0916F0BB" w14:textId="77777777">
            <w:pPr>
              <w:cnfStyle w:val="000000000000" w:firstRow="0" w:lastRow="0" w:firstColumn="0" w:lastColumn="0" w:oddVBand="0" w:evenVBand="0" w:oddHBand="0" w:evenHBand="0" w:firstRowFirstColumn="0" w:firstRowLastColumn="0" w:lastRowFirstColumn="0" w:lastRowLastColumn="0"/>
              <w:rPr>
                <w:i/>
                <w:iCs/>
              </w:rPr>
            </w:pPr>
            <w:r w:rsidRPr="00064085">
              <w:rPr>
                <w:i/>
                <w:iCs/>
              </w:rPr>
              <w:t>78%</w:t>
            </w:r>
          </w:p>
        </w:tc>
        <w:tc>
          <w:tcPr>
            <w:tcW w:w="992" w:type="dxa"/>
            <w:hideMark/>
          </w:tcPr>
          <w:p w:rsidRPr="00064085" w:rsidR="001C5F10" w:rsidP="000007C3" w:rsidRDefault="001C5F10" w14:paraId="501DE776" w14:textId="77777777">
            <w:pPr>
              <w:cnfStyle w:val="000000000000" w:firstRow="0" w:lastRow="0" w:firstColumn="0" w:lastColumn="0" w:oddVBand="0" w:evenVBand="0" w:oddHBand="0" w:evenHBand="0" w:firstRowFirstColumn="0" w:firstRowLastColumn="0" w:lastRowFirstColumn="0" w:lastRowLastColumn="0"/>
              <w:rPr>
                <w:i/>
                <w:iCs/>
              </w:rPr>
            </w:pPr>
            <w:r w:rsidRPr="00064085">
              <w:rPr>
                <w:i/>
                <w:iCs/>
              </w:rPr>
              <w:t>88%</w:t>
            </w:r>
          </w:p>
        </w:tc>
      </w:tr>
      <w:tr w:rsidRPr="00064085" w:rsidR="001C5F10" w:rsidTr="00473CA9" w14:paraId="74715B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hideMark/>
          </w:tcPr>
          <w:p w:rsidRPr="00473CA9" w:rsidR="001C5F10" w:rsidP="000007C3" w:rsidRDefault="001C5F10" w14:paraId="51D39428" w14:textId="77777777">
            <w:r w:rsidRPr="00473CA9">
              <w:t>Dameskappers</w:t>
            </w:r>
          </w:p>
        </w:tc>
        <w:tc>
          <w:tcPr>
            <w:tcW w:w="992" w:type="dxa"/>
            <w:hideMark/>
          </w:tcPr>
          <w:p w:rsidRPr="00064085" w:rsidR="001C5F10" w:rsidP="000007C3" w:rsidRDefault="001C5F10" w14:paraId="3CE7AD61" w14:textId="77777777">
            <w:pPr>
              <w:cnfStyle w:val="000000100000" w:firstRow="0" w:lastRow="0" w:firstColumn="0" w:lastColumn="0" w:oddVBand="0" w:evenVBand="0" w:oddHBand="1" w:evenHBand="0" w:firstRowFirstColumn="0" w:firstRowLastColumn="0" w:lastRowFirstColumn="0" w:lastRowLastColumn="0"/>
              <w:rPr>
                <w:i/>
                <w:iCs/>
              </w:rPr>
            </w:pPr>
            <w:r w:rsidRPr="00064085">
              <w:rPr>
                <w:i/>
                <w:iCs/>
              </w:rPr>
              <w:t>67%</w:t>
            </w:r>
          </w:p>
        </w:tc>
        <w:tc>
          <w:tcPr>
            <w:tcW w:w="992" w:type="dxa"/>
            <w:hideMark/>
          </w:tcPr>
          <w:p w:rsidRPr="00064085" w:rsidR="001C5F10" w:rsidP="000007C3" w:rsidRDefault="001C5F10" w14:paraId="1EF33CD4" w14:textId="77777777">
            <w:pPr>
              <w:cnfStyle w:val="000000100000" w:firstRow="0" w:lastRow="0" w:firstColumn="0" w:lastColumn="0" w:oddVBand="0" w:evenVBand="0" w:oddHBand="1" w:evenHBand="0" w:firstRowFirstColumn="0" w:firstRowLastColumn="0" w:lastRowFirstColumn="0" w:lastRowLastColumn="0"/>
              <w:rPr>
                <w:i/>
                <w:iCs/>
              </w:rPr>
            </w:pPr>
            <w:r w:rsidRPr="00064085">
              <w:rPr>
                <w:i/>
                <w:iCs/>
              </w:rPr>
              <w:t>67%</w:t>
            </w:r>
          </w:p>
        </w:tc>
      </w:tr>
      <w:tr w:rsidRPr="00064085" w:rsidR="001C5F10" w:rsidTr="00473CA9" w14:paraId="50864A7A" w14:textId="77777777">
        <w:tc>
          <w:tcPr>
            <w:cnfStyle w:val="001000000000" w:firstRow="0" w:lastRow="0" w:firstColumn="1" w:lastColumn="0" w:oddVBand="0" w:evenVBand="0" w:oddHBand="0" w:evenHBand="0" w:firstRowFirstColumn="0" w:firstRowLastColumn="0" w:lastRowFirstColumn="0" w:lastRowLastColumn="0"/>
            <w:tcW w:w="3539" w:type="dxa"/>
            <w:hideMark/>
          </w:tcPr>
          <w:p w:rsidRPr="00473CA9" w:rsidR="001C5F10" w:rsidP="000007C3" w:rsidRDefault="001C5F10" w14:paraId="3BD59F7C" w14:textId="77777777">
            <w:r w:rsidRPr="00473CA9">
              <w:t>Restaurants en hotels</w:t>
            </w:r>
          </w:p>
        </w:tc>
        <w:tc>
          <w:tcPr>
            <w:tcW w:w="992" w:type="dxa"/>
            <w:hideMark/>
          </w:tcPr>
          <w:p w:rsidRPr="00064085" w:rsidR="001C5F10" w:rsidP="000007C3" w:rsidRDefault="001C5F10" w14:paraId="0D542A19" w14:textId="77777777">
            <w:pPr>
              <w:cnfStyle w:val="000000000000" w:firstRow="0" w:lastRow="0" w:firstColumn="0" w:lastColumn="0" w:oddVBand="0" w:evenVBand="0" w:oddHBand="0" w:evenHBand="0" w:firstRowFirstColumn="0" w:firstRowLastColumn="0" w:lastRowFirstColumn="0" w:lastRowLastColumn="0"/>
              <w:rPr>
                <w:i/>
                <w:iCs/>
              </w:rPr>
            </w:pPr>
            <w:r w:rsidRPr="00064085">
              <w:rPr>
                <w:i/>
                <w:iCs/>
              </w:rPr>
              <w:t>102%</w:t>
            </w:r>
          </w:p>
        </w:tc>
        <w:tc>
          <w:tcPr>
            <w:tcW w:w="992" w:type="dxa"/>
            <w:hideMark/>
          </w:tcPr>
          <w:p w:rsidRPr="00064085" w:rsidR="001C5F10" w:rsidP="000007C3" w:rsidRDefault="001C5F10" w14:paraId="70DFB095" w14:textId="77777777">
            <w:pPr>
              <w:cnfStyle w:val="000000000000" w:firstRow="0" w:lastRow="0" w:firstColumn="0" w:lastColumn="0" w:oddVBand="0" w:evenVBand="0" w:oddHBand="0" w:evenHBand="0" w:firstRowFirstColumn="0" w:firstRowLastColumn="0" w:lastRowFirstColumn="0" w:lastRowLastColumn="0"/>
              <w:rPr>
                <w:i/>
                <w:iCs/>
              </w:rPr>
            </w:pPr>
            <w:r w:rsidRPr="00064085">
              <w:rPr>
                <w:i/>
                <w:iCs/>
              </w:rPr>
              <w:t>127%</w:t>
            </w:r>
          </w:p>
        </w:tc>
      </w:tr>
      <w:tr w:rsidRPr="00064085" w:rsidR="001C5F10" w:rsidTr="00473CA9" w14:paraId="336197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hideMark/>
          </w:tcPr>
          <w:p w:rsidRPr="00473CA9" w:rsidR="001C5F10" w:rsidP="000007C3" w:rsidRDefault="001C5F10" w14:paraId="4AE3F805" w14:textId="77777777">
            <w:r w:rsidRPr="00473CA9">
              <w:t>Farmaceutische producten</w:t>
            </w:r>
          </w:p>
        </w:tc>
        <w:tc>
          <w:tcPr>
            <w:tcW w:w="992" w:type="dxa"/>
            <w:hideMark/>
          </w:tcPr>
          <w:p w:rsidRPr="00064085" w:rsidR="001C5F10" w:rsidP="000007C3" w:rsidRDefault="001C5F10" w14:paraId="26AEBF85" w14:textId="77777777">
            <w:pPr>
              <w:cnfStyle w:val="000000100000" w:firstRow="0" w:lastRow="0" w:firstColumn="0" w:lastColumn="0" w:oddVBand="0" w:evenVBand="0" w:oddHBand="1" w:evenHBand="0" w:firstRowFirstColumn="0" w:firstRowLastColumn="0" w:lastRowFirstColumn="0" w:lastRowLastColumn="0"/>
              <w:rPr>
                <w:i/>
                <w:iCs/>
              </w:rPr>
            </w:pPr>
            <w:r w:rsidRPr="00064085">
              <w:rPr>
                <w:i/>
                <w:iCs/>
              </w:rPr>
              <w:t>131%</w:t>
            </w:r>
          </w:p>
        </w:tc>
        <w:tc>
          <w:tcPr>
            <w:tcW w:w="992" w:type="dxa"/>
            <w:hideMark/>
          </w:tcPr>
          <w:p w:rsidRPr="00064085" w:rsidR="001C5F10" w:rsidP="000007C3" w:rsidRDefault="001C5F10" w14:paraId="18F613C8" w14:textId="77777777">
            <w:pPr>
              <w:cnfStyle w:val="000000100000" w:firstRow="0" w:lastRow="0" w:firstColumn="0" w:lastColumn="0" w:oddVBand="0" w:evenVBand="0" w:oddHBand="1" w:evenHBand="0" w:firstRowFirstColumn="0" w:firstRowLastColumn="0" w:lastRowFirstColumn="0" w:lastRowLastColumn="0"/>
              <w:rPr>
                <w:i/>
                <w:iCs/>
              </w:rPr>
            </w:pPr>
            <w:r w:rsidRPr="00064085">
              <w:rPr>
                <w:i/>
                <w:iCs/>
              </w:rPr>
              <w:t>166%</w:t>
            </w:r>
          </w:p>
        </w:tc>
      </w:tr>
    </w:tbl>
    <w:p w:rsidR="001C5F10" w:rsidP="001C5F10" w:rsidRDefault="001C5F10" w14:paraId="41FFE965" w14:textId="77777777"/>
    <w:p w:rsidRPr="002949FB" w:rsidR="007847A8" w:rsidP="001C5F10" w:rsidRDefault="007847A8" w14:paraId="11A9941F" w14:textId="77777777">
      <w:pPr>
        <w:rPr>
          <w:b/>
          <w:bCs/>
          <w:i/>
          <w:iCs/>
        </w:rPr>
      </w:pPr>
      <w:r w:rsidRPr="002949FB">
        <w:rPr>
          <w:b/>
          <w:bCs/>
          <w:i/>
          <w:iCs/>
        </w:rPr>
        <w:t xml:space="preserve">Impact btw-verhoging </w:t>
      </w:r>
      <w:r w:rsidR="000019E4">
        <w:rPr>
          <w:b/>
          <w:bCs/>
          <w:i/>
          <w:iCs/>
        </w:rPr>
        <w:t xml:space="preserve">op </w:t>
      </w:r>
      <w:r w:rsidRPr="002949FB">
        <w:rPr>
          <w:b/>
          <w:bCs/>
          <w:i/>
          <w:iCs/>
        </w:rPr>
        <w:t>ondernemers</w:t>
      </w:r>
    </w:p>
    <w:p w:rsidRPr="000349C9" w:rsidR="000349C9" w:rsidP="000349C9" w:rsidRDefault="001C5F10" w14:paraId="31A4273B" w14:textId="77777777">
      <w:r>
        <w:t>Naast de mate van doorberekening</w:t>
      </w:r>
      <w:r w:rsidR="007847A8">
        <w:t xml:space="preserve"> is het voor ondernemers van belang hoe prijsgevoelig de consument is.</w:t>
      </w:r>
      <w:r w:rsidR="00370371">
        <w:t xml:space="preserve"> Een prijsverhoging kan namelijk ook omzetverlies betekenen.</w:t>
      </w:r>
      <w:r w:rsidR="007847A8">
        <w:t xml:space="preserve"> </w:t>
      </w:r>
      <w:r w:rsidR="00370371">
        <w:t>Ook d</w:t>
      </w:r>
      <w:r w:rsidR="007847A8">
        <w:t>it</w:t>
      </w:r>
      <w:r>
        <w:t xml:space="preserve"> verschilt</w:t>
      </w:r>
      <w:r w:rsidR="007847A8">
        <w:t xml:space="preserve"> </w:t>
      </w:r>
      <w:r>
        <w:t xml:space="preserve">per </w:t>
      </w:r>
      <w:r w:rsidR="00370371">
        <w:t xml:space="preserve">product of dienst. </w:t>
      </w:r>
      <w:r w:rsidR="007847A8">
        <w:t>Prijsgevoeligheid</w:t>
      </w:r>
      <w:r>
        <w:t xml:space="preserve"> wordt uitgedrukt als de prijselasticiteit van</w:t>
      </w:r>
      <w:r w:rsidR="001A390C">
        <w:t xml:space="preserve"> de</w:t>
      </w:r>
      <w:r>
        <w:t xml:space="preserve"> vraag</w:t>
      </w:r>
      <w:r w:rsidR="00473CA9">
        <w:t xml:space="preserve">: </w:t>
      </w:r>
      <w:r>
        <w:t xml:space="preserve">hoeveel </w:t>
      </w:r>
      <w:r w:rsidR="00B44EB9">
        <w:t xml:space="preserve">verandert </w:t>
      </w:r>
      <w:r>
        <w:t>de gevraagde hoeveelheid als gevolg van een toename van de prijs.</w:t>
      </w:r>
      <w:r w:rsidR="00473CA9">
        <w:rPr>
          <w:rStyle w:val="Voetnootmarkering"/>
        </w:rPr>
        <w:footnoteReference w:id="5"/>
      </w:r>
      <w:r>
        <w:t xml:space="preserve"> Hier hebben </w:t>
      </w:r>
      <w:proofErr w:type="spellStart"/>
      <w:r>
        <w:t>Dialogic</w:t>
      </w:r>
      <w:proofErr w:type="spellEnd"/>
      <w:r>
        <w:t xml:space="preserve"> en Significant in de evaluatie ook naar gekeken. </w:t>
      </w:r>
      <w:r w:rsidR="00A05291">
        <w:t xml:space="preserve">Aan de hand van de doorberekeningsfactoren en de prijselasticiteiten kan vervolgens een inschatting gemaakt worden van het effect van een btw-verhoging op de omzet in bepaalde </w:t>
      </w:r>
      <w:r w:rsidR="00A05291">
        <w:lastRenderedPageBreak/>
        <w:t>sectoren. Hier</w:t>
      </w:r>
      <w:r w:rsidR="00B44EB9">
        <w:t>van</w:t>
      </w:r>
      <w:r w:rsidR="00A05291">
        <w:t xml:space="preserve"> is in </w:t>
      </w:r>
      <w:r w:rsidR="00B44EB9">
        <w:t>de</w:t>
      </w:r>
      <w:r w:rsidR="00A05291">
        <w:t xml:space="preserve"> ambtelijke fichebundel bij de Kabinetsreactie</w:t>
      </w:r>
      <w:r w:rsidR="00C31392">
        <w:rPr>
          <w:rStyle w:val="Voetnootmarkering"/>
        </w:rPr>
        <w:footnoteReference w:id="6"/>
      </w:r>
      <w:r w:rsidR="00A05291">
        <w:t xml:space="preserve"> op de evaluatie van de verlaagde btw-tarieven</w:t>
      </w:r>
      <w:r w:rsidR="00CB712E">
        <w:t xml:space="preserve"> </w:t>
      </w:r>
      <w:r w:rsidR="00A05291">
        <w:t>een inschatting gemaakt.</w:t>
      </w:r>
      <w:r w:rsidR="00C31392">
        <w:t xml:space="preserve"> </w:t>
      </w:r>
      <w:r w:rsidR="0099341E">
        <w:t>Die bundel is ook als</w:t>
      </w:r>
      <w:r w:rsidR="00C31392">
        <w:t xml:space="preserve"> bijlage bij deze brief gevoegd.</w:t>
      </w:r>
      <w:r w:rsidR="00B80E1F">
        <w:t xml:space="preserve"> In ieder fiche staat een regel met </w:t>
      </w:r>
      <w:r w:rsidRPr="00B80E1F" w:rsidR="00B80E1F">
        <w:rPr>
          <w:i/>
          <w:iCs/>
        </w:rPr>
        <w:t>Financiële gevolgen doelgroep(en)</w:t>
      </w:r>
      <w:r w:rsidR="00B80E1F">
        <w:rPr>
          <w:i/>
          <w:iCs/>
        </w:rPr>
        <w:t>.</w:t>
      </w:r>
      <w:r w:rsidR="00B80E1F">
        <w:t xml:space="preserve"> </w:t>
      </w:r>
      <w:r w:rsidR="00CB49B8">
        <w:t>Omdat er niet voor alle productcategorieën doorberekeningsfactoren bekend zijn, wordt er in die gevallen gerekend met een doorberekeningsfactor van 75%</w:t>
      </w:r>
      <w:r w:rsidR="00C31392">
        <w:t xml:space="preserve"> aan consumenten</w:t>
      </w:r>
      <w:r w:rsidR="00CB49B8">
        <w:t>.</w:t>
      </w:r>
      <w:r w:rsidR="000349C9">
        <w:t xml:space="preserve"> </w:t>
      </w:r>
    </w:p>
    <w:p w:rsidR="00157032" w:rsidP="00014D07" w:rsidRDefault="00157032" w14:paraId="0181BE3B" w14:textId="77777777"/>
    <w:p w:rsidR="0001223D" w:rsidP="0001223D" w:rsidRDefault="0001223D" w14:paraId="696B8EF6" w14:textId="77777777">
      <w:pPr>
        <w:rPr>
          <w:b/>
          <w:bCs/>
          <w:i/>
          <w:iCs/>
        </w:rPr>
      </w:pPr>
      <w:r>
        <w:rPr>
          <w:b/>
          <w:bCs/>
          <w:i/>
          <w:iCs/>
        </w:rPr>
        <w:t>Andere btw-onderzoeken</w:t>
      </w:r>
    </w:p>
    <w:p w:rsidRPr="005B3854" w:rsidR="0001223D" w:rsidP="0001223D" w:rsidRDefault="0001223D" w14:paraId="5E584FAE" w14:textId="77777777">
      <w:pPr>
        <w:autoSpaceDN/>
        <w:spacing w:after="160" w:line="256" w:lineRule="auto"/>
        <w:textAlignment w:val="auto"/>
        <w:rPr>
          <w:rFonts w:eastAsia="Calibri" w:cs="Times New Roman"/>
          <w:color w:val="auto"/>
          <w:szCs w:val="22"/>
          <w:lang w:eastAsia="en-US"/>
        </w:rPr>
      </w:pPr>
      <w:r w:rsidRPr="005B3854">
        <w:rPr>
          <w:rFonts w:eastAsia="Calibri" w:cs="Times New Roman"/>
          <w:color w:val="auto"/>
          <w:szCs w:val="22"/>
          <w:lang w:eastAsia="en-US"/>
        </w:rPr>
        <w:t>Zoals mijn ambtsvoorganger heeft aangekondigd</w:t>
      </w:r>
      <w:r w:rsidRPr="005B3854">
        <w:rPr>
          <w:rFonts w:eastAsia="Calibri" w:cs="Times New Roman"/>
          <w:color w:val="auto"/>
          <w:szCs w:val="22"/>
          <w:vertAlign w:val="superscript"/>
          <w:lang w:eastAsia="en-US"/>
        </w:rPr>
        <w:footnoteReference w:id="7"/>
      </w:r>
      <w:r w:rsidRPr="005B3854">
        <w:rPr>
          <w:rFonts w:eastAsia="Calibri" w:cs="Times New Roman"/>
          <w:color w:val="auto"/>
          <w:szCs w:val="22"/>
          <w:lang w:eastAsia="en-US"/>
        </w:rPr>
        <w:t xml:space="preserve"> liep er in het kader van de aanpak fiscale regelingen een onderzoek naar afbakeningsmogelijkheden binnen het verlaagde btw-tarief op restaurantdiensten die de doelmatigheid kunnen verbeteren. Deze is heel recent afgerond en zou bij de brief over het traject aanpak fiscale regelingen later dit voorjaar naar uw Kamer worden verzonden. Gelet op de huidige gesprekken die ik voer over de btw, deel ik deze informatie alvast met uw Kamer</w:t>
      </w:r>
      <w:r>
        <w:rPr>
          <w:rFonts w:eastAsia="Calibri" w:cs="Times New Roman"/>
          <w:color w:val="auto"/>
          <w:szCs w:val="22"/>
          <w:lang w:eastAsia="en-US"/>
        </w:rPr>
        <w:t xml:space="preserve"> (zie bijlage </w:t>
      </w:r>
      <w:r w:rsidR="004C29BD">
        <w:rPr>
          <w:rFonts w:eastAsia="Calibri" w:cs="Times New Roman"/>
          <w:color w:val="auto"/>
          <w:szCs w:val="22"/>
          <w:lang w:eastAsia="en-US"/>
        </w:rPr>
        <w:t>2</w:t>
      </w:r>
      <w:r>
        <w:rPr>
          <w:rFonts w:eastAsia="Calibri" w:cs="Times New Roman"/>
          <w:color w:val="auto"/>
          <w:szCs w:val="22"/>
          <w:lang w:eastAsia="en-US"/>
        </w:rPr>
        <w:t>)</w:t>
      </w:r>
      <w:r w:rsidRPr="005B3854">
        <w:rPr>
          <w:rFonts w:eastAsia="Calibri" w:cs="Times New Roman"/>
          <w:color w:val="auto"/>
          <w:szCs w:val="22"/>
          <w:lang w:eastAsia="en-US"/>
        </w:rPr>
        <w:t xml:space="preserve">. </w:t>
      </w:r>
    </w:p>
    <w:p w:rsidRPr="002B100F" w:rsidR="0001223D" w:rsidP="002B100F" w:rsidRDefault="0001223D" w14:paraId="7CF5A31E" w14:textId="77777777">
      <w:pPr>
        <w:autoSpaceDN/>
        <w:spacing w:after="160" w:line="256" w:lineRule="auto"/>
        <w:textAlignment w:val="auto"/>
        <w:rPr>
          <w:rFonts w:eastAsia="Calibri" w:cs="Times New Roman"/>
          <w:color w:val="auto"/>
          <w:szCs w:val="22"/>
          <w:lang w:eastAsia="en-US"/>
        </w:rPr>
      </w:pPr>
      <w:r w:rsidRPr="005B3854">
        <w:rPr>
          <w:rFonts w:eastAsia="Calibri" w:cs="Times New Roman"/>
          <w:color w:val="auto"/>
          <w:szCs w:val="22"/>
          <w:lang w:eastAsia="en-US"/>
        </w:rPr>
        <w:t xml:space="preserve">Ook vindt er op dit moment een evaluatie naar enkele (optionele) btw-vrijstellingen plaats. Het betreft de vrijstelling voor diensten van lijkbezorgers, schrijvers, journalisten, cartoonisten &amp; componisten, voordrachten &amp; dergelijke werkzaamheden en daarnaast de omzetgrenzen van de EU-verplichte fondswervingsvrijstelling. De onderzoeksresultaten verwacht ik op korte termijn aan uw Kamer verzenden na afronding van de evaluatie. </w:t>
      </w:r>
    </w:p>
    <w:p w:rsidRPr="002949FB" w:rsidR="000E7BB8" w:rsidRDefault="007847A8" w14:paraId="767FBF17" w14:textId="77777777">
      <w:pPr>
        <w:rPr>
          <w:b/>
          <w:bCs/>
          <w:i/>
          <w:iCs/>
        </w:rPr>
      </w:pPr>
      <w:r w:rsidRPr="002949FB">
        <w:rPr>
          <w:b/>
          <w:bCs/>
          <w:i/>
          <w:iCs/>
        </w:rPr>
        <w:t>Vervolg</w:t>
      </w:r>
      <w:r w:rsidR="008475DC">
        <w:rPr>
          <w:b/>
          <w:bCs/>
          <w:i/>
          <w:iCs/>
        </w:rPr>
        <w:t xml:space="preserve">proces </w:t>
      </w:r>
    </w:p>
    <w:p w:rsidR="0018074F" w:rsidRDefault="0018074F" w14:paraId="1DD2C5AD" w14:textId="77777777">
      <w:r>
        <w:t>De heer Stoffer</w:t>
      </w:r>
      <w:r w:rsidRPr="00F75B29" w:rsidR="00F75B29">
        <w:t xml:space="preserve"> </w:t>
      </w:r>
      <w:r w:rsidR="00F75B29">
        <w:t xml:space="preserve">en de heer </w:t>
      </w:r>
      <w:proofErr w:type="spellStart"/>
      <w:r w:rsidR="00F75B29">
        <w:t>Grinwis</w:t>
      </w:r>
      <w:proofErr w:type="spellEnd"/>
      <w:r>
        <w:t xml:space="preserve"> </w:t>
      </w:r>
      <w:r w:rsidR="00F75B29">
        <w:t>vragen</w:t>
      </w:r>
      <w:r>
        <w:t xml:space="preserve"> wanneer er een alternatief pakket ligt</w:t>
      </w:r>
      <w:r w:rsidR="00F75B29">
        <w:t xml:space="preserve"> en</w:t>
      </w:r>
      <w:r>
        <w:t xml:space="preserve"> of kan worden gegarandeerd dat er tijdig een wettekst ligt voor dat alternatief. </w:t>
      </w:r>
      <w:r w:rsidR="007847A8">
        <w:t xml:space="preserve">Mevrouw </w:t>
      </w:r>
      <w:r w:rsidR="00A81646">
        <w:t>V</w:t>
      </w:r>
      <w:r w:rsidR="007847A8">
        <w:t>an Eijk</w:t>
      </w:r>
      <w:r w:rsidRPr="007847A8" w:rsidR="007847A8">
        <w:t xml:space="preserve"> </w:t>
      </w:r>
      <w:r w:rsidR="007847A8">
        <w:t xml:space="preserve">vraagt hoe </w:t>
      </w:r>
      <w:r w:rsidRPr="0018074F" w:rsidR="007847A8">
        <w:t>richting het B</w:t>
      </w:r>
      <w:r w:rsidR="007847A8">
        <w:t xml:space="preserve">elastingplan </w:t>
      </w:r>
      <w:r w:rsidRPr="0018074F" w:rsidR="007847A8">
        <w:t xml:space="preserve">2026 stappen </w:t>
      </w:r>
      <w:r w:rsidR="007847A8">
        <w:t>worden ge</w:t>
      </w:r>
      <w:r w:rsidRPr="0018074F" w:rsidR="007847A8">
        <w:t xml:space="preserve">zet </w:t>
      </w:r>
      <w:r w:rsidR="007847A8">
        <w:t>in</w:t>
      </w:r>
      <w:r w:rsidRPr="0018074F" w:rsidR="007847A8">
        <w:t xml:space="preserve"> het verder opschonen van het handboek omzetbelasting</w:t>
      </w:r>
      <w:r w:rsidR="007847A8">
        <w:t xml:space="preserve">, welke budgettaire opbrengst hiermee gepaard gaat en wanneer de Kamer hierover geïnformeerd zal worden. </w:t>
      </w:r>
    </w:p>
    <w:p w:rsidR="00B43E11" w:rsidRDefault="00B43E11" w14:paraId="39F63C1D" w14:textId="77777777"/>
    <w:p w:rsidR="00B43E11" w:rsidP="00BC00DA" w:rsidRDefault="00B43E11" w14:paraId="366CFC34" w14:textId="5D27A2D9">
      <w:r>
        <w:t xml:space="preserve">Het kabinet acht de huidige onzekerheid die bestaat in de cultuursector zeer onwenselijk. </w:t>
      </w:r>
      <w:r w:rsidR="00BC00DA">
        <w:t xml:space="preserve">Daarom is het de insteek om zo snel mogelijk duidelijkheid te bieden. Dat betekent uiterlijk bij de </w:t>
      </w:r>
      <w:r w:rsidR="00666E23">
        <w:t>Voorjaarsnota</w:t>
      </w:r>
      <w:r w:rsidR="005771E2">
        <w:t>, conform de motie van Dijk</w:t>
      </w:r>
      <w:r w:rsidR="00BC00DA">
        <w:t xml:space="preserve">. Zoals </w:t>
      </w:r>
      <w:r w:rsidR="00F75B29">
        <w:t xml:space="preserve">ik eerder heb </w:t>
      </w:r>
      <w:r w:rsidR="00BC00DA">
        <w:t xml:space="preserve">aangegeven </w:t>
      </w:r>
      <w:r w:rsidR="00EF2363">
        <w:t>zal ik het alternatief</w:t>
      </w:r>
      <w:r w:rsidR="00BC00DA">
        <w:t xml:space="preserve"> door middel van een separaat wetgevingstraject zo snel </w:t>
      </w:r>
      <w:r w:rsidR="00F75B29">
        <w:t xml:space="preserve">als </w:t>
      </w:r>
      <w:r w:rsidR="00BC00DA">
        <w:t xml:space="preserve">mogelijk in de wet opnemen. Daarbij is het mijn hoop dat het parlement bereid is om deze wet </w:t>
      </w:r>
      <w:r w:rsidR="00F75B29">
        <w:t xml:space="preserve">dan </w:t>
      </w:r>
      <w:r w:rsidR="00BC00DA">
        <w:t xml:space="preserve">voortvarend en in goed overleg te behandelen. </w:t>
      </w:r>
      <w:r w:rsidR="00F75B29">
        <w:t>Als het</w:t>
      </w:r>
      <w:r w:rsidR="009E5AAF">
        <w:t xml:space="preserve"> nodig</w:t>
      </w:r>
      <w:r w:rsidR="00F75B29">
        <w:t xml:space="preserve"> blijkt om aanvullend</w:t>
      </w:r>
      <w:r w:rsidR="009E5AAF">
        <w:t xml:space="preserve"> beleid </w:t>
      </w:r>
      <w:r w:rsidR="00F75B29">
        <w:t xml:space="preserve">te </w:t>
      </w:r>
      <w:r w:rsidR="009E5AAF">
        <w:t>treffen</w:t>
      </w:r>
      <w:r w:rsidR="00F75B29">
        <w:t>, zal ik dat ook doen.</w:t>
      </w:r>
    </w:p>
    <w:p w:rsidR="007847A8" w:rsidP="00BC00DA" w:rsidRDefault="007847A8" w14:paraId="0E141E4D" w14:textId="77777777"/>
    <w:p w:rsidR="007847A8" w:rsidP="007847A8" w:rsidRDefault="00F75B29" w14:paraId="34DB276C" w14:textId="6FFC6BA4">
      <w:r>
        <w:t>Daarnaast</w:t>
      </w:r>
      <w:r w:rsidR="009E5AAF">
        <w:t xml:space="preserve"> </w:t>
      </w:r>
      <w:r w:rsidR="007847A8">
        <w:t>zal</w:t>
      </w:r>
      <w:r w:rsidR="009E5AAF">
        <w:t xml:space="preserve"> ik</w:t>
      </w:r>
      <w:r w:rsidR="007847A8">
        <w:t xml:space="preserve"> richting het Belastingplan van dit najaar bezien of er in het handboek btw nog moeilijk uit te leggen </w:t>
      </w:r>
      <w:r w:rsidR="00F25B75">
        <w:t>tariefverschillen</w:t>
      </w:r>
      <w:r w:rsidR="007847A8">
        <w:t xml:space="preserve"> weg te nemen zijn. Uiterlijk </w:t>
      </w:r>
      <w:r>
        <w:t>komende</w:t>
      </w:r>
      <w:r w:rsidR="007847A8">
        <w:t xml:space="preserve"> Prinsjesdag wordt u daarover geïnformeerd. </w:t>
      </w:r>
      <w:r w:rsidR="009E5AAF">
        <w:t>Daarbij hecht ik er wel aan om te verwijzen naar wat is gezegd tijdens d</w:t>
      </w:r>
      <w:r w:rsidR="007847A8">
        <w:t>e technische briefing op 11</w:t>
      </w:r>
      <w:r>
        <w:t> </w:t>
      </w:r>
      <w:r w:rsidR="007847A8">
        <w:t>februari</w:t>
      </w:r>
      <w:r w:rsidR="009E5AAF">
        <w:t xml:space="preserve"> </w:t>
      </w:r>
      <w:r w:rsidR="007847A8">
        <w:t xml:space="preserve">en </w:t>
      </w:r>
      <w:r w:rsidR="009E5AAF">
        <w:t xml:space="preserve">wat ik reeds heb aangegeven tijdens </w:t>
      </w:r>
      <w:r w:rsidR="007847A8">
        <w:t>het commissiedebat op 13</w:t>
      </w:r>
      <w:r>
        <w:t> </w:t>
      </w:r>
      <w:r w:rsidR="007847A8">
        <w:t>februari: het enkel schrappen van toelichting uit dat beleidsbesluit is (vaak) niet mogelijk en heeft géén budgettaire effect</w:t>
      </w:r>
      <w:r w:rsidR="009E5AAF">
        <w:t>en</w:t>
      </w:r>
      <w:r w:rsidR="007847A8">
        <w:t>.</w:t>
      </w:r>
      <w:r w:rsidR="009E5AAF">
        <w:t xml:space="preserve"> </w:t>
      </w:r>
      <w:r w:rsidR="007847A8">
        <w:t>Daarom wordt er breder gekeken naar moeilijk uit te leggen situaties in de btw.</w:t>
      </w:r>
    </w:p>
    <w:p w:rsidR="005B3854" w:rsidRDefault="005B3854" w14:paraId="56841D98" w14:textId="77777777">
      <w:pPr>
        <w:rPr>
          <w:b/>
          <w:bCs/>
          <w:i/>
          <w:iCs/>
        </w:rPr>
      </w:pPr>
    </w:p>
    <w:p w:rsidR="00666E23" w:rsidRDefault="00666E23" w14:paraId="25703560" w14:textId="77777777">
      <w:pPr>
        <w:rPr>
          <w:b/>
          <w:bCs/>
          <w:i/>
          <w:iCs/>
        </w:rPr>
      </w:pPr>
    </w:p>
    <w:p w:rsidRPr="002949FB" w:rsidR="00801433" w:rsidRDefault="008475DC" w14:paraId="41AC1B24" w14:textId="77777777">
      <w:pPr>
        <w:rPr>
          <w:b/>
          <w:bCs/>
        </w:rPr>
      </w:pPr>
      <w:r>
        <w:rPr>
          <w:b/>
          <w:bCs/>
          <w:i/>
          <w:iCs/>
        </w:rPr>
        <w:t>Tot slot</w:t>
      </w:r>
    </w:p>
    <w:p w:rsidR="00801433" w:rsidRDefault="00EF1E92" w14:paraId="029A1484" w14:textId="77777777">
      <w:r>
        <w:t xml:space="preserve">Op donderdag 20 februari hoop ik het </w:t>
      </w:r>
      <w:r w:rsidR="00666E23">
        <w:t xml:space="preserve">gesprek </w:t>
      </w:r>
      <w:r>
        <w:t>met u voort te zetten. Zoals hiervoor toegelicht, hoop ik zo snel mogelijk tot een gezamenlijke oplossing te komen</w:t>
      </w:r>
      <w:r w:rsidR="00F75B29">
        <w:t>.</w:t>
      </w:r>
      <w:r>
        <w:t xml:space="preserve"> </w:t>
      </w:r>
    </w:p>
    <w:p w:rsidR="00801433" w:rsidRDefault="00801433" w14:paraId="6C11B6A9" w14:textId="77777777"/>
    <w:p w:rsidR="002B6C12" w:rsidRDefault="002B6C12" w14:paraId="7E995FC3" w14:textId="77777777">
      <w:pPr>
        <w:pStyle w:val="WitregelW1bodytekst"/>
      </w:pPr>
    </w:p>
    <w:p w:rsidR="00970B05" w:rsidP="00970B05" w:rsidRDefault="00970B05" w14:paraId="5CFBC209" w14:textId="77777777">
      <w:r>
        <w:t>Hoogachtend,</w:t>
      </w:r>
    </w:p>
    <w:p w:rsidR="00970B05" w:rsidP="00970B05" w:rsidRDefault="00970B05" w14:paraId="414FB966" w14:textId="77777777"/>
    <w:p w:rsidR="00970B05" w:rsidP="00970B05" w:rsidRDefault="00970B05" w14:paraId="2A8847A3" w14:textId="77777777">
      <w:r>
        <w:t>De staatssecretaris van Financiën –</w:t>
      </w:r>
    </w:p>
    <w:p w:rsidR="00970B05" w:rsidP="00970B05" w:rsidRDefault="00970B05" w14:paraId="4930F9ED" w14:textId="77777777">
      <w:r>
        <w:t>Fiscaliteit, Belastingdienst en Douane,</w:t>
      </w:r>
    </w:p>
    <w:p w:rsidR="00970B05" w:rsidP="00970B05" w:rsidRDefault="00970B05" w14:paraId="76F0DE66" w14:textId="77777777"/>
    <w:p w:rsidR="00970B05" w:rsidP="00970B05" w:rsidRDefault="00970B05" w14:paraId="1190DF13" w14:textId="77777777"/>
    <w:p w:rsidR="00970B05" w:rsidP="00970B05" w:rsidRDefault="00970B05" w14:paraId="7DCAA4A7" w14:textId="77777777"/>
    <w:p w:rsidR="00222655" w:rsidP="00970B05" w:rsidRDefault="00222655" w14:paraId="621BA92E" w14:textId="77777777"/>
    <w:p w:rsidR="002B6C12" w:rsidP="00970B05" w:rsidRDefault="00970B05" w14:paraId="5A363622" w14:textId="77777777">
      <w:r>
        <w:t>T. van Oostenbruggen</w:t>
      </w:r>
    </w:p>
    <w:p w:rsidR="002B6C12" w:rsidRDefault="002B6C12" w14:paraId="6CC789D2" w14:textId="77777777"/>
    <w:p w:rsidR="002B6C12" w:rsidRDefault="002B6C12" w14:paraId="3DFF2477" w14:textId="77777777"/>
    <w:p w:rsidR="002B6C12" w:rsidRDefault="002B6C12" w14:paraId="0026C7B8" w14:textId="77777777"/>
    <w:p w:rsidR="002B6C12" w:rsidRDefault="002B6C12" w14:paraId="6AC89331" w14:textId="77777777"/>
    <w:sectPr w:rsidR="002B6C12">
      <w:headerReference w:type="default" r:id="rId8"/>
      <w:foot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9DDF" w14:textId="77777777" w:rsidR="009C7DB7" w:rsidRDefault="009C7DB7">
      <w:pPr>
        <w:spacing w:line="240" w:lineRule="auto"/>
      </w:pPr>
      <w:r>
        <w:separator/>
      </w:r>
    </w:p>
  </w:endnote>
  <w:endnote w:type="continuationSeparator" w:id="0">
    <w:p w14:paraId="001A7E26" w14:textId="77777777" w:rsidR="009C7DB7" w:rsidRDefault="009C7DB7">
      <w:pPr>
        <w:spacing w:line="240" w:lineRule="auto"/>
      </w:pPr>
      <w:r>
        <w:continuationSeparator/>
      </w:r>
    </w:p>
  </w:endnote>
  <w:endnote w:type="continuationNotice" w:id="1">
    <w:p w14:paraId="50CE03E2" w14:textId="77777777" w:rsidR="009C7DB7" w:rsidRDefault="009C7D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56BF" w14:textId="77777777" w:rsidR="002B6C12" w:rsidRDefault="002B6C1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8362" w14:textId="77777777" w:rsidR="009C7DB7" w:rsidRDefault="009C7DB7">
      <w:pPr>
        <w:spacing w:line="240" w:lineRule="auto"/>
      </w:pPr>
      <w:r>
        <w:separator/>
      </w:r>
    </w:p>
  </w:footnote>
  <w:footnote w:type="continuationSeparator" w:id="0">
    <w:p w14:paraId="7E08E983" w14:textId="77777777" w:rsidR="009C7DB7" w:rsidRDefault="009C7DB7">
      <w:pPr>
        <w:spacing w:line="240" w:lineRule="auto"/>
      </w:pPr>
      <w:r>
        <w:continuationSeparator/>
      </w:r>
    </w:p>
  </w:footnote>
  <w:footnote w:type="continuationNotice" w:id="1">
    <w:p w14:paraId="2F9ED818" w14:textId="77777777" w:rsidR="009C7DB7" w:rsidRDefault="009C7DB7">
      <w:pPr>
        <w:spacing w:line="240" w:lineRule="auto"/>
      </w:pPr>
    </w:p>
  </w:footnote>
  <w:footnote w:id="2">
    <w:p w14:paraId="4F62C9FC" w14:textId="77777777" w:rsidR="00956FBB" w:rsidRPr="00B43E11" w:rsidRDefault="00956FBB" w:rsidP="00956FBB">
      <w:pPr>
        <w:pStyle w:val="Voetnoottekst"/>
        <w:rPr>
          <w:sz w:val="16"/>
          <w:szCs w:val="16"/>
        </w:rPr>
      </w:pPr>
      <w:r w:rsidRPr="00B43E11">
        <w:rPr>
          <w:rStyle w:val="Voetnootmarkering"/>
          <w:sz w:val="16"/>
          <w:szCs w:val="16"/>
        </w:rPr>
        <w:footnoteRef/>
      </w:r>
      <w:r w:rsidRPr="00B43E11">
        <w:rPr>
          <w:sz w:val="16"/>
          <w:szCs w:val="16"/>
        </w:rPr>
        <w:t xml:space="preserve"> Kamerstukken II, 2024/2025, nr. 36602 nr. 140.</w:t>
      </w:r>
    </w:p>
  </w:footnote>
  <w:footnote w:id="3">
    <w:p w14:paraId="1BEB9A72" w14:textId="77777777" w:rsidR="00956FBB" w:rsidRDefault="00956FBB">
      <w:pPr>
        <w:pStyle w:val="Voetnoottekst"/>
      </w:pPr>
      <w:r w:rsidRPr="00956FBB">
        <w:rPr>
          <w:rStyle w:val="Voetnootmarkering"/>
          <w:sz w:val="16"/>
          <w:szCs w:val="16"/>
        </w:rPr>
        <w:footnoteRef/>
      </w:r>
      <w:r w:rsidRPr="00956FBB">
        <w:rPr>
          <w:sz w:val="16"/>
          <w:szCs w:val="16"/>
        </w:rPr>
        <w:t xml:space="preserve"> Bij de behandeling van het Belastingplan bedroeg de derving 1,2 miljard euro</w:t>
      </w:r>
      <w:r>
        <w:rPr>
          <w:sz w:val="16"/>
          <w:szCs w:val="16"/>
        </w:rPr>
        <w:t>. D</w:t>
      </w:r>
      <w:r w:rsidRPr="00956FBB">
        <w:rPr>
          <w:sz w:val="16"/>
          <w:szCs w:val="16"/>
        </w:rPr>
        <w:t xml:space="preserve">e derving </w:t>
      </w:r>
      <w:r w:rsidR="00D17D3A">
        <w:rPr>
          <w:sz w:val="16"/>
          <w:szCs w:val="16"/>
        </w:rPr>
        <w:t>is bijgesteld doordat het prijspe</w:t>
      </w:r>
      <w:r w:rsidRPr="00956FBB">
        <w:rPr>
          <w:sz w:val="16"/>
          <w:szCs w:val="16"/>
        </w:rPr>
        <w:t xml:space="preserve">il is aangepast en de indexatie plaatsvindt op basis van de MEV 2025 in plaats van het CEP 2024. Bij het uitkomen van CEP 2025 zullen </w:t>
      </w:r>
      <w:r>
        <w:rPr>
          <w:sz w:val="16"/>
          <w:szCs w:val="16"/>
        </w:rPr>
        <w:t>de</w:t>
      </w:r>
      <w:r w:rsidRPr="00956FBB">
        <w:rPr>
          <w:sz w:val="16"/>
          <w:szCs w:val="16"/>
        </w:rPr>
        <w:t xml:space="preserve"> ramingen herijkt worden.</w:t>
      </w:r>
    </w:p>
  </w:footnote>
  <w:footnote w:id="4">
    <w:p w14:paraId="3890CF59" w14:textId="77777777" w:rsidR="00473CA9" w:rsidRPr="00256CA2" w:rsidRDefault="00473CA9" w:rsidP="00473CA9">
      <w:pPr>
        <w:pStyle w:val="Voetnoottekst"/>
      </w:pPr>
      <w:r w:rsidRPr="002949FB">
        <w:rPr>
          <w:rStyle w:val="Voetnootmarkering"/>
          <w:sz w:val="16"/>
          <w:szCs w:val="16"/>
        </w:rPr>
        <w:footnoteRef/>
      </w:r>
      <w:r w:rsidRPr="002949FB">
        <w:rPr>
          <w:sz w:val="16"/>
          <w:szCs w:val="16"/>
        </w:rPr>
        <w:t xml:space="preserve"> </w:t>
      </w:r>
      <w:hyperlink r:id="rId1" w:history="1">
        <w:proofErr w:type="spellStart"/>
        <w:r w:rsidRPr="002949FB">
          <w:rPr>
            <w:rStyle w:val="Hyperlink"/>
            <w:sz w:val="16"/>
            <w:szCs w:val="16"/>
          </w:rPr>
          <w:t>Dialogic</w:t>
        </w:r>
        <w:proofErr w:type="spellEnd"/>
        <w:r w:rsidRPr="002949FB">
          <w:rPr>
            <w:rStyle w:val="Hyperlink"/>
            <w:sz w:val="16"/>
            <w:szCs w:val="16"/>
          </w:rPr>
          <w:t>-rapport</w:t>
        </w:r>
      </w:hyperlink>
    </w:p>
  </w:footnote>
  <w:footnote w:id="5">
    <w:p w14:paraId="266F4B32" w14:textId="77777777" w:rsidR="00473CA9" w:rsidRPr="00473CA9" w:rsidRDefault="00473CA9">
      <w:pPr>
        <w:pStyle w:val="Voetnoottekst"/>
        <w:rPr>
          <w:sz w:val="16"/>
          <w:szCs w:val="16"/>
        </w:rPr>
      </w:pPr>
      <w:r w:rsidRPr="00473CA9">
        <w:rPr>
          <w:rStyle w:val="Voetnootmarkering"/>
          <w:sz w:val="16"/>
          <w:szCs w:val="16"/>
        </w:rPr>
        <w:footnoteRef/>
      </w:r>
      <w:r w:rsidRPr="00473CA9">
        <w:rPr>
          <w:sz w:val="16"/>
          <w:szCs w:val="16"/>
        </w:rPr>
        <w:t xml:space="preserve"> In procenten</w:t>
      </w:r>
      <w:r w:rsidR="00222655">
        <w:rPr>
          <w:sz w:val="16"/>
          <w:szCs w:val="16"/>
        </w:rPr>
        <w:t>.</w:t>
      </w:r>
    </w:p>
  </w:footnote>
  <w:footnote w:id="6">
    <w:p w14:paraId="16A48A0B" w14:textId="77777777" w:rsidR="00C31392" w:rsidRPr="00222655" w:rsidRDefault="00C31392">
      <w:pPr>
        <w:pStyle w:val="Voetnoottekst"/>
        <w:rPr>
          <w:sz w:val="16"/>
          <w:szCs w:val="16"/>
        </w:rPr>
      </w:pPr>
      <w:r w:rsidRPr="00222655">
        <w:rPr>
          <w:rStyle w:val="Voetnootmarkering"/>
          <w:sz w:val="16"/>
          <w:szCs w:val="16"/>
        </w:rPr>
        <w:footnoteRef/>
      </w:r>
      <w:r w:rsidRPr="00222655">
        <w:rPr>
          <w:sz w:val="16"/>
          <w:szCs w:val="16"/>
        </w:rPr>
        <w:t xml:space="preserve"> Tweede Kamer 2023/24, 32 140, nr. 174.</w:t>
      </w:r>
    </w:p>
  </w:footnote>
  <w:footnote w:id="7">
    <w:p w14:paraId="41508969" w14:textId="77777777" w:rsidR="0001223D" w:rsidRDefault="0001223D" w:rsidP="0001223D">
      <w:pPr>
        <w:pStyle w:val="Voetnoottekst"/>
        <w:rPr>
          <w:sz w:val="16"/>
          <w:szCs w:val="16"/>
        </w:rPr>
      </w:pPr>
      <w:r>
        <w:rPr>
          <w:rStyle w:val="Voetnootmarkering"/>
          <w:sz w:val="16"/>
          <w:szCs w:val="16"/>
        </w:rPr>
        <w:footnoteRef/>
      </w:r>
      <w:r>
        <w:rPr>
          <w:sz w:val="16"/>
          <w:szCs w:val="16"/>
        </w:rPr>
        <w:t xml:space="preserve"> Kamerstukken II 2024/25, 32140 nr. 210.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67C1" w14:textId="77777777" w:rsidR="002B6C12" w:rsidRDefault="00C029FE">
    <w:r>
      <w:rPr>
        <w:noProof/>
      </w:rPr>
      <mc:AlternateContent>
        <mc:Choice Requires="wps">
          <w:drawing>
            <wp:anchor distT="0" distB="0" distL="0" distR="0" simplePos="0" relativeHeight="251652096" behindDoc="0" locked="1" layoutInCell="1" allowOverlap="1" wp14:anchorId="459C4E33" wp14:editId="1870DC6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49DC38B" w14:textId="77777777" w:rsidR="00C029FE" w:rsidRDefault="00C029FE"/>
                      </w:txbxContent>
                    </wps:txbx>
                    <wps:bodyPr vert="horz" wrap="square" lIns="0" tIns="0" rIns="0" bIns="0" anchor="t" anchorCtr="0"/>
                  </wps:wsp>
                </a:graphicData>
              </a:graphic>
            </wp:anchor>
          </w:drawing>
        </mc:Choice>
        <mc:Fallback>
          <w:pict>
            <v:shapetype w14:anchorId="459C4E3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49DC38B" w14:textId="77777777" w:rsidR="00C029FE" w:rsidRDefault="00C029F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CC37DFC" wp14:editId="32C4F2F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33461E" w14:textId="77777777" w:rsidR="002B6C12" w:rsidRDefault="00C029FE">
                          <w:pPr>
                            <w:pStyle w:val="Referentiegegevensbold"/>
                          </w:pPr>
                          <w:r>
                            <w:t>Directoraat-Generaal voor Fiscale Zaken</w:t>
                          </w:r>
                        </w:p>
                        <w:p w14:paraId="2F15BCA0" w14:textId="77777777" w:rsidR="002B6C12" w:rsidRDefault="00C029FE">
                          <w:pPr>
                            <w:pStyle w:val="Referentiegegevens"/>
                          </w:pPr>
                          <w:r>
                            <w:t>Directie Verbruiksbelastingen, Douane en Internationale aangelegenheden</w:t>
                          </w:r>
                        </w:p>
                        <w:p w14:paraId="6FF203CA" w14:textId="77777777" w:rsidR="002B6C12" w:rsidRDefault="00C029FE">
                          <w:pPr>
                            <w:pStyle w:val="Referentiegegevens"/>
                          </w:pPr>
                          <w:r>
                            <w:t>Btw en Overdrachtsbelasting</w:t>
                          </w:r>
                        </w:p>
                        <w:p w14:paraId="32884908" w14:textId="77777777" w:rsidR="002B6C12" w:rsidRDefault="002B6C12">
                          <w:pPr>
                            <w:pStyle w:val="WitregelW2"/>
                          </w:pPr>
                        </w:p>
                        <w:p w14:paraId="31667A12" w14:textId="77777777" w:rsidR="002B6C12" w:rsidRDefault="00C029FE">
                          <w:pPr>
                            <w:pStyle w:val="Referentiegegevensbold"/>
                          </w:pPr>
                          <w:r>
                            <w:t>Datum</w:t>
                          </w:r>
                        </w:p>
                        <w:p w14:paraId="4365C6ED" w14:textId="0642B012" w:rsidR="00CD1D59" w:rsidRDefault="00001D2B">
                          <w:pPr>
                            <w:pStyle w:val="Referentiegegevens"/>
                          </w:pPr>
                          <w:fldSimple w:instr=" DOCPROPERTY  &quot;Datum&quot;  \* MERGEFORMAT ">
                            <w:r w:rsidR="00D1147C">
                              <w:t>18 februari 2025</w:t>
                            </w:r>
                          </w:fldSimple>
                        </w:p>
                        <w:p w14:paraId="328D4964" w14:textId="77777777" w:rsidR="002B6C12" w:rsidRDefault="002B6C12">
                          <w:pPr>
                            <w:pStyle w:val="WitregelW1"/>
                          </w:pPr>
                        </w:p>
                        <w:p w14:paraId="71454C41" w14:textId="77777777" w:rsidR="002B6C12" w:rsidRDefault="00C029FE">
                          <w:pPr>
                            <w:pStyle w:val="Referentiegegevensbold"/>
                          </w:pPr>
                          <w:r>
                            <w:t>Ons kenmerk</w:t>
                          </w:r>
                        </w:p>
                        <w:p w14:paraId="0A8B4C08" w14:textId="31D30992" w:rsidR="00CD1D59" w:rsidRDefault="00001D2B">
                          <w:pPr>
                            <w:pStyle w:val="Referentiegegevens"/>
                          </w:pPr>
                          <w:fldSimple w:instr=" DOCPROPERTY  &quot;Kenmerk&quot;  \* MERGEFORMAT ">
                            <w:r w:rsidR="00D1147C">
                              <w:t>2025-0000046474</w:t>
                            </w:r>
                          </w:fldSimple>
                        </w:p>
                      </w:txbxContent>
                    </wps:txbx>
                    <wps:bodyPr vert="horz" wrap="square" lIns="0" tIns="0" rIns="0" bIns="0" anchor="t" anchorCtr="0"/>
                  </wps:wsp>
                </a:graphicData>
              </a:graphic>
            </wp:anchor>
          </w:drawing>
        </mc:Choice>
        <mc:Fallback>
          <w:pict>
            <v:shape w14:anchorId="3CC37DF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933461E" w14:textId="77777777" w:rsidR="002B6C12" w:rsidRDefault="00C029FE">
                    <w:pPr>
                      <w:pStyle w:val="Referentiegegevensbold"/>
                    </w:pPr>
                    <w:r>
                      <w:t>Directoraat-Generaal voor Fiscale Zaken</w:t>
                    </w:r>
                  </w:p>
                  <w:p w14:paraId="2F15BCA0" w14:textId="77777777" w:rsidR="002B6C12" w:rsidRDefault="00C029FE">
                    <w:pPr>
                      <w:pStyle w:val="Referentiegegevens"/>
                    </w:pPr>
                    <w:r>
                      <w:t>Directie Verbruiksbelastingen, Douane en Internationale aangelegenheden</w:t>
                    </w:r>
                  </w:p>
                  <w:p w14:paraId="6FF203CA" w14:textId="77777777" w:rsidR="002B6C12" w:rsidRDefault="00C029FE">
                    <w:pPr>
                      <w:pStyle w:val="Referentiegegevens"/>
                    </w:pPr>
                    <w:r>
                      <w:t>Btw en Overdrachtsbelasting</w:t>
                    </w:r>
                  </w:p>
                  <w:p w14:paraId="32884908" w14:textId="77777777" w:rsidR="002B6C12" w:rsidRDefault="002B6C12">
                    <w:pPr>
                      <w:pStyle w:val="WitregelW2"/>
                    </w:pPr>
                  </w:p>
                  <w:p w14:paraId="31667A12" w14:textId="77777777" w:rsidR="002B6C12" w:rsidRDefault="00C029FE">
                    <w:pPr>
                      <w:pStyle w:val="Referentiegegevensbold"/>
                    </w:pPr>
                    <w:r>
                      <w:t>Datum</w:t>
                    </w:r>
                  </w:p>
                  <w:p w14:paraId="4365C6ED" w14:textId="0642B012" w:rsidR="00CD1D59" w:rsidRDefault="00001D2B">
                    <w:pPr>
                      <w:pStyle w:val="Referentiegegevens"/>
                    </w:pPr>
                    <w:fldSimple w:instr=" DOCPROPERTY  &quot;Datum&quot;  \* MERGEFORMAT ">
                      <w:r w:rsidR="00D1147C">
                        <w:t>18 februari 2025</w:t>
                      </w:r>
                    </w:fldSimple>
                  </w:p>
                  <w:p w14:paraId="328D4964" w14:textId="77777777" w:rsidR="002B6C12" w:rsidRDefault="002B6C12">
                    <w:pPr>
                      <w:pStyle w:val="WitregelW1"/>
                    </w:pPr>
                  </w:p>
                  <w:p w14:paraId="71454C41" w14:textId="77777777" w:rsidR="002B6C12" w:rsidRDefault="00C029FE">
                    <w:pPr>
                      <w:pStyle w:val="Referentiegegevensbold"/>
                    </w:pPr>
                    <w:r>
                      <w:t>Ons kenmerk</w:t>
                    </w:r>
                  </w:p>
                  <w:p w14:paraId="0A8B4C08" w14:textId="31D30992" w:rsidR="00CD1D59" w:rsidRDefault="00001D2B">
                    <w:pPr>
                      <w:pStyle w:val="Referentiegegevens"/>
                    </w:pPr>
                    <w:fldSimple w:instr=" DOCPROPERTY  &quot;Kenmerk&quot;  \* MERGEFORMAT ">
                      <w:r w:rsidR="00D1147C">
                        <w:t>2025-0000046474</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8AA5722" wp14:editId="49DD85E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E322F6" w14:textId="77777777" w:rsidR="00C029FE" w:rsidRDefault="00C029FE"/>
                      </w:txbxContent>
                    </wps:txbx>
                    <wps:bodyPr vert="horz" wrap="square" lIns="0" tIns="0" rIns="0" bIns="0" anchor="t" anchorCtr="0"/>
                  </wps:wsp>
                </a:graphicData>
              </a:graphic>
            </wp:anchor>
          </w:drawing>
        </mc:Choice>
        <mc:Fallback>
          <w:pict>
            <v:shape w14:anchorId="48AA572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3E322F6" w14:textId="77777777" w:rsidR="00C029FE" w:rsidRDefault="00C029F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2678F04" wp14:editId="69E675F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8D3DA2" w14:textId="77777777" w:rsidR="00CD1D59" w:rsidRDefault="00001D2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678F0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78D3DA2" w14:textId="77777777" w:rsidR="00CD1D59" w:rsidRDefault="00001D2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F241" w14:textId="77777777" w:rsidR="002B6C12" w:rsidRDefault="00C029FE">
    <w:pPr>
      <w:spacing w:after="6377" w:line="14" w:lineRule="exact"/>
    </w:pPr>
    <w:r>
      <w:rPr>
        <w:noProof/>
      </w:rPr>
      <mc:AlternateContent>
        <mc:Choice Requires="wps">
          <w:drawing>
            <wp:anchor distT="0" distB="0" distL="0" distR="0" simplePos="0" relativeHeight="251656192" behindDoc="0" locked="1" layoutInCell="1" allowOverlap="1" wp14:anchorId="4947E1E3" wp14:editId="65B1AFE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79C424" w14:textId="77777777" w:rsidR="002B6C12" w:rsidRDefault="002B6C12">
                          <w:pPr>
                            <w:spacing w:line="240" w:lineRule="auto"/>
                          </w:pPr>
                        </w:p>
                      </w:txbxContent>
                    </wps:txbx>
                    <wps:bodyPr vert="horz" wrap="square" lIns="0" tIns="0" rIns="0" bIns="0" anchor="t" anchorCtr="0"/>
                  </wps:wsp>
                </a:graphicData>
              </a:graphic>
            </wp:anchor>
          </w:drawing>
        </mc:Choice>
        <mc:Fallback>
          <w:pict>
            <v:shapetype w14:anchorId="4947E1E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379C424" w14:textId="77777777" w:rsidR="002B6C12" w:rsidRDefault="002B6C1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CB64D71" wp14:editId="28C5D30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6A1B0F" w14:textId="77777777" w:rsidR="002B6C12" w:rsidRDefault="00C029FE">
                          <w:pPr>
                            <w:spacing w:line="240" w:lineRule="auto"/>
                          </w:pPr>
                          <w:r>
                            <w:rPr>
                              <w:noProof/>
                            </w:rPr>
                            <w:drawing>
                              <wp:inline distT="0" distB="0" distL="0" distR="0" wp14:anchorId="4092E1D4" wp14:editId="5DEE68BE">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B64D7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46A1B0F" w14:textId="77777777" w:rsidR="002B6C12" w:rsidRDefault="00C029FE">
                    <w:pPr>
                      <w:spacing w:line="240" w:lineRule="auto"/>
                    </w:pPr>
                    <w:r>
                      <w:rPr>
                        <w:noProof/>
                      </w:rPr>
                      <w:drawing>
                        <wp:inline distT="0" distB="0" distL="0" distR="0" wp14:anchorId="4092E1D4" wp14:editId="5DEE68BE">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83E5BE2" wp14:editId="1B57D5D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5EC1CC" w14:textId="77777777" w:rsidR="002B6C12" w:rsidRDefault="00C029FE">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483E5BE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65EC1CC" w14:textId="77777777" w:rsidR="002B6C12" w:rsidRDefault="00C029FE">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3B3E37D" wp14:editId="772AFD5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406087" w14:textId="77777777" w:rsidR="002B6C12" w:rsidRDefault="00C029FE">
                          <w:r>
                            <w:t>De voorzitter van de Tweede Kamer der Staten Generaa</w:t>
                          </w:r>
                          <w:r w:rsidR="00EF1EEA">
                            <w:t xml:space="preserve">l </w:t>
                          </w:r>
                        </w:p>
                        <w:p w14:paraId="59C410D4" w14:textId="77777777" w:rsidR="002B6C12" w:rsidRDefault="00C029FE">
                          <w:r>
                            <w:t xml:space="preserve">Postbus 20018  </w:t>
                          </w:r>
                        </w:p>
                        <w:p w14:paraId="51C68389" w14:textId="77777777" w:rsidR="002B6C12" w:rsidRDefault="00C029FE">
                          <w:r>
                            <w:t>2500AE  Den Haag</w:t>
                          </w:r>
                        </w:p>
                      </w:txbxContent>
                    </wps:txbx>
                    <wps:bodyPr vert="horz" wrap="square" lIns="0" tIns="0" rIns="0" bIns="0" anchor="t" anchorCtr="0"/>
                  </wps:wsp>
                </a:graphicData>
              </a:graphic>
            </wp:anchor>
          </w:drawing>
        </mc:Choice>
        <mc:Fallback>
          <w:pict>
            <v:shape w14:anchorId="13B3E37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D406087" w14:textId="77777777" w:rsidR="002B6C12" w:rsidRDefault="00C029FE">
                    <w:r>
                      <w:t>De voorzitter van de Tweede Kamer der Staten Generaa</w:t>
                    </w:r>
                    <w:r w:rsidR="00EF1EEA">
                      <w:t xml:space="preserve">l </w:t>
                    </w:r>
                  </w:p>
                  <w:p w14:paraId="59C410D4" w14:textId="77777777" w:rsidR="002B6C12" w:rsidRDefault="00C029FE">
                    <w:r>
                      <w:t xml:space="preserve">Postbus 20018  </w:t>
                    </w:r>
                  </w:p>
                  <w:p w14:paraId="51C68389" w14:textId="77777777" w:rsidR="002B6C12" w:rsidRDefault="00C029FE">
                    <w:r>
                      <w:t>2500AE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745BEA8" wp14:editId="59B01AF5">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B6C12" w14:paraId="30371E56" w14:textId="77777777">
                            <w:trPr>
                              <w:trHeight w:val="240"/>
                            </w:trPr>
                            <w:tc>
                              <w:tcPr>
                                <w:tcW w:w="1140" w:type="dxa"/>
                              </w:tcPr>
                              <w:p w14:paraId="6AC86FA5" w14:textId="77777777" w:rsidR="002B6C12" w:rsidRDefault="00C029FE">
                                <w:r>
                                  <w:t>Datum</w:t>
                                </w:r>
                              </w:p>
                            </w:tc>
                            <w:tc>
                              <w:tcPr>
                                <w:tcW w:w="5918" w:type="dxa"/>
                              </w:tcPr>
                              <w:p w14:paraId="266FF5D8" w14:textId="16E7B6AC" w:rsidR="002B6C12" w:rsidRDefault="00D1147C">
                                <w:sdt>
                                  <w:sdtPr>
                                    <w:id w:val="-2001644775"/>
                                    <w:date w:fullDate="2025-02-18T00:00:00Z">
                                      <w:dateFormat w:val="d MMMM yyyy"/>
                                      <w:lid w:val="nl"/>
                                      <w:storeMappedDataAs w:val="dateTime"/>
                                      <w:calendar w:val="gregorian"/>
                                    </w:date>
                                  </w:sdtPr>
                                  <w:sdtEndPr/>
                                  <w:sdtContent>
                                    <w:r>
                                      <w:t>18 februari 2025</w:t>
                                    </w:r>
                                  </w:sdtContent>
                                </w:sdt>
                              </w:p>
                            </w:tc>
                          </w:tr>
                          <w:tr w:rsidR="002B6C12" w14:paraId="38D34926" w14:textId="77777777">
                            <w:trPr>
                              <w:trHeight w:val="240"/>
                            </w:trPr>
                            <w:tc>
                              <w:tcPr>
                                <w:tcW w:w="1140" w:type="dxa"/>
                              </w:tcPr>
                              <w:p w14:paraId="4D938BEE" w14:textId="77777777" w:rsidR="002B6C12" w:rsidRDefault="00C029FE">
                                <w:r>
                                  <w:t>Betreft</w:t>
                                </w:r>
                              </w:p>
                            </w:tc>
                            <w:tc>
                              <w:tcPr>
                                <w:tcW w:w="5918" w:type="dxa"/>
                              </w:tcPr>
                              <w:p w14:paraId="306BF644" w14:textId="40777B27" w:rsidR="00CD1D59" w:rsidRDefault="00001D2B">
                                <w:fldSimple w:instr=" DOCPROPERTY  &quot;Onderwerp&quot;  \* MERGEFORMAT ">
                                  <w:r w:rsidR="00D1147C">
                                    <w:t>Antwoorden commissiedebat btw 13 en 20 februari</w:t>
                                  </w:r>
                                </w:fldSimple>
                              </w:p>
                            </w:tc>
                          </w:tr>
                        </w:tbl>
                        <w:p w14:paraId="1CAA045C" w14:textId="77777777" w:rsidR="00C029FE" w:rsidRDefault="00C029FE"/>
                      </w:txbxContent>
                    </wps:txbx>
                    <wps:bodyPr vert="horz" wrap="square" lIns="0" tIns="0" rIns="0" bIns="0" anchor="t" anchorCtr="0"/>
                  </wps:wsp>
                </a:graphicData>
              </a:graphic>
            </wp:anchor>
          </w:drawing>
        </mc:Choice>
        <mc:Fallback>
          <w:pict>
            <v:shape w14:anchorId="4745BEA8"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B6C12" w14:paraId="30371E56" w14:textId="77777777">
                      <w:trPr>
                        <w:trHeight w:val="240"/>
                      </w:trPr>
                      <w:tc>
                        <w:tcPr>
                          <w:tcW w:w="1140" w:type="dxa"/>
                        </w:tcPr>
                        <w:p w14:paraId="6AC86FA5" w14:textId="77777777" w:rsidR="002B6C12" w:rsidRDefault="00C029FE">
                          <w:r>
                            <w:t>Datum</w:t>
                          </w:r>
                        </w:p>
                      </w:tc>
                      <w:tc>
                        <w:tcPr>
                          <w:tcW w:w="5918" w:type="dxa"/>
                        </w:tcPr>
                        <w:p w14:paraId="266FF5D8" w14:textId="16E7B6AC" w:rsidR="002B6C12" w:rsidRDefault="00D1147C">
                          <w:sdt>
                            <w:sdtPr>
                              <w:id w:val="-2001644775"/>
                              <w:date w:fullDate="2025-02-18T00:00:00Z">
                                <w:dateFormat w:val="d MMMM yyyy"/>
                                <w:lid w:val="nl"/>
                                <w:storeMappedDataAs w:val="dateTime"/>
                                <w:calendar w:val="gregorian"/>
                              </w:date>
                            </w:sdtPr>
                            <w:sdtEndPr/>
                            <w:sdtContent>
                              <w:r>
                                <w:t>18 februari 2025</w:t>
                              </w:r>
                            </w:sdtContent>
                          </w:sdt>
                        </w:p>
                      </w:tc>
                    </w:tr>
                    <w:tr w:rsidR="002B6C12" w14:paraId="38D34926" w14:textId="77777777">
                      <w:trPr>
                        <w:trHeight w:val="240"/>
                      </w:trPr>
                      <w:tc>
                        <w:tcPr>
                          <w:tcW w:w="1140" w:type="dxa"/>
                        </w:tcPr>
                        <w:p w14:paraId="4D938BEE" w14:textId="77777777" w:rsidR="002B6C12" w:rsidRDefault="00C029FE">
                          <w:r>
                            <w:t>Betreft</w:t>
                          </w:r>
                        </w:p>
                      </w:tc>
                      <w:tc>
                        <w:tcPr>
                          <w:tcW w:w="5918" w:type="dxa"/>
                        </w:tcPr>
                        <w:p w14:paraId="306BF644" w14:textId="40777B27" w:rsidR="00CD1D59" w:rsidRDefault="00001D2B">
                          <w:fldSimple w:instr=" DOCPROPERTY  &quot;Onderwerp&quot;  \* MERGEFORMAT ">
                            <w:r w:rsidR="00D1147C">
                              <w:t>Antwoorden commissiedebat btw 13 en 20 februari</w:t>
                            </w:r>
                          </w:fldSimple>
                        </w:p>
                      </w:tc>
                    </w:tr>
                  </w:tbl>
                  <w:p w14:paraId="1CAA045C" w14:textId="77777777" w:rsidR="00C029FE" w:rsidRDefault="00C029F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407005F" wp14:editId="2BA60E6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A4995B" w14:textId="77777777" w:rsidR="002B6C12" w:rsidRDefault="00C029FE">
                          <w:pPr>
                            <w:pStyle w:val="Referentiegegevensbold"/>
                          </w:pPr>
                          <w:r>
                            <w:t>Directoraat-Generaal voor Fiscale Zaken</w:t>
                          </w:r>
                        </w:p>
                        <w:p w14:paraId="199C1592" w14:textId="77777777" w:rsidR="002B6C12" w:rsidRDefault="00C029FE">
                          <w:pPr>
                            <w:pStyle w:val="Referentiegegevens"/>
                          </w:pPr>
                          <w:r>
                            <w:t>Directie Verbruiksbelastingen, Douane en Internationale aangelegenheden</w:t>
                          </w:r>
                        </w:p>
                        <w:p w14:paraId="13F44FE4" w14:textId="77777777" w:rsidR="002B6C12" w:rsidRDefault="00C029FE">
                          <w:pPr>
                            <w:pStyle w:val="Referentiegegevens"/>
                          </w:pPr>
                          <w:r>
                            <w:t>Btw en Overdrachtsbelasting</w:t>
                          </w:r>
                        </w:p>
                        <w:p w14:paraId="1EA9AD1B" w14:textId="77777777" w:rsidR="002B6C12" w:rsidRDefault="002B6C12">
                          <w:pPr>
                            <w:pStyle w:val="WitregelW1"/>
                          </w:pPr>
                        </w:p>
                        <w:p w14:paraId="6E629F06" w14:textId="77777777" w:rsidR="002B6C12" w:rsidRDefault="00C029FE">
                          <w:pPr>
                            <w:pStyle w:val="Referentiegegevens"/>
                          </w:pPr>
                          <w:r>
                            <w:t>Korte Voorhout 7</w:t>
                          </w:r>
                        </w:p>
                        <w:p w14:paraId="587BAE8D" w14:textId="77777777" w:rsidR="002B6C12" w:rsidRDefault="00C029FE">
                          <w:pPr>
                            <w:pStyle w:val="Referentiegegevens"/>
                          </w:pPr>
                          <w:r>
                            <w:t>2511 CW  's-Gravenhage</w:t>
                          </w:r>
                        </w:p>
                        <w:p w14:paraId="1BE43D5A" w14:textId="77777777" w:rsidR="002B6C12" w:rsidRDefault="00C029FE">
                          <w:pPr>
                            <w:pStyle w:val="Referentiegegevens"/>
                          </w:pPr>
                          <w:r>
                            <w:t>POSTBUS 20201</w:t>
                          </w:r>
                        </w:p>
                        <w:p w14:paraId="1E126F47" w14:textId="77777777" w:rsidR="002B6C12" w:rsidRDefault="00C029FE">
                          <w:pPr>
                            <w:pStyle w:val="Referentiegegevens"/>
                          </w:pPr>
                          <w:r>
                            <w:t>2500 EE  's-Gravenhage</w:t>
                          </w:r>
                        </w:p>
                        <w:p w14:paraId="4443B881" w14:textId="77777777" w:rsidR="002B6C12" w:rsidRDefault="002B6C12">
                          <w:pPr>
                            <w:pStyle w:val="WitregelW1"/>
                          </w:pPr>
                        </w:p>
                        <w:p w14:paraId="1F52A689" w14:textId="77777777" w:rsidR="002B6C12" w:rsidRDefault="002B6C12">
                          <w:pPr>
                            <w:pStyle w:val="WitregelW2"/>
                          </w:pPr>
                        </w:p>
                        <w:p w14:paraId="40CB9ED3" w14:textId="77777777" w:rsidR="002B6C12" w:rsidRDefault="00C029FE">
                          <w:pPr>
                            <w:pStyle w:val="Referentiegegevensbold"/>
                          </w:pPr>
                          <w:r>
                            <w:t>Ons kenmerk</w:t>
                          </w:r>
                        </w:p>
                        <w:p w14:paraId="5E98E250" w14:textId="513B4BE1" w:rsidR="00CD1D59" w:rsidRDefault="00001D2B">
                          <w:pPr>
                            <w:pStyle w:val="Referentiegegevens"/>
                          </w:pPr>
                          <w:fldSimple w:instr=" DOCPROPERTY  &quot;Kenmerk&quot;  \* MERGEFORMAT ">
                            <w:r w:rsidR="00D1147C">
                              <w:t>2025-0000046474</w:t>
                            </w:r>
                          </w:fldSimple>
                        </w:p>
                        <w:p w14:paraId="2A2EF2DA" w14:textId="77777777" w:rsidR="002B6C12" w:rsidRDefault="002B6C12">
                          <w:pPr>
                            <w:pStyle w:val="WitregelW1"/>
                          </w:pPr>
                        </w:p>
                        <w:p w14:paraId="66275C3A" w14:textId="77777777" w:rsidR="002B6C12" w:rsidRDefault="00C029FE">
                          <w:pPr>
                            <w:pStyle w:val="Referentiegegevensbold"/>
                          </w:pPr>
                          <w:r>
                            <w:t>Uw kenmerk</w:t>
                          </w:r>
                        </w:p>
                        <w:p w14:paraId="0F09FE68" w14:textId="681048F8" w:rsidR="00CD1D59" w:rsidRDefault="00001D2B">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407005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4A4995B" w14:textId="77777777" w:rsidR="002B6C12" w:rsidRDefault="00C029FE">
                    <w:pPr>
                      <w:pStyle w:val="Referentiegegevensbold"/>
                    </w:pPr>
                    <w:r>
                      <w:t>Directoraat-Generaal voor Fiscale Zaken</w:t>
                    </w:r>
                  </w:p>
                  <w:p w14:paraId="199C1592" w14:textId="77777777" w:rsidR="002B6C12" w:rsidRDefault="00C029FE">
                    <w:pPr>
                      <w:pStyle w:val="Referentiegegevens"/>
                    </w:pPr>
                    <w:r>
                      <w:t>Directie Verbruiksbelastingen, Douane en Internationale aangelegenheden</w:t>
                    </w:r>
                  </w:p>
                  <w:p w14:paraId="13F44FE4" w14:textId="77777777" w:rsidR="002B6C12" w:rsidRDefault="00C029FE">
                    <w:pPr>
                      <w:pStyle w:val="Referentiegegevens"/>
                    </w:pPr>
                    <w:r>
                      <w:t>Btw en Overdrachtsbelasting</w:t>
                    </w:r>
                  </w:p>
                  <w:p w14:paraId="1EA9AD1B" w14:textId="77777777" w:rsidR="002B6C12" w:rsidRDefault="002B6C12">
                    <w:pPr>
                      <w:pStyle w:val="WitregelW1"/>
                    </w:pPr>
                  </w:p>
                  <w:p w14:paraId="6E629F06" w14:textId="77777777" w:rsidR="002B6C12" w:rsidRDefault="00C029FE">
                    <w:pPr>
                      <w:pStyle w:val="Referentiegegevens"/>
                    </w:pPr>
                    <w:r>
                      <w:t>Korte Voorhout 7</w:t>
                    </w:r>
                  </w:p>
                  <w:p w14:paraId="587BAE8D" w14:textId="77777777" w:rsidR="002B6C12" w:rsidRDefault="00C029FE">
                    <w:pPr>
                      <w:pStyle w:val="Referentiegegevens"/>
                    </w:pPr>
                    <w:r>
                      <w:t>2511 CW  's-Gravenhage</w:t>
                    </w:r>
                  </w:p>
                  <w:p w14:paraId="1BE43D5A" w14:textId="77777777" w:rsidR="002B6C12" w:rsidRDefault="00C029FE">
                    <w:pPr>
                      <w:pStyle w:val="Referentiegegevens"/>
                    </w:pPr>
                    <w:r>
                      <w:t>POSTBUS 20201</w:t>
                    </w:r>
                  </w:p>
                  <w:p w14:paraId="1E126F47" w14:textId="77777777" w:rsidR="002B6C12" w:rsidRDefault="00C029FE">
                    <w:pPr>
                      <w:pStyle w:val="Referentiegegevens"/>
                    </w:pPr>
                    <w:r>
                      <w:t>2500 EE  's-Gravenhage</w:t>
                    </w:r>
                  </w:p>
                  <w:p w14:paraId="4443B881" w14:textId="77777777" w:rsidR="002B6C12" w:rsidRDefault="002B6C12">
                    <w:pPr>
                      <w:pStyle w:val="WitregelW1"/>
                    </w:pPr>
                  </w:p>
                  <w:p w14:paraId="1F52A689" w14:textId="77777777" w:rsidR="002B6C12" w:rsidRDefault="002B6C12">
                    <w:pPr>
                      <w:pStyle w:val="WitregelW2"/>
                    </w:pPr>
                  </w:p>
                  <w:p w14:paraId="40CB9ED3" w14:textId="77777777" w:rsidR="002B6C12" w:rsidRDefault="00C029FE">
                    <w:pPr>
                      <w:pStyle w:val="Referentiegegevensbold"/>
                    </w:pPr>
                    <w:r>
                      <w:t>Ons kenmerk</w:t>
                    </w:r>
                  </w:p>
                  <w:p w14:paraId="5E98E250" w14:textId="513B4BE1" w:rsidR="00CD1D59" w:rsidRDefault="00001D2B">
                    <w:pPr>
                      <w:pStyle w:val="Referentiegegevens"/>
                    </w:pPr>
                    <w:fldSimple w:instr=" DOCPROPERTY  &quot;Kenmerk&quot;  \* MERGEFORMAT ">
                      <w:r w:rsidR="00D1147C">
                        <w:t>2025-0000046474</w:t>
                      </w:r>
                    </w:fldSimple>
                  </w:p>
                  <w:p w14:paraId="2A2EF2DA" w14:textId="77777777" w:rsidR="002B6C12" w:rsidRDefault="002B6C12">
                    <w:pPr>
                      <w:pStyle w:val="WitregelW1"/>
                    </w:pPr>
                  </w:p>
                  <w:p w14:paraId="66275C3A" w14:textId="77777777" w:rsidR="002B6C12" w:rsidRDefault="00C029FE">
                    <w:pPr>
                      <w:pStyle w:val="Referentiegegevensbold"/>
                    </w:pPr>
                    <w:r>
                      <w:t>Uw kenmerk</w:t>
                    </w:r>
                  </w:p>
                  <w:p w14:paraId="0F09FE68" w14:textId="681048F8" w:rsidR="00CD1D59" w:rsidRDefault="00001D2B">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C839A14" wp14:editId="7FBAB32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49CBE1" w14:textId="77777777" w:rsidR="00CD1D59" w:rsidRDefault="00001D2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839A1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849CBE1" w14:textId="77777777" w:rsidR="00CD1D59" w:rsidRDefault="00001D2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876C5DE" wp14:editId="3F91973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42C2D2" w14:textId="77777777" w:rsidR="00C029FE" w:rsidRDefault="00C029FE"/>
                      </w:txbxContent>
                    </wps:txbx>
                    <wps:bodyPr vert="horz" wrap="square" lIns="0" tIns="0" rIns="0" bIns="0" anchor="t" anchorCtr="0"/>
                  </wps:wsp>
                </a:graphicData>
              </a:graphic>
            </wp:anchor>
          </w:drawing>
        </mc:Choice>
        <mc:Fallback>
          <w:pict>
            <v:shape w14:anchorId="3876C5D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A42C2D2" w14:textId="77777777" w:rsidR="00C029FE" w:rsidRDefault="00C029F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5B853C"/>
    <w:multiLevelType w:val="multilevel"/>
    <w:tmpl w:val="514D6B9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696CE4E"/>
    <w:multiLevelType w:val="multilevel"/>
    <w:tmpl w:val="215CE82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0B54C55"/>
    <w:multiLevelType w:val="multilevel"/>
    <w:tmpl w:val="891FF78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42832A2"/>
    <w:multiLevelType w:val="hybridMultilevel"/>
    <w:tmpl w:val="5F4EBD4A"/>
    <w:lvl w:ilvl="0" w:tplc="14EA98F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C77279"/>
    <w:multiLevelType w:val="multilevel"/>
    <w:tmpl w:val="CD305A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CD2CFB3"/>
    <w:multiLevelType w:val="multilevel"/>
    <w:tmpl w:val="3D490D0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35690396">
    <w:abstractNumId w:val="2"/>
  </w:num>
  <w:num w:numId="2" w16cid:durableId="2132045609">
    <w:abstractNumId w:val="1"/>
  </w:num>
  <w:num w:numId="3" w16cid:durableId="565798993">
    <w:abstractNumId w:val="5"/>
  </w:num>
  <w:num w:numId="4" w16cid:durableId="2118400773">
    <w:abstractNumId w:val="0"/>
  </w:num>
  <w:num w:numId="5" w16cid:durableId="1531799464">
    <w:abstractNumId w:val="4"/>
  </w:num>
  <w:num w:numId="6" w16cid:durableId="1105536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C12"/>
    <w:rsid w:val="000019E4"/>
    <w:rsid w:val="00001D2B"/>
    <w:rsid w:val="0001223D"/>
    <w:rsid w:val="00014D07"/>
    <w:rsid w:val="0002774D"/>
    <w:rsid w:val="000301EC"/>
    <w:rsid w:val="000349C9"/>
    <w:rsid w:val="000374D5"/>
    <w:rsid w:val="00064085"/>
    <w:rsid w:val="00067850"/>
    <w:rsid w:val="000B1F29"/>
    <w:rsid w:val="000E401D"/>
    <w:rsid w:val="000E4860"/>
    <w:rsid w:val="000E7BB8"/>
    <w:rsid w:val="000F7D06"/>
    <w:rsid w:val="001467C8"/>
    <w:rsid w:val="00157032"/>
    <w:rsid w:val="001652D3"/>
    <w:rsid w:val="001709E0"/>
    <w:rsid w:val="0018074F"/>
    <w:rsid w:val="0018528B"/>
    <w:rsid w:val="001A390C"/>
    <w:rsid w:val="001B3E61"/>
    <w:rsid w:val="001C5F10"/>
    <w:rsid w:val="001D251C"/>
    <w:rsid w:val="001F2FCC"/>
    <w:rsid w:val="00222655"/>
    <w:rsid w:val="002562BD"/>
    <w:rsid w:val="00256CA2"/>
    <w:rsid w:val="0028366E"/>
    <w:rsid w:val="00290110"/>
    <w:rsid w:val="002949FB"/>
    <w:rsid w:val="00297CD8"/>
    <w:rsid w:val="002B100F"/>
    <w:rsid w:val="002B41AE"/>
    <w:rsid w:val="002B6C12"/>
    <w:rsid w:val="002D2876"/>
    <w:rsid w:val="002D5FEB"/>
    <w:rsid w:val="002D7F00"/>
    <w:rsid w:val="002E274A"/>
    <w:rsid w:val="002E5DAA"/>
    <w:rsid w:val="003177A5"/>
    <w:rsid w:val="00326657"/>
    <w:rsid w:val="00332385"/>
    <w:rsid w:val="00344529"/>
    <w:rsid w:val="003647F8"/>
    <w:rsid w:val="00370371"/>
    <w:rsid w:val="00381A7D"/>
    <w:rsid w:val="00382744"/>
    <w:rsid w:val="003A5BF3"/>
    <w:rsid w:val="003B04A0"/>
    <w:rsid w:val="003C31D6"/>
    <w:rsid w:val="003D1395"/>
    <w:rsid w:val="003E26FD"/>
    <w:rsid w:val="003E3013"/>
    <w:rsid w:val="00402311"/>
    <w:rsid w:val="00413595"/>
    <w:rsid w:val="00423E37"/>
    <w:rsid w:val="00445B90"/>
    <w:rsid w:val="00454062"/>
    <w:rsid w:val="004738EB"/>
    <w:rsid w:val="00473C14"/>
    <w:rsid w:val="00473CA9"/>
    <w:rsid w:val="00490F4D"/>
    <w:rsid w:val="004C29BD"/>
    <w:rsid w:val="004F6789"/>
    <w:rsid w:val="005171A2"/>
    <w:rsid w:val="00517DB2"/>
    <w:rsid w:val="005219F3"/>
    <w:rsid w:val="00526165"/>
    <w:rsid w:val="005306CF"/>
    <w:rsid w:val="00540785"/>
    <w:rsid w:val="005427B7"/>
    <w:rsid w:val="005472C0"/>
    <w:rsid w:val="005771E2"/>
    <w:rsid w:val="005A21E9"/>
    <w:rsid w:val="005A2D7D"/>
    <w:rsid w:val="005B3854"/>
    <w:rsid w:val="006454CA"/>
    <w:rsid w:val="0066067B"/>
    <w:rsid w:val="00662564"/>
    <w:rsid w:val="00666E23"/>
    <w:rsid w:val="006735D8"/>
    <w:rsid w:val="006811FC"/>
    <w:rsid w:val="006842A5"/>
    <w:rsid w:val="006849B3"/>
    <w:rsid w:val="006C06BD"/>
    <w:rsid w:val="006E7CFC"/>
    <w:rsid w:val="006F3AE9"/>
    <w:rsid w:val="006F673F"/>
    <w:rsid w:val="0072224D"/>
    <w:rsid w:val="00754063"/>
    <w:rsid w:val="0078469E"/>
    <w:rsid w:val="007847A8"/>
    <w:rsid w:val="007A2956"/>
    <w:rsid w:val="00801433"/>
    <w:rsid w:val="00812E55"/>
    <w:rsid w:val="008172E1"/>
    <w:rsid w:val="008475DC"/>
    <w:rsid w:val="00860E98"/>
    <w:rsid w:val="00867CF6"/>
    <w:rsid w:val="008A2067"/>
    <w:rsid w:val="008B0B76"/>
    <w:rsid w:val="008B775D"/>
    <w:rsid w:val="009012FE"/>
    <w:rsid w:val="0094678D"/>
    <w:rsid w:val="0095369D"/>
    <w:rsid w:val="00956FBB"/>
    <w:rsid w:val="00970B05"/>
    <w:rsid w:val="00990A34"/>
    <w:rsid w:val="0099341E"/>
    <w:rsid w:val="009935CF"/>
    <w:rsid w:val="00997C20"/>
    <w:rsid w:val="009A4CB5"/>
    <w:rsid w:val="009A61AA"/>
    <w:rsid w:val="009B28DB"/>
    <w:rsid w:val="009C7DB7"/>
    <w:rsid w:val="009E5AAF"/>
    <w:rsid w:val="009F702D"/>
    <w:rsid w:val="00A05291"/>
    <w:rsid w:val="00A37455"/>
    <w:rsid w:val="00A55BB6"/>
    <w:rsid w:val="00A62553"/>
    <w:rsid w:val="00A64329"/>
    <w:rsid w:val="00A67EE8"/>
    <w:rsid w:val="00A81646"/>
    <w:rsid w:val="00A824A6"/>
    <w:rsid w:val="00A85CDD"/>
    <w:rsid w:val="00AC26E4"/>
    <w:rsid w:val="00AD737C"/>
    <w:rsid w:val="00B01B2B"/>
    <w:rsid w:val="00B35D1F"/>
    <w:rsid w:val="00B43E11"/>
    <w:rsid w:val="00B44EB9"/>
    <w:rsid w:val="00B53D1A"/>
    <w:rsid w:val="00B53EC5"/>
    <w:rsid w:val="00B575E7"/>
    <w:rsid w:val="00B678DC"/>
    <w:rsid w:val="00B67936"/>
    <w:rsid w:val="00B73F61"/>
    <w:rsid w:val="00B80E1F"/>
    <w:rsid w:val="00B83F3F"/>
    <w:rsid w:val="00B864FD"/>
    <w:rsid w:val="00BC00DA"/>
    <w:rsid w:val="00BC1C4D"/>
    <w:rsid w:val="00BD7416"/>
    <w:rsid w:val="00BE52DA"/>
    <w:rsid w:val="00C005D6"/>
    <w:rsid w:val="00C029FE"/>
    <w:rsid w:val="00C24B34"/>
    <w:rsid w:val="00C252BE"/>
    <w:rsid w:val="00C31392"/>
    <w:rsid w:val="00C70981"/>
    <w:rsid w:val="00CA2E46"/>
    <w:rsid w:val="00CB2902"/>
    <w:rsid w:val="00CB49B8"/>
    <w:rsid w:val="00CB69A8"/>
    <w:rsid w:val="00CB712E"/>
    <w:rsid w:val="00CD1D59"/>
    <w:rsid w:val="00CD2C65"/>
    <w:rsid w:val="00D1147C"/>
    <w:rsid w:val="00D17D3A"/>
    <w:rsid w:val="00D219B5"/>
    <w:rsid w:val="00D31C00"/>
    <w:rsid w:val="00D453AD"/>
    <w:rsid w:val="00D4572F"/>
    <w:rsid w:val="00D52E49"/>
    <w:rsid w:val="00D57D98"/>
    <w:rsid w:val="00D71C8D"/>
    <w:rsid w:val="00D81B5B"/>
    <w:rsid w:val="00D87C73"/>
    <w:rsid w:val="00D934DF"/>
    <w:rsid w:val="00D955AC"/>
    <w:rsid w:val="00DC7FB4"/>
    <w:rsid w:val="00E13751"/>
    <w:rsid w:val="00E85662"/>
    <w:rsid w:val="00EE4CC8"/>
    <w:rsid w:val="00EE5720"/>
    <w:rsid w:val="00EF1E92"/>
    <w:rsid w:val="00EF1EEA"/>
    <w:rsid w:val="00EF21DB"/>
    <w:rsid w:val="00EF2363"/>
    <w:rsid w:val="00F25B75"/>
    <w:rsid w:val="00F2747F"/>
    <w:rsid w:val="00F315F8"/>
    <w:rsid w:val="00F329D9"/>
    <w:rsid w:val="00F54F3A"/>
    <w:rsid w:val="00F6563C"/>
    <w:rsid w:val="00F734C7"/>
    <w:rsid w:val="00F7499E"/>
    <w:rsid w:val="00F74C21"/>
    <w:rsid w:val="00F7518C"/>
    <w:rsid w:val="00F75B29"/>
    <w:rsid w:val="00FA0051"/>
    <w:rsid w:val="00FA2D20"/>
    <w:rsid w:val="00FD58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01C2"/>
  <w15:docId w15:val="{97910459-41C3-4200-AA15-D455040E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014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1433"/>
    <w:rPr>
      <w:rFonts w:ascii="Verdana" w:hAnsi="Verdana"/>
      <w:color w:val="000000"/>
      <w:sz w:val="18"/>
      <w:szCs w:val="18"/>
    </w:rPr>
  </w:style>
  <w:style w:type="paragraph" w:styleId="Voettekst">
    <w:name w:val="footer"/>
    <w:basedOn w:val="Standaard"/>
    <w:link w:val="VoettekstChar"/>
    <w:uiPriority w:val="99"/>
    <w:unhideWhenUsed/>
    <w:rsid w:val="008014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1433"/>
    <w:rPr>
      <w:rFonts w:ascii="Verdana" w:hAnsi="Verdana"/>
      <w:color w:val="000000"/>
      <w:sz w:val="18"/>
      <w:szCs w:val="18"/>
    </w:rPr>
  </w:style>
  <w:style w:type="paragraph" w:styleId="Voetnoottekst">
    <w:name w:val="footnote text"/>
    <w:basedOn w:val="Standaard"/>
    <w:link w:val="VoetnoottekstChar"/>
    <w:uiPriority w:val="99"/>
    <w:semiHidden/>
    <w:unhideWhenUsed/>
    <w:rsid w:val="00B43E1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43E11"/>
    <w:rPr>
      <w:rFonts w:ascii="Verdana" w:hAnsi="Verdana"/>
      <w:color w:val="000000"/>
    </w:rPr>
  </w:style>
  <w:style w:type="character" w:styleId="Voetnootmarkering">
    <w:name w:val="footnote reference"/>
    <w:basedOn w:val="Standaardalinea-lettertype"/>
    <w:uiPriority w:val="99"/>
    <w:semiHidden/>
    <w:unhideWhenUsed/>
    <w:rsid w:val="00B43E11"/>
    <w:rPr>
      <w:vertAlign w:val="superscript"/>
    </w:rPr>
  </w:style>
  <w:style w:type="paragraph" w:styleId="Revisie">
    <w:name w:val="Revision"/>
    <w:hidden/>
    <w:uiPriority w:val="99"/>
    <w:semiHidden/>
    <w:rsid w:val="00EF236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F2363"/>
    <w:rPr>
      <w:sz w:val="16"/>
      <w:szCs w:val="16"/>
    </w:rPr>
  </w:style>
  <w:style w:type="paragraph" w:styleId="Tekstopmerking">
    <w:name w:val="annotation text"/>
    <w:basedOn w:val="Standaard"/>
    <w:link w:val="TekstopmerkingChar"/>
    <w:uiPriority w:val="99"/>
    <w:unhideWhenUsed/>
    <w:rsid w:val="00EF2363"/>
    <w:pPr>
      <w:spacing w:line="240" w:lineRule="auto"/>
    </w:pPr>
    <w:rPr>
      <w:sz w:val="20"/>
      <w:szCs w:val="20"/>
    </w:rPr>
  </w:style>
  <w:style w:type="character" w:customStyle="1" w:styleId="TekstopmerkingChar">
    <w:name w:val="Tekst opmerking Char"/>
    <w:basedOn w:val="Standaardalinea-lettertype"/>
    <w:link w:val="Tekstopmerking"/>
    <w:uiPriority w:val="99"/>
    <w:rsid w:val="00EF236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2363"/>
    <w:rPr>
      <w:b/>
      <w:bCs/>
    </w:rPr>
  </w:style>
  <w:style w:type="character" w:customStyle="1" w:styleId="OnderwerpvanopmerkingChar">
    <w:name w:val="Onderwerp van opmerking Char"/>
    <w:basedOn w:val="TekstopmerkingChar"/>
    <w:link w:val="Onderwerpvanopmerking"/>
    <w:uiPriority w:val="99"/>
    <w:semiHidden/>
    <w:rsid w:val="00EF2363"/>
    <w:rPr>
      <w:rFonts w:ascii="Verdana" w:hAnsi="Verdana"/>
      <w:b/>
      <w:bCs/>
      <w:color w:val="000000"/>
    </w:rPr>
  </w:style>
  <w:style w:type="paragraph" w:styleId="Lijstalinea">
    <w:name w:val="List Paragraph"/>
    <w:basedOn w:val="Standaard"/>
    <w:uiPriority w:val="34"/>
    <w:semiHidden/>
    <w:rsid w:val="00F734C7"/>
    <w:pPr>
      <w:ind w:left="720"/>
      <w:contextualSpacing/>
    </w:pPr>
  </w:style>
  <w:style w:type="character" w:styleId="Onopgelostemelding">
    <w:name w:val="Unresolved Mention"/>
    <w:basedOn w:val="Standaardalinea-lettertype"/>
    <w:uiPriority w:val="99"/>
    <w:semiHidden/>
    <w:unhideWhenUsed/>
    <w:rsid w:val="00A62553"/>
    <w:rPr>
      <w:color w:val="605E5C"/>
      <w:shd w:val="clear" w:color="auto" w:fill="E1DFDD"/>
    </w:rPr>
  </w:style>
  <w:style w:type="character" w:styleId="GevolgdeHyperlink">
    <w:name w:val="FollowedHyperlink"/>
    <w:basedOn w:val="Standaardalinea-lettertype"/>
    <w:uiPriority w:val="99"/>
    <w:semiHidden/>
    <w:unhideWhenUsed/>
    <w:rsid w:val="00BC1C4D"/>
    <w:rPr>
      <w:color w:val="96607D" w:themeColor="followedHyperlink"/>
      <w:u w:val="single"/>
    </w:rPr>
  </w:style>
  <w:style w:type="table" w:styleId="Onopgemaaktetabel1">
    <w:name w:val="Plain Table 1"/>
    <w:basedOn w:val="Standaardtabel"/>
    <w:uiPriority w:val="41"/>
    <w:rsid w:val="00473C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221">
      <w:bodyDiv w:val="1"/>
      <w:marLeft w:val="0"/>
      <w:marRight w:val="0"/>
      <w:marTop w:val="0"/>
      <w:marBottom w:val="0"/>
      <w:divBdr>
        <w:top w:val="none" w:sz="0" w:space="0" w:color="auto"/>
        <w:left w:val="none" w:sz="0" w:space="0" w:color="auto"/>
        <w:bottom w:val="none" w:sz="0" w:space="0" w:color="auto"/>
        <w:right w:val="none" w:sz="0" w:space="0" w:color="auto"/>
      </w:divBdr>
    </w:div>
    <w:div w:id="76439419">
      <w:bodyDiv w:val="1"/>
      <w:marLeft w:val="0"/>
      <w:marRight w:val="0"/>
      <w:marTop w:val="0"/>
      <w:marBottom w:val="0"/>
      <w:divBdr>
        <w:top w:val="none" w:sz="0" w:space="0" w:color="auto"/>
        <w:left w:val="none" w:sz="0" w:space="0" w:color="auto"/>
        <w:bottom w:val="none" w:sz="0" w:space="0" w:color="auto"/>
        <w:right w:val="none" w:sz="0" w:space="0" w:color="auto"/>
      </w:divBdr>
    </w:div>
    <w:div w:id="760103769">
      <w:bodyDiv w:val="1"/>
      <w:marLeft w:val="0"/>
      <w:marRight w:val="0"/>
      <w:marTop w:val="0"/>
      <w:marBottom w:val="0"/>
      <w:divBdr>
        <w:top w:val="none" w:sz="0" w:space="0" w:color="auto"/>
        <w:left w:val="none" w:sz="0" w:space="0" w:color="auto"/>
        <w:bottom w:val="none" w:sz="0" w:space="0" w:color="auto"/>
        <w:right w:val="none" w:sz="0" w:space="0" w:color="auto"/>
      </w:divBdr>
    </w:div>
    <w:div w:id="1522817436">
      <w:bodyDiv w:val="1"/>
      <w:marLeft w:val="0"/>
      <w:marRight w:val="0"/>
      <w:marTop w:val="0"/>
      <w:marBottom w:val="0"/>
      <w:divBdr>
        <w:top w:val="none" w:sz="0" w:space="0" w:color="auto"/>
        <w:left w:val="none" w:sz="0" w:space="0" w:color="auto"/>
        <w:bottom w:val="none" w:sz="0" w:space="0" w:color="auto"/>
        <w:right w:val="none" w:sz="0" w:space="0" w:color="auto"/>
      </w:divBdr>
    </w:div>
    <w:div w:id="1540775003">
      <w:bodyDiv w:val="1"/>
      <w:marLeft w:val="0"/>
      <w:marRight w:val="0"/>
      <w:marTop w:val="0"/>
      <w:marBottom w:val="0"/>
      <w:divBdr>
        <w:top w:val="none" w:sz="0" w:space="0" w:color="auto"/>
        <w:left w:val="none" w:sz="0" w:space="0" w:color="auto"/>
        <w:bottom w:val="none" w:sz="0" w:space="0" w:color="auto"/>
        <w:right w:val="none" w:sz="0" w:space="0" w:color="auto"/>
      </w:divBdr>
    </w:div>
    <w:div w:id="1819808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e4af62032f9ef6681d2297394327a404299e692c/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FIN\DGFZ\AFP\Analyse\C04.%20Omzetbelasting\2025%20voorjaar\Traject%20btw%20alternatieven\ramingen\Analyse%20inkomenseffecten%20btw%20laag%20tarief%20v180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Bestedingen_huishoudens__hoofdg!$AA$38</c:f>
              <c:strCache>
                <c:ptCount val="1"/>
                <c:pt idx="0">
                  <c:v>als %-besteedbaar inkomen</c:v>
                </c:pt>
              </c:strCache>
            </c:strRef>
          </c:tx>
          <c:spPr>
            <a:solidFill>
              <a:schemeClr val="accent1"/>
            </a:solidFill>
            <a:ln>
              <a:noFill/>
            </a:ln>
            <a:effectLst/>
          </c:spPr>
          <c:invertIfNegative val="0"/>
          <c:cat>
            <c:strRef>
              <c:f>Bestedingen_huishoudens__hoofdg!$AC$36:$AK$36</c:f>
              <c:strCache>
                <c:ptCount val="9"/>
                <c:pt idx="0">
                  <c:v>2e 10%-groep</c:v>
                </c:pt>
                <c:pt idx="1">
                  <c:v>3e 10%-groep</c:v>
                </c:pt>
                <c:pt idx="2">
                  <c:v>4e 10%-groep</c:v>
                </c:pt>
                <c:pt idx="3">
                  <c:v>5e 10%-groep</c:v>
                </c:pt>
                <c:pt idx="4">
                  <c:v>6e 10%-groep</c:v>
                </c:pt>
                <c:pt idx="5">
                  <c:v>7e 10%-groep</c:v>
                </c:pt>
                <c:pt idx="6">
                  <c:v>8e 10%-groep</c:v>
                </c:pt>
                <c:pt idx="7">
                  <c:v>9e 10%-groep</c:v>
                </c:pt>
                <c:pt idx="8">
                  <c:v>10e 10%-groep</c:v>
                </c:pt>
              </c:strCache>
            </c:strRef>
          </c:cat>
          <c:val>
            <c:numRef>
              <c:f>Bestedingen_huishoudens__hoofdg!$AC$38:$AK$38</c:f>
              <c:numCache>
                <c:formatCode>0.00%</c:formatCode>
                <c:ptCount val="9"/>
                <c:pt idx="0">
                  <c:v>-2.2824809097401516E-3</c:v>
                </c:pt>
                <c:pt idx="1">
                  <c:v>-2.2809086937527301E-3</c:v>
                </c:pt>
                <c:pt idx="2">
                  <c:v>-2.1692150866462795E-3</c:v>
                </c:pt>
                <c:pt idx="3">
                  <c:v>-2.065785032677733E-3</c:v>
                </c:pt>
                <c:pt idx="4">
                  <c:v>-1.9884739630443211E-3</c:v>
                </c:pt>
                <c:pt idx="5">
                  <c:v>-1.8780471821756219E-3</c:v>
                </c:pt>
                <c:pt idx="6">
                  <c:v>-1.8526549902696695E-3</c:v>
                </c:pt>
                <c:pt idx="7">
                  <c:v>-1.76874617737003E-3</c:v>
                </c:pt>
                <c:pt idx="8">
                  <c:v>-1.399947628800419E-3</c:v>
                </c:pt>
              </c:numCache>
            </c:numRef>
          </c:val>
          <c:extLst>
            <c:ext xmlns:c16="http://schemas.microsoft.com/office/drawing/2014/chart" uri="{C3380CC4-5D6E-409C-BE32-E72D297353CC}">
              <c16:uniqueId val="{00000000-3133-4F77-AA98-1BC5647F7E00}"/>
            </c:ext>
          </c:extLst>
        </c:ser>
        <c:ser>
          <c:idx val="1"/>
          <c:order val="1"/>
          <c:tx>
            <c:strRef>
              <c:f>Bestedingen_huishoudens__hoofdg!$AA$39</c:f>
              <c:strCache>
                <c:ptCount val="1"/>
                <c:pt idx="0">
                  <c:v>als %-bestedingen</c:v>
                </c:pt>
              </c:strCache>
            </c:strRef>
          </c:tx>
          <c:spPr>
            <a:pattFill prst="ltDnDiag">
              <a:fgClr>
                <a:schemeClr val="accent1"/>
              </a:fgClr>
              <a:bgClr>
                <a:schemeClr val="bg1"/>
              </a:bgClr>
            </a:pattFill>
            <a:ln>
              <a:noFill/>
            </a:ln>
            <a:effectLst/>
          </c:spPr>
          <c:invertIfNegative val="0"/>
          <c:cat>
            <c:strRef>
              <c:f>Bestedingen_huishoudens__hoofdg!$AC$36:$AK$36</c:f>
              <c:strCache>
                <c:ptCount val="9"/>
                <c:pt idx="0">
                  <c:v>2e 10%-groep</c:v>
                </c:pt>
                <c:pt idx="1">
                  <c:v>3e 10%-groep</c:v>
                </c:pt>
                <c:pt idx="2">
                  <c:v>4e 10%-groep</c:v>
                </c:pt>
                <c:pt idx="3">
                  <c:v>5e 10%-groep</c:v>
                </c:pt>
                <c:pt idx="4">
                  <c:v>6e 10%-groep</c:v>
                </c:pt>
                <c:pt idx="5">
                  <c:v>7e 10%-groep</c:v>
                </c:pt>
                <c:pt idx="6">
                  <c:v>8e 10%-groep</c:v>
                </c:pt>
                <c:pt idx="7">
                  <c:v>9e 10%-groep</c:v>
                </c:pt>
                <c:pt idx="8">
                  <c:v>10e 10%-groep</c:v>
                </c:pt>
              </c:strCache>
            </c:strRef>
          </c:cat>
          <c:val>
            <c:numRef>
              <c:f>Bestedingen_huishoudens__hoofdg!$AC$39:$AK$39</c:f>
              <c:numCache>
                <c:formatCode>0.00%</c:formatCode>
                <c:ptCount val="9"/>
                <c:pt idx="0">
                  <c:v>-2.0275229357798164E-3</c:v>
                </c:pt>
                <c:pt idx="1">
                  <c:v>-2.1100917431192655E-3</c:v>
                </c:pt>
                <c:pt idx="2">
                  <c:v>-2.0550458715596323E-3</c:v>
                </c:pt>
                <c:pt idx="3">
                  <c:v>-2.1009174311926609E-3</c:v>
                </c:pt>
                <c:pt idx="4">
                  <c:v>-2.1009174311926605E-3</c:v>
                </c:pt>
                <c:pt idx="5">
                  <c:v>-2.1376146788990823E-3</c:v>
                </c:pt>
                <c:pt idx="6">
                  <c:v>-2.18348623853211E-3</c:v>
                </c:pt>
                <c:pt idx="7">
                  <c:v>-2.1926605504587154E-3</c:v>
                </c:pt>
                <c:pt idx="8">
                  <c:v>-2.247706422018349E-3</c:v>
                </c:pt>
              </c:numCache>
            </c:numRef>
          </c:val>
          <c:extLst>
            <c:ext xmlns:c16="http://schemas.microsoft.com/office/drawing/2014/chart" uri="{C3380CC4-5D6E-409C-BE32-E72D297353CC}">
              <c16:uniqueId val="{00000001-3133-4F77-AA98-1BC5647F7E00}"/>
            </c:ext>
          </c:extLst>
        </c:ser>
        <c:dLbls>
          <c:showLegendKey val="0"/>
          <c:showVal val="0"/>
          <c:showCatName val="0"/>
          <c:showSerName val="0"/>
          <c:showPercent val="0"/>
          <c:showBubbleSize val="0"/>
        </c:dLbls>
        <c:gapWidth val="150"/>
        <c:axId val="1349394160"/>
        <c:axId val="1349395120"/>
      </c:barChart>
      <c:catAx>
        <c:axId val="13493941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49395120"/>
        <c:crosses val="autoZero"/>
        <c:auto val="1"/>
        <c:lblAlgn val="ctr"/>
        <c:lblOffset val="100"/>
        <c:noMultiLvlLbl val="0"/>
      </c:catAx>
      <c:valAx>
        <c:axId val="1349395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4939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2036</ap:Words>
  <ap:Characters>11203</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Brief - Antwoorden commissiedebat btw 13 en 20 februari</vt:lpstr>
    </vt:vector>
  </ap:TitlesOfParts>
  <ap:LinksUpToDate>false</ap:LinksUpToDate>
  <ap:CharactersWithSpaces>13213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2025-02-18T14:48:00.0000000Z</lastPrinted>
  <dcterms:created xsi:type="dcterms:W3CDTF">2025-02-18T17:35:00.0000000Z</dcterms:created>
  <dcterms:modified xsi:type="dcterms:W3CDTF">2025-02-18T17:35:00.0000000Z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commissiedebat btw 13 en 20 februari</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februari 2025</vt:lpwstr>
  </property>
  <property fmtid="{D5CDD505-2E9C-101B-9397-08002B2CF9AE}" pid="13" name="Opgesteld door, Naam">
    <vt:lpwstr>H.W. Riphagen</vt:lpwstr>
  </property>
  <property fmtid="{D5CDD505-2E9C-101B-9397-08002B2CF9AE}" pid="14" name="Opgesteld door, Telefoonnummer">
    <vt:lpwstr>088-4427822</vt:lpwstr>
  </property>
  <property fmtid="{D5CDD505-2E9C-101B-9397-08002B2CF9AE}" pid="15" name="Kenmerk">
    <vt:lpwstr>2025-0000046474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Antwoorden commissiedebat btw 13 en 20 februari</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2025-02-14T09:47:34Z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45df0f81-8c67-40bb-8d9f-ee78d51577a2</vt:lpwstr>
  </property>
  <property fmtid="{D5CDD505-2E9C-101B-9397-08002B2CF9AE}" pid="37" name="MSIP_Label_b2aa6e22-2c82-48c6-bf24-1790f4b9c128_ContentBits">
    <vt:lpwstr>0</vt:lpwstr>
  </property>
</Properties>
</file>