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51" w:rsidRDefault="00887451" w14:paraId="2B757576" w14:textId="58A1B0B4">
      <w:bookmarkStart w:name="_GoBack" w:id="0"/>
      <w:bookmarkEnd w:id="0"/>
      <w:r>
        <w:t>Geachte voorzitter,</w:t>
      </w:r>
    </w:p>
    <w:p w:rsidR="00887451" w:rsidRDefault="00887451" w14:paraId="1AD346ED" w14:textId="77777777"/>
    <w:p w:rsidRPr="008F460A" w:rsidR="005B1C08" w:rsidP="00887451" w:rsidRDefault="00960927" w14:paraId="56B761EE" w14:textId="085CDEFD">
      <w:r w:rsidRPr="008F460A">
        <w:t xml:space="preserve">Hierbij ontvangt </w:t>
      </w:r>
      <w:r w:rsidR="00A279F4">
        <w:t xml:space="preserve">de Kamer </w:t>
      </w:r>
      <w:r w:rsidRPr="008F460A">
        <w:t xml:space="preserve">de antwoorden op de vragen die op 9 januari jl. zijn gesteld door </w:t>
      </w:r>
      <w:r w:rsidR="005D69C1">
        <w:t>de leden</w:t>
      </w:r>
      <w:r w:rsidRPr="008F460A">
        <w:t xml:space="preserve"> Stoffer</w:t>
      </w:r>
      <w:r w:rsidR="005D69C1">
        <w:t xml:space="preserve"> </w:t>
      </w:r>
      <w:r w:rsidRPr="008F460A">
        <w:t>(SGP) en Van der Plas (BBB) over de actualisatie van de Beleidslijn grote rivieren.</w:t>
      </w:r>
      <w:r w:rsidRPr="008F460A" w:rsidR="000C2015">
        <w:t xml:space="preserve"> </w:t>
      </w:r>
    </w:p>
    <w:p w:rsidRPr="008F460A" w:rsidR="005B1C08" w:rsidRDefault="000C2015" w14:paraId="5434CA84" w14:textId="77777777">
      <w:pPr>
        <w:pStyle w:val="Slotzin"/>
      </w:pPr>
      <w:r w:rsidRPr="008F460A">
        <w:t>Hoogachtend,</w:t>
      </w:r>
    </w:p>
    <w:p w:rsidRPr="008F460A" w:rsidR="005B1C08" w:rsidRDefault="000C2015" w14:paraId="084A08BE" w14:textId="77777777">
      <w:pPr>
        <w:pStyle w:val="OndertekeningArea1"/>
      </w:pPr>
      <w:r w:rsidRPr="008F460A">
        <w:t>DE MINISTER VAN INFRASTRUCTUUR EN WATERSTAAT,</w:t>
      </w:r>
    </w:p>
    <w:p w:rsidRPr="008F460A" w:rsidR="005B1C08" w:rsidRDefault="005B1C08" w14:paraId="1B3E0BE3" w14:textId="77777777"/>
    <w:p w:rsidRPr="008F460A" w:rsidR="005B1C08" w:rsidRDefault="005B1C08" w14:paraId="365AB30C" w14:textId="77777777"/>
    <w:p w:rsidRPr="008F460A" w:rsidR="005B1C08" w:rsidRDefault="005B1C08" w14:paraId="509393F2" w14:textId="77777777"/>
    <w:p w:rsidRPr="008F460A" w:rsidR="005B1C08" w:rsidRDefault="005B1C08" w14:paraId="489F9AC8" w14:textId="77777777"/>
    <w:p w:rsidRPr="008F460A" w:rsidR="00960927" w:rsidRDefault="000C2015" w14:paraId="2E01CBC4" w14:textId="02BBF49D">
      <w:r w:rsidRPr="008F460A">
        <w:t>Barry Madlener</w:t>
      </w:r>
    </w:p>
    <w:p w:rsidRPr="008F460A" w:rsidR="00960927" w:rsidRDefault="00960927" w14:paraId="7FA3E121" w14:textId="77777777">
      <w:pPr>
        <w:spacing w:line="240" w:lineRule="auto"/>
      </w:pPr>
      <w:r w:rsidRPr="008F460A">
        <w:br w:type="page"/>
      </w:r>
    </w:p>
    <w:p w:rsidRPr="00960927" w:rsidR="00960927" w:rsidP="00960927" w:rsidRDefault="00960927" w14:paraId="6BA1F560" w14:textId="6F8481D0">
      <w:r w:rsidRPr="00960927">
        <w:rPr>
          <w:b/>
          <w:bCs/>
        </w:rPr>
        <w:lastRenderedPageBreak/>
        <w:t xml:space="preserve">2025Z00123 </w:t>
      </w:r>
    </w:p>
    <w:p w:rsidRPr="00960927" w:rsidR="00960927" w:rsidP="00960927" w:rsidRDefault="00960927" w14:paraId="3F4F43DC" w14:textId="77777777"/>
    <w:p w:rsidRPr="008F460A" w:rsidR="008F460A" w:rsidP="008F460A" w:rsidRDefault="008F460A" w14:paraId="239611AD" w14:textId="10F39D82">
      <w:pPr>
        <w:rPr>
          <w:b/>
          <w:bCs/>
        </w:rPr>
      </w:pPr>
      <w:r w:rsidRPr="008F460A">
        <w:rPr>
          <w:b/>
          <w:bCs/>
        </w:rPr>
        <w:t xml:space="preserve">Vraag 1 </w:t>
      </w:r>
    </w:p>
    <w:p w:rsidRPr="008F460A" w:rsidR="00960927" w:rsidP="008F460A" w:rsidRDefault="00960927" w14:paraId="7CB5E776" w14:textId="5C389F6E">
      <w:r w:rsidRPr="00960927">
        <w:t>Heeft u kennisgenomen van de potentieel grote gevolgen van de voorgenomen actualisatie van de Beleidslijn Grote Rivieren voor agrarische bedrijfsontwikkeling in overloopgebieden als de Kampereilanden, waar tientallen melkveebedrijven actief zijn?</w:t>
      </w:r>
      <w:r w:rsidR="008F0E80">
        <w:rPr>
          <w:rStyle w:val="FootnoteReference"/>
        </w:rPr>
        <w:footnoteReference w:id="1"/>
      </w:r>
    </w:p>
    <w:p w:rsidRPr="008F460A" w:rsidR="008F460A" w:rsidP="008F460A" w:rsidRDefault="008F460A" w14:paraId="5C4198EA" w14:textId="77777777"/>
    <w:p w:rsidRPr="00960927" w:rsidR="008F460A" w:rsidP="008F460A" w:rsidRDefault="008F460A" w14:paraId="5C96B5AD" w14:textId="08DBF193">
      <w:pPr>
        <w:rPr>
          <w:b/>
          <w:bCs/>
        </w:rPr>
      </w:pPr>
      <w:r w:rsidRPr="008F460A">
        <w:rPr>
          <w:b/>
          <w:bCs/>
        </w:rPr>
        <w:t>Antwoord 1</w:t>
      </w:r>
    </w:p>
    <w:p w:rsidRPr="00960927" w:rsidR="00960927" w:rsidP="00960927" w:rsidRDefault="00960927" w14:paraId="697D82B1" w14:textId="418FE227">
      <w:r w:rsidRPr="00960927">
        <w:t xml:space="preserve">Ja, </w:t>
      </w:r>
      <w:r w:rsidR="00887451">
        <w:t>naar aanleiding van</w:t>
      </w:r>
      <w:r w:rsidRPr="00960927">
        <w:t xml:space="preserve"> de </w:t>
      </w:r>
      <w:r w:rsidR="00887451">
        <w:t>internet</w:t>
      </w:r>
      <w:r w:rsidRPr="00960927">
        <w:t xml:space="preserve">consultatie </w:t>
      </w:r>
      <w:r w:rsidR="00887451">
        <w:t>is</w:t>
      </w:r>
      <w:r w:rsidRPr="00960927">
        <w:t xml:space="preserve"> inderdaad kennisgenomen van de zorgen die er zijn vanuit gebieden als Kampereiland over de actualisatie van de Beleidslijn grote rivieren. </w:t>
      </w:r>
    </w:p>
    <w:p w:rsidRPr="00960927" w:rsidR="00960927" w:rsidP="00960927" w:rsidRDefault="00960927" w14:paraId="0F0B9EA4" w14:textId="77777777">
      <w:pPr>
        <w:rPr>
          <w:b/>
          <w:bCs/>
        </w:rPr>
      </w:pPr>
    </w:p>
    <w:p w:rsidRPr="008F460A" w:rsidR="008F460A" w:rsidP="008F460A" w:rsidRDefault="008F460A" w14:paraId="5F9AF3EA" w14:textId="77777777">
      <w:pPr>
        <w:rPr>
          <w:b/>
          <w:bCs/>
        </w:rPr>
      </w:pPr>
      <w:r w:rsidRPr="008F460A">
        <w:rPr>
          <w:b/>
          <w:bCs/>
        </w:rPr>
        <w:t>Vraag 2</w:t>
      </w:r>
    </w:p>
    <w:p w:rsidRPr="008F460A" w:rsidR="00960927" w:rsidP="008F460A" w:rsidRDefault="00960927" w14:paraId="4BD1A0FD" w14:textId="62E3FE2D">
      <w:r w:rsidRPr="00960927">
        <w:t>Kunt u de gevolgen van de voorgenomen wijziging voor bewoners en ondernemers, zoals die in het kader van het Beleidskompas in kaart zijn gebracht, met de Kamer delen?</w:t>
      </w:r>
    </w:p>
    <w:p w:rsidRPr="008F460A" w:rsidR="008F460A" w:rsidP="008F460A" w:rsidRDefault="008F460A" w14:paraId="5E0A64DA" w14:textId="77777777"/>
    <w:p w:rsidRPr="00960927" w:rsidR="008F460A" w:rsidP="008F460A" w:rsidRDefault="008F460A" w14:paraId="5D5CFCE5" w14:textId="2E7781D0">
      <w:pPr>
        <w:rPr>
          <w:b/>
          <w:bCs/>
        </w:rPr>
      </w:pPr>
      <w:r w:rsidRPr="008F460A">
        <w:rPr>
          <w:b/>
          <w:bCs/>
        </w:rPr>
        <w:t>Antwoord 2</w:t>
      </w:r>
    </w:p>
    <w:p w:rsidR="00887451" w:rsidP="00960927" w:rsidRDefault="00960927" w14:paraId="0827A523" w14:textId="77777777">
      <w:r w:rsidRPr="00960927">
        <w:t xml:space="preserve">Voor een laaggelegen delta als Nederland is waterveiligheid en een toekomstbestendig rivierbeheer een basisvoorwaarde om </w:t>
      </w:r>
      <w:r w:rsidR="004E2A34">
        <w:t xml:space="preserve">grote delen van </w:t>
      </w:r>
      <w:r w:rsidRPr="00960927">
        <w:t xml:space="preserve">ons land </w:t>
      </w:r>
      <w:r w:rsidR="00436401">
        <w:t>veilig</w:t>
      </w:r>
      <w:r w:rsidRPr="00960927">
        <w:t xml:space="preserve"> te houden. Dat betekent dat er voldoende ruimte moet zijn om hoogwater (tijdig) af te voeren en te bergen en dat de rivier voldoende ruimte</w:t>
      </w:r>
      <w:r w:rsidR="00436401">
        <w:t xml:space="preserve"> houdt</w:t>
      </w:r>
      <w:r w:rsidRPr="00960927">
        <w:t xml:space="preserve"> voor toekomstige rivierverruimingen. </w:t>
      </w:r>
    </w:p>
    <w:p w:rsidR="00887451" w:rsidP="00960927" w:rsidRDefault="00960927" w14:paraId="34DD0586" w14:textId="77777777">
      <w:r w:rsidRPr="00960927">
        <w:t xml:space="preserve">Daarom is er (al vanaf 1996) een beleidslijn die tot doel heeft dat nieuwe activiteiten of objecten de toekomstige rivierverruimingen niet moeilijker of duurder maken en </w:t>
      </w:r>
      <w:r w:rsidR="00887451">
        <w:t xml:space="preserve">om te </w:t>
      </w:r>
      <w:r w:rsidRPr="00960927">
        <w:t xml:space="preserve">voorkomen dat er bij bewoners en ondernemers onnodige schade </w:t>
      </w:r>
      <w:r w:rsidR="004E2A34">
        <w:t xml:space="preserve">door hoogwater </w:t>
      </w:r>
      <w:r w:rsidRPr="00960927">
        <w:t>ontstaat. Met de huidige inzichten weten we dat aanpassing van deze Beleidslijn grote rivieren (Beleidslijn) nodig is om deze doelen te blijven bereiken, zeker omdat hoogwaters vaker zullen gaan voorkomen. Door de aanpassingen zijn in een deel van het rivierbed de ontwikkelmogelijk</w:t>
      </w:r>
      <w:r w:rsidR="00887451">
        <w:t>-</w:t>
      </w:r>
      <w:r w:rsidRPr="00960927">
        <w:t xml:space="preserve">heden voor bewoners en ondernemers van niet-riviergebonden activiteiten beperkter geworden. </w:t>
      </w:r>
      <w:r w:rsidR="004E2A34">
        <w:t>Daarbij</w:t>
      </w:r>
      <w:r w:rsidRPr="00960927">
        <w:t xml:space="preserve"> krijgt iedereen in de gebieden waar de regels strenger zijn geworden nog een eenmalige uitbreidingsmogelijkheid van 10%. Voor de gevolgen voor agrarische grondgebonden bedrijven </w:t>
      </w:r>
      <w:r w:rsidR="00887451">
        <w:t>wordt verwezen</w:t>
      </w:r>
      <w:r w:rsidRPr="00960927">
        <w:t xml:space="preserve"> naar het antwoord op vraag 4. </w:t>
      </w:r>
    </w:p>
    <w:p w:rsidRPr="00960927" w:rsidR="00960927" w:rsidP="00960927" w:rsidRDefault="00960927" w14:paraId="4419F894" w14:textId="1E29B34F">
      <w:r w:rsidRPr="00960927">
        <w:t xml:space="preserve">Voor een meer uitgebreide weergave van de gevolgen van de wijziging van de Beleidslijn </w:t>
      </w:r>
      <w:r w:rsidR="00887451">
        <w:t>wordt verwezen naar de brief die de Kamer parallel ontvangt over de Beleidslijn</w:t>
      </w:r>
      <w:r w:rsidRPr="00960927">
        <w:t>.</w:t>
      </w:r>
    </w:p>
    <w:p w:rsidRPr="00960927" w:rsidR="00960927" w:rsidP="00960927" w:rsidRDefault="00960927" w14:paraId="33622A78" w14:textId="77777777"/>
    <w:p w:rsidRPr="008F460A" w:rsidR="008F460A" w:rsidP="008F460A" w:rsidRDefault="008F460A" w14:paraId="30B9111E" w14:textId="77777777">
      <w:pPr>
        <w:rPr>
          <w:b/>
          <w:bCs/>
        </w:rPr>
      </w:pPr>
      <w:r w:rsidRPr="008F460A">
        <w:rPr>
          <w:b/>
          <w:bCs/>
        </w:rPr>
        <w:t>Vraag 3</w:t>
      </w:r>
    </w:p>
    <w:p w:rsidRPr="00960927" w:rsidR="00960927" w:rsidP="008F460A" w:rsidRDefault="00960927" w14:paraId="58041C3A" w14:textId="6A71F461">
      <w:r w:rsidRPr="00960927">
        <w:t>Waarom is in het Beleidskompasformulier voor de internetconsultatie slechts één zin opgenomen over de gevolgen van het voorstel, terwijl die in de praktijk groot kunnen zijn?</w:t>
      </w:r>
    </w:p>
    <w:p w:rsidRPr="008F460A" w:rsidR="008F460A" w:rsidP="00960927" w:rsidRDefault="008F460A" w14:paraId="161C4CEE" w14:textId="77777777"/>
    <w:p w:rsidRPr="008F460A" w:rsidR="008F460A" w:rsidP="00960927" w:rsidRDefault="008F460A" w14:paraId="7F4D23C9" w14:textId="77777777">
      <w:pPr>
        <w:rPr>
          <w:b/>
          <w:bCs/>
        </w:rPr>
      </w:pPr>
      <w:r w:rsidRPr="008F460A">
        <w:rPr>
          <w:b/>
          <w:bCs/>
        </w:rPr>
        <w:t>Antwoord 3</w:t>
      </w:r>
    </w:p>
    <w:p w:rsidRPr="00960927" w:rsidR="00960927" w:rsidP="00960927" w:rsidRDefault="00960927" w14:paraId="30BBC6B8" w14:textId="7F2F0C21">
      <w:r w:rsidRPr="00960927">
        <w:t xml:space="preserve">Het beleidskompas bevat inderdaad slechts een summiere weergave van de gevolgen. Het besluit (Bgr 2025) bevat </w:t>
      </w:r>
      <w:r w:rsidR="00887451">
        <w:t>wel</w:t>
      </w:r>
      <w:r w:rsidRPr="00960927">
        <w:t xml:space="preserve"> een uitgebreide toelichting van de gevolgen. Ook zijn er bij de stukken voor de internetconsultatie QenA’s gevoegd waarin specifiek wordt ingegaan op de gevolgen van het besluit. </w:t>
      </w:r>
    </w:p>
    <w:p w:rsidRPr="00960927" w:rsidR="00960927" w:rsidP="00960927" w:rsidRDefault="00960927" w14:paraId="2EC35F08" w14:textId="77777777"/>
    <w:p w:rsidR="00887451" w:rsidP="008F460A" w:rsidRDefault="00887451" w14:paraId="27657322" w14:textId="77777777">
      <w:pPr>
        <w:rPr>
          <w:b/>
          <w:bCs/>
        </w:rPr>
      </w:pPr>
    </w:p>
    <w:p w:rsidR="00887451" w:rsidP="008F460A" w:rsidRDefault="00887451" w14:paraId="3B4187EA" w14:textId="77777777">
      <w:pPr>
        <w:rPr>
          <w:b/>
          <w:bCs/>
        </w:rPr>
      </w:pPr>
    </w:p>
    <w:p w:rsidRPr="008F460A" w:rsidR="008F460A" w:rsidP="008F460A" w:rsidRDefault="008F460A" w14:paraId="704D7725" w14:textId="79FEB3B8">
      <w:pPr>
        <w:rPr>
          <w:b/>
          <w:bCs/>
        </w:rPr>
      </w:pPr>
      <w:r w:rsidRPr="008F460A">
        <w:rPr>
          <w:b/>
          <w:bCs/>
        </w:rPr>
        <w:t>Vraag 4</w:t>
      </w:r>
    </w:p>
    <w:p w:rsidRPr="00960927" w:rsidR="00960927" w:rsidP="008F460A" w:rsidRDefault="00960927" w14:paraId="182175BF" w14:textId="1804195B">
      <w:r w:rsidRPr="00960927">
        <w:t>Kunt u aangeven wat de gevolgen van de genoemde actualisatie zijn voor agrarische bedrijven?</w:t>
      </w:r>
    </w:p>
    <w:p w:rsidR="003F0AE4" w:rsidP="00960927" w:rsidRDefault="003F0AE4" w14:paraId="4594443B" w14:textId="77777777">
      <w:pPr>
        <w:rPr>
          <w:b/>
          <w:bCs/>
        </w:rPr>
      </w:pPr>
    </w:p>
    <w:p w:rsidRPr="008F460A" w:rsidR="008F460A" w:rsidP="00960927" w:rsidRDefault="008F460A" w14:paraId="6E0F1FFD" w14:textId="53FDAAF4">
      <w:pPr>
        <w:rPr>
          <w:b/>
          <w:bCs/>
        </w:rPr>
      </w:pPr>
      <w:r w:rsidRPr="008F460A">
        <w:rPr>
          <w:b/>
          <w:bCs/>
        </w:rPr>
        <w:t>Antwoord 4</w:t>
      </w:r>
    </w:p>
    <w:p w:rsidR="00887451" w:rsidP="00960927" w:rsidRDefault="00960927" w14:paraId="40E29D99" w14:textId="03D29B8E">
      <w:r w:rsidRPr="00960927">
        <w:t>Voor agrarische bedrijven, die in de voormalige stroomvoerende regime liggen, verandert er nagenoeg niets. Voor de bedrijve</w:t>
      </w:r>
      <w:r w:rsidR="00887451">
        <w:t>n</w:t>
      </w:r>
      <w:r w:rsidRPr="00960927">
        <w:t xml:space="preserve"> die in het voormalig bergend regime liggen gaan de regels gelden die ook al golden voor de bedrijven in het stroomvoerend regime. Dat betekent dat </w:t>
      </w:r>
      <w:r w:rsidR="004154BB">
        <w:t xml:space="preserve">in deze gebieden </w:t>
      </w:r>
      <w:r w:rsidRPr="00960927">
        <w:t xml:space="preserve">het </w:t>
      </w:r>
      <w:r w:rsidR="00887451">
        <w:t>‘</w:t>
      </w:r>
      <w:r w:rsidRPr="00960927">
        <w:t>nee-tenzij</w:t>
      </w:r>
      <w:r w:rsidR="00887451">
        <w:t>’</w:t>
      </w:r>
      <w:r w:rsidRPr="00960927">
        <w:t xml:space="preserve"> principe ook </w:t>
      </w:r>
      <w:r w:rsidR="004154BB">
        <w:t>gaat</w:t>
      </w:r>
      <w:r w:rsidRPr="00960927">
        <w:t xml:space="preserve"> gelden. </w:t>
      </w:r>
      <w:r w:rsidR="004154BB">
        <w:t xml:space="preserve">Dit is nodig omdat de beleidsregels in het voormalige bergende regime te veel ruimte lieten voor ongewenste ruimtelijke ontwikkelingen in het rivierbed. Zie hiervoor ook antwoord 9. </w:t>
      </w:r>
    </w:p>
    <w:p w:rsidR="00887451" w:rsidP="00960927" w:rsidRDefault="00960927" w14:paraId="2885D452" w14:textId="77777777">
      <w:r w:rsidRPr="00960927">
        <w:t>D</w:t>
      </w:r>
      <w:r w:rsidR="00887451">
        <w:t>i</w:t>
      </w:r>
      <w:r w:rsidRPr="00960927">
        <w:t>t</w:t>
      </w:r>
      <w:r w:rsidR="004154BB">
        <w:t xml:space="preserve"> </w:t>
      </w:r>
      <w:r w:rsidR="001958E0">
        <w:t>betekent</w:t>
      </w:r>
      <w:r w:rsidR="00887451">
        <w:t xml:space="preserve"> echter</w:t>
      </w:r>
      <w:r w:rsidRPr="00960927">
        <w:t xml:space="preserve"> niet dat er ni</w:t>
      </w:r>
      <w:r w:rsidR="00887451">
        <w:t>ets</w:t>
      </w:r>
      <w:r w:rsidRPr="00960927">
        <w:t xml:space="preserve"> meer kan. Naast riviergebonden activiteiten wordt er</w:t>
      </w:r>
      <w:r w:rsidR="00887451">
        <w:t>,</w:t>
      </w:r>
      <w:r w:rsidRPr="00960927">
        <w:t xml:space="preserve"> onder reeds bestaande voorwaarden</w:t>
      </w:r>
      <w:r w:rsidR="00887451">
        <w:t>,</w:t>
      </w:r>
      <w:r w:rsidRPr="00960927">
        <w:t xml:space="preserve"> ook toestemming gegeven voor een aantal niet-riviergebonden activiteiten. </w:t>
      </w:r>
    </w:p>
    <w:p w:rsidR="00887451" w:rsidP="00960927" w:rsidRDefault="00960927" w14:paraId="77E52A9B" w14:textId="77777777">
      <w:r w:rsidRPr="00960927">
        <w:t>Zo kan een grondgebonden agrarisch bedrijf op grond van artikel 5, onderdeel b</w:t>
      </w:r>
      <w:r w:rsidR="004E2A34">
        <w:t>,</w:t>
      </w:r>
      <w:r w:rsidRPr="00960927">
        <w:t xml:space="preserve"> een vergunning krijgen voor het uitbreiden en vernieuwen van het bedrijf, bijvoorbeeld om te voldoen aan regelgeving op gebied van stikstof, dierenwelzijn, brandveiligheid, etc. </w:t>
      </w:r>
    </w:p>
    <w:p w:rsidRPr="00960927" w:rsidR="00960927" w:rsidP="00960927" w:rsidRDefault="00960927" w14:paraId="56AEF0EF" w14:textId="6C6B6F1D">
      <w:r w:rsidRPr="00960927">
        <w:t>Ook kan op basis van artikel 5 onderdeel c</w:t>
      </w:r>
      <w:r w:rsidR="004E2A34">
        <w:t>,</w:t>
      </w:r>
      <w:r w:rsidRPr="00960927">
        <w:t xml:space="preserve"> een vergunning worden afgegeven voor activiteiten die nodig zijn voor de verduurzaming van de energievoorziening van een agrarisch bedrijf</w:t>
      </w:r>
      <w:r w:rsidR="00887451">
        <w:t xml:space="preserve">, </w:t>
      </w:r>
      <w:r w:rsidRPr="00960927">
        <w:t xml:space="preserve">zoals een mestvergistingsinstallatie, zonnepanelen of </w:t>
      </w:r>
      <w:r w:rsidR="00887451">
        <w:t>zonne</w:t>
      </w:r>
      <w:r w:rsidRPr="00960927">
        <w:t>collectoren, warmtepomp of warmtekrachtkoppeling</w:t>
      </w:r>
      <w:r w:rsidR="00887451">
        <w:t>.</w:t>
      </w:r>
    </w:p>
    <w:p w:rsidRPr="00960927" w:rsidR="00960927" w:rsidP="00960927" w:rsidRDefault="00960927" w14:paraId="105DE4C8" w14:textId="1D70698C">
      <w:r w:rsidRPr="00960927">
        <w:t>Daarnaast blijft de algemene bepaling bestaan om de bestaande bebouwing eenmalig met maximaal 10% uit te breiden. Dit geldt overigens niet alleen voor de agrarische bebouwing, maar voor alle bestaande bebouwing</w:t>
      </w:r>
      <w:r w:rsidR="00887451">
        <w:t xml:space="preserve">. Dus </w:t>
      </w:r>
      <w:r w:rsidRPr="00960927">
        <w:t xml:space="preserve">ook </w:t>
      </w:r>
      <w:r w:rsidR="00887451">
        <w:t xml:space="preserve">voor </w:t>
      </w:r>
      <w:r w:rsidRPr="00960927">
        <w:t>overige bedrijfsgebouwen, woningen, etc. In het voormalige bergende regime verschuift de peildatum hiervoor naar de ingangsdatum van de Bgr 2025.</w:t>
      </w:r>
    </w:p>
    <w:p w:rsidRPr="00960927" w:rsidR="00960927" w:rsidP="00960927" w:rsidRDefault="00960927" w14:paraId="7D1E8BF8" w14:textId="77777777">
      <w:r w:rsidRPr="00960927">
        <w:t>Ook kan voor kleine of tijdelijke activiteiten en activiteiten van ondergeschikt belang nog steeds een vergunning worden verkregen. Hierbij gaat het bijvoorbeeld om: sloop en herbouw van bestaande bouwwerken, kleine bouwwerken zoals overkappingen en schuilgelegenheden, grondverzet, beplanting, erfafscheidingen, hekwerken en rasters, etc.</w:t>
      </w:r>
    </w:p>
    <w:p w:rsidRPr="00960927" w:rsidR="00960927" w:rsidP="00960927" w:rsidRDefault="00960927" w14:paraId="17EC9598" w14:textId="2B0F7DD2">
      <w:r w:rsidRPr="00960927">
        <w:t>Voor veel kleine activiteiten, zoals bebouwing kleiner dan 30 m</w:t>
      </w:r>
      <w:r w:rsidRPr="00960927">
        <w:rPr>
          <w:vertAlign w:val="superscript"/>
        </w:rPr>
        <w:t>2</w:t>
      </w:r>
      <w:r w:rsidRPr="00960927">
        <w:t xml:space="preserve"> of ophogingen tot 50 m</w:t>
      </w:r>
      <w:r w:rsidRPr="00960927">
        <w:rPr>
          <w:vertAlign w:val="superscript"/>
        </w:rPr>
        <w:t>3</w:t>
      </w:r>
      <w:r w:rsidRPr="00960927">
        <w:t xml:space="preserve"> is overigens geen vergunning van de minister </w:t>
      </w:r>
      <w:r w:rsidR="00887451">
        <w:t xml:space="preserve">van IenW </w:t>
      </w:r>
      <w:r w:rsidRPr="00960927">
        <w:t>nodig.</w:t>
      </w:r>
    </w:p>
    <w:p w:rsidRPr="00960927" w:rsidR="00960927" w:rsidP="00960927" w:rsidRDefault="00960927" w14:paraId="6A339C4B" w14:textId="77777777"/>
    <w:p w:rsidRPr="008F460A" w:rsidR="008F460A" w:rsidP="008F460A" w:rsidRDefault="008F460A" w14:paraId="0D385447" w14:textId="77777777">
      <w:pPr>
        <w:rPr>
          <w:b/>
          <w:bCs/>
        </w:rPr>
      </w:pPr>
      <w:r w:rsidRPr="008F460A">
        <w:rPr>
          <w:b/>
          <w:bCs/>
        </w:rPr>
        <w:t>Vraag 5</w:t>
      </w:r>
    </w:p>
    <w:p w:rsidR="00960927" w:rsidP="008F460A" w:rsidRDefault="00960927" w14:paraId="58FFCC4D" w14:textId="2201C202">
      <w:r w:rsidRPr="00960927">
        <w:t>Deelt u de analyse dat de voorgenomen wijziging het voor agrarische bedrijven veel lastiger maakt om hun bedrijven met het oog op de toekomst te ontwikkelen en te verduurzamen, omdat er weinig ruimte meer geboden wordt voor wettelijk verplichte en maatschappelijk gewenste stal- en bedrijfsvernieuwing voor onder meer dierenwelzijn (meer ruimte per dierplaats), brandveiligheid (grotere afstand tussen stallen) en mestverwerking?</w:t>
      </w:r>
    </w:p>
    <w:p w:rsidR="008F460A" w:rsidP="008F460A" w:rsidRDefault="008F460A" w14:paraId="1D9669F7" w14:textId="77777777"/>
    <w:p w:rsidRPr="00960927" w:rsidR="008F460A" w:rsidP="008F460A" w:rsidRDefault="008F460A" w14:paraId="7E4CE7FF" w14:textId="14BDEE1B">
      <w:pPr>
        <w:rPr>
          <w:b/>
          <w:bCs/>
        </w:rPr>
      </w:pPr>
      <w:r w:rsidRPr="008F460A">
        <w:rPr>
          <w:b/>
          <w:bCs/>
        </w:rPr>
        <w:t>Antwoord 5</w:t>
      </w:r>
    </w:p>
    <w:p w:rsidRPr="00960927" w:rsidR="00960927" w:rsidP="00960927" w:rsidRDefault="00960927" w14:paraId="684D84C1" w14:textId="40026ADB">
      <w:r w:rsidRPr="00960927">
        <w:t>Nee,</w:t>
      </w:r>
      <w:r w:rsidR="00887451">
        <w:t xml:space="preserve"> z</w:t>
      </w:r>
      <w:r w:rsidRPr="00960927">
        <w:t>ie</w:t>
      </w:r>
      <w:r w:rsidR="008F0E80">
        <w:t xml:space="preserve"> het</w:t>
      </w:r>
      <w:r w:rsidRPr="00960927">
        <w:t xml:space="preserve"> antwoord op vraag 4. </w:t>
      </w:r>
      <w:r w:rsidRPr="00960927">
        <w:br/>
      </w:r>
    </w:p>
    <w:p w:rsidRPr="008F460A" w:rsidR="008F460A" w:rsidP="008F460A" w:rsidRDefault="008F460A" w14:paraId="455BFD05" w14:textId="77777777">
      <w:pPr>
        <w:rPr>
          <w:b/>
          <w:bCs/>
        </w:rPr>
      </w:pPr>
      <w:r w:rsidRPr="008F460A">
        <w:rPr>
          <w:b/>
          <w:bCs/>
        </w:rPr>
        <w:t>Vraag 6</w:t>
      </w:r>
    </w:p>
    <w:p w:rsidRPr="00960927" w:rsidR="00960927" w:rsidP="008F460A" w:rsidRDefault="00960927" w14:paraId="00EAD7B4" w14:textId="3685C825">
      <w:r w:rsidRPr="00960927">
        <w:t>Wat is het perspectief voor agrarische bedrijven in overloopgebieden en andere buitendijkse gebieden als nauwelijks ruimte geboden wordt voor wettelijk verplichte of juridisch noodzakelijke bedrijfsontwikkeling en stalvernieuwing, inclusief financiering daarvoor?</w:t>
      </w:r>
    </w:p>
    <w:p w:rsidR="008F460A" w:rsidP="00960927" w:rsidRDefault="008F460A" w14:paraId="04597549" w14:textId="77777777"/>
    <w:p w:rsidRPr="008F460A" w:rsidR="008F460A" w:rsidP="00960927" w:rsidRDefault="008F460A" w14:paraId="68B7BCBB" w14:textId="77777777">
      <w:pPr>
        <w:rPr>
          <w:b/>
          <w:bCs/>
        </w:rPr>
      </w:pPr>
      <w:r w:rsidRPr="008F460A">
        <w:rPr>
          <w:b/>
          <w:bCs/>
        </w:rPr>
        <w:t>Antwoord 6</w:t>
      </w:r>
    </w:p>
    <w:p w:rsidRPr="00960927" w:rsidR="00960927" w:rsidP="00960927" w:rsidRDefault="00960927" w14:paraId="4C61C3F8" w14:textId="79459BED">
      <w:r w:rsidRPr="00960927">
        <w:t xml:space="preserve">Zie </w:t>
      </w:r>
      <w:r w:rsidR="00887451">
        <w:t xml:space="preserve">het </w:t>
      </w:r>
      <w:r w:rsidRPr="00960927">
        <w:t>antwoord op vraag 4, de bepalingen uit artikel 5 van de Bgr bieden ruimte voor dergelijke noodzakelijke activiteiten.</w:t>
      </w:r>
    </w:p>
    <w:p w:rsidRPr="00960927" w:rsidR="00960927" w:rsidP="00960927" w:rsidRDefault="00960927" w14:paraId="5DA7E80B" w14:textId="77777777"/>
    <w:p w:rsidRPr="008F460A" w:rsidR="008F460A" w:rsidP="008F460A" w:rsidRDefault="008F460A" w14:paraId="5565747B" w14:textId="77777777">
      <w:pPr>
        <w:rPr>
          <w:b/>
          <w:bCs/>
        </w:rPr>
      </w:pPr>
      <w:r w:rsidRPr="008F460A">
        <w:rPr>
          <w:b/>
          <w:bCs/>
        </w:rPr>
        <w:t>Vraag 7</w:t>
      </w:r>
    </w:p>
    <w:p w:rsidRPr="00960927" w:rsidR="00960927" w:rsidP="008F460A" w:rsidRDefault="00960927" w14:paraId="0D7DE955" w14:textId="0502BEFC">
      <w:r w:rsidRPr="00960927">
        <w:t>Heeft de voorgenomen wijziging van de Beleidslijn Grote Rivieren gevolgen voor het gebruik van (dierlijke) meststoffen?</w:t>
      </w:r>
    </w:p>
    <w:p w:rsidR="008F460A" w:rsidP="00960927" w:rsidRDefault="008F460A" w14:paraId="57D5B874" w14:textId="77777777">
      <w:pPr>
        <w:rPr>
          <w:b/>
          <w:bCs/>
        </w:rPr>
      </w:pPr>
    </w:p>
    <w:p w:rsidRPr="008F460A" w:rsidR="008F460A" w:rsidP="00960927" w:rsidRDefault="008F460A" w14:paraId="46B25ABA" w14:textId="434F64AA">
      <w:pPr>
        <w:rPr>
          <w:b/>
          <w:bCs/>
        </w:rPr>
      </w:pPr>
      <w:r w:rsidRPr="008F460A">
        <w:rPr>
          <w:b/>
          <w:bCs/>
        </w:rPr>
        <w:t>Antwoord 7</w:t>
      </w:r>
    </w:p>
    <w:p w:rsidR="00715367" w:rsidP="00715367" w:rsidRDefault="00960927" w14:paraId="1CC9832B" w14:textId="640A735B">
      <w:r w:rsidRPr="00960927">
        <w:t>Nee.</w:t>
      </w:r>
      <w:r w:rsidRPr="00960927">
        <w:br/>
      </w:r>
    </w:p>
    <w:p w:rsidRPr="00715367" w:rsidR="00715367" w:rsidP="00715367" w:rsidRDefault="00715367" w14:paraId="5D59401D" w14:textId="77777777">
      <w:pPr>
        <w:rPr>
          <w:b/>
          <w:bCs/>
        </w:rPr>
      </w:pPr>
      <w:r w:rsidRPr="00715367">
        <w:rPr>
          <w:b/>
          <w:bCs/>
        </w:rPr>
        <w:t>Vraag 8</w:t>
      </w:r>
    </w:p>
    <w:p w:rsidR="00715367" w:rsidP="00715367" w:rsidRDefault="00715367" w14:paraId="79B9CE9A" w14:textId="2DD4F21E">
      <w:r>
        <w:t>Deelt u de analyse dat de forse inperking van de toekomstige gebruiks- en ontwikkelmogelijkheden in een gebied als de Kampereilanden, waarbij ook waterveilige woningbouw op terpen onmogelijk lijkt te worden gemaakt, de leefbaarheid van zo’n gebied onder grote druk zetten?</w:t>
      </w:r>
    </w:p>
    <w:p w:rsidR="00715367" w:rsidP="00715367" w:rsidRDefault="00715367" w14:paraId="6837DCCF" w14:textId="77777777"/>
    <w:p w:rsidRPr="00715367" w:rsidR="00715367" w:rsidP="00715367" w:rsidRDefault="00715367" w14:paraId="7C459306" w14:textId="77777777">
      <w:pPr>
        <w:rPr>
          <w:b/>
          <w:bCs/>
        </w:rPr>
      </w:pPr>
      <w:r w:rsidRPr="00715367">
        <w:rPr>
          <w:b/>
          <w:bCs/>
        </w:rPr>
        <w:t>Antwoord 8</w:t>
      </w:r>
    </w:p>
    <w:p w:rsidR="00715367" w:rsidP="00715367" w:rsidRDefault="00715367" w14:paraId="421EDC92" w14:textId="3875EAF3">
      <w:r>
        <w:t xml:space="preserve">Nee, deze analyse </w:t>
      </w:r>
      <w:r w:rsidR="00887451">
        <w:t>wordt niet gedeeld</w:t>
      </w:r>
      <w:r>
        <w:t xml:space="preserve">. We hebben kennisgenomen van de zorgen uit dit gebied. </w:t>
      </w:r>
      <w:r w:rsidR="004E2A34">
        <w:t>Er</w:t>
      </w:r>
      <w:r>
        <w:t xml:space="preserve"> heeft een ambtelijk gesprek plaatsgevonden met de gemeente Kampen. Tijdens dit overleg is besproken hoe het gemeentelijke en provinciale beleid zich verhoudt tot de geactualiseerde Bgr 2025. Gebleken is dat de beleidskaders goed op elkaar aansluiten. De actualisatie van de Bgr vormt geen significante belemmering voor de huidige gebruiksfuncties en activiteiten en de ontwikkelmogelijkheden in het gebied, ook omdat alle bestaande bebouwing (woningen, (agrarische) bedrijven, etc.) en bijbehorende erven op het Kampereiland buiten het toepassingsbereik van de Bgr vallen en deze uitzonderingspositie ook onder de Bgr 2025 behouden blijft. Zie verder</w:t>
      </w:r>
      <w:r w:rsidR="00887451">
        <w:t xml:space="preserve"> het </w:t>
      </w:r>
      <w:r>
        <w:t xml:space="preserve"> antwoord op vraag 4. </w:t>
      </w:r>
    </w:p>
    <w:p w:rsidR="00715367" w:rsidP="00715367" w:rsidRDefault="00715367" w14:paraId="3500B20B" w14:textId="77777777"/>
    <w:p w:rsidRPr="00715367" w:rsidR="00715367" w:rsidP="00715367" w:rsidRDefault="00715367" w14:paraId="30BB0792" w14:textId="77777777">
      <w:pPr>
        <w:rPr>
          <w:b/>
          <w:bCs/>
        </w:rPr>
      </w:pPr>
      <w:r w:rsidRPr="00715367">
        <w:rPr>
          <w:b/>
          <w:bCs/>
        </w:rPr>
        <w:t>Vraag 9</w:t>
      </w:r>
    </w:p>
    <w:p w:rsidR="00715367" w:rsidP="00715367" w:rsidRDefault="00715367" w14:paraId="76BB2423" w14:textId="62DF6F3B">
      <w:r>
        <w:t>Waarom zouden de huidige afspraken voor Kampereilanden als overloopgebied, waarbij is vastgelegd dat alle ontwikkelingen op de Kampereilanden overstromingsbestendig moeten zijn en er zo nodig compensatie voor waterberging plaatsvindt, onvoldoende waarborgen bieden voor de (toekomstige) waterveiligheid?</w:t>
      </w:r>
    </w:p>
    <w:p w:rsidR="00715367" w:rsidP="00715367" w:rsidRDefault="00715367" w14:paraId="2D26C907" w14:textId="77777777"/>
    <w:p w:rsidRPr="00715367" w:rsidR="00715367" w:rsidP="00715367" w:rsidRDefault="00715367" w14:paraId="48456C03" w14:textId="77777777">
      <w:pPr>
        <w:rPr>
          <w:b/>
          <w:bCs/>
        </w:rPr>
      </w:pPr>
      <w:r w:rsidRPr="00715367">
        <w:rPr>
          <w:b/>
          <w:bCs/>
        </w:rPr>
        <w:t>Antwoord 9</w:t>
      </w:r>
    </w:p>
    <w:p w:rsidR="00887451" w:rsidP="00715367" w:rsidRDefault="00715367" w14:paraId="35655062" w14:textId="77777777">
      <w:r>
        <w:t xml:space="preserve">De voormalige </w:t>
      </w:r>
      <w:r w:rsidR="002F2F66">
        <w:t>regels</w:t>
      </w:r>
      <w:r>
        <w:t xml:space="preserve"> boden onvoldoende waarborgen voor een toekomstbestendig rivierbeheer en </w:t>
      </w:r>
      <w:r w:rsidR="00887451">
        <w:t xml:space="preserve">voor </w:t>
      </w:r>
      <w:r>
        <w:t xml:space="preserve">de waterveiligheid omdat de beleidsregels met name in het voormalige bergende regime te veel ruimte lieten voor ongewenste ruimtelijke ontwikkelingen in het rivierbed. </w:t>
      </w:r>
    </w:p>
    <w:p w:rsidR="00715367" w:rsidP="00715367" w:rsidRDefault="00715367" w14:paraId="0466523F" w14:textId="423F6E87">
      <w:r>
        <w:t xml:space="preserve">Onder de voormalige regels waren grootschalige woningbouw en zelfs de aanleg van nieuwe dorpen toegestaan, zolang er werd voldaan aan de eisen voor compensatie. Dit </w:t>
      </w:r>
      <w:r w:rsidR="004E2A34">
        <w:t xml:space="preserve">zou ingeval van verwachte grotere en frequentere </w:t>
      </w:r>
      <w:r w:rsidR="00887451">
        <w:t>perioden van hoogwater</w:t>
      </w:r>
      <w:r>
        <w:t xml:space="preserve"> grote risico's met zich mee</w:t>
      </w:r>
      <w:r w:rsidR="004154BB">
        <w:t xml:space="preserve"> brengen en de ruimte van noodzakelijke rivierverruimingsmaatregelen (op termijn) onnodig beperken en de kosten van maatregelen verhogen</w:t>
      </w:r>
      <w:r>
        <w:t xml:space="preserve">. Als uitwerking van </w:t>
      </w:r>
      <w:r w:rsidR="00887451">
        <w:t>de</w:t>
      </w:r>
      <w:r>
        <w:t xml:space="preserve"> wettelijk vastgelegde systeemverantwoordelijkheid </w:t>
      </w:r>
      <w:r w:rsidR="00887451">
        <w:t>van de minister van IenW zijn</w:t>
      </w:r>
      <w:r>
        <w:t xml:space="preserve"> door de actualisatie van het beleid deze risico’s beperkt, zonder daarmee alle ontwikkelingen in het rivierbed stop te zetten. Daarmee wordt een betere balans bereikt tussen toekomstbestendig waterbeheer en waterveiligheid en gewenste en noodzakelijke ruimtelijke ontwikkelingen. </w:t>
      </w:r>
    </w:p>
    <w:p w:rsidR="00715367" w:rsidP="00715367" w:rsidRDefault="00715367" w14:paraId="646DF45B" w14:textId="77777777"/>
    <w:p w:rsidRPr="00715367" w:rsidR="00715367" w:rsidP="00715367" w:rsidRDefault="00715367" w14:paraId="620CD406" w14:textId="77777777">
      <w:pPr>
        <w:rPr>
          <w:b/>
          <w:bCs/>
        </w:rPr>
      </w:pPr>
      <w:r w:rsidRPr="00715367">
        <w:rPr>
          <w:b/>
          <w:bCs/>
        </w:rPr>
        <w:t>Vraag 10</w:t>
      </w:r>
    </w:p>
    <w:p w:rsidR="00715367" w:rsidP="00715367" w:rsidRDefault="00715367" w14:paraId="69442D1C" w14:textId="4A77693B">
      <w:r>
        <w:t>Waarom wilt u het onderscheid tussen het bergend deel van een rivierbed en het stroomvoerend deel laten vervallen, terwijl er qua waterveiligheid een groot verschil zit tussen het stroomvoerend deel van een rivierbed en bijvoorbeeld een overloopgebied beschermd door een regionale kering dat bijvoorbeeld eens in de vijfhonderd jaar mag overstromen?</w:t>
      </w:r>
    </w:p>
    <w:p w:rsidR="00715367" w:rsidP="00715367" w:rsidRDefault="00715367" w14:paraId="1C140F1E" w14:textId="77777777"/>
    <w:p w:rsidRPr="00715367" w:rsidR="00715367" w:rsidP="00715367" w:rsidRDefault="00715367" w14:paraId="438F979D" w14:textId="316A3211">
      <w:pPr>
        <w:rPr>
          <w:b/>
          <w:bCs/>
        </w:rPr>
      </w:pPr>
      <w:r w:rsidRPr="00715367">
        <w:rPr>
          <w:b/>
          <w:bCs/>
        </w:rPr>
        <w:t>Antwoord 10</w:t>
      </w:r>
    </w:p>
    <w:p w:rsidR="00715367" w:rsidP="00715367" w:rsidRDefault="00715367" w14:paraId="77837425" w14:textId="2B22279B">
      <w:r>
        <w:t>Het vasthouden aan het ‘ja, mits’ principe van het voormalig bergend regime was onverstandig, omdat uit onderzoek</w:t>
      </w:r>
      <w:r w:rsidR="001958E0">
        <w:rPr>
          <w:rStyle w:val="FootnoteReference"/>
        </w:rPr>
        <w:footnoteReference w:id="2"/>
      </w:r>
      <w:r w:rsidR="001958E0">
        <w:t xml:space="preserve"> </w:t>
      </w:r>
      <w:r>
        <w:t xml:space="preserve">bleek dat dit in het rivierbed te veel ruimte </w:t>
      </w:r>
      <w:r w:rsidR="00887451">
        <w:t>gaf</w:t>
      </w:r>
      <w:r>
        <w:t xml:space="preserve"> voor niet-riviergebonden activiteiten, zoals grootschalige woningbouw, vakantieparken en grootschalige niet-riviergebonden industriële bebouwing. Met de verwachte hogere rivierafvoeren en zeespiegelstijging is terughoudendheid noodzakelijk met betrekking tot ruimtelijke ontwikkelingen in het rivierbed om schade te voorkomen en ruimte te houden voor toekomstige rivierverruiming en dijkversterking. Daarnaast bleek het onderscheid tussen stroomvoerend en bergend </w:t>
      </w:r>
      <w:r w:rsidR="00887451">
        <w:t xml:space="preserve">regime </w:t>
      </w:r>
      <w:r>
        <w:t xml:space="preserve">moeilijk te maken vanwege de complexe rivierkundige rol van gebieden tijdens hoogwater. Waterveiligheidsexperts </w:t>
      </w:r>
      <w:r w:rsidR="004154BB">
        <w:t xml:space="preserve">van het Expertise Netwerk Waterveiligheid </w:t>
      </w:r>
      <w:r w:rsidR="003E30F6">
        <w:t xml:space="preserve">ondersteunen </w:t>
      </w:r>
      <w:r w:rsidR="00A76A1F">
        <w:t xml:space="preserve">in hun advies over de actualisatie van de Bgr </w:t>
      </w:r>
      <w:r w:rsidR="003E30F6">
        <w:t xml:space="preserve">daarom ook de keuze voor </w:t>
      </w:r>
      <w:r>
        <w:t xml:space="preserve">uniforme regels voor alle gebieden in het rivierbed die vallen onder het toepassingsbereik van de Bgr. </w:t>
      </w:r>
    </w:p>
    <w:p w:rsidRPr="00EF72E1" w:rsidR="003E30F6" w:rsidP="003E30F6" w:rsidRDefault="00715367" w14:paraId="7E4A2F58" w14:textId="75FFD327">
      <w:r>
        <w:t xml:space="preserve">Voor een aantal specifieke locaties, zoals de Kampereilanden, de Afgedamde Maas en de Hollandse IJssel, waar buitendijks gelegen gebieden tot op zekere hoogte beschermd zijn door aangewezen keringen </w:t>
      </w:r>
      <w:r w:rsidR="00887451">
        <w:t>wordt</w:t>
      </w:r>
      <w:r w:rsidR="003E30F6">
        <w:t xml:space="preserve"> in </w:t>
      </w:r>
      <w:r>
        <w:t xml:space="preserve">2025 nader onderzoek </w:t>
      </w:r>
      <w:r w:rsidR="003E30F6">
        <w:t>op</w:t>
      </w:r>
      <w:r w:rsidR="00887451">
        <w:t>ge</w:t>
      </w:r>
      <w:r w:rsidR="003E30F6">
        <w:t>start</w:t>
      </w:r>
      <w:r>
        <w:t xml:space="preserve"> naar </w:t>
      </w:r>
      <w:r w:rsidRPr="00EF72E1" w:rsidR="003E30F6">
        <w:t xml:space="preserve">de begrenzing van </w:t>
      </w:r>
      <w:r w:rsidR="003E30F6">
        <w:t>het toepassingsgebied van de Bgr</w:t>
      </w:r>
      <w:r w:rsidRPr="00EF72E1" w:rsidR="003E30F6">
        <w:t>. Op basis van de uitkomsten van dit onderzoek wordt samen me</w:t>
      </w:r>
      <w:r w:rsidR="003E30F6">
        <w:t>t de betreffende</w:t>
      </w:r>
      <w:r w:rsidRPr="00EF72E1" w:rsidR="003E30F6">
        <w:t xml:space="preserve"> decentrale overheden gekeken of er aanpassingen</w:t>
      </w:r>
      <w:r w:rsidRPr="00993243" w:rsidR="003E30F6">
        <w:t xml:space="preserve"> in het toepassingsgebied van de Bgr </w:t>
      </w:r>
      <w:r w:rsidR="003E30F6">
        <w:t xml:space="preserve">2025 </w:t>
      </w:r>
      <w:r w:rsidRPr="00993243" w:rsidR="003E30F6">
        <w:t>nodig</w:t>
      </w:r>
      <w:r w:rsidR="003011D9">
        <w:t xml:space="preserve"> en</w:t>
      </w:r>
      <w:r w:rsidR="002B3971">
        <w:t xml:space="preserve"> </w:t>
      </w:r>
      <w:r w:rsidR="001958E0">
        <w:t>wenselijk</w:t>
      </w:r>
      <w:r w:rsidRPr="00993243" w:rsidR="003E30F6">
        <w:t xml:space="preserve"> zijn</w:t>
      </w:r>
      <w:r w:rsidRPr="00EF72E1" w:rsidR="003E30F6">
        <w:t>.</w:t>
      </w:r>
    </w:p>
    <w:p w:rsidR="00715367" w:rsidP="00715367" w:rsidRDefault="00715367" w14:paraId="1D5EA125" w14:textId="77777777"/>
    <w:p w:rsidRPr="00715367" w:rsidR="00715367" w:rsidP="00715367" w:rsidRDefault="00715367" w14:paraId="64D7F28D" w14:textId="77777777">
      <w:pPr>
        <w:rPr>
          <w:b/>
          <w:bCs/>
        </w:rPr>
      </w:pPr>
      <w:r w:rsidRPr="00715367">
        <w:rPr>
          <w:b/>
          <w:bCs/>
        </w:rPr>
        <w:t>Vraag 11</w:t>
      </w:r>
    </w:p>
    <w:p w:rsidR="00715367" w:rsidP="00715367" w:rsidRDefault="00715367" w14:paraId="2B702205" w14:textId="1622D137">
      <w:r>
        <w:t>Welke opties heeft u onderzocht om in overloopgebieden en andere waterbergingsgebieden meer of minder ruimte te geven voor niet riviergebonden activiteiten ten opzichte van het stroomvoerende deel van rivierbedden? Waarom heeft u niet voor een minder vergaande optie gekozen?</w:t>
      </w:r>
    </w:p>
    <w:p w:rsidRPr="00715367" w:rsidR="00715367" w:rsidP="00715367" w:rsidRDefault="00715367" w14:paraId="10E3EE89" w14:textId="77777777">
      <w:pPr>
        <w:rPr>
          <w:b/>
          <w:bCs/>
        </w:rPr>
      </w:pPr>
    </w:p>
    <w:p w:rsidRPr="00715367" w:rsidR="00715367" w:rsidP="00715367" w:rsidRDefault="00715367" w14:paraId="00153562" w14:textId="3E55A327">
      <w:pPr>
        <w:rPr>
          <w:b/>
          <w:bCs/>
        </w:rPr>
      </w:pPr>
      <w:r w:rsidRPr="00715367">
        <w:rPr>
          <w:b/>
          <w:bCs/>
        </w:rPr>
        <w:t>Antwoord 11</w:t>
      </w:r>
    </w:p>
    <w:p w:rsidR="00715367" w:rsidP="00715367" w:rsidRDefault="003E30F6" w14:paraId="3507EBAF" w14:textId="2798FB95">
      <w:r>
        <w:t xml:space="preserve">Zoals in het beleidskompas </w:t>
      </w:r>
      <w:r w:rsidR="00806A6E">
        <w:t>is te lezen</w:t>
      </w:r>
      <w:r>
        <w:t xml:space="preserve"> zijn o</w:t>
      </w:r>
      <w:r w:rsidR="00715367">
        <w:t>pties als een publiekscampagne en financiële instrumenten onderzocht als mogelijke maatregelen om het beleidsdoel te realiseren. Hoewel deze opties waardevol zijn, bieden ze op zichzelf onvoldoende garantie om ongewenste ruimtelijke ontwikkelingen in het rivierbed structureel te voorkomen. Daarom is ook gekozen voor het actualiseren van de beleidsregels.</w:t>
      </w:r>
    </w:p>
    <w:p w:rsidRPr="00715367" w:rsidR="00715367" w:rsidP="00715367" w:rsidRDefault="00715367" w14:paraId="0BE977E3" w14:textId="77777777">
      <w:pPr>
        <w:rPr>
          <w:b/>
          <w:bCs/>
        </w:rPr>
      </w:pPr>
    </w:p>
    <w:p w:rsidRPr="00715367" w:rsidR="00715367" w:rsidP="00715367" w:rsidRDefault="00715367" w14:paraId="32B409F9" w14:textId="77777777">
      <w:pPr>
        <w:rPr>
          <w:b/>
          <w:bCs/>
        </w:rPr>
      </w:pPr>
      <w:r w:rsidRPr="00715367">
        <w:rPr>
          <w:b/>
          <w:bCs/>
        </w:rPr>
        <w:t>Vraag 12</w:t>
      </w:r>
    </w:p>
    <w:p w:rsidR="00715367" w:rsidP="00715367" w:rsidRDefault="00715367" w14:paraId="16A8F4BE" w14:textId="210AB44F">
      <w:r>
        <w:t xml:space="preserve">Bent u bereid te bezien wat de mogelijkheden zijn om gebieden aan te wijzen, zoals de Kampereilanden, waar meer ruimte kan komen voor niet riviergebonden activiteiten, zoals in de grondgebonden agrarische sector, zo nodig met compenserende maatregelen in de vorm van extra waterberging elders, waarbij de toekomstige waterveiligheid geborgd blijft?  </w:t>
      </w:r>
    </w:p>
    <w:p w:rsidR="00715367" w:rsidP="00715367" w:rsidRDefault="00715367" w14:paraId="60903CA4" w14:textId="77777777"/>
    <w:p w:rsidRPr="00715367" w:rsidR="00715367" w:rsidP="00715367" w:rsidRDefault="00715367" w14:paraId="1945FA56" w14:textId="2E99F579">
      <w:pPr>
        <w:rPr>
          <w:b/>
          <w:bCs/>
        </w:rPr>
      </w:pPr>
      <w:r w:rsidRPr="00715367">
        <w:rPr>
          <w:b/>
          <w:bCs/>
        </w:rPr>
        <w:t>Antwoord 12</w:t>
      </w:r>
    </w:p>
    <w:p w:rsidR="00715367" w:rsidP="00715367" w:rsidRDefault="003E30F6" w14:paraId="6AC1D61E" w14:textId="26080755">
      <w:r>
        <w:t xml:space="preserve">Ja. </w:t>
      </w:r>
      <w:r w:rsidR="00715367">
        <w:t xml:space="preserve">Zoals </w:t>
      </w:r>
      <w:r w:rsidR="008F0E80">
        <w:t>is</w:t>
      </w:r>
      <w:r w:rsidR="00715367">
        <w:t xml:space="preserve"> aangegeven in het antwoord op vraag 10 </w:t>
      </w:r>
      <w:r w:rsidR="00806A6E">
        <w:t>wordt</w:t>
      </w:r>
      <w:r w:rsidR="00715367">
        <w:t xml:space="preserve"> dit jaar </w:t>
      </w:r>
      <w:r w:rsidR="00806A6E">
        <w:t xml:space="preserve">gestart met </w:t>
      </w:r>
      <w:r w:rsidR="00715367">
        <w:t>nader onderzoek naar de begrenzing van een aantal specifieke gebieden, waaronder Kampereiland, de Afgedamde Maas en Hollandse IJssel.</w:t>
      </w:r>
      <w:r w:rsidR="00764E31">
        <w:t xml:space="preserve"> Verder </w:t>
      </w:r>
      <w:r>
        <w:t>blijven er</w:t>
      </w:r>
      <w:r w:rsidR="00764E31">
        <w:t xml:space="preserve"> </w:t>
      </w:r>
      <w:r>
        <w:t xml:space="preserve">op grond van de nieuwe Bgr in het gehele rivierbed ontwikkelmogelijkheden voor de grondgebonde agrarische sector. Zie </w:t>
      </w:r>
      <w:r w:rsidR="00806A6E">
        <w:t xml:space="preserve">ook het </w:t>
      </w:r>
      <w:r>
        <w:t>antwoord op onder andere vrag</w:t>
      </w:r>
      <w:r w:rsidR="00806A6E">
        <w:t>en</w:t>
      </w:r>
      <w:r>
        <w:t xml:space="preserve"> 4 en 8.</w:t>
      </w:r>
    </w:p>
    <w:p w:rsidR="00715367" w:rsidP="00715367" w:rsidRDefault="00715367" w14:paraId="29402679" w14:textId="77777777"/>
    <w:p w:rsidRPr="00715367" w:rsidR="00715367" w:rsidP="00715367" w:rsidRDefault="00715367" w14:paraId="6AABA356" w14:textId="77777777">
      <w:pPr>
        <w:rPr>
          <w:b/>
          <w:bCs/>
        </w:rPr>
      </w:pPr>
      <w:r w:rsidRPr="00715367">
        <w:rPr>
          <w:b/>
          <w:bCs/>
        </w:rPr>
        <w:t xml:space="preserve">Vraag 13 </w:t>
      </w:r>
    </w:p>
    <w:p w:rsidR="00715367" w:rsidP="00715367" w:rsidRDefault="00715367" w14:paraId="1D10C72D" w14:textId="3AB91D73">
      <w:r>
        <w:t>Bent u bereid te bezien wat de mogelijkheden zijn om bestaande agrarische bedrijven in overloopgebieden ruimte te geven om hun bedrijfslocatie aan te passen aan de wettelijke eisen en maatschappelijke opgaven?</w:t>
      </w:r>
    </w:p>
    <w:p w:rsidRPr="00715367" w:rsidR="00715367" w:rsidP="00715367" w:rsidRDefault="00715367" w14:paraId="5BE4CC0A" w14:textId="77777777">
      <w:pPr>
        <w:rPr>
          <w:b/>
          <w:bCs/>
        </w:rPr>
      </w:pPr>
    </w:p>
    <w:p w:rsidRPr="00715367" w:rsidR="00715367" w:rsidP="00715367" w:rsidRDefault="00715367" w14:paraId="57975FF0" w14:textId="7D6CB5BD">
      <w:pPr>
        <w:rPr>
          <w:b/>
          <w:bCs/>
        </w:rPr>
      </w:pPr>
      <w:r w:rsidRPr="00715367">
        <w:rPr>
          <w:b/>
          <w:bCs/>
        </w:rPr>
        <w:t>Antwoord 13</w:t>
      </w:r>
    </w:p>
    <w:p w:rsidR="00715367" w:rsidP="00715367" w:rsidRDefault="003E30F6" w14:paraId="27B5CD4F" w14:textId="1D265EF8">
      <w:r>
        <w:t>Ja, da</w:t>
      </w:r>
      <w:r w:rsidR="00764E31">
        <w:t>ar is reeds in voorzien</w:t>
      </w:r>
      <w:r w:rsidR="00715367">
        <w:t xml:space="preserve">. Deze mogelijkheden biedt de nieuwe Bgr nog steeds, zie </w:t>
      </w:r>
      <w:r w:rsidR="00806A6E">
        <w:t xml:space="preserve">de antwoorden op </w:t>
      </w:r>
      <w:r w:rsidR="00715367">
        <w:t>vrag</w:t>
      </w:r>
      <w:r w:rsidR="00806A6E">
        <w:t>en</w:t>
      </w:r>
      <w:r w:rsidR="00715367">
        <w:t xml:space="preserve"> 4 en 8. </w:t>
      </w:r>
    </w:p>
    <w:p w:rsidR="00715367" w:rsidP="00715367" w:rsidRDefault="00715367" w14:paraId="04921FE0" w14:textId="77777777"/>
    <w:p w:rsidRPr="00715367" w:rsidR="00715367" w:rsidP="00715367" w:rsidRDefault="00715367" w14:paraId="200E016A" w14:textId="77777777">
      <w:pPr>
        <w:rPr>
          <w:b/>
          <w:bCs/>
        </w:rPr>
      </w:pPr>
      <w:r w:rsidRPr="00715367">
        <w:rPr>
          <w:b/>
          <w:bCs/>
        </w:rPr>
        <w:t>Vraag 14</w:t>
      </w:r>
    </w:p>
    <w:p w:rsidR="00715367" w:rsidP="00715367" w:rsidRDefault="00715367" w14:paraId="74DD957C" w14:textId="6A8F8C80">
      <w:r>
        <w:t>Gaat u in overleg met betrokken gemeenten en de agrarische sector over de mogelijkheden om onnodig grote gevolgen van de te wijzigen Beleidslijn Grote Rivieren, en daarmee samenhangende regelgeving, te voorkomen?</w:t>
      </w:r>
    </w:p>
    <w:p w:rsidR="00715367" w:rsidP="00715367" w:rsidRDefault="00715367" w14:paraId="74F28DC2" w14:textId="77777777"/>
    <w:p w:rsidRPr="00715367" w:rsidR="00715367" w:rsidP="00715367" w:rsidRDefault="00715367" w14:paraId="4CB125E5" w14:textId="30F5701C">
      <w:pPr>
        <w:rPr>
          <w:b/>
          <w:bCs/>
        </w:rPr>
      </w:pPr>
      <w:r w:rsidRPr="00715367">
        <w:rPr>
          <w:b/>
          <w:bCs/>
        </w:rPr>
        <w:t>Antwoord 14</w:t>
      </w:r>
    </w:p>
    <w:p w:rsidR="00715367" w:rsidP="00715367" w:rsidRDefault="00806A6E" w14:paraId="73BCB054" w14:textId="43F2CF98">
      <w:r>
        <w:t>De</w:t>
      </w:r>
      <w:r w:rsidR="00764E31">
        <w:t xml:space="preserve"> verwachting is dat er geen sprake zal zijn van grote gevolgen voor de grondgebonden agrarische sector</w:t>
      </w:r>
      <w:r w:rsidR="00715367">
        <w:t xml:space="preserve">. Mocht dit desondanks in een bepaalde situatie toch het geval zijn, dan </w:t>
      </w:r>
      <w:r>
        <w:t xml:space="preserve">is er uiteraard de bereidheid om </w:t>
      </w:r>
      <w:r w:rsidR="00715367">
        <w:t>hierover in overleg te treden.</w:t>
      </w:r>
    </w:p>
    <w:p w:rsidR="00715367" w:rsidP="00715367" w:rsidRDefault="00715367" w14:paraId="28C57124" w14:textId="77777777"/>
    <w:p w:rsidRPr="00715367" w:rsidR="00715367" w:rsidP="00715367" w:rsidRDefault="00715367" w14:paraId="40CE84C7" w14:textId="77777777">
      <w:pPr>
        <w:rPr>
          <w:b/>
          <w:bCs/>
        </w:rPr>
      </w:pPr>
      <w:r w:rsidRPr="00715367">
        <w:rPr>
          <w:b/>
          <w:bCs/>
        </w:rPr>
        <w:t xml:space="preserve">Vraag 15 </w:t>
      </w:r>
    </w:p>
    <w:p w:rsidR="00715367" w:rsidP="00715367" w:rsidRDefault="00715367" w14:paraId="399237D6" w14:textId="5B82B7B5">
      <w:r>
        <w:t xml:space="preserve">Hoe worden agrarische bedrijven financieel gecompenseerd of anderszins perspectief geboden, mocht de voorgenomen wijziging doorgezet worden?  </w:t>
      </w:r>
    </w:p>
    <w:p w:rsidR="00715367" w:rsidP="00715367" w:rsidRDefault="00715367" w14:paraId="24D3A89A" w14:textId="77777777"/>
    <w:p w:rsidRPr="00715367" w:rsidR="00715367" w:rsidP="00715367" w:rsidRDefault="00715367" w14:paraId="024362AE" w14:textId="77777777">
      <w:pPr>
        <w:rPr>
          <w:b/>
          <w:bCs/>
        </w:rPr>
      </w:pPr>
      <w:r w:rsidRPr="00715367">
        <w:rPr>
          <w:b/>
          <w:bCs/>
        </w:rPr>
        <w:t>Antwoord 15</w:t>
      </w:r>
    </w:p>
    <w:p w:rsidR="00806A6E" w:rsidP="00715367" w:rsidRDefault="00715367" w14:paraId="695A73A0" w14:textId="77777777">
      <w:r>
        <w:t>De grondgebonden agrarische sector wordt nog steeds perspectief geboden, door de uitzonderingsmogelijkheden die daarvoor expliciet in de nieuwe Bgr zijn opgenomen, zie</w:t>
      </w:r>
      <w:r w:rsidR="00806A6E">
        <w:t xml:space="preserve"> het antwoord op</w:t>
      </w:r>
      <w:r>
        <w:t xml:space="preserve"> vraag 4. </w:t>
      </w:r>
    </w:p>
    <w:p w:rsidR="00715367" w:rsidP="00715367" w:rsidRDefault="00715367" w14:paraId="3974EAB4" w14:textId="57513D41">
      <w:r>
        <w:t xml:space="preserve">Daarnaast geldt in algemene zin dat op grond van </w:t>
      </w:r>
      <w:r w:rsidR="00806A6E">
        <w:t>a</w:t>
      </w:r>
      <w:r>
        <w:t>rtikel 15.1 van de Omgevingswet iedereen het recht heeft om een verzoek tot schadevergoeding in te dienen</w:t>
      </w:r>
      <w:r w:rsidR="00806A6E">
        <w:t xml:space="preserve"> indien daartoe een aanleiding mocht bestaan</w:t>
      </w:r>
      <w:r>
        <w:t>.</w:t>
      </w:r>
    </w:p>
    <w:p w:rsidRPr="00960927" w:rsidR="00960927" w:rsidP="00960927" w:rsidRDefault="00960927" w14:paraId="5AC3DC24" w14:textId="77777777">
      <w:r w:rsidRPr="00960927">
        <w:br/>
      </w:r>
    </w:p>
    <w:p w:rsidRPr="00960927" w:rsidR="00960927" w:rsidP="00960927" w:rsidRDefault="00960927" w14:paraId="26E14897" w14:textId="6E2D6960">
      <w:r w:rsidRPr="00960927">
        <w:br/>
      </w:r>
    </w:p>
    <w:p w:rsidRPr="00960927" w:rsidR="00960927" w:rsidP="00960927" w:rsidRDefault="00960927" w14:paraId="2BAA97D5" w14:textId="77777777"/>
    <w:p w:rsidRPr="008F460A" w:rsidR="005B1C08" w:rsidRDefault="005B1C08" w14:paraId="126D35F7" w14:textId="77777777"/>
    <w:sectPr w:rsidRPr="008F460A" w:rsidR="005B1C0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8CBB4" w14:textId="77777777" w:rsidR="00956100" w:rsidRDefault="00956100">
      <w:pPr>
        <w:spacing w:line="240" w:lineRule="auto"/>
      </w:pPr>
      <w:r>
        <w:separator/>
      </w:r>
    </w:p>
  </w:endnote>
  <w:endnote w:type="continuationSeparator" w:id="0">
    <w:p w14:paraId="53249950" w14:textId="77777777" w:rsidR="00956100" w:rsidRDefault="00956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D5923" w14:textId="77777777" w:rsidR="000C2015" w:rsidRDefault="000C2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02316" w14:textId="77777777" w:rsidR="000C2015" w:rsidRDefault="000C2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580A4" w14:textId="77777777" w:rsidR="000C2015" w:rsidRDefault="000C2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90A7E" w14:textId="77777777" w:rsidR="00956100" w:rsidRDefault="00956100">
      <w:pPr>
        <w:spacing w:line="240" w:lineRule="auto"/>
      </w:pPr>
      <w:r>
        <w:separator/>
      </w:r>
    </w:p>
  </w:footnote>
  <w:footnote w:type="continuationSeparator" w:id="0">
    <w:p w14:paraId="4D724D2A" w14:textId="77777777" w:rsidR="00956100" w:rsidRDefault="00956100">
      <w:pPr>
        <w:spacing w:line="240" w:lineRule="auto"/>
      </w:pPr>
      <w:r>
        <w:continuationSeparator/>
      </w:r>
    </w:p>
  </w:footnote>
  <w:footnote w:id="1">
    <w:p w14:paraId="034926F7" w14:textId="41CF88D7" w:rsidR="008F0E80" w:rsidRPr="008F0E80" w:rsidRDefault="008F0E80">
      <w:pPr>
        <w:pStyle w:val="FootnoteText"/>
        <w:rPr>
          <w:sz w:val="16"/>
          <w:szCs w:val="16"/>
        </w:rPr>
      </w:pPr>
      <w:r w:rsidRPr="008F0E80">
        <w:rPr>
          <w:rStyle w:val="FootnoteReference"/>
          <w:sz w:val="16"/>
          <w:szCs w:val="16"/>
        </w:rPr>
        <w:footnoteRef/>
      </w:r>
      <w:r w:rsidRPr="008F0E80">
        <w:rPr>
          <w:sz w:val="16"/>
          <w:szCs w:val="16"/>
        </w:rPr>
        <w:t xml:space="preserve"> De Stentor, 7 januari 2025, Adempauze voor dit oude boerengebied, maar de gevreesde «doodsteek» hangt nog altijd in de lucht</w:t>
      </w:r>
    </w:p>
  </w:footnote>
  <w:footnote w:id="2">
    <w:p w14:paraId="6D359FD3" w14:textId="22821191" w:rsidR="001958E0" w:rsidRDefault="001958E0">
      <w:pPr>
        <w:pStyle w:val="FootnoteText"/>
      </w:pPr>
      <w:r>
        <w:rPr>
          <w:rStyle w:val="FootnoteReference"/>
        </w:rPr>
        <w:footnoteRef/>
      </w:r>
      <w:r>
        <w:t xml:space="preserve"> </w:t>
      </w:r>
      <w:r w:rsidRPr="001958E0">
        <w:rPr>
          <w:sz w:val="16"/>
          <w:szCs w:val="16"/>
        </w:rPr>
        <w:t>TwynstraGudde en Sweco, Eindrapport Actualisatie Beleidslijn grote rivieren, 27 september 2023</w:t>
      </w:r>
      <w:r w:rsidR="00887451">
        <w:rPr>
          <w:sz w:val="16"/>
          <w:szCs w:val="16"/>
        </w:rPr>
        <w:t xml:space="preserve"> (</w:t>
      </w:r>
      <w:r w:rsidR="00887451" w:rsidRPr="00887451">
        <w:rPr>
          <w:sz w:val="16"/>
          <w:szCs w:val="16"/>
        </w:rPr>
        <w:t>https://open.overheid.nl/documenten/bbb843b0-9400-46cb-8a03-50a246719b34/file</w:t>
      </w:r>
      <w:r w:rsidR="00887451">
        <w:rPr>
          <w:sz w:val="16"/>
          <w:szCs w:val="16"/>
        </w:rPr>
        <w:t>)</w:t>
      </w:r>
      <w:r>
        <w:rPr>
          <w:sz w:val="16"/>
          <w:szCs w:val="16"/>
        </w:rPr>
        <w:t xml:space="preserve">, gereviewd door </w:t>
      </w:r>
      <w:r w:rsidRPr="001958E0">
        <w:rPr>
          <w:sz w:val="16"/>
          <w:szCs w:val="16"/>
        </w:rPr>
        <w:t>Expertise Netwerk Waterveiligheid, Advies actualisatie Beleidslijn grote rivieren, 23 november 2023</w:t>
      </w:r>
      <w:r>
        <w:rPr>
          <w:sz w:val="16"/>
          <w:szCs w:val="16"/>
        </w:rPr>
        <w:t xml:space="preserve"> </w:t>
      </w:r>
      <w:r w:rsidR="00806A6E">
        <w:rPr>
          <w:sz w:val="16"/>
          <w:szCs w:val="16"/>
        </w:rPr>
        <w:t>(</w:t>
      </w:r>
      <w:r w:rsidR="00806A6E" w:rsidRPr="00806A6E">
        <w:rPr>
          <w:sz w:val="16"/>
          <w:szCs w:val="16"/>
        </w:rPr>
        <w:t>https://www.enwinfo.nl/adviezen/advies-actualisatie-beleidslijn-grote-rivieren/</w:t>
      </w:r>
      <w:r w:rsidR="00806A6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E9898" w14:textId="77777777" w:rsidR="000C2015" w:rsidRDefault="000C2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C34E" w14:textId="77777777" w:rsidR="005B1C08" w:rsidRDefault="000C2015">
    <w:r>
      <w:rPr>
        <w:noProof/>
        <w:lang w:val="en-GB" w:eastAsia="en-GB"/>
      </w:rPr>
      <mc:AlternateContent>
        <mc:Choice Requires="wps">
          <w:drawing>
            <wp:anchor distT="0" distB="0" distL="0" distR="0" simplePos="0" relativeHeight="251651584" behindDoc="0" locked="1" layoutInCell="1" allowOverlap="1" wp14:anchorId="620A3A97" wp14:editId="3D76AFB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EC63487" w14:textId="77777777" w:rsidR="005B1C08" w:rsidRDefault="000C2015">
                          <w:pPr>
                            <w:pStyle w:val="AfzendgegevensKop0"/>
                          </w:pPr>
                          <w:r>
                            <w:t>Ministerie van Infrastructuur en Waterstaat</w:t>
                          </w:r>
                        </w:p>
                        <w:p w14:paraId="65E20E90" w14:textId="77777777" w:rsidR="000C2015" w:rsidRDefault="000C2015" w:rsidP="000C2015"/>
                        <w:p w14:paraId="4474B402" w14:textId="77777777" w:rsidR="000C2015" w:rsidRPr="00960927" w:rsidRDefault="000C2015" w:rsidP="000C2015">
                          <w:pPr>
                            <w:spacing w:line="240" w:lineRule="auto"/>
                            <w:rPr>
                              <w:b/>
                              <w:bCs/>
                              <w:sz w:val="13"/>
                              <w:szCs w:val="13"/>
                            </w:rPr>
                          </w:pPr>
                          <w:r w:rsidRPr="00960927">
                            <w:rPr>
                              <w:b/>
                              <w:bCs/>
                              <w:sz w:val="13"/>
                              <w:szCs w:val="13"/>
                            </w:rPr>
                            <w:t>Ons kenmerk</w:t>
                          </w:r>
                        </w:p>
                        <w:p w14:paraId="4C2A8FCF" w14:textId="77777777" w:rsidR="000C2015" w:rsidRPr="00960927" w:rsidRDefault="000C2015" w:rsidP="000C2015">
                          <w:pPr>
                            <w:spacing w:line="240" w:lineRule="auto"/>
                            <w:rPr>
                              <w:sz w:val="13"/>
                              <w:szCs w:val="13"/>
                            </w:rPr>
                          </w:pPr>
                          <w:r w:rsidRPr="00960927">
                            <w:rPr>
                              <w:sz w:val="13"/>
                              <w:szCs w:val="13"/>
                            </w:rPr>
                            <w:t>IENW/BSK-2025/</w:t>
                          </w:r>
                          <w:r>
                            <w:rPr>
                              <w:sz w:val="13"/>
                              <w:szCs w:val="13"/>
                            </w:rPr>
                            <w:t>20309</w:t>
                          </w:r>
                        </w:p>
                        <w:p w14:paraId="6BAF7051" w14:textId="77777777" w:rsidR="000C2015" w:rsidRPr="000C2015" w:rsidRDefault="000C2015" w:rsidP="000C2015"/>
                      </w:txbxContent>
                    </wps:txbx>
                    <wps:bodyPr vert="horz" wrap="square" lIns="0" tIns="0" rIns="0" bIns="0" anchor="t" anchorCtr="0"/>
                  </wps:wsp>
                </a:graphicData>
              </a:graphic>
            </wp:anchor>
          </w:drawing>
        </mc:Choice>
        <mc:Fallback>
          <w:pict>
            <v:shapetype w14:anchorId="620A3A9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EC63487" w14:textId="77777777" w:rsidR="005B1C08" w:rsidRDefault="000C2015">
                    <w:pPr>
                      <w:pStyle w:val="AfzendgegevensKop0"/>
                    </w:pPr>
                    <w:r>
                      <w:t>Ministerie van Infrastructuur en Waterstaat</w:t>
                    </w:r>
                  </w:p>
                  <w:p w14:paraId="65E20E90" w14:textId="77777777" w:rsidR="000C2015" w:rsidRDefault="000C2015" w:rsidP="000C2015"/>
                  <w:p w14:paraId="4474B402" w14:textId="77777777" w:rsidR="000C2015" w:rsidRPr="00960927" w:rsidRDefault="000C2015" w:rsidP="000C2015">
                    <w:pPr>
                      <w:spacing w:line="240" w:lineRule="auto"/>
                      <w:rPr>
                        <w:b/>
                        <w:bCs/>
                        <w:sz w:val="13"/>
                        <w:szCs w:val="13"/>
                      </w:rPr>
                    </w:pPr>
                    <w:r w:rsidRPr="00960927">
                      <w:rPr>
                        <w:b/>
                        <w:bCs/>
                        <w:sz w:val="13"/>
                        <w:szCs w:val="13"/>
                      </w:rPr>
                      <w:t>Ons kenmerk</w:t>
                    </w:r>
                  </w:p>
                  <w:p w14:paraId="4C2A8FCF" w14:textId="77777777" w:rsidR="000C2015" w:rsidRPr="00960927" w:rsidRDefault="000C2015" w:rsidP="000C2015">
                    <w:pPr>
                      <w:spacing w:line="240" w:lineRule="auto"/>
                      <w:rPr>
                        <w:sz w:val="13"/>
                        <w:szCs w:val="13"/>
                      </w:rPr>
                    </w:pPr>
                    <w:r w:rsidRPr="00960927">
                      <w:rPr>
                        <w:sz w:val="13"/>
                        <w:szCs w:val="13"/>
                      </w:rPr>
                      <w:t>IENW/BSK-2025/</w:t>
                    </w:r>
                    <w:r>
                      <w:rPr>
                        <w:sz w:val="13"/>
                        <w:szCs w:val="13"/>
                      </w:rPr>
                      <w:t>20309</w:t>
                    </w:r>
                  </w:p>
                  <w:p w14:paraId="6BAF7051" w14:textId="77777777" w:rsidR="000C2015" w:rsidRPr="000C2015" w:rsidRDefault="000C2015" w:rsidP="000C201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D3EBDF2" wp14:editId="3B09999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042D95" w14:textId="77777777" w:rsidR="005B1C08" w:rsidRDefault="000C2015">
                          <w:pPr>
                            <w:pStyle w:val="Referentiegegevens"/>
                          </w:pPr>
                          <w:r>
                            <w:t xml:space="preserve">Pagina </w:t>
                          </w:r>
                          <w:r>
                            <w:fldChar w:fldCharType="begin"/>
                          </w:r>
                          <w:r>
                            <w:instrText>PAGE</w:instrText>
                          </w:r>
                          <w:r>
                            <w:fldChar w:fldCharType="separate"/>
                          </w:r>
                          <w:r w:rsidR="00960927">
                            <w:rPr>
                              <w:noProof/>
                            </w:rPr>
                            <w:t>1</w:t>
                          </w:r>
                          <w:r>
                            <w:fldChar w:fldCharType="end"/>
                          </w:r>
                          <w:r>
                            <w:t xml:space="preserve"> van </w:t>
                          </w:r>
                          <w:r>
                            <w:fldChar w:fldCharType="begin"/>
                          </w:r>
                          <w:r>
                            <w:instrText>NUMPAGES</w:instrText>
                          </w:r>
                          <w:r>
                            <w:fldChar w:fldCharType="separate"/>
                          </w:r>
                          <w:r w:rsidR="00960927">
                            <w:rPr>
                              <w:noProof/>
                            </w:rPr>
                            <w:t>1</w:t>
                          </w:r>
                          <w:r>
                            <w:fldChar w:fldCharType="end"/>
                          </w:r>
                        </w:p>
                      </w:txbxContent>
                    </wps:txbx>
                    <wps:bodyPr vert="horz" wrap="square" lIns="0" tIns="0" rIns="0" bIns="0" anchor="t" anchorCtr="0"/>
                  </wps:wsp>
                </a:graphicData>
              </a:graphic>
            </wp:anchor>
          </w:drawing>
        </mc:Choice>
        <mc:Fallback>
          <w:pict>
            <v:shape w14:anchorId="0D3EBDF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1042D95" w14:textId="77777777" w:rsidR="005B1C08" w:rsidRDefault="000C2015">
                    <w:pPr>
                      <w:pStyle w:val="Referentiegegevens"/>
                    </w:pPr>
                    <w:r>
                      <w:t xml:space="preserve">Pagina </w:t>
                    </w:r>
                    <w:r>
                      <w:fldChar w:fldCharType="begin"/>
                    </w:r>
                    <w:r>
                      <w:instrText>PAGE</w:instrText>
                    </w:r>
                    <w:r>
                      <w:fldChar w:fldCharType="separate"/>
                    </w:r>
                    <w:r w:rsidR="00960927">
                      <w:rPr>
                        <w:noProof/>
                      </w:rPr>
                      <w:t>1</w:t>
                    </w:r>
                    <w:r>
                      <w:fldChar w:fldCharType="end"/>
                    </w:r>
                    <w:r>
                      <w:t xml:space="preserve"> van </w:t>
                    </w:r>
                    <w:r>
                      <w:fldChar w:fldCharType="begin"/>
                    </w:r>
                    <w:r>
                      <w:instrText>NUMPAGES</w:instrText>
                    </w:r>
                    <w:r>
                      <w:fldChar w:fldCharType="separate"/>
                    </w:r>
                    <w:r w:rsidR="0096092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A5559C4" wp14:editId="3761AB5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7EBF70" w14:textId="77777777" w:rsidR="005F1BB3" w:rsidRDefault="005F1BB3"/>
                      </w:txbxContent>
                    </wps:txbx>
                    <wps:bodyPr vert="horz" wrap="square" lIns="0" tIns="0" rIns="0" bIns="0" anchor="t" anchorCtr="0"/>
                  </wps:wsp>
                </a:graphicData>
              </a:graphic>
            </wp:anchor>
          </w:drawing>
        </mc:Choice>
        <mc:Fallback>
          <w:pict>
            <v:shape w14:anchorId="7A5559C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F7EBF70" w14:textId="77777777" w:rsidR="005F1BB3" w:rsidRDefault="005F1BB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8F6FB41" wp14:editId="7611AD8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6FC9A4C" w14:textId="77777777" w:rsidR="005F1BB3" w:rsidRDefault="005F1BB3"/>
                      </w:txbxContent>
                    </wps:txbx>
                    <wps:bodyPr vert="horz" wrap="square" lIns="0" tIns="0" rIns="0" bIns="0" anchor="t" anchorCtr="0"/>
                  </wps:wsp>
                </a:graphicData>
              </a:graphic>
            </wp:anchor>
          </w:drawing>
        </mc:Choice>
        <mc:Fallback>
          <w:pict>
            <v:shape w14:anchorId="38F6FB4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6FC9A4C" w14:textId="77777777" w:rsidR="005F1BB3" w:rsidRDefault="005F1BB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2C55" w14:textId="77777777" w:rsidR="005B1C08" w:rsidRDefault="000C201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F39ECE1" wp14:editId="0C41447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A71926E" w14:textId="77777777" w:rsidR="005F1BB3" w:rsidRDefault="005F1BB3"/>
                      </w:txbxContent>
                    </wps:txbx>
                    <wps:bodyPr vert="horz" wrap="square" lIns="0" tIns="0" rIns="0" bIns="0" anchor="t" anchorCtr="0"/>
                  </wps:wsp>
                </a:graphicData>
              </a:graphic>
            </wp:anchor>
          </w:drawing>
        </mc:Choice>
        <mc:Fallback>
          <w:pict>
            <v:shapetype w14:anchorId="1F39ECE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A71926E" w14:textId="77777777" w:rsidR="005F1BB3" w:rsidRDefault="005F1BB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EEB4837" wp14:editId="633E436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3174A9" w14:textId="0D476EAE" w:rsidR="005B1C08" w:rsidRDefault="000C2015">
                          <w:pPr>
                            <w:pStyle w:val="Referentiegegevens"/>
                          </w:pPr>
                          <w:r>
                            <w:t xml:space="preserve">Pagina </w:t>
                          </w:r>
                          <w:r>
                            <w:fldChar w:fldCharType="begin"/>
                          </w:r>
                          <w:r>
                            <w:instrText>PAGE</w:instrText>
                          </w:r>
                          <w:r>
                            <w:fldChar w:fldCharType="separate"/>
                          </w:r>
                          <w:r w:rsidR="0054446F">
                            <w:rPr>
                              <w:noProof/>
                            </w:rPr>
                            <w:t>1</w:t>
                          </w:r>
                          <w:r>
                            <w:fldChar w:fldCharType="end"/>
                          </w:r>
                          <w:r>
                            <w:t xml:space="preserve"> van </w:t>
                          </w:r>
                          <w:r>
                            <w:fldChar w:fldCharType="begin"/>
                          </w:r>
                          <w:r>
                            <w:instrText>NUMPAGES</w:instrText>
                          </w:r>
                          <w:r>
                            <w:fldChar w:fldCharType="separate"/>
                          </w:r>
                          <w:r w:rsidR="0054446F">
                            <w:rPr>
                              <w:noProof/>
                            </w:rPr>
                            <w:t>1</w:t>
                          </w:r>
                          <w:r>
                            <w:fldChar w:fldCharType="end"/>
                          </w:r>
                        </w:p>
                      </w:txbxContent>
                    </wps:txbx>
                    <wps:bodyPr vert="horz" wrap="square" lIns="0" tIns="0" rIns="0" bIns="0" anchor="t" anchorCtr="0"/>
                  </wps:wsp>
                </a:graphicData>
              </a:graphic>
            </wp:anchor>
          </w:drawing>
        </mc:Choice>
        <mc:Fallback>
          <w:pict>
            <v:shape w14:anchorId="3EEB483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33174A9" w14:textId="0D476EAE" w:rsidR="005B1C08" w:rsidRDefault="000C2015">
                    <w:pPr>
                      <w:pStyle w:val="Referentiegegevens"/>
                    </w:pPr>
                    <w:r>
                      <w:t xml:space="preserve">Pagina </w:t>
                    </w:r>
                    <w:r>
                      <w:fldChar w:fldCharType="begin"/>
                    </w:r>
                    <w:r>
                      <w:instrText>PAGE</w:instrText>
                    </w:r>
                    <w:r>
                      <w:fldChar w:fldCharType="separate"/>
                    </w:r>
                    <w:r w:rsidR="0054446F">
                      <w:rPr>
                        <w:noProof/>
                      </w:rPr>
                      <w:t>1</w:t>
                    </w:r>
                    <w:r>
                      <w:fldChar w:fldCharType="end"/>
                    </w:r>
                    <w:r>
                      <w:t xml:space="preserve"> van </w:t>
                    </w:r>
                    <w:r>
                      <w:fldChar w:fldCharType="begin"/>
                    </w:r>
                    <w:r>
                      <w:instrText>NUMPAGES</w:instrText>
                    </w:r>
                    <w:r>
                      <w:fldChar w:fldCharType="separate"/>
                    </w:r>
                    <w:r w:rsidR="0054446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6AD26C0" wp14:editId="1BB48D8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5C027A" w14:textId="77777777" w:rsidR="005B1C08" w:rsidRDefault="000C2015">
                          <w:pPr>
                            <w:pStyle w:val="AfzendgegevensKop0"/>
                          </w:pPr>
                          <w:r>
                            <w:t>Ministerie van Infrastructuur en Waterstaat</w:t>
                          </w:r>
                        </w:p>
                        <w:p w14:paraId="35D7C502" w14:textId="77777777" w:rsidR="005B1C08" w:rsidRDefault="005B1C08">
                          <w:pPr>
                            <w:pStyle w:val="WitregelW1"/>
                          </w:pPr>
                        </w:p>
                        <w:p w14:paraId="31ADAA87" w14:textId="77777777" w:rsidR="005B1C08" w:rsidRDefault="000C2015">
                          <w:pPr>
                            <w:pStyle w:val="Afzendgegevens"/>
                          </w:pPr>
                          <w:r>
                            <w:t>Rijnstraat 8</w:t>
                          </w:r>
                        </w:p>
                        <w:p w14:paraId="6E73DDD9" w14:textId="77777777" w:rsidR="005B1C08" w:rsidRPr="00960927" w:rsidRDefault="000C2015">
                          <w:pPr>
                            <w:pStyle w:val="Afzendgegevens"/>
                            <w:rPr>
                              <w:lang w:val="de-DE"/>
                            </w:rPr>
                          </w:pPr>
                          <w:r w:rsidRPr="00960927">
                            <w:rPr>
                              <w:lang w:val="de-DE"/>
                            </w:rPr>
                            <w:t>2515 XP  Den Haag</w:t>
                          </w:r>
                        </w:p>
                        <w:p w14:paraId="6E12C1BE" w14:textId="77777777" w:rsidR="005B1C08" w:rsidRPr="00960927" w:rsidRDefault="000C2015">
                          <w:pPr>
                            <w:pStyle w:val="Afzendgegevens"/>
                            <w:rPr>
                              <w:lang w:val="de-DE"/>
                            </w:rPr>
                          </w:pPr>
                          <w:r w:rsidRPr="00960927">
                            <w:rPr>
                              <w:lang w:val="de-DE"/>
                            </w:rPr>
                            <w:t>Postbus 20901</w:t>
                          </w:r>
                        </w:p>
                        <w:p w14:paraId="609F9639" w14:textId="77777777" w:rsidR="005B1C08" w:rsidRPr="00960927" w:rsidRDefault="000C2015">
                          <w:pPr>
                            <w:pStyle w:val="Afzendgegevens"/>
                            <w:rPr>
                              <w:lang w:val="de-DE"/>
                            </w:rPr>
                          </w:pPr>
                          <w:r w:rsidRPr="00960927">
                            <w:rPr>
                              <w:lang w:val="de-DE"/>
                            </w:rPr>
                            <w:t>2500 EX Den Haag</w:t>
                          </w:r>
                        </w:p>
                        <w:p w14:paraId="655300D1" w14:textId="77777777" w:rsidR="005B1C08" w:rsidRPr="00960927" w:rsidRDefault="005B1C08">
                          <w:pPr>
                            <w:pStyle w:val="WitregelW1"/>
                            <w:rPr>
                              <w:lang w:val="de-DE"/>
                            </w:rPr>
                          </w:pPr>
                        </w:p>
                        <w:p w14:paraId="3C533249" w14:textId="77777777" w:rsidR="005B1C08" w:rsidRPr="00960927" w:rsidRDefault="000C2015">
                          <w:pPr>
                            <w:pStyle w:val="Afzendgegevens"/>
                            <w:rPr>
                              <w:lang w:val="de-DE"/>
                            </w:rPr>
                          </w:pPr>
                          <w:r w:rsidRPr="00960927">
                            <w:rPr>
                              <w:lang w:val="de-DE"/>
                            </w:rPr>
                            <w:t>T   070-456 0000</w:t>
                          </w:r>
                        </w:p>
                        <w:p w14:paraId="5EBCE49F" w14:textId="77777777" w:rsidR="005B1C08" w:rsidRDefault="000C2015">
                          <w:pPr>
                            <w:pStyle w:val="Afzendgegevens"/>
                          </w:pPr>
                          <w:r>
                            <w:t>F   070-456 1111</w:t>
                          </w:r>
                        </w:p>
                        <w:p w14:paraId="47E1790D" w14:textId="77777777" w:rsidR="00960927" w:rsidRDefault="00960927" w:rsidP="00960927"/>
                        <w:p w14:paraId="537BE458" w14:textId="77777777" w:rsidR="00960927" w:rsidRPr="00960927" w:rsidRDefault="00960927" w:rsidP="00960927">
                          <w:pPr>
                            <w:spacing w:line="240" w:lineRule="auto"/>
                            <w:rPr>
                              <w:b/>
                              <w:bCs/>
                              <w:sz w:val="13"/>
                              <w:szCs w:val="13"/>
                            </w:rPr>
                          </w:pPr>
                          <w:r w:rsidRPr="00960927">
                            <w:rPr>
                              <w:b/>
                              <w:bCs/>
                              <w:sz w:val="13"/>
                              <w:szCs w:val="13"/>
                            </w:rPr>
                            <w:t>Ons kenmerk</w:t>
                          </w:r>
                        </w:p>
                        <w:p w14:paraId="52F3E2E7" w14:textId="01ACBA53" w:rsidR="00960927" w:rsidRPr="00960927" w:rsidRDefault="00960927" w:rsidP="00960927">
                          <w:pPr>
                            <w:spacing w:line="240" w:lineRule="auto"/>
                            <w:rPr>
                              <w:sz w:val="13"/>
                              <w:szCs w:val="13"/>
                            </w:rPr>
                          </w:pPr>
                          <w:r w:rsidRPr="00960927">
                            <w:rPr>
                              <w:sz w:val="13"/>
                              <w:szCs w:val="13"/>
                            </w:rPr>
                            <w:t>IENW/BSK-2025/</w:t>
                          </w:r>
                          <w:r w:rsidR="00D51916">
                            <w:rPr>
                              <w:sz w:val="13"/>
                              <w:szCs w:val="13"/>
                            </w:rPr>
                            <w:t>20309</w:t>
                          </w:r>
                        </w:p>
                        <w:p w14:paraId="4F363C2A" w14:textId="77777777" w:rsidR="00960927" w:rsidRDefault="00960927" w:rsidP="00960927">
                          <w:pPr>
                            <w:spacing w:line="240" w:lineRule="auto"/>
                            <w:rPr>
                              <w:sz w:val="13"/>
                              <w:szCs w:val="13"/>
                            </w:rPr>
                          </w:pPr>
                        </w:p>
                        <w:p w14:paraId="71549713" w14:textId="3B26812C" w:rsidR="00960927" w:rsidRPr="00960927" w:rsidRDefault="00960927" w:rsidP="00960927">
                          <w:pPr>
                            <w:spacing w:line="240" w:lineRule="auto"/>
                            <w:rPr>
                              <w:b/>
                              <w:bCs/>
                              <w:sz w:val="13"/>
                              <w:szCs w:val="13"/>
                            </w:rPr>
                          </w:pPr>
                          <w:r w:rsidRPr="00960927">
                            <w:rPr>
                              <w:b/>
                              <w:bCs/>
                              <w:sz w:val="13"/>
                              <w:szCs w:val="13"/>
                            </w:rPr>
                            <w:t>Uw kenmerk</w:t>
                          </w:r>
                        </w:p>
                        <w:p w14:paraId="5534A7F7" w14:textId="4E787067" w:rsidR="00960927" w:rsidRPr="00960927" w:rsidRDefault="00960927" w:rsidP="00960927">
                          <w:pPr>
                            <w:spacing w:line="240" w:lineRule="auto"/>
                            <w:rPr>
                              <w:sz w:val="13"/>
                              <w:szCs w:val="13"/>
                            </w:rPr>
                          </w:pPr>
                          <w:r w:rsidRPr="00960927">
                            <w:rPr>
                              <w:sz w:val="13"/>
                              <w:szCs w:val="13"/>
                            </w:rPr>
                            <w:t>2025Z00</w:t>
                          </w:r>
                          <w:r>
                            <w:rPr>
                              <w:sz w:val="13"/>
                              <w:szCs w:val="13"/>
                            </w:rPr>
                            <w:t>123</w:t>
                          </w:r>
                        </w:p>
                        <w:p w14:paraId="4B9A38C4" w14:textId="77777777" w:rsidR="00960927" w:rsidRDefault="00960927" w:rsidP="00960927">
                          <w:pPr>
                            <w:spacing w:line="240" w:lineRule="auto"/>
                            <w:rPr>
                              <w:sz w:val="13"/>
                              <w:szCs w:val="13"/>
                            </w:rPr>
                          </w:pPr>
                        </w:p>
                        <w:p w14:paraId="601C9681" w14:textId="6EAF0686" w:rsidR="00960927" w:rsidRPr="00960927" w:rsidRDefault="00960927" w:rsidP="00960927">
                          <w:pPr>
                            <w:spacing w:line="240" w:lineRule="auto"/>
                            <w:rPr>
                              <w:b/>
                              <w:bCs/>
                              <w:sz w:val="13"/>
                              <w:szCs w:val="13"/>
                            </w:rPr>
                          </w:pPr>
                          <w:r w:rsidRPr="00960927">
                            <w:rPr>
                              <w:b/>
                              <w:bCs/>
                              <w:sz w:val="13"/>
                              <w:szCs w:val="13"/>
                            </w:rPr>
                            <w:t>Bijlage(n)</w:t>
                          </w:r>
                        </w:p>
                        <w:p w14:paraId="4D4D3853" w14:textId="69F85A11" w:rsidR="00960927" w:rsidRPr="00960927" w:rsidRDefault="000C2015" w:rsidP="00960927">
                          <w:pPr>
                            <w:spacing w:line="240"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66AD26C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55C027A" w14:textId="77777777" w:rsidR="005B1C08" w:rsidRDefault="000C2015">
                    <w:pPr>
                      <w:pStyle w:val="AfzendgegevensKop0"/>
                    </w:pPr>
                    <w:r>
                      <w:t>Ministerie van Infrastructuur en Waterstaat</w:t>
                    </w:r>
                  </w:p>
                  <w:p w14:paraId="35D7C502" w14:textId="77777777" w:rsidR="005B1C08" w:rsidRDefault="005B1C08">
                    <w:pPr>
                      <w:pStyle w:val="WitregelW1"/>
                    </w:pPr>
                  </w:p>
                  <w:p w14:paraId="31ADAA87" w14:textId="77777777" w:rsidR="005B1C08" w:rsidRDefault="000C2015">
                    <w:pPr>
                      <w:pStyle w:val="Afzendgegevens"/>
                    </w:pPr>
                    <w:r>
                      <w:t>Rijnstraat 8</w:t>
                    </w:r>
                  </w:p>
                  <w:p w14:paraId="6E73DDD9" w14:textId="77777777" w:rsidR="005B1C08" w:rsidRPr="00960927" w:rsidRDefault="000C2015">
                    <w:pPr>
                      <w:pStyle w:val="Afzendgegevens"/>
                      <w:rPr>
                        <w:lang w:val="de-DE"/>
                      </w:rPr>
                    </w:pPr>
                    <w:r w:rsidRPr="00960927">
                      <w:rPr>
                        <w:lang w:val="de-DE"/>
                      </w:rPr>
                      <w:t>2515 XP  Den Haag</w:t>
                    </w:r>
                  </w:p>
                  <w:p w14:paraId="6E12C1BE" w14:textId="77777777" w:rsidR="005B1C08" w:rsidRPr="00960927" w:rsidRDefault="000C2015">
                    <w:pPr>
                      <w:pStyle w:val="Afzendgegevens"/>
                      <w:rPr>
                        <w:lang w:val="de-DE"/>
                      </w:rPr>
                    </w:pPr>
                    <w:r w:rsidRPr="00960927">
                      <w:rPr>
                        <w:lang w:val="de-DE"/>
                      </w:rPr>
                      <w:t>Postbus 20901</w:t>
                    </w:r>
                  </w:p>
                  <w:p w14:paraId="609F9639" w14:textId="77777777" w:rsidR="005B1C08" w:rsidRPr="00960927" w:rsidRDefault="000C2015">
                    <w:pPr>
                      <w:pStyle w:val="Afzendgegevens"/>
                      <w:rPr>
                        <w:lang w:val="de-DE"/>
                      </w:rPr>
                    </w:pPr>
                    <w:r w:rsidRPr="00960927">
                      <w:rPr>
                        <w:lang w:val="de-DE"/>
                      </w:rPr>
                      <w:t>2500 EX Den Haag</w:t>
                    </w:r>
                  </w:p>
                  <w:p w14:paraId="655300D1" w14:textId="77777777" w:rsidR="005B1C08" w:rsidRPr="00960927" w:rsidRDefault="005B1C08">
                    <w:pPr>
                      <w:pStyle w:val="WitregelW1"/>
                      <w:rPr>
                        <w:lang w:val="de-DE"/>
                      </w:rPr>
                    </w:pPr>
                  </w:p>
                  <w:p w14:paraId="3C533249" w14:textId="77777777" w:rsidR="005B1C08" w:rsidRPr="00960927" w:rsidRDefault="000C2015">
                    <w:pPr>
                      <w:pStyle w:val="Afzendgegevens"/>
                      <w:rPr>
                        <w:lang w:val="de-DE"/>
                      </w:rPr>
                    </w:pPr>
                    <w:r w:rsidRPr="00960927">
                      <w:rPr>
                        <w:lang w:val="de-DE"/>
                      </w:rPr>
                      <w:t>T   070-456 0000</w:t>
                    </w:r>
                  </w:p>
                  <w:p w14:paraId="5EBCE49F" w14:textId="77777777" w:rsidR="005B1C08" w:rsidRDefault="000C2015">
                    <w:pPr>
                      <w:pStyle w:val="Afzendgegevens"/>
                    </w:pPr>
                    <w:r>
                      <w:t>F   070-456 1111</w:t>
                    </w:r>
                  </w:p>
                  <w:p w14:paraId="47E1790D" w14:textId="77777777" w:rsidR="00960927" w:rsidRDefault="00960927" w:rsidP="00960927"/>
                  <w:p w14:paraId="537BE458" w14:textId="77777777" w:rsidR="00960927" w:rsidRPr="00960927" w:rsidRDefault="00960927" w:rsidP="00960927">
                    <w:pPr>
                      <w:spacing w:line="240" w:lineRule="auto"/>
                      <w:rPr>
                        <w:b/>
                        <w:bCs/>
                        <w:sz w:val="13"/>
                        <w:szCs w:val="13"/>
                      </w:rPr>
                    </w:pPr>
                    <w:r w:rsidRPr="00960927">
                      <w:rPr>
                        <w:b/>
                        <w:bCs/>
                        <w:sz w:val="13"/>
                        <w:szCs w:val="13"/>
                      </w:rPr>
                      <w:t>Ons kenmerk</w:t>
                    </w:r>
                  </w:p>
                  <w:p w14:paraId="52F3E2E7" w14:textId="01ACBA53" w:rsidR="00960927" w:rsidRPr="00960927" w:rsidRDefault="00960927" w:rsidP="00960927">
                    <w:pPr>
                      <w:spacing w:line="240" w:lineRule="auto"/>
                      <w:rPr>
                        <w:sz w:val="13"/>
                        <w:szCs w:val="13"/>
                      </w:rPr>
                    </w:pPr>
                    <w:r w:rsidRPr="00960927">
                      <w:rPr>
                        <w:sz w:val="13"/>
                        <w:szCs w:val="13"/>
                      </w:rPr>
                      <w:t>IENW/BSK-2025/</w:t>
                    </w:r>
                    <w:r w:rsidR="00D51916">
                      <w:rPr>
                        <w:sz w:val="13"/>
                        <w:szCs w:val="13"/>
                      </w:rPr>
                      <w:t>20309</w:t>
                    </w:r>
                  </w:p>
                  <w:p w14:paraId="4F363C2A" w14:textId="77777777" w:rsidR="00960927" w:rsidRDefault="00960927" w:rsidP="00960927">
                    <w:pPr>
                      <w:spacing w:line="240" w:lineRule="auto"/>
                      <w:rPr>
                        <w:sz w:val="13"/>
                        <w:szCs w:val="13"/>
                      </w:rPr>
                    </w:pPr>
                  </w:p>
                  <w:p w14:paraId="71549713" w14:textId="3B26812C" w:rsidR="00960927" w:rsidRPr="00960927" w:rsidRDefault="00960927" w:rsidP="00960927">
                    <w:pPr>
                      <w:spacing w:line="240" w:lineRule="auto"/>
                      <w:rPr>
                        <w:b/>
                        <w:bCs/>
                        <w:sz w:val="13"/>
                        <w:szCs w:val="13"/>
                      </w:rPr>
                    </w:pPr>
                    <w:r w:rsidRPr="00960927">
                      <w:rPr>
                        <w:b/>
                        <w:bCs/>
                        <w:sz w:val="13"/>
                        <w:szCs w:val="13"/>
                      </w:rPr>
                      <w:t>Uw kenmerk</w:t>
                    </w:r>
                  </w:p>
                  <w:p w14:paraId="5534A7F7" w14:textId="4E787067" w:rsidR="00960927" w:rsidRPr="00960927" w:rsidRDefault="00960927" w:rsidP="00960927">
                    <w:pPr>
                      <w:spacing w:line="240" w:lineRule="auto"/>
                      <w:rPr>
                        <w:sz w:val="13"/>
                        <w:szCs w:val="13"/>
                      </w:rPr>
                    </w:pPr>
                    <w:r w:rsidRPr="00960927">
                      <w:rPr>
                        <w:sz w:val="13"/>
                        <w:szCs w:val="13"/>
                      </w:rPr>
                      <w:t>2025Z00</w:t>
                    </w:r>
                    <w:r>
                      <w:rPr>
                        <w:sz w:val="13"/>
                        <w:szCs w:val="13"/>
                      </w:rPr>
                      <w:t>123</w:t>
                    </w:r>
                  </w:p>
                  <w:p w14:paraId="4B9A38C4" w14:textId="77777777" w:rsidR="00960927" w:rsidRDefault="00960927" w:rsidP="00960927">
                    <w:pPr>
                      <w:spacing w:line="240" w:lineRule="auto"/>
                      <w:rPr>
                        <w:sz w:val="13"/>
                        <w:szCs w:val="13"/>
                      </w:rPr>
                    </w:pPr>
                  </w:p>
                  <w:p w14:paraId="601C9681" w14:textId="6EAF0686" w:rsidR="00960927" w:rsidRPr="00960927" w:rsidRDefault="00960927" w:rsidP="00960927">
                    <w:pPr>
                      <w:spacing w:line="240" w:lineRule="auto"/>
                      <w:rPr>
                        <w:b/>
                        <w:bCs/>
                        <w:sz w:val="13"/>
                        <w:szCs w:val="13"/>
                      </w:rPr>
                    </w:pPr>
                    <w:r w:rsidRPr="00960927">
                      <w:rPr>
                        <w:b/>
                        <w:bCs/>
                        <w:sz w:val="13"/>
                        <w:szCs w:val="13"/>
                      </w:rPr>
                      <w:t>Bijlage(n)</w:t>
                    </w:r>
                  </w:p>
                  <w:p w14:paraId="4D4D3853" w14:textId="69F85A11" w:rsidR="00960927" w:rsidRPr="00960927" w:rsidRDefault="000C2015" w:rsidP="00960927">
                    <w:pPr>
                      <w:spacing w:line="240"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8A5946E" wp14:editId="033C48D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F797811" w14:textId="77777777" w:rsidR="005B1C08" w:rsidRDefault="000C2015">
                          <w:pPr>
                            <w:spacing w:line="240" w:lineRule="auto"/>
                          </w:pPr>
                          <w:r>
                            <w:rPr>
                              <w:noProof/>
                              <w:lang w:val="en-GB" w:eastAsia="en-GB"/>
                            </w:rPr>
                            <w:drawing>
                              <wp:inline distT="0" distB="0" distL="0" distR="0" wp14:anchorId="4049BD48" wp14:editId="67EF5CB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A5946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F797811" w14:textId="77777777" w:rsidR="005B1C08" w:rsidRDefault="000C2015">
                    <w:pPr>
                      <w:spacing w:line="240" w:lineRule="auto"/>
                    </w:pPr>
                    <w:r>
                      <w:rPr>
                        <w:noProof/>
                        <w:lang w:val="en-GB" w:eastAsia="en-GB"/>
                      </w:rPr>
                      <w:drawing>
                        <wp:inline distT="0" distB="0" distL="0" distR="0" wp14:anchorId="4049BD48" wp14:editId="67EF5CB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AC3CE01" wp14:editId="04C2CB0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782651" w14:textId="77777777" w:rsidR="005B1C08" w:rsidRDefault="000C2015">
                          <w:pPr>
                            <w:spacing w:line="240" w:lineRule="auto"/>
                          </w:pPr>
                          <w:r>
                            <w:rPr>
                              <w:noProof/>
                              <w:lang w:val="en-GB" w:eastAsia="en-GB"/>
                            </w:rPr>
                            <w:drawing>
                              <wp:inline distT="0" distB="0" distL="0" distR="0" wp14:anchorId="64C54926" wp14:editId="7F94212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C3CE0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8782651" w14:textId="77777777" w:rsidR="005B1C08" w:rsidRDefault="000C2015">
                    <w:pPr>
                      <w:spacing w:line="240" w:lineRule="auto"/>
                    </w:pPr>
                    <w:r>
                      <w:rPr>
                        <w:noProof/>
                        <w:lang w:val="en-GB" w:eastAsia="en-GB"/>
                      </w:rPr>
                      <w:drawing>
                        <wp:inline distT="0" distB="0" distL="0" distR="0" wp14:anchorId="64C54926" wp14:editId="7F94212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FF424D6" wp14:editId="1435F64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F9804CB" w14:textId="77777777" w:rsidR="005B1C08" w:rsidRDefault="000C201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FF424D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F9804CB" w14:textId="77777777" w:rsidR="005B1C08" w:rsidRDefault="000C201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53658D6" wp14:editId="40FAEF6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D590BE" w14:textId="77777777" w:rsidR="005B1C08" w:rsidRDefault="000C201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53658D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CD590BE" w14:textId="77777777" w:rsidR="005B1C08" w:rsidRDefault="000C201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5BFC870" wp14:editId="5979787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B1C08" w14:paraId="654FFDDC" w14:textId="77777777">
                            <w:trPr>
                              <w:trHeight w:val="200"/>
                            </w:trPr>
                            <w:tc>
                              <w:tcPr>
                                <w:tcW w:w="1140" w:type="dxa"/>
                              </w:tcPr>
                              <w:p w14:paraId="4697D548" w14:textId="77777777" w:rsidR="005B1C08" w:rsidRDefault="005B1C08"/>
                            </w:tc>
                            <w:tc>
                              <w:tcPr>
                                <w:tcW w:w="5400" w:type="dxa"/>
                              </w:tcPr>
                              <w:p w14:paraId="49DE0419" w14:textId="77777777" w:rsidR="005B1C08" w:rsidRDefault="005B1C08"/>
                            </w:tc>
                          </w:tr>
                          <w:tr w:rsidR="005B1C08" w14:paraId="7A6EE373" w14:textId="77777777">
                            <w:trPr>
                              <w:trHeight w:val="240"/>
                            </w:trPr>
                            <w:tc>
                              <w:tcPr>
                                <w:tcW w:w="1140" w:type="dxa"/>
                              </w:tcPr>
                              <w:p w14:paraId="48CAC567" w14:textId="77777777" w:rsidR="005B1C08" w:rsidRDefault="000C2015">
                                <w:r>
                                  <w:t>Datum</w:t>
                                </w:r>
                              </w:p>
                            </w:tc>
                            <w:sdt>
                              <w:sdtPr>
                                <w:id w:val="1826155151"/>
                                <w:placeholder>
                                  <w:docPart w:val="DefaultPlaceholder_-1854013437"/>
                                </w:placeholder>
                                <w:date w:fullDate="2025-02-19T00:00:00Z">
                                  <w:dateFormat w:val="d MMMM yyyy"/>
                                  <w:lid w:val="nl-NL"/>
                                  <w:storeMappedDataAs w:val="dateTime"/>
                                  <w:calendar w:val="gregorian"/>
                                </w:date>
                              </w:sdtPr>
                              <w:sdtEndPr/>
                              <w:sdtContent>
                                <w:tc>
                                  <w:tcPr>
                                    <w:tcW w:w="5400" w:type="dxa"/>
                                  </w:tcPr>
                                  <w:p w14:paraId="2603CA26" w14:textId="180700F7" w:rsidR="005B1C08" w:rsidRDefault="00566B20">
                                    <w:r>
                                      <w:t>19 februari 2025</w:t>
                                    </w:r>
                                  </w:p>
                                </w:tc>
                              </w:sdtContent>
                            </w:sdt>
                          </w:tr>
                          <w:tr w:rsidR="005B1C08" w14:paraId="3E7AEBFD" w14:textId="77777777">
                            <w:trPr>
                              <w:trHeight w:val="240"/>
                            </w:trPr>
                            <w:tc>
                              <w:tcPr>
                                <w:tcW w:w="1140" w:type="dxa"/>
                              </w:tcPr>
                              <w:p w14:paraId="0B18B635" w14:textId="77777777" w:rsidR="005B1C08" w:rsidRDefault="000C2015">
                                <w:r>
                                  <w:t>Betreft</w:t>
                                </w:r>
                              </w:p>
                            </w:tc>
                            <w:tc>
                              <w:tcPr>
                                <w:tcW w:w="5400" w:type="dxa"/>
                              </w:tcPr>
                              <w:p w14:paraId="4E12B372" w14:textId="77777777" w:rsidR="005B1C08" w:rsidRDefault="000C2015">
                                <w:r>
                                  <w:t>Beantwoording Kamervragen over de actualisatie van de Beleidslijn grote rivieren</w:t>
                                </w:r>
                              </w:p>
                            </w:tc>
                          </w:tr>
                          <w:tr w:rsidR="005B1C08" w14:paraId="5EB2E717" w14:textId="77777777">
                            <w:trPr>
                              <w:trHeight w:val="200"/>
                            </w:trPr>
                            <w:tc>
                              <w:tcPr>
                                <w:tcW w:w="1140" w:type="dxa"/>
                              </w:tcPr>
                              <w:p w14:paraId="0CBC1F02" w14:textId="77777777" w:rsidR="005B1C08" w:rsidRDefault="005B1C08"/>
                            </w:tc>
                            <w:tc>
                              <w:tcPr>
                                <w:tcW w:w="5400" w:type="dxa"/>
                              </w:tcPr>
                              <w:p w14:paraId="27FE37E4" w14:textId="77777777" w:rsidR="005B1C08" w:rsidRDefault="005B1C08"/>
                            </w:tc>
                          </w:tr>
                        </w:tbl>
                        <w:p w14:paraId="10583F37" w14:textId="77777777" w:rsidR="005F1BB3" w:rsidRDefault="005F1BB3"/>
                      </w:txbxContent>
                    </wps:txbx>
                    <wps:bodyPr vert="horz" wrap="square" lIns="0" tIns="0" rIns="0" bIns="0" anchor="t" anchorCtr="0"/>
                  </wps:wsp>
                </a:graphicData>
              </a:graphic>
            </wp:anchor>
          </w:drawing>
        </mc:Choice>
        <mc:Fallback>
          <w:pict>
            <v:shape w14:anchorId="75BFC87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B1C08" w14:paraId="654FFDDC" w14:textId="77777777">
                      <w:trPr>
                        <w:trHeight w:val="200"/>
                      </w:trPr>
                      <w:tc>
                        <w:tcPr>
                          <w:tcW w:w="1140" w:type="dxa"/>
                        </w:tcPr>
                        <w:p w14:paraId="4697D548" w14:textId="77777777" w:rsidR="005B1C08" w:rsidRDefault="005B1C08"/>
                      </w:tc>
                      <w:tc>
                        <w:tcPr>
                          <w:tcW w:w="5400" w:type="dxa"/>
                        </w:tcPr>
                        <w:p w14:paraId="49DE0419" w14:textId="77777777" w:rsidR="005B1C08" w:rsidRDefault="005B1C08"/>
                      </w:tc>
                    </w:tr>
                    <w:tr w:rsidR="005B1C08" w14:paraId="7A6EE373" w14:textId="77777777">
                      <w:trPr>
                        <w:trHeight w:val="240"/>
                      </w:trPr>
                      <w:tc>
                        <w:tcPr>
                          <w:tcW w:w="1140" w:type="dxa"/>
                        </w:tcPr>
                        <w:p w14:paraId="48CAC567" w14:textId="77777777" w:rsidR="005B1C08" w:rsidRDefault="000C2015">
                          <w:r>
                            <w:t>Datum</w:t>
                          </w:r>
                        </w:p>
                      </w:tc>
                      <w:sdt>
                        <w:sdtPr>
                          <w:id w:val="1826155151"/>
                          <w:placeholder>
                            <w:docPart w:val="DefaultPlaceholder_-1854013437"/>
                          </w:placeholder>
                          <w:date w:fullDate="2025-02-19T00:00:00Z">
                            <w:dateFormat w:val="d MMMM yyyy"/>
                            <w:lid w:val="nl-NL"/>
                            <w:storeMappedDataAs w:val="dateTime"/>
                            <w:calendar w:val="gregorian"/>
                          </w:date>
                        </w:sdtPr>
                        <w:sdtEndPr/>
                        <w:sdtContent>
                          <w:tc>
                            <w:tcPr>
                              <w:tcW w:w="5400" w:type="dxa"/>
                            </w:tcPr>
                            <w:p w14:paraId="2603CA26" w14:textId="180700F7" w:rsidR="005B1C08" w:rsidRDefault="00566B20">
                              <w:r>
                                <w:t>19 februari 2025</w:t>
                              </w:r>
                            </w:p>
                          </w:tc>
                        </w:sdtContent>
                      </w:sdt>
                    </w:tr>
                    <w:tr w:rsidR="005B1C08" w14:paraId="3E7AEBFD" w14:textId="77777777">
                      <w:trPr>
                        <w:trHeight w:val="240"/>
                      </w:trPr>
                      <w:tc>
                        <w:tcPr>
                          <w:tcW w:w="1140" w:type="dxa"/>
                        </w:tcPr>
                        <w:p w14:paraId="0B18B635" w14:textId="77777777" w:rsidR="005B1C08" w:rsidRDefault="000C2015">
                          <w:r>
                            <w:t>Betreft</w:t>
                          </w:r>
                        </w:p>
                      </w:tc>
                      <w:tc>
                        <w:tcPr>
                          <w:tcW w:w="5400" w:type="dxa"/>
                        </w:tcPr>
                        <w:p w14:paraId="4E12B372" w14:textId="77777777" w:rsidR="005B1C08" w:rsidRDefault="000C2015">
                          <w:r>
                            <w:t>Beantwoording Kamervragen over de actualisatie van de Beleidslijn grote rivieren</w:t>
                          </w:r>
                        </w:p>
                      </w:tc>
                    </w:tr>
                    <w:tr w:rsidR="005B1C08" w14:paraId="5EB2E717" w14:textId="77777777">
                      <w:trPr>
                        <w:trHeight w:val="200"/>
                      </w:trPr>
                      <w:tc>
                        <w:tcPr>
                          <w:tcW w:w="1140" w:type="dxa"/>
                        </w:tcPr>
                        <w:p w14:paraId="0CBC1F02" w14:textId="77777777" w:rsidR="005B1C08" w:rsidRDefault="005B1C08"/>
                      </w:tc>
                      <w:tc>
                        <w:tcPr>
                          <w:tcW w:w="5400" w:type="dxa"/>
                        </w:tcPr>
                        <w:p w14:paraId="27FE37E4" w14:textId="77777777" w:rsidR="005B1C08" w:rsidRDefault="005B1C08"/>
                      </w:tc>
                    </w:tr>
                  </w:tbl>
                  <w:p w14:paraId="10583F37" w14:textId="77777777" w:rsidR="005F1BB3" w:rsidRDefault="005F1BB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40EFF71" wp14:editId="6E6A4AD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940F70" w14:textId="77777777" w:rsidR="005F1BB3" w:rsidRDefault="005F1BB3"/>
                      </w:txbxContent>
                    </wps:txbx>
                    <wps:bodyPr vert="horz" wrap="square" lIns="0" tIns="0" rIns="0" bIns="0" anchor="t" anchorCtr="0"/>
                  </wps:wsp>
                </a:graphicData>
              </a:graphic>
            </wp:anchor>
          </w:drawing>
        </mc:Choice>
        <mc:Fallback>
          <w:pict>
            <v:shape w14:anchorId="240EFF7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B940F70" w14:textId="77777777" w:rsidR="005F1BB3" w:rsidRDefault="005F1BB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AB02EB"/>
    <w:multiLevelType w:val="multilevel"/>
    <w:tmpl w:val="0647525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6B09F6"/>
    <w:multiLevelType w:val="multilevel"/>
    <w:tmpl w:val="25CC82C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349335"/>
    <w:multiLevelType w:val="multilevel"/>
    <w:tmpl w:val="9D769AC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2C24BB"/>
    <w:multiLevelType w:val="multilevel"/>
    <w:tmpl w:val="CACA4D8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458840"/>
    <w:multiLevelType w:val="multilevel"/>
    <w:tmpl w:val="58644F4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F1A439C"/>
    <w:multiLevelType w:val="multilevel"/>
    <w:tmpl w:val="B26ED25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C9128EB"/>
    <w:multiLevelType w:val="multilevel"/>
    <w:tmpl w:val="61BAC66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DCE00D"/>
    <w:multiLevelType w:val="multilevel"/>
    <w:tmpl w:val="CCAC017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D6CC5F"/>
    <w:multiLevelType w:val="multilevel"/>
    <w:tmpl w:val="E1E9A91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846455"/>
    <w:multiLevelType w:val="multilevel"/>
    <w:tmpl w:val="3D891D2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10F608"/>
    <w:multiLevelType w:val="multilevel"/>
    <w:tmpl w:val="66F6D1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2BE9CF4D"/>
    <w:multiLevelType w:val="multilevel"/>
    <w:tmpl w:val="CB7B080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0426B9"/>
    <w:multiLevelType w:val="multilevel"/>
    <w:tmpl w:val="4D36FF5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8208D5"/>
    <w:multiLevelType w:val="multilevel"/>
    <w:tmpl w:val="7F70E54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768909"/>
    <w:multiLevelType w:val="multilevel"/>
    <w:tmpl w:val="72C17A5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622E75"/>
    <w:multiLevelType w:val="hybridMultilevel"/>
    <w:tmpl w:val="E4566158"/>
    <w:lvl w:ilvl="0" w:tplc="037E4150">
      <w:start w:val="1"/>
      <w:numFmt w:val="decimal"/>
      <w:lvlText w:val="%1."/>
      <w:lvlJc w:val="left"/>
      <w:pPr>
        <w:ind w:left="720" w:hanging="360"/>
      </w:pPr>
    </w:lvl>
    <w:lvl w:ilvl="1" w:tplc="F3BE6FFC">
      <w:start w:val="1"/>
      <w:numFmt w:val="lowerLetter"/>
      <w:lvlText w:val="%2."/>
      <w:lvlJc w:val="left"/>
      <w:pPr>
        <w:ind w:left="1440" w:hanging="360"/>
      </w:pPr>
    </w:lvl>
    <w:lvl w:ilvl="2" w:tplc="9B907A4C">
      <w:start w:val="1"/>
      <w:numFmt w:val="lowerRoman"/>
      <w:lvlText w:val="%3."/>
      <w:lvlJc w:val="right"/>
      <w:pPr>
        <w:ind w:left="2160" w:hanging="180"/>
      </w:pPr>
    </w:lvl>
    <w:lvl w:ilvl="3" w:tplc="444A5B4C">
      <w:start w:val="1"/>
      <w:numFmt w:val="decimal"/>
      <w:lvlText w:val="%4."/>
      <w:lvlJc w:val="left"/>
      <w:pPr>
        <w:ind w:left="2880" w:hanging="360"/>
      </w:pPr>
    </w:lvl>
    <w:lvl w:ilvl="4" w:tplc="F522D6AE">
      <w:start w:val="1"/>
      <w:numFmt w:val="lowerLetter"/>
      <w:lvlText w:val="%5."/>
      <w:lvlJc w:val="left"/>
      <w:pPr>
        <w:ind w:left="3600" w:hanging="360"/>
      </w:pPr>
    </w:lvl>
    <w:lvl w:ilvl="5" w:tplc="7188F896">
      <w:start w:val="1"/>
      <w:numFmt w:val="lowerRoman"/>
      <w:lvlText w:val="%6."/>
      <w:lvlJc w:val="right"/>
      <w:pPr>
        <w:ind w:left="4320" w:hanging="180"/>
      </w:pPr>
    </w:lvl>
    <w:lvl w:ilvl="6" w:tplc="1C2AFF88">
      <w:start w:val="1"/>
      <w:numFmt w:val="decimal"/>
      <w:lvlText w:val="%7."/>
      <w:lvlJc w:val="left"/>
      <w:pPr>
        <w:ind w:left="5040" w:hanging="360"/>
      </w:pPr>
    </w:lvl>
    <w:lvl w:ilvl="7" w:tplc="CDA4A532">
      <w:start w:val="1"/>
      <w:numFmt w:val="lowerLetter"/>
      <w:lvlText w:val="%8."/>
      <w:lvlJc w:val="left"/>
      <w:pPr>
        <w:ind w:left="5760" w:hanging="360"/>
      </w:pPr>
    </w:lvl>
    <w:lvl w:ilvl="8" w:tplc="0D04D394">
      <w:start w:val="1"/>
      <w:numFmt w:val="lowerRoman"/>
      <w:lvlText w:val="%9."/>
      <w:lvlJc w:val="right"/>
      <w:pPr>
        <w:ind w:left="6480" w:hanging="180"/>
      </w:pPr>
    </w:lvl>
  </w:abstractNum>
  <w:abstractNum w:abstractNumId="16" w15:restartNumberingAfterBreak="0">
    <w:nsid w:val="384BCC88"/>
    <w:multiLevelType w:val="multilevel"/>
    <w:tmpl w:val="6932DFC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ADEEC3"/>
    <w:multiLevelType w:val="multilevel"/>
    <w:tmpl w:val="1272A0F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9C2CBE"/>
    <w:multiLevelType w:val="multilevel"/>
    <w:tmpl w:val="1455D6D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607529"/>
    <w:multiLevelType w:val="multilevel"/>
    <w:tmpl w:val="892BCC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73F31B2D"/>
    <w:multiLevelType w:val="multilevel"/>
    <w:tmpl w:val="4A41CE2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249B6E"/>
    <w:multiLevelType w:val="multilevel"/>
    <w:tmpl w:val="6B2D3D4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A2E2D6"/>
    <w:multiLevelType w:val="multilevel"/>
    <w:tmpl w:val="14AA000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CD1E73"/>
    <w:multiLevelType w:val="multilevel"/>
    <w:tmpl w:val="BA2F3C1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14"/>
  </w:num>
  <w:num w:numId="5">
    <w:abstractNumId w:val="19"/>
  </w:num>
  <w:num w:numId="6">
    <w:abstractNumId w:val="12"/>
  </w:num>
  <w:num w:numId="7">
    <w:abstractNumId w:val="20"/>
  </w:num>
  <w:num w:numId="8">
    <w:abstractNumId w:val="11"/>
  </w:num>
  <w:num w:numId="9">
    <w:abstractNumId w:val="8"/>
  </w:num>
  <w:num w:numId="10">
    <w:abstractNumId w:val="17"/>
  </w:num>
  <w:num w:numId="11">
    <w:abstractNumId w:val="22"/>
  </w:num>
  <w:num w:numId="12">
    <w:abstractNumId w:val="10"/>
  </w:num>
  <w:num w:numId="13">
    <w:abstractNumId w:val="7"/>
  </w:num>
  <w:num w:numId="14">
    <w:abstractNumId w:val="4"/>
  </w:num>
  <w:num w:numId="15">
    <w:abstractNumId w:val="0"/>
  </w:num>
  <w:num w:numId="16">
    <w:abstractNumId w:val="5"/>
  </w:num>
  <w:num w:numId="17">
    <w:abstractNumId w:val="18"/>
  </w:num>
  <w:num w:numId="18">
    <w:abstractNumId w:val="21"/>
  </w:num>
  <w:num w:numId="19">
    <w:abstractNumId w:val="6"/>
  </w:num>
  <w:num w:numId="20">
    <w:abstractNumId w:val="9"/>
  </w:num>
  <w:num w:numId="21">
    <w:abstractNumId w:val="13"/>
  </w:num>
  <w:num w:numId="22">
    <w:abstractNumId w:val="23"/>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927"/>
    <w:rsid w:val="000C2015"/>
    <w:rsid w:val="000E3421"/>
    <w:rsid w:val="001958E0"/>
    <w:rsid w:val="001F25AB"/>
    <w:rsid w:val="002B3971"/>
    <w:rsid w:val="002D4068"/>
    <w:rsid w:val="002F2F66"/>
    <w:rsid w:val="003011D9"/>
    <w:rsid w:val="003027BB"/>
    <w:rsid w:val="00360332"/>
    <w:rsid w:val="003A638B"/>
    <w:rsid w:val="003E30F6"/>
    <w:rsid w:val="003F0AE4"/>
    <w:rsid w:val="004154BB"/>
    <w:rsid w:val="00436401"/>
    <w:rsid w:val="004765C1"/>
    <w:rsid w:val="004E2A34"/>
    <w:rsid w:val="0054446F"/>
    <w:rsid w:val="00566B20"/>
    <w:rsid w:val="005B1C08"/>
    <w:rsid w:val="005D69C1"/>
    <w:rsid w:val="005F1BB3"/>
    <w:rsid w:val="006642DF"/>
    <w:rsid w:val="0068461A"/>
    <w:rsid w:val="00715367"/>
    <w:rsid w:val="00764E31"/>
    <w:rsid w:val="007D66CB"/>
    <w:rsid w:val="00806A6E"/>
    <w:rsid w:val="00887451"/>
    <w:rsid w:val="008F0E80"/>
    <w:rsid w:val="008F460A"/>
    <w:rsid w:val="00956100"/>
    <w:rsid w:val="00960927"/>
    <w:rsid w:val="009B757D"/>
    <w:rsid w:val="009E060E"/>
    <w:rsid w:val="00A279F4"/>
    <w:rsid w:val="00A76A1F"/>
    <w:rsid w:val="00B52CEA"/>
    <w:rsid w:val="00B720E3"/>
    <w:rsid w:val="00BD7661"/>
    <w:rsid w:val="00C51E4C"/>
    <w:rsid w:val="00CB6A99"/>
    <w:rsid w:val="00CE1E06"/>
    <w:rsid w:val="00D51916"/>
    <w:rsid w:val="00DF39D9"/>
    <w:rsid w:val="00F147C9"/>
    <w:rsid w:val="00F64279"/>
    <w:rsid w:val="00FD28AA"/>
    <w:rsid w:val="00FD3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D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60927"/>
    <w:pPr>
      <w:tabs>
        <w:tab w:val="center" w:pos="4536"/>
        <w:tab w:val="right" w:pos="9072"/>
      </w:tabs>
      <w:spacing w:line="240" w:lineRule="auto"/>
    </w:pPr>
  </w:style>
  <w:style w:type="character" w:customStyle="1" w:styleId="HeaderChar">
    <w:name w:val="Header Char"/>
    <w:basedOn w:val="DefaultParagraphFont"/>
    <w:link w:val="Header"/>
    <w:uiPriority w:val="99"/>
    <w:rsid w:val="00960927"/>
    <w:rPr>
      <w:rFonts w:ascii="Verdana" w:hAnsi="Verdana"/>
      <w:color w:val="000000"/>
      <w:sz w:val="18"/>
      <w:szCs w:val="18"/>
    </w:rPr>
  </w:style>
  <w:style w:type="paragraph" w:styleId="Footer">
    <w:name w:val="footer"/>
    <w:basedOn w:val="Normal"/>
    <w:link w:val="FooterChar"/>
    <w:uiPriority w:val="99"/>
    <w:unhideWhenUsed/>
    <w:rsid w:val="00960927"/>
    <w:pPr>
      <w:tabs>
        <w:tab w:val="center" w:pos="4536"/>
        <w:tab w:val="right" w:pos="9072"/>
      </w:tabs>
      <w:spacing w:line="240" w:lineRule="auto"/>
    </w:pPr>
  </w:style>
  <w:style w:type="character" w:customStyle="1" w:styleId="FooterChar">
    <w:name w:val="Footer Char"/>
    <w:basedOn w:val="DefaultParagraphFont"/>
    <w:link w:val="Footer"/>
    <w:uiPriority w:val="99"/>
    <w:rsid w:val="00960927"/>
    <w:rPr>
      <w:rFonts w:ascii="Verdana" w:hAnsi="Verdana"/>
      <w:color w:val="000000"/>
      <w:sz w:val="18"/>
      <w:szCs w:val="18"/>
    </w:rPr>
  </w:style>
  <w:style w:type="paragraph" w:styleId="FootnoteText">
    <w:name w:val="footnote text"/>
    <w:basedOn w:val="Normal"/>
    <w:link w:val="FootnoteTextChar"/>
    <w:uiPriority w:val="99"/>
    <w:semiHidden/>
    <w:unhideWhenUsed/>
    <w:rsid w:val="001958E0"/>
    <w:pPr>
      <w:spacing w:line="240" w:lineRule="auto"/>
    </w:pPr>
    <w:rPr>
      <w:sz w:val="20"/>
      <w:szCs w:val="20"/>
    </w:rPr>
  </w:style>
  <w:style w:type="character" w:customStyle="1" w:styleId="FootnoteTextChar">
    <w:name w:val="Footnote Text Char"/>
    <w:basedOn w:val="DefaultParagraphFont"/>
    <w:link w:val="FootnoteText"/>
    <w:uiPriority w:val="99"/>
    <w:semiHidden/>
    <w:rsid w:val="001958E0"/>
    <w:rPr>
      <w:rFonts w:ascii="Verdana" w:hAnsi="Verdana"/>
      <w:color w:val="000000"/>
    </w:rPr>
  </w:style>
  <w:style w:type="character" w:styleId="FootnoteReference">
    <w:name w:val="footnote reference"/>
    <w:basedOn w:val="DefaultParagraphFont"/>
    <w:uiPriority w:val="99"/>
    <w:semiHidden/>
    <w:unhideWhenUsed/>
    <w:rsid w:val="001958E0"/>
    <w:rPr>
      <w:vertAlign w:val="superscript"/>
    </w:rPr>
  </w:style>
  <w:style w:type="character" w:styleId="PlaceholderText">
    <w:name w:val="Placeholder Text"/>
    <w:basedOn w:val="DefaultParagraphFont"/>
    <w:uiPriority w:val="99"/>
    <w:semiHidden/>
    <w:rsid w:val="00566B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51277D0D-8DA4-4884-9DD1-A4343BBC52C7}"/>
      </w:docPartPr>
      <w:docPartBody>
        <w:p w:rsidR="00EE75B7" w:rsidRDefault="00EE75B7">
          <w:r w:rsidRPr="003C101B">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B7"/>
    <w:rsid w:val="00B52CEA"/>
    <w:rsid w:val="00EE7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5B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1977</ap:Words>
  <ap:Characters>11272</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actualisatie van de Beleidslijn grote rivieren</vt:lpstr>
    </vt:vector>
  </ap:TitlesOfParts>
  <ap:LinksUpToDate>false</ap:LinksUpToDate>
  <ap:CharactersWithSpaces>13223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2025-02-19T11:45:00.0000000Z</dcterms:created>
  <dcterms:modified xsi:type="dcterms:W3CDTF">2025-02-19T11:45:00.0000000Z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de actualisatie van de Beleidslijn grote rivieren</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H. Roorda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