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B36" w:rsidP="00E55B35" w:rsidRDefault="00F46B36" w14:paraId="5F849F66" w14:textId="77777777">
      <w:bookmarkStart w:name="_GoBack" w:id="0"/>
      <w:bookmarkEnd w:id="0"/>
    </w:p>
    <w:p w:rsidR="00F46B36" w:rsidP="00E55B35" w:rsidRDefault="00F46B36" w14:paraId="2E166FE9" w14:textId="77777777"/>
    <w:p w:rsidR="00E55B35" w:rsidP="00E55B35" w:rsidRDefault="00E55B35" w14:paraId="4D5A9CDF" w14:textId="7DE3FAB8">
      <w:r>
        <w:t xml:space="preserve">Hierbij zend ik u de antwoorden op de Kamervragen van de leden Van Nispen (SP) en Grinwis (ChristenUnie) over </w:t>
      </w:r>
      <w:r w:rsidR="00E7313B">
        <w:t xml:space="preserve">de scheve positie van de onvrijwillige schuldeiser ten opzichte van de vrijwillige schuldeiser </w:t>
      </w:r>
      <w:r>
        <w:t>naar aanleiding van het artikel ‘Insolventierecht is failliet bij milieuschade’ (</w:t>
      </w:r>
      <w:r w:rsidRPr="00E55B35">
        <w:t>2025Z00713</w:t>
      </w:r>
      <w:r w:rsidRPr="00D04F84">
        <w:t>)</w:t>
      </w:r>
      <w:r>
        <w:t>.</w:t>
      </w:r>
    </w:p>
    <w:p w:rsidR="00F0237A" w:rsidRDefault="00F0237A" w14:paraId="540CCB0F" w14:textId="0F69F404"/>
    <w:p w:rsidR="00F0237A" w:rsidRDefault="00F0237A" w14:paraId="75F3A4F8" w14:textId="77777777">
      <w:pPr>
        <w:pStyle w:val="WitregelW1bodytekst"/>
      </w:pPr>
    </w:p>
    <w:p w:rsidR="00F0237A" w:rsidRDefault="00742841" w14:paraId="1F0CB41C" w14:textId="77777777">
      <w:r>
        <w:t>De Staatssecretaris Rechtsbescherming,</w:t>
      </w:r>
    </w:p>
    <w:p w:rsidR="00F0237A" w:rsidRDefault="00F0237A" w14:paraId="45664CF2" w14:textId="77777777"/>
    <w:p w:rsidR="00E7313B" w:rsidRDefault="00E7313B" w14:paraId="6CAF2EEB" w14:textId="77777777"/>
    <w:p w:rsidR="00E7313B" w:rsidRDefault="00E7313B" w14:paraId="20D357CC" w14:textId="77777777"/>
    <w:p w:rsidR="00F0237A" w:rsidRDefault="00F0237A" w14:paraId="00A2B14A" w14:textId="77777777"/>
    <w:p w:rsidR="00F0237A" w:rsidRDefault="00E55B35" w14:paraId="7C782165" w14:textId="2622A2BA">
      <w:r>
        <w:t>T.H.D.</w:t>
      </w:r>
      <w:r w:rsidR="00742841">
        <w:t xml:space="preserve"> Struycken</w:t>
      </w:r>
    </w:p>
    <w:p w:rsidR="006121D6" w:rsidRDefault="006121D6" w14:paraId="4BCD4578" w14:textId="77777777"/>
    <w:p w:rsidRPr="00E7313B" w:rsidR="00E7313B" w:rsidP="00E7313B" w:rsidRDefault="006121D6" w14:paraId="7C53417B" w14:textId="16794496">
      <w:pPr>
        <w:pageBreakBefore/>
        <w:pBdr>
          <w:bottom w:val="single" w:color="auto" w:sz="4" w:space="1"/>
        </w:pBdr>
        <w:rPr>
          <w:b/>
          <w:bCs/>
          <w:sz w:val="20"/>
          <w:szCs w:val="20"/>
        </w:rPr>
      </w:pPr>
      <w:r w:rsidRPr="00E7313B">
        <w:rPr>
          <w:b/>
          <w:bCs/>
          <w:sz w:val="20"/>
          <w:szCs w:val="20"/>
        </w:rPr>
        <w:lastRenderedPageBreak/>
        <w:t>Vragen van het lid Van Nispen (SP) en Grinwis (ChristenUnie) aan de staatssecretaris van Justitie en Veiligheid (T.H.D. Struycken) over de scheve positie van de onvrijwillige schuldeiser ten opzichte van de vrijwillige schuldeiser</w:t>
      </w:r>
      <w:r w:rsidRPr="00E7313B" w:rsidR="00E7313B">
        <w:rPr>
          <w:b/>
          <w:bCs/>
          <w:sz w:val="20"/>
          <w:szCs w:val="20"/>
        </w:rPr>
        <w:t xml:space="preserve"> (ingezonden 20 januari 2025, nr. 2025Z00713)</w:t>
      </w:r>
    </w:p>
    <w:p w:rsidR="006121D6" w:rsidP="006121D6" w:rsidRDefault="006121D6" w14:paraId="70197BF0" w14:textId="3ACF5F00">
      <w:pPr>
        <w:rPr>
          <w:sz w:val="20"/>
          <w:szCs w:val="20"/>
        </w:rPr>
      </w:pPr>
      <w:r w:rsidRPr="00B971E3">
        <w:rPr>
          <w:sz w:val="20"/>
          <w:szCs w:val="20"/>
        </w:rPr>
        <w:br/>
      </w:r>
      <w:r w:rsidRPr="00C858D8">
        <w:rPr>
          <w:b/>
          <w:bCs/>
          <w:sz w:val="20"/>
          <w:szCs w:val="20"/>
        </w:rPr>
        <w:t>Vraag 1</w:t>
      </w:r>
      <w:r>
        <w:rPr>
          <w:sz w:val="20"/>
          <w:szCs w:val="20"/>
        </w:rPr>
        <w:br/>
      </w:r>
      <w:r w:rsidRPr="00E7313B">
        <w:rPr>
          <w:b/>
          <w:bCs/>
          <w:sz w:val="20"/>
          <w:szCs w:val="20"/>
        </w:rPr>
        <w:t>Bent u bekend met het artikel ‘insolventierecht is failliet bij milieuschade’ waarin de nadelige positie van de onvrijwillige schuldeiser wordt benadrukt ten opzichte van de vrijwillige schuldeiser wordt beargumenteerd?</w:t>
      </w:r>
      <w:r w:rsidRPr="00731CAA">
        <w:rPr>
          <w:sz w:val="20"/>
          <w:szCs w:val="20"/>
        </w:rPr>
        <w:t xml:space="preserve"> </w:t>
      </w:r>
    </w:p>
    <w:p w:rsidRPr="00B971E3" w:rsidR="006121D6" w:rsidP="006121D6" w:rsidRDefault="006121D6" w14:paraId="39D26815" w14:textId="77777777">
      <w:pPr>
        <w:rPr>
          <w:b/>
          <w:bCs/>
          <w:sz w:val="20"/>
          <w:szCs w:val="20"/>
        </w:rPr>
      </w:pPr>
    </w:p>
    <w:p w:rsidR="006121D6" w:rsidP="006121D6" w:rsidRDefault="006121D6" w14:paraId="1CB489FF" w14:textId="5471C5FC">
      <w:pPr>
        <w:rPr>
          <w:i/>
          <w:iCs/>
          <w:sz w:val="20"/>
          <w:szCs w:val="20"/>
        </w:rPr>
      </w:pPr>
      <w:r w:rsidRPr="00C858D8">
        <w:rPr>
          <w:b/>
          <w:bCs/>
          <w:sz w:val="20"/>
          <w:szCs w:val="20"/>
        </w:rPr>
        <w:t xml:space="preserve">Antwoord </w:t>
      </w:r>
      <w:r w:rsidR="00E7313B">
        <w:rPr>
          <w:b/>
          <w:bCs/>
          <w:sz w:val="20"/>
          <w:szCs w:val="20"/>
        </w:rPr>
        <w:t xml:space="preserve">op </w:t>
      </w:r>
      <w:r w:rsidRPr="00C858D8">
        <w:rPr>
          <w:b/>
          <w:bCs/>
          <w:sz w:val="20"/>
          <w:szCs w:val="20"/>
        </w:rPr>
        <w:t>vraag 1</w:t>
      </w:r>
      <w:r>
        <w:rPr>
          <w:sz w:val="20"/>
          <w:szCs w:val="20"/>
        </w:rPr>
        <w:br/>
      </w:r>
      <w:r w:rsidRPr="00084B9B">
        <w:rPr>
          <w:sz w:val="20"/>
          <w:szCs w:val="20"/>
        </w:rPr>
        <w:t>Ja.</w:t>
      </w:r>
      <w:r>
        <w:rPr>
          <w:i/>
          <w:iCs/>
          <w:sz w:val="20"/>
          <w:szCs w:val="20"/>
        </w:rPr>
        <w:t xml:space="preserve"> </w:t>
      </w:r>
    </w:p>
    <w:p w:rsidR="006121D6" w:rsidP="006121D6" w:rsidRDefault="006121D6" w14:paraId="26426711" w14:textId="77777777">
      <w:pPr>
        <w:rPr>
          <w:sz w:val="20"/>
          <w:szCs w:val="20"/>
        </w:rPr>
      </w:pPr>
    </w:p>
    <w:p w:rsidR="00C858D8" w:rsidP="006121D6" w:rsidRDefault="006121D6" w14:paraId="63213400" w14:textId="77777777">
      <w:pPr>
        <w:rPr>
          <w:sz w:val="20"/>
          <w:szCs w:val="20"/>
        </w:rPr>
      </w:pPr>
      <w:r w:rsidRPr="00C858D8">
        <w:rPr>
          <w:b/>
          <w:bCs/>
          <w:sz w:val="20"/>
          <w:szCs w:val="20"/>
        </w:rPr>
        <w:t>Vraag 2</w:t>
      </w:r>
      <w:r>
        <w:rPr>
          <w:sz w:val="20"/>
          <w:szCs w:val="20"/>
        </w:rPr>
        <w:br/>
      </w:r>
      <w:r w:rsidRPr="00E7313B">
        <w:rPr>
          <w:b/>
          <w:bCs/>
          <w:sz w:val="20"/>
          <w:szCs w:val="20"/>
        </w:rPr>
        <w:t>Bent u het eens met de conclusies van Van Moorsel en Jonasse dat de huidige rangorde van schuldeisers bij faillissement leidt tot onwenselijke uitkomsten, omdat degenen die fysieke schade en/of schade in hun leefomgeving hebben zelden de schade vergoed zullen zien? Zo nee, waarom niet?</w:t>
      </w:r>
      <w:r w:rsidRPr="00731CAA">
        <w:rPr>
          <w:sz w:val="20"/>
          <w:szCs w:val="20"/>
        </w:rPr>
        <w:t xml:space="preserve">   </w:t>
      </w:r>
    </w:p>
    <w:p w:rsidR="00C858D8" w:rsidP="006121D6" w:rsidRDefault="00C858D8" w14:paraId="7F32885B" w14:textId="77777777">
      <w:pPr>
        <w:rPr>
          <w:sz w:val="20"/>
          <w:szCs w:val="20"/>
        </w:rPr>
      </w:pPr>
    </w:p>
    <w:p w:rsidR="00C858D8" w:rsidP="006121D6" w:rsidRDefault="00C858D8" w14:paraId="1117A7A6" w14:textId="77777777">
      <w:pPr>
        <w:rPr>
          <w:sz w:val="20"/>
          <w:szCs w:val="20"/>
        </w:rPr>
      </w:pPr>
      <w:r w:rsidRPr="00C858D8">
        <w:rPr>
          <w:b/>
          <w:bCs/>
          <w:sz w:val="20"/>
          <w:szCs w:val="20"/>
        </w:rPr>
        <w:t>Vraag 3</w:t>
      </w:r>
      <w:r w:rsidR="006121D6">
        <w:rPr>
          <w:sz w:val="20"/>
          <w:szCs w:val="20"/>
        </w:rPr>
        <w:br/>
      </w:r>
      <w:r w:rsidRPr="00E7313B" w:rsidR="006121D6">
        <w:rPr>
          <w:b/>
          <w:bCs/>
          <w:sz w:val="20"/>
          <w:szCs w:val="20"/>
        </w:rPr>
        <w:t>Klopt het dat er momenteel in de Faillissementswet geen onderscheid gemaakt wordt tussen vrijwillige en onvrijwillige schuldeisers?</w:t>
      </w:r>
    </w:p>
    <w:p w:rsidR="00C858D8" w:rsidP="006121D6" w:rsidRDefault="00C858D8" w14:paraId="087479D4" w14:textId="77777777">
      <w:pPr>
        <w:rPr>
          <w:sz w:val="20"/>
          <w:szCs w:val="20"/>
        </w:rPr>
      </w:pPr>
    </w:p>
    <w:p w:rsidR="00C858D8" w:rsidP="006121D6" w:rsidRDefault="00C858D8" w14:paraId="4B69231F" w14:textId="77777777">
      <w:pPr>
        <w:rPr>
          <w:sz w:val="20"/>
          <w:szCs w:val="20"/>
        </w:rPr>
      </w:pPr>
      <w:r w:rsidRPr="00C858D8">
        <w:rPr>
          <w:b/>
          <w:bCs/>
          <w:sz w:val="20"/>
          <w:szCs w:val="20"/>
        </w:rPr>
        <w:t>Vraag 4</w:t>
      </w:r>
      <w:r w:rsidR="006121D6">
        <w:rPr>
          <w:sz w:val="20"/>
          <w:szCs w:val="20"/>
        </w:rPr>
        <w:br/>
      </w:r>
      <w:r w:rsidRPr="00E7313B" w:rsidR="006121D6">
        <w:rPr>
          <w:b/>
          <w:bCs/>
          <w:sz w:val="20"/>
          <w:szCs w:val="20"/>
        </w:rPr>
        <w:t>Bent u het eens met de conclusie dat in de huidige systematiek veelal de machtige en vermogende partijen de opbrengst krijgen en de onvrijwillige schuldeiser, zoals bijvoorbeeld een slachtoffer van onrechtmatige milieuschade door een bedrijf, achterblijft met een onverhaalbare vordering? Geldt dat op dit moment niet ook voor opruimkosten, waar bijvoorbeeld provincies of gemeentes mee blijven zitten als onvrijwillig schuldeiser?</w:t>
      </w:r>
      <w:r w:rsidRPr="00EF782F" w:rsidR="006121D6">
        <w:rPr>
          <w:sz w:val="20"/>
          <w:szCs w:val="20"/>
        </w:rPr>
        <w:t> </w:t>
      </w:r>
    </w:p>
    <w:p w:rsidRPr="00C858D8" w:rsidR="00C858D8" w:rsidP="006121D6" w:rsidRDefault="00C858D8" w14:paraId="7D8EF3BF" w14:textId="77777777">
      <w:pPr>
        <w:rPr>
          <w:b/>
          <w:bCs/>
          <w:sz w:val="20"/>
          <w:szCs w:val="20"/>
        </w:rPr>
      </w:pPr>
    </w:p>
    <w:p w:rsidRPr="00C858D8" w:rsidR="00C858D8" w:rsidP="006121D6" w:rsidRDefault="00C858D8" w14:paraId="14126E80" w14:textId="2AA992E8">
      <w:pPr>
        <w:rPr>
          <w:b/>
          <w:bCs/>
          <w:sz w:val="20"/>
          <w:szCs w:val="20"/>
        </w:rPr>
      </w:pPr>
      <w:r w:rsidRPr="00C858D8">
        <w:rPr>
          <w:b/>
          <w:bCs/>
          <w:sz w:val="20"/>
          <w:szCs w:val="20"/>
        </w:rPr>
        <w:t>Vraag 5</w:t>
      </w:r>
    </w:p>
    <w:p w:rsidRPr="00E7313B" w:rsidR="00C858D8" w:rsidP="006121D6" w:rsidRDefault="006121D6" w14:paraId="593E4BA2" w14:textId="7029F114">
      <w:pPr>
        <w:rPr>
          <w:b/>
          <w:bCs/>
          <w:sz w:val="20"/>
          <w:szCs w:val="20"/>
        </w:rPr>
      </w:pPr>
      <w:r w:rsidRPr="00E7313B">
        <w:rPr>
          <w:b/>
          <w:bCs/>
          <w:sz w:val="20"/>
          <w:szCs w:val="20"/>
        </w:rPr>
        <w:t>Wat vindt u van de analyse dat de positie van een onvrijwillige schuldeiser per definitie al anders is, omdat deze er niet voor gekozen heeft een relatie aan te gaan met de wederpartij maar er juist het slachtoffer van is?</w:t>
      </w:r>
    </w:p>
    <w:p w:rsidR="00C858D8" w:rsidP="006121D6" w:rsidRDefault="00C858D8" w14:paraId="01243E86" w14:textId="77777777">
      <w:pPr>
        <w:rPr>
          <w:sz w:val="20"/>
          <w:szCs w:val="20"/>
        </w:rPr>
      </w:pPr>
    </w:p>
    <w:p w:rsidR="00C858D8" w:rsidP="006121D6" w:rsidRDefault="00C858D8" w14:paraId="1640C6E8" w14:textId="77777777">
      <w:pPr>
        <w:rPr>
          <w:sz w:val="20"/>
          <w:szCs w:val="20"/>
        </w:rPr>
      </w:pPr>
      <w:r w:rsidRPr="00C858D8">
        <w:rPr>
          <w:b/>
          <w:bCs/>
          <w:sz w:val="20"/>
          <w:szCs w:val="20"/>
        </w:rPr>
        <w:t>Vraag 6</w:t>
      </w:r>
      <w:r w:rsidR="006121D6">
        <w:rPr>
          <w:sz w:val="20"/>
          <w:szCs w:val="20"/>
        </w:rPr>
        <w:br/>
      </w:r>
      <w:r w:rsidRPr="00E7313B" w:rsidR="006121D6">
        <w:rPr>
          <w:b/>
          <w:bCs/>
          <w:sz w:val="20"/>
          <w:szCs w:val="20"/>
        </w:rPr>
        <w:t>Vindt u ook dat het veranderen van de systematiek en het omdraaien van de volgorde waarin onvrijwillige schuldeisers eerder aan de beurt zijn kan leiden tot een meer rechtvaardig beleid?</w:t>
      </w:r>
    </w:p>
    <w:p w:rsidR="00C858D8" w:rsidP="006121D6" w:rsidRDefault="00C858D8" w14:paraId="4EC1874A" w14:textId="77777777">
      <w:pPr>
        <w:rPr>
          <w:sz w:val="20"/>
          <w:szCs w:val="20"/>
        </w:rPr>
      </w:pPr>
    </w:p>
    <w:p w:rsidR="00F46B36" w:rsidP="006121D6" w:rsidRDefault="00F46B36" w14:paraId="7B3995D9" w14:textId="77777777">
      <w:pPr>
        <w:rPr>
          <w:sz w:val="20"/>
          <w:szCs w:val="20"/>
        </w:rPr>
      </w:pPr>
    </w:p>
    <w:p w:rsidR="00F46B36" w:rsidP="006121D6" w:rsidRDefault="00F46B36" w14:paraId="286A5197" w14:textId="77777777">
      <w:pPr>
        <w:rPr>
          <w:sz w:val="20"/>
          <w:szCs w:val="20"/>
        </w:rPr>
      </w:pPr>
    </w:p>
    <w:p w:rsidR="006121D6" w:rsidP="006121D6" w:rsidRDefault="00C858D8" w14:paraId="551EAD03" w14:textId="496705F7">
      <w:pPr>
        <w:rPr>
          <w:sz w:val="20"/>
          <w:szCs w:val="20"/>
        </w:rPr>
      </w:pPr>
      <w:r w:rsidRPr="00C858D8">
        <w:rPr>
          <w:b/>
          <w:bCs/>
          <w:sz w:val="20"/>
          <w:szCs w:val="20"/>
        </w:rPr>
        <w:t>Vraag 7</w:t>
      </w:r>
      <w:r w:rsidR="006121D6">
        <w:rPr>
          <w:sz w:val="20"/>
          <w:szCs w:val="20"/>
        </w:rPr>
        <w:br/>
      </w:r>
      <w:r w:rsidRPr="00E7313B" w:rsidR="006121D6">
        <w:rPr>
          <w:b/>
          <w:bCs/>
          <w:sz w:val="20"/>
          <w:szCs w:val="20"/>
        </w:rPr>
        <w:t>Bent u bereid onderzoek te laten verrichten naar een mogelijke verandering van de systematiek van schuldeisers in het faillissementsrecht, omdat nu de machtige, vermogende, goed geëquipeerde partijen er met het leeuwendeel van de opbrengst vandoor gaan en de rest er bekaaid vanaf komt, waarbij ook serieus wordt gekeken naar de stap om de volgorde te veranderen naar het eerder uitbetalen van onvrijwillige schuldeisers, zoals slachtoffers met milieuschade, met als doel een rechtvaardiger verdeling? Zo nee, waarom niet?</w:t>
      </w:r>
    </w:p>
    <w:p w:rsidRPr="00084B9B" w:rsidR="006121D6" w:rsidP="006121D6" w:rsidRDefault="006121D6" w14:paraId="2F729D11" w14:textId="77777777">
      <w:pPr>
        <w:rPr>
          <w:sz w:val="20"/>
          <w:szCs w:val="20"/>
        </w:rPr>
      </w:pPr>
    </w:p>
    <w:p w:rsidR="006121D6" w:rsidP="006121D6" w:rsidRDefault="006121D6" w14:paraId="14E040D5" w14:textId="77777777">
      <w:pPr>
        <w:rPr>
          <w:sz w:val="20"/>
          <w:szCs w:val="20"/>
        </w:rPr>
      </w:pPr>
      <w:r w:rsidRPr="00C858D8">
        <w:rPr>
          <w:b/>
          <w:bCs/>
          <w:sz w:val="20"/>
          <w:szCs w:val="20"/>
        </w:rPr>
        <w:t>Antwoord vraag 2 t/m 7</w:t>
      </w:r>
      <w:r>
        <w:rPr>
          <w:sz w:val="20"/>
          <w:szCs w:val="20"/>
        </w:rPr>
        <w:br/>
        <w:t xml:space="preserve">Ik heb er begrip voor dat betrokkenen het als onbevredigend ervaren dat zij hun fysieke schade en/of schade in hun leefomgeving in sommige gevallen van faillissement niet vergoed zien. Niettemin deel ik de conclusies van de schrijvers van het artikel niet. Ik zal dit nader toelichten. </w:t>
      </w:r>
    </w:p>
    <w:p w:rsidR="00C858D8" w:rsidP="006121D6" w:rsidRDefault="00C858D8" w14:paraId="6EFC26AE" w14:textId="77777777">
      <w:pPr>
        <w:rPr>
          <w:sz w:val="20"/>
          <w:szCs w:val="20"/>
        </w:rPr>
      </w:pPr>
    </w:p>
    <w:p w:rsidRPr="00C048A8" w:rsidR="006121D6" w:rsidP="006121D6" w:rsidRDefault="006121D6" w14:paraId="7A23DEB4" w14:textId="6D691B04">
      <w:pPr>
        <w:rPr>
          <w:sz w:val="20"/>
          <w:szCs w:val="20"/>
        </w:rPr>
      </w:pPr>
      <w:r>
        <w:rPr>
          <w:sz w:val="20"/>
          <w:szCs w:val="20"/>
        </w:rPr>
        <w:t>In faillissement wordt er bij de verdeling van de boedel geen onderscheid gemaakt tussen ‘‘vrijwillige’’ en ‘‘onvrijwillige’’ schuldeisers. Wel bestaat er een rangorde van schuldeisers binnen faillissement. B</w:t>
      </w:r>
      <w:r w:rsidRPr="00084B9B">
        <w:rPr>
          <w:sz w:val="20"/>
          <w:szCs w:val="20"/>
        </w:rPr>
        <w:t xml:space="preserve">oedelschuldeisers </w:t>
      </w:r>
      <w:r>
        <w:rPr>
          <w:sz w:val="20"/>
          <w:szCs w:val="20"/>
        </w:rPr>
        <w:t>hebben als</w:t>
      </w:r>
      <w:r w:rsidRPr="00084B9B">
        <w:rPr>
          <w:sz w:val="20"/>
          <w:szCs w:val="20"/>
        </w:rPr>
        <w:t xml:space="preserve"> eerste aanspraak </w:t>
      </w:r>
      <w:r>
        <w:rPr>
          <w:sz w:val="20"/>
          <w:szCs w:val="20"/>
        </w:rPr>
        <w:t xml:space="preserve">op de </w:t>
      </w:r>
      <w:r w:rsidRPr="00084B9B">
        <w:rPr>
          <w:sz w:val="20"/>
          <w:szCs w:val="20"/>
        </w:rPr>
        <w:t>boedel</w:t>
      </w:r>
      <w:r>
        <w:rPr>
          <w:sz w:val="20"/>
          <w:szCs w:val="20"/>
        </w:rPr>
        <w:t>. Zij hebben deze aanspraak op grond van de wet, op grond van het feit dat zij bijvoorbeeld met de curator een overeenkomst zijn aangegaan of indien de curator in strijd handelt met door hem na te leven verplichtingen.</w:t>
      </w:r>
      <w:r>
        <w:rPr>
          <w:rStyle w:val="Voetnootmarkering"/>
          <w:sz w:val="20"/>
          <w:szCs w:val="20"/>
        </w:rPr>
        <w:footnoteReference w:id="1"/>
      </w:r>
      <w:r>
        <w:rPr>
          <w:sz w:val="20"/>
          <w:szCs w:val="20"/>
        </w:rPr>
        <w:t xml:space="preserve"> Denk bij de laatstgenoemde situatie bijvoorbeeld aan het geval dat de curator niet voldoet aan opgelegde bestuurslasten voortvloeiende uit het milieurecht en het bestuursorgaan, zoals een gemeente, zelf maatregelen moet treffen. Kosten die hieruit voortvloeien kunnen worden gekwalificeerd als boedelschuld.</w:t>
      </w:r>
      <w:r>
        <w:rPr>
          <w:rStyle w:val="Voetnootmarkering"/>
          <w:sz w:val="20"/>
          <w:szCs w:val="20"/>
        </w:rPr>
        <w:footnoteReference w:id="2"/>
      </w:r>
      <w:r>
        <w:rPr>
          <w:sz w:val="20"/>
          <w:szCs w:val="20"/>
        </w:rPr>
        <w:t xml:space="preserve"> Na voldoening van de boedelschuldeisers worden de preferente vorderingen voldaan. Preferente schuldeisers zijn bijvoorbeeld de Belastingdienst en het UWV. Indien er na de voldoening van de preferente schuldeisers nog middelen beschikbaar zijn, worden de concurrente schuldeisers voldaan. Concurrente schulden zijn schulden die zijn ontstaan voor datum faillissement, te denken valt aan bijvoorbeeld niet voldane vorderingen van leveranciers. </w:t>
      </w:r>
      <w:r>
        <w:rPr>
          <w:sz w:val="20"/>
          <w:szCs w:val="20"/>
        </w:rPr>
        <w:br/>
      </w:r>
      <w:r>
        <w:rPr>
          <w:sz w:val="20"/>
          <w:szCs w:val="20"/>
        </w:rPr>
        <w:br/>
        <w:t>Pand- en hypotheekhouders (zgn. separatisten) hoeven geen rekening te houden met het faillissement. Zij kunnen hun zekerheden uitwinnen alsof er geen faillissement is.</w:t>
      </w:r>
      <w:r>
        <w:rPr>
          <w:rStyle w:val="Voetnootmarkering"/>
          <w:sz w:val="20"/>
          <w:szCs w:val="20"/>
        </w:rPr>
        <w:footnoteReference w:id="3"/>
      </w:r>
      <w:r>
        <w:rPr>
          <w:sz w:val="20"/>
          <w:szCs w:val="20"/>
        </w:rPr>
        <w:t xml:space="preserve"> Met deze waarborg is het mogelijk dat pand- en hypotheekhouders op een eenvoudige wijze en tegen geringe kosten krediet kunnen aanbieden. Dit is in het belang van zowel werknemers, dienstverleners als leveranciers. Wanneer zekerheidsrechten voor het verlenen van krediet, zoals pand- en hypotheekrecht, niet langer op voornoemde wijze in faillissement kunnen worden uitgewonnen, zullen</w:t>
      </w:r>
      <w:r w:rsidRPr="00084B9B">
        <w:rPr>
          <w:sz w:val="20"/>
          <w:szCs w:val="20"/>
        </w:rPr>
        <w:t xml:space="preserve"> </w:t>
      </w:r>
      <w:r>
        <w:rPr>
          <w:sz w:val="20"/>
          <w:szCs w:val="20"/>
        </w:rPr>
        <w:t>kredietverstrekkers</w:t>
      </w:r>
      <w:r w:rsidRPr="00084B9B">
        <w:rPr>
          <w:sz w:val="20"/>
          <w:szCs w:val="20"/>
        </w:rPr>
        <w:t xml:space="preserve"> niet meer of onder minder gunstige voorwaarden </w:t>
      </w:r>
      <w:r>
        <w:rPr>
          <w:sz w:val="20"/>
          <w:szCs w:val="20"/>
        </w:rPr>
        <w:t xml:space="preserve">bereid zijn tot het verstrekken van krediet. </w:t>
      </w:r>
      <w:r w:rsidRPr="00084B9B">
        <w:rPr>
          <w:sz w:val="20"/>
          <w:szCs w:val="20"/>
        </w:rPr>
        <w:t>Dit leidt ertoe dat het verkrijgen van financiering moeilijker en duurder wordt. Dit acht ik onwenselijk.</w:t>
      </w:r>
      <w:r>
        <w:rPr>
          <w:sz w:val="20"/>
          <w:szCs w:val="20"/>
        </w:rPr>
        <w:t xml:space="preserve"> </w:t>
      </w:r>
      <w:r>
        <w:rPr>
          <w:sz w:val="20"/>
          <w:szCs w:val="20"/>
        </w:rPr>
        <w:br/>
      </w:r>
      <w:r>
        <w:rPr>
          <w:sz w:val="20"/>
          <w:szCs w:val="20"/>
        </w:rPr>
        <w:br/>
      </w:r>
      <w:r w:rsidRPr="006E438D">
        <w:rPr>
          <w:sz w:val="20"/>
          <w:szCs w:val="20"/>
        </w:rPr>
        <w:t>Ik ben mij ervan bewust dat het huidige systeem</w:t>
      </w:r>
      <w:r>
        <w:rPr>
          <w:sz w:val="20"/>
          <w:szCs w:val="20"/>
        </w:rPr>
        <w:t xml:space="preserve"> van verdeling</w:t>
      </w:r>
      <w:r w:rsidRPr="006E438D">
        <w:rPr>
          <w:sz w:val="20"/>
          <w:szCs w:val="20"/>
        </w:rPr>
        <w:t xml:space="preserve"> ertoe kan leiden dat de failliete boedel in sommige gevallen onvoldoende middelen heeft om (onvrijwillige) boedelschuldeisers te voldoen. </w:t>
      </w:r>
      <w:r w:rsidRPr="00544221">
        <w:rPr>
          <w:sz w:val="20"/>
          <w:szCs w:val="20"/>
        </w:rPr>
        <w:t>In dat geval is het niet mogelijk om de schade van betrokkenen aan hun leefomgeving te vergoeden.</w:t>
      </w:r>
      <w:r>
        <w:rPr>
          <w:sz w:val="20"/>
          <w:szCs w:val="20"/>
        </w:rPr>
        <w:t xml:space="preserve"> In de faillissementen van de bedrijven Chemiepack en Thermphos werd de overheid met hoge lasten voor het opruimen van schade aan het milieu geconfronteerd, </w:t>
      </w:r>
      <w:r w:rsidR="005D2E78">
        <w:rPr>
          <w:sz w:val="20"/>
          <w:szCs w:val="20"/>
        </w:rPr>
        <w:t>door</w:t>
      </w:r>
      <w:r>
        <w:rPr>
          <w:sz w:val="20"/>
          <w:szCs w:val="20"/>
        </w:rPr>
        <w:t xml:space="preserve">dat deze bedrijven zelf daarvoor niet over voldoende middelen beschikten en failliet gingen. Naar aanleiding hiervan is in het Omgevingsbesluit opgenomen dat het in geval van ‘‘majeure risicobedrijven’’, bijvoorbeeld bedrijven die met gevaarlijke stoffen werken die mogelijk ernstige milieuschade tot gevolg kunnen hebben, verplicht wordt om in de vergunning voorschriften op te nemen voor het stellen van financiële zekerheid. Hiermee wordt het bevoegd gezag ertoe verplicht dat deze bedrijven financiële zekerheid stellen voor het geval zich milieuschade voordoet en het desbetreffende bedrijf deze schade niet kan vergoeden. </w:t>
      </w:r>
      <w:r w:rsidRPr="009832A1">
        <w:rPr>
          <w:sz w:val="20"/>
          <w:szCs w:val="20"/>
        </w:rPr>
        <w:t>Zo wordt zoveel mogelijk voorkomen dat de kosten voor milieuschade worden</w:t>
      </w:r>
      <w:r>
        <w:rPr>
          <w:sz w:val="20"/>
          <w:szCs w:val="20"/>
        </w:rPr>
        <w:t xml:space="preserve"> </w:t>
      </w:r>
      <w:r w:rsidRPr="009832A1">
        <w:rPr>
          <w:sz w:val="20"/>
          <w:szCs w:val="20"/>
        </w:rPr>
        <w:t>afgewenteld op de maatschappij.</w:t>
      </w:r>
      <w:r>
        <w:rPr>
          <w:rStyle w:val="Voetnootmarkering"/>
          <w:sz w:val="20"/>
          <w:szCs w:val="20"/>
        </w:rPr>
        <w:footnoteReference w:id="4"/>
      </w:r>
      <w:r>
        <w:rPr>
          <w:sz w:val="20"/>
          <w:szCs w:val="20"/>
        </w:rPr>
        <w:t xml:space="preserve"> </w:t>
      </w:r>
      <w:r>
        <w:rPr>
          <w:sz w:val="20"/>
          <w:szCs w:val="20"/>
        </w:rPr>
        <w:br/>
      </w:r>
      <w:r>
        <w:rPr>
          <w:sz w:val="20"/>
          <w:szCs w:val="20"/>
        </w:rPr>
        <w:br/>
      </w:r>
      <w:r w:rsidRPr="006E438D">
        <w:rPr>
          <w:rStyle w:val="Verwijzingopmerking"/>
          <w:sz w:val="20"/>
          <w:szCs w:val="20"/>
        </w:rPr>
        <w:t>I</w:t>
      </w:r>
      <w:r w:rsidRPr="006E438D">
        <w:rPr>
          <w:sz w:val="20"/>
          <w:szCs w:val="20"/>
        </w:rPr>
        <w:t xml:space="preserve">k heb niet de overtuiging dat het omdraaien van de volgorde waarin ‘‘onvrijwillige’’ schuldeisers de separatistenpositie overnemen van zekerheidsgerechtigden uiteindelijk leidt tot een beter systeem. Dit </w:t>
      </w:r>
      <w:r w:rsidR="00C858D8">
        <w:rPr>
          <w:sz w:val="20"/>
          <w:szCs w:val="20"/>
        </w:rPr>
        <w:t xml:space="preserve">baseer ik onder ander op </w:t>
      </w:r>
      <w:r w:rsidRPr="006E438D">
        <w:rPr>
          <w:sz w:val="20"/>
          <w:szCs w:val="20"/>
        </w:rPr>
        <w:t>het recente onderzoek dat is gedaan naar de positie van concurrente - en ook ‘‘onvrijwillige’’ – schuldeisers in opdracht van het WODC.</w:t>
      </w:r>
      <w:r w:rsidRPr="006E438D">
        <w:rPr>
          <w:rStyle w:val="Voetnootmarkering"/>
          <w:sz w:val="20"/>
          <w:szCs w:val="20"/>
        </w:rPr>
        <w:footnoteReference w:id="5"/>
      </w:r>
      <w:r w:rsidRPr="006E438D">
        <w:rPr>
          <w:sz w:val="20"/>
          <w:szCs w:val="20"/>
        </w:rPr>
        <w:t xml:space="preserve"> Uit dit onderzoek kwam naar voren dat het ingewikkeld is om de positie van concurrente schuldeisers te verbeteren, omdat de huidige wettelijke rangorde aangepast of uitgeschakeld zal moeten worden om concurrente (‘‘onvrijwillige’’) schuldeisers daadwerkelijk te helpen. Dit heeft tot gevolg dat het faillissements- en zekerheidsrecht aangepast zal moeten worden met de nodige negatieve gevolgen zoals</w:t>
      </w:r>
      <w:r>
        <w:rPr>
          <w:sz w:val="20"/>
          <w:szCs w:val="20"/>
        </w:rPr>
        <w:t xml:space="preserve"> </w:t>
      </w:r>
      <w:r w:rsidRPr="006E438D">
        <w:rPr>
          <w:sz w:val="20"/>
          <w:szCs w:val="20"/>
        </w:rPr>
        <w:t xml:space="preserve">rechtsonzekerheid of aanzienlijke kosten van (andere) schuldeisers. </w:t>
      </w:r>
      <w:r w:rsidR="00C858D8">
        <w:rPr>
          <w:sz w:val="20"/>
          <w:szCs w:val="20"/>
        </w:rPr>
        <w:t xml:space="preserve">Aangezien bij </w:t>
      </w:r>
      <w:r w:rsidR="00D5211A">
        <w:rPr>
          <w:sz w:val="20"/>
          <w:szCs w:val="20"/>
        </w:rPr>
        <w:t xml:space="preserve">afdracht aan concurrente schuldeisers steeds </w:t>
      </w:r>
      <w:r w:rsidR="00C858D8">
        <w:rPr>
          <w:sz w:val="20"/>
          <w:szCs w:val="20"/>
        </w:rPr>
        <w:t xml:space="preserve">een verificatieproces moet worden opgezet, </w:t>
      </w:r>
      <w:r w:rsidRPr="006E438D" w:rsidR="00C858D8">
        <w:rPr>
          <w:sz w:val="20"/>
          <w:szCs w:val="20"/>
        </w:rPr>
        <w:t xml:space="preserve">is het </w:t>
      </w:r>
      <w:r w:rsidR="00D5211A">
        <w:rPr>
          <w:sz w:val="20"/>
          <w:szCs w:val="20"/>
        </w:rPr>
        <w:t xml:space="preserve">daarnaast </w:t>
      </w:r>
      <w:r w:rsidRPr="006E438D" w:rsidR="00C858D8">
        <w:rPr>
          <w:sz w:val="20"/>
          <w:szCs w:val="20"/>
        </w:rPr>
        <w:t>de vraag of een vereenvoudigde afwikkeling van faillissement wel kan blijven voortbestaan</w:t>
      </w:r>
      <w:r w:rsidR="00D5211A">
        <w:rPr>
          <w:sz w:val="20"/>
          <w:szCs w:val="20"/>
        </w:rPr>
        <w:t xml:space="preserve"> (vgl. art. 137a Faillissementswet)</w:t>
      </w:r>
      <w:r w:rsidRPr="006E438D" w:rsidR="00C858D8">
        <w:rPr>
          <w:sz w:val="20"/>
          <w:szCs w:val="20"/>
        </w:rPr>
        <w:t>.</w:t>
      </w:r>
      <w:r w:rsidRPr="006E438D" w:rsidR="00C858D8">
        <w:rPr>
          <w:rStyle w:val="Voetnootmarkering"/>
          <w:sz w:val="20"/>
          <w:szCs w:val="20"/>
        </w:rPr>
        <w:footnoteReference w:id="6"/>
      </w:r>
      <w:r w:rsidR="00C858D8">
        <w:rPr>
          <w:sz w:val="20"/>
          <w:szCs w:val="20"/>
        </w:rPr>
        <w:t xml:space="preserve"> </w:t>
      </w:r>
      <w:r w:rsidRPr="006E438D">
        <w:rPr>
          <w:sz w:val="20"/>
          <w:szCs w:val="20"/>
        </w:rPr>
        <w:t>Al met al zie ik dus teveel nadelen om op dit punt het systeem te veranderen.</w:t>
      </w:r>
      <w:r>
        <w:rPr>
          <w:sz w:val="20"/>
          <w:szCs w:val="20"/>
        </w:rPr>
        <w:t xml:space="preserve"> </w:t>
      </w:r>
    </w:p>
    <w:p w:rsidR="006121D6" w:rsidRDefault="006121D6" w14:paraId="0D70ABB5" w14:textId="77777777"/>
    <w:sectPr w:rsidR="006121D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1901E" w14:textId="77777777" w:rsidR="00144CE0" w:rsidRDefault="00144CE0">
      <w:pPr>
        <w:spacing w:line="240" w:lineRule="auto"/>
      </w:pPr>
      <w:r>
        <w:separator/>
      </w:r>
    </w:p>
  </w:endnote>
  <w:endnote w:type="continuationSeparator" w:id="0">
    <w:p w14:paraId="0A48AAFD" w14:textId="77777777" w:rsidR="00144CE0" w:rsidRDefault="00144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0C5E" w14:textId="77777777" w:rsidR="00F0237A" w:rsidRDefault="00F0237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1FF1E" w14:textId="77777777" w:rsidR="00144CE0" w:rsidRDefault="00144CE0">
      <w:pPr>
        <w:spacing w:line="240" w:lineRule="auto"/>
      </w:pPr>
      <w:r>
        <w:separator/>
      </w:r>
    </w:p>
  </w:footnote>
  <w:footnote w:type="continuationSeparator" w:id="0">
    <w:p w14:paraId="798A93A5" w14:textId="77777777" w:rsidR="00144CE0" w:rsidRDefault="00144CE0">
      <w:pPr>
        <w:spacing w:line="240" w:lineRule="auto"/>
      </w:pPr>
      <w:r>
        <w:continuationSeparator/>
      </w:r>
    </w:p>
  </w:footnote>
  <w:footnote w:id="1">
    <w:p w14:paraId="4D23897D" w14:textId="77777777" w:rsidR="006121D6" w:rsidRPr="007766D7" w:rsidRDefault="006121D6" w:rsidP="006121D6">
      <w:pPr>
        <w:pStyle w:val="Voetnoottekst"/>
        <w:rPr>
          <w:rFonts w:ascii="Verdana" w:hAnsi="Verdana"/>
          <w:sz w:val="16"/>
          <w:szCs w:val="16"/>
        </w:rPr>
      </w:pPr>
      <w:r w:rsidRPr="006E438D">
        <w:rPr>
          <w:rStyle w:val="Voetnootmarkering"/>
          <w:rFonts w:ascii="Verdana" w:hAnsi="Verdana"/>
          <w:sz w:val="16"/>
          <w:szCs w:val="16"/>
        </w:rPr>
        <w:footnoteRef/>
      </w:r>
      <w:r w:rsidRPr="006E438D">
        <w:rPr>
          <w:rFonts w:ascii="Verdana" w:hAnsi="Verdana"/>
          <w:sz w:val="16"/>
          <w:szCs w:val="16"/>
        </w:rPr>
        <w:t xml:space="preserve"> Zie </w:t>
      </w:r>
      <w:r w:rsidRPr="007124A5">
        <w:rPr>
          <w:rFonts w:ascii="Verdana" w:hAnsi="Verdana"/>
          <w:sz w:val="16"/>
          <w:szCs w:val="16"/>
        </w:rPr>
        <w:t xml:space="preserve">Hoge Raad 19 april 2013, </w:t>
      </w:r>
      <w:r w:rsidRPr="007124A5">
        <w:rPr>
          <w:rFonts w:ascii="Verdana" w:hAnsi="Verdana"/>
          <w:i/>
          <w:iCs/>
          <w:sz w:val="16"/>
          <w:szCs w:val="16"/>
        </w:rPr>
        <w:t>NJ</w:t>
      </w:r>
      <w:r w:rsidRPr="007124A5">
        <w:rPr>
          <w:rFonts w:ascii="Verdana" w:hAnsi="Verdana"/>
          <w:sz w:val="16"/>
          <w:szCs w:val="16"/>
        </w:rPr>
        <w:t xml:space="preserve"> 2013/291 (</w:t>
      </w:r>
      <w:r w:rsidRPr="007124A5">
        <w:rPr>
          <w:rFonts w:ascii="Verdana" w:hAnsi="Verdana"/>
          <w:i/>
          <w:iCs/>
          <w:sz w:val="16"/>
          <w:szCs w:val="16"/>
        </w:rPr>
        <w:t>Koot Beheer/Tideman q.q.)</w:t>
      </w:r>
      <w:r w:rsidRPr="007124A5">
        <w:rPr>
          <w:rFonts w:ascii="Verdana" w:hAnsi="Verdana"/>
          <w:sz w:val="16"/>
          <w:szCs w:val="16"/>
        </w:rPr>
        <w:t xml:space="preserve">. Overigens bepaalt de wet maar voor een heel beperkt aantal schulden dat deze boedelschulden zijn. Te denken valt aan huurkosten en salaris van </w:t>
      </w:r>
      <w:r w:rsidRPr="007766D7">
        <w:rPr>
          <w:rFonts w:ascii="Verdana" w:hAnsi="Verdana"/>
          <w:sz w:val="16"/>
          <w:szCs w:val="16"/>
        </w:rPr>
        <w:t>werknemers van na de faillissementsdatum (artikel 39 en 40 Faillissementswet).</w:t>
      </w:r>
    </w:p>
  </w:footnote>
  <w:footnote w:id="2">
    <w:p w14:paraId="675E620A" w14:textId="77777777" w:rsidR="006121D6" w:rsidRPr="00544221" w:rsidRDefault="006121D6" w:rsidP="006121D6">
      <w:pPr>
        <w:pStyle w:val="Voetnoottekst"/>
        <w:rPr>
          <w:rFonts w:ascii="Verdana" w:hAnsi="Verdana"/>
          <w:sz w:val="16"/>
          <w:szCs w:val="16"/>
        </w:rPr>
      </w:pPr>
      <w:r w:rsidRPr="00544221">
        <w:rPr>
          <w:rStyle w:val="Voetnootmarkering"/>
          <w:rFonts w:ascii="Verdana" w:hAnsi="Verdana"/>
          <w:sz w:val="16"/>
          <w:szCs w:val="16"/>
        </w:rPr>
        <w:footnoteRef/>
      </w:r>
      <w:r w:rsidRPr="00544221">
        <w:rPr>
          <w:rFonts w:ascii="Verdana" w:hAnsi="Verdana"/>
          <w:sz w:val="16"/>
          <w:szCs w:val="16"/>
        </w:rPr>
        <w:t xml:space="preserve"> Hoge Raad 4 juni 2021, ECLI:NL:HR:2021:833.</w:t>
      </w:r>
      <w:r>
        <w:rPr>
          <w:rFonts w:ascii="Verdana" w:hAnsi="Verdana"/>
          <w:sz w:val="16"/>
          <w:szCs w:val="16"/>
        </w:rPr>
        <w:t xml:space="preserve"> In deze zaak ging het om een taxibedrijf dat geen verplichte vloeistofdichte coating op het terrein van haar wasstraat had aangebracht, waardoor zij in strijd handelde met milieuwetgeving. In het faillissement van het taxibedrijf vordert de gemeente o.a. een verklaring voor recht dat de last onder dwangsom en last onder bestuursdwang kwalificeren als boedelschuld. De Hoge Raad bepaalt dat bestuursrechtelijke handhavingskosten voortvloeiend uit een aan de curator opgelegde last boedelschulden zijn.</w:t>
      </w:r>
    </w:p>
  </w:footnote>
  <w:footnote w:id="3">
    <w:p w14:paraId="2AE40D79" w14:textId="77777777" w:rsidR="006121D6" w:rsidRPr="00544221" w:rsidRDefault="006121D6" w:rsidP="006121D6">
      <w:pPr>
        <w:pStyle w:val="Voetnoottekst"/>
        <w:rPr>
          <w:rFonts w:ascii="Verdana" w:hAnsi="Verdana"/>
          <w:sz w:val="16"/>
          <w:szCs w:val="16"/>
        </w:rPr>
      </w:pPr>
      <w:r w:rsidRPr="007766D7">
        <w:rPr>
          <w:rStyle w:val="Voetnootmarkering"/>
          <w:rFonts w:ascii="Verdana" w:hAnsi="Verdana"/>
          <w:sz w:val="16"/>
          <w:szCs w:val="16"/>
        </w:rPr>
        <w:footnoteRef/>
      </w:r>
      <w:r w:rsidRPr="007766D7">
        <w:rPr>
          <w:rFonts w:ascii="Verdana" w:hAnsi="Verdana"/>
          <w:sz w:val="16"/>
          <w:szCs w:val="16"/>
        </w:rPr>
        <w:t xml:space="preserve"> Zie artikel 57</w:t>
      </w:r>
      <w:r>
        <w:rPr>
          <w:rFonts w:ascii="Verdana" w:hAnsi="Verdana"/>
          <w:sz w:val="16"/>
          <w:szCs w:val="16"/>
        </w:rPr>
        <w:t xml:space="preserve"> lid 1</w:t>
      </w:r>
      <w:r w:rsidRPr="007766D7">
        <w:rPr>
          <w:rFonts w:ascii="Verdana" w:hAnsi="Verdana"/>
          <w:sz w:val="16"/>
          <w:szCs w:val="16"/>
        </w:rPr>
        <w:t xml:space="preserve"> Faillissementswet.</w:t>
      </w:r>
      <w:r w:rsidRPr="00544221">
        <w:rPr>
          <w:rFonts w:ascii="Verdana" w:hAnsi="Verdana"/>
          <w:sz w:val="16"/>
          <w:szCs w:val="16"/>
        </w:rPr>
        <w:t xml:space="preserve"> </w:t>
      </w:r>
    </w:p>
  </w:footnote>
  <w:footnote w:id="4">
    <w:p w14:paraId="09E5ADC2" w14:textId="77777777" w:rsidR="006121D6" w:rsidRPr="00E327C5" w:rsidRDefault="006121D6" w:rsidP="006121D6">
      <w:pPr>
        <w:pStyle w:val="Voetnoottekst"/>
        <w:rPr>
          <w:rFonts w:ascii="Verdana" w:hAnsi="Verdana"/>
          <w:sz w:val="16"/>
          <w:szCs w:val="16"/>
        </w:rPr>
      </w:pPr>
      <w:r w:rsidRPr="00E327C5">
        <w:rPr>
          <w:rStyle w:val="Voetnootmarkering"/>
          <w:rFonts w:ascii="Verdana" w:hAnsi="Verdana"/>
          <w:sz w:val="16"/>
          <w:szCs w:val="16"/>
        </w:rPr>
        <w:footnoteRef/>
      </w:r>
      <w:r w:rsidRPr="00E327C5">
        <w:rPr>
          <w:rFonts w:ascii="Verdana" w:hAnsi="Verdana"/>
          <w:sz w:val="16"/>
          <w:szCs w:val="16"/>
        </w:rPr>
        <w:t xml:space="preserve"> Zie </w:t>
      </w:r>
      <w:r w:rsidRPr="00E327C5">
        <w:rPr>
          <w:rFonts w:ascii="Verdana" w:hAnsi="Verdana"/>
          <w:i/>
          <w:iCs/>
          <w:sz w:val="16"/>
          <w:szCs w:val="16"/>
        </w:rPr>
        <w:t>Stcrt</w:t>
      </w:r>
      <w:r w:rsidRPr="00E327C5">
        <w:rPr>
          <w:rFonts w:ascii="Verdana" w:hAnsi="Verdana"/>
          <w:sz w:val="16"/>
          <w:szCs w:val="16"/>
        </w:rPr>
        <w:t>. 2022, 23892.</w:t>
      </w:r>
    </w:p>
  </w:footnote>
  <w:footnote w:id="5">
    <w:p w14:paraId="4B4793F0" w14:textId="21B3DB4C" w:rsidR="006121D6" w:rsidRDefault="006121D6" w:rsidP="006121D6">
      <w:pPr>
        <w:pStyle w:val="Voetnoottekst"/>
      </w:pPr>
      <w:r w:rsidRPr="004B4021">
        <w:rPr>
          <w:rStyle w:val="Voetnootmarkering"/>
          <w:rFonts w:ascii="Verdana" w:hAnsi="Verdana"/>
          <w:sz w:val="16"/>
          <w:szCs w:val="16"/>
        </w:rPr>
        <w:footnoteRef/>
      </w:r>
      <w:r w:rsidRPr="004B4021">
        <w:rPr>
          <w:rFonts w:ascii="Verdana" w:hAnsi="Verdana"/>
          <w:sz w:val="16"/>
          <w:szCs w:val="16"/>
        </w:rPr>
        <w:t xml:space="preserve"> A. Karapetian, M.L. Lennarts en F.M.J. Verstijlen, “De positie van concurrente schuldeisers in faillissement: Een verkennend onderzoek naar de positie van concurrente (mkb</w:t>
      </w:r>
      <w:r w:rsidR="00FA23AD">
        <w:rPr>
          <w:rFonts w:ascii="Verdana" w:hAnsi="Verdana"/>
          <w:sz w:val="16"/>
          <w:szCs w:val="16"/>
        </w:rPr>
        <w:t>-</w:t>
      </w:r>
      <w:r w:rsidRPr="004B4021">
        <w:rPr>
          <w:rFonts w:ascii="Verdana" w:hAnsi="Verdana"/>
          <w:sz w:val="16"/>
          <w:szCs w:val="16"/>
        </w:rPr>
        <w:t>)</w:t>
      </w:r>
      <w:r w:rsidR="00FA23AD">
        <w:rPr>
          <w:rFonts w:ascii="Verdana" w:hAnsi="Verdana"/>
          <w:sz w:val="16"/>
          <w:szCs w:val="16"/>
        </w:rPr>
        <w:t xml:space="preserve"> </w:t>
      </w:r>
      <w:r w:rsidRPr="004B4021">
        <w:rPr>
          <w:rFonts w:ascii="Verdana" w:hAnsi="Verdana"/>
          <w:sz w:val="16"/>
          <w:szCs w:val="16"/>
        </w:rPr>
        <w:t>schuldeisers in faillissement en de mogelijkheden deze te verbeteren”, Rijksuniversiteit Groningen</w:t>
      </w:r>
      <w:r w:rsidRPr="00EE2066">
        <w:rPr>
          <w:rFonts w:ascii="Verdana" w:hAnsi="Verdana"/>
          <w:sz w:val="16"/>
          <w:szCs w:val="16"/>
        </w:rPr>
        <w:t>, in opdracht van het WODC, 2021.</w:t>
      </w:r>
    </w:p>
  </w:footnote>
  <w:footnote w:id="6">
    <w:p w14:paraId="31BA7BA7" w14:textId="77777777" w:rsidR="00C858D8" w:rsidRPr="007D639F" w:rsidRDefault="00C858D8" w:rsidP="00C858D8">
      <w:pPr>
        <w:pStyle w:val="Voetnoottekst"/>
        <w:rPr>
          <w:rFonts w:ascii="Verdana" w:hAnsi="Verdana"/>
          <w:sz w:val="16"/>
          <w:szCs w:val="16"/>
        </w:rPr>
      </w:pPr>
      <w:r w:rsidRPr="007D639F">
        <w:rPr>
          <w:rStyle w:val="Voetnootmarkering"/>
          <w:rFonts w:ascii="Verdana" w:hAnsi="Verdana"/>
          <w:sz w:val="16"/>
          <w:szCs w:val="16"/>
        </w:rPr>
        <w:footnoteRef/>
      </w:r>
      <w:r w:rsidRPr="007D639F">
        <w:rPr>
          <w:rFonts w:ascii="Verdana" w:hAnsi="Verdana"/>
          <w:sz w:val="16"/>
          <w:szCs w:val="16"/>
        </w:rPr>
        <w:t xml:space="preserve"> </w:t>
      </w:r>
      <w:bookmarkStart w:id="1" w:name="_Hlk189039420"/>
      <w:r w:rsidRPr="007D639F">
        <w:rPr>
          <w:rFonts w:ascii="Verdana" w:hAnsi="Verdana"/>
          <w:i/>
          <w:iCs/>
          <w:sz w:val="16"/>
          <w:szCs w:val="16"/>
        </w:rPr>
        <w:t>Kamerstukken II</w:t>
      </w:r>
      <w:r w:rsidRPr="007D639F">
        <w:rPr>
          <w:rFonts w:ascii="Verdana" w:hAnsi="Verdana"/>
          <w:sz w:val="16"/>
          <w:szCs w:val="16"/>
        </w:rPr>
        <w:t xml:space="preserve"> 2023/24, 33 695, nr. 22</w:t>
      </w:r>
      <w:bookmarkEnd w:id="1"/>
      <w:r w:rsidRPr="007D639F">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C8F04" w14:textId="77777777" w:rsidR="00F0237A" w:rsidRDefault="00742841">
    <w:r>
      <w:rPr>
        <w:noProof/>
      </w:rPr>
      <mc:AlternateContent>
        <mc:Choice Requires="wps">
          <w:drawing>
            <wp:anchor distT="0" distB="0" distL="0" distR="0" simplePos="0" relativeHeight="251652608" behindDoc="0" locked="1" layoutInCell="1" allowOverlap="1" wp14:anchorId="57C747B7" wp14:editId="13170C2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5A89DB" w14:textId="77777777" w:rsidR="00F0237A" w:rsidRDefault="00742841">
                          <w:pPr>
                            <w:pStyle w:val="Referentiegegevensbold"/>
                          </w:pPr>
                          <w:r>
                            <w:t>Cluster secretaris-generaal</w:t>
                          </w:r>
                        </w:p>
                        <w:p w14:paraId="66675A4B" w14:textId="77777777" w:rsidR="00F0237A" w:rsidRDefault="00742841">
                          <w:pPr>
                            <w:pStyle w:val="Referentiegegevens"/>
                          </w:pPr>
                          <w:r>
                            <w:t>Directie Wetgeving en Juridische Zaken</w:t>
                          </w:r>
                        </w:p>
                        <w:p w14:paraId="25FFD0E2" w14:textId="77777777" w:rsidR="00F0237A" w:rsidRDefault="00742841">
                          <w:pPr>
                            <w:pStyle w:val="Referentiegegevens"/>
                          </w:pPr>
                          <w:r>
                            <w:t>Privaatrecht</w:t>
                          </w:r>
                        </w:p>
                        <w:p w14:paraId="61FD2C37" w14:textId="77777777" w:rsidR="00F0237A" w:rsidRDefault="00F0237A">
                          <w:pPr>
                            <w:pStyle w:val="WitregelW2"/>
                          </w:pPr>
                        </w:p>
                        <w:p w14:paraId="48962A13" w14:textId="77777777" w:rsidR="00F0237A" w:rsidRDefault="00742841">
                          <w:pPr>
                            <w:pStyle w:val="Referentiegegevensbold"/>
                          </w:pPr>
                          <w:r>
                            <w:t>Datum</w:t>
                          </w:r>
                        </w:p>
                        <w:p w14:paraId="43D8EA8D" w14:textId="192625F3" w:rsidR="00F0237A" w:rsidRDefault="00686DC5">
                          <w:pPr>
                            <w:pStyle w:val="Referentiegegevens"/>
                          </w:pPr>
                          <w:sdt>
                            <w:sdtPr>
                              <w:id w:val="1240369446"/>
                              <w:date w:fullDate="2025-02-20T00:00:00Z">
                                <w:dateFormat w:val="d MMMM yyyy"/>
                                <w:lid w:val="nl"/>
                                <w:storeMappedDataAs w:val="dateTime"/>
                                <w:calendar w:val="gregorian"/>
                              </w:date>
                            </w:sdtPr>
                            <w:sdtEndPr/>
                            <w:sdtContent>
                              <w:r w:rsidR="00E7313B">
                                <w:rPr>
                                  <w:lang w:val="nl"/>
                                </w:rPr>
                                <w:t>20 februari 2025</w:t>
                              </w:r>
                            </w:sdtContent>
                          </w:sdt>
                        </w:p>
                        <w:p w14:paraId="73AB0048" w14:textId="77777777" w:rsidR="00F0237A" w:rsidRDefault="00F0237A">
                          <w:pPr>
                            <w:pStyle w:val="WitregelW1"/>
                          </w:pPr>
                        </w:p>
                        <w:p w14:paraId="0236BAED" w14:textId="77777777" w:rsidR="00F0237A" w:rsidRDefault="00742841">
                          <w:pPr>
                            <w:pStyle w:val="Referentiegegevensbold"/>
                          </w:pPr>
                          <w:r>
                            <w:t>Onze referentie</w:t>
                          </w:r>
                        </w:p>
                        <w:p w14:paraId="16FF04E2" w14:textId="4D7F328E" w:rsidR="00F36558" w:rsidRPr="00F36558" w:rsidRDefault="00F36558" w:rsidP="00F36558">
                          <w:pPr>
                            <w:pStyle w:val="Referentiegegevens"/>
                          </w:pPr>
                          <w:r w:rsidRPr="00F36558">
                            <w:t>61</w:t>
                          </w:r>
                          <w:r w:rsidR="00E7313B">
                            <w:t>83182</w:t>
                          </w:r>
                        </w:p>
                        <w:p w14:paraId="08ADD7D0" w14:textId="38906853" w:rsidR="00F0237A" w:rsidRDefault="00F0237A" w:rsidP="00F36558">
                          <w:pPr>
                            <w:pStyle w:val="Referentiegegevens"/>
                          </w:pPr>
                        </w:p>
                      </w:txbxContent>
                    </wps:txbx>
                    <wps:bodyPr vert="horz" wrap="square" lIns="0" tIns="0" rIns="0" bIns="0" anchor="t" anchorCtr="0"/>
                  </wps:wsp>
                </a:graphicData>
              </a:graphic>
            </wp:anchor>
          </w:drawing>
        </mc:Choice>
        <mc:Fallback>
          <w:pict>
            <v:shapetype w14:anchorId="57C747B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25A89DB" w14:textId="77777777" w:rsidR="00F0237A" w:rsidRDefault="00742841">
                    <w:pPr>
                      <w:pStyle w:val="Referentiegegevensbold"/>
                    </w:pPr>
                    <w:r>
                      <w:t>Cluster secretaris-generaal</w:t>
                    </w:r>
                  </w:p>
                  <w:p w14:paraId="66675A4B" w14:textId="77777777" w:rsidR="00F0237A" w:rsidRDefault="00742841">
                    <w:pPr>
                      <w:pStyle w:val="Referentiegegevens"/>
                    </w:pPr>
                    <w:r>
                      <w:t>Directie Wetgeving en Juridische Zaken</w:t>
                    </w:r>
                  </w:p>
                  <w:p w14:paraId="25FFD0E2" w14:textId="77777777" w:rsidR="00F0237A" w:rsidRDefault="00742841">
                    <w:pPr>
                      <w:pStyle w:val="Referentiegegevens"/>
                    </w:pPr>
                    <w:r>
                      <w:t>Privaatrecht</w:t>
                    </w:r>
                  </w:p>
                  <w:p w14:paraId="61FD2C37" w14:textId="77777777" w:rsidR="00F0237A" w:rsidRDefault="00F0237A">
                    <w:pPr>
                      <w:pStyle w:val="WitregelW2"/>
                    </w:pPr>
                  </w:p>
                  <w:p w14:paraId="48962A13" w14:textId="77777777" w:rsidR="00F0237A" w:rsidRDefault="00742841">
                    <w:pPr>
                      <w:pStyle w:val="Referentiegegevensbold"/>
                    </w:pPr>
                    <w:r>
                      <w:t>Datum</w:t>
                    </w:r>
                  </w:p>
                  <w:p w14:paraId="43D8EA8D" w14:textId="192625F3" w:rsidR="00F0237A" w:rsidRDefault="00686DC5">
                    <w:pPr>
                      <w:pStyle w:val="Referentiegegevens"/>
                    </w:pPr>
                    <w:sdt>
                      <w:sdtPr>
                        <w:id w:val="1240369446"/>
                        <w:date w:fullDate="2025-02-20T00:00:00Z">
                          <w:dateFormat w:val="d MMMM yyyy"/>
                          <w:lid w:val="nl"/>
                          <w:storeMappedDataAs w:val="dateTime"/>
                          <w:calendar w:val="gregorian"/>
                        </w:date>
                      </w:sdtPr>
                      <w:sdtEndPr/>
                      <w:sdtContent>
                        <w:r w:rsidR="00E7313B">
                          <w:rPr>
                            <w:lang w:val="nl"/>
                          </w:rPr>
                          <w:t>20 februari 2025</w:t>
                        </w:r>
                      </w:sdtContent>
                    </w:sdt>
                  </w:p>
                  <w:p w14:paraId="73AB0048" w14:textId="77777777" w:rsidR="00F0237A" w:rsidRDefault="00F0237A">
                    <w:pPr>
                      <w:pStyle w:val="WitregelW1"/>
                    </w:pPr>
                  </w:p>
                  <w:p w14:paraId="0236BAED" w14:textId="77777777" w:rsidR="00F0237A" w:rsidRDefault="00742841">
                    <w:pPr>
                      <w:pStyle w:val="Referentiegegevensbold"/>
                    </w:pPr>
                    <w:r>
                      <w:t>Onze referentie</w:t>
                    </w:r>
                  </w:p>
                  <w:p w14:paraId="16FF04E2" w14:textId="4D7F328E" w:rsidR="00F36558" w:rsidRPr="00F36558" w:rsidRDefault="00F36558" w:rsidP="00F36558">
                    <w:pPr>
                      <w:pStyle w:val="Referentiegegevens"/>
                    </w:pPr>
                    <w:r w:rsidRPr="00F36558">
                      <w:t>61</w:t>
                    </w:r>
                    <w:r w:rsidR="00E7313B">
                      <w:t>83182</w:t>
                    </w:r>
                  </w:p>
                  <w:p w14:paraId="08ADD7D0" w14:textId="38906853" w:rsidR="00F0237A" w:rsidRDefault="00F0237A" w:rsidP="00F3655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639F162" wp14:editId="27EE25C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0090684" w14:textId="77777777" w:rsidR="00742841" w:rsidRDefault="00742841"/>
                      </w:txbxContent>
                    </wps:txbx>
                    <wps:bodyPr vert="horz" wrap="square" lIns="0" tIns="0" rIns="0" bIns="0" anchor="t" anchorCtr="0"/>
                  </wps:wsp>
                </a:graphicData>
              </a:graphic>
            </wp:anchor>
          </w:drawing>
        </mc:Choice>
        <mc:Fallback>
          <w:pict>
            <v:shape w14:anchorId="7639F16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0090684" w14:textId="77777777" w:rsidR="00742841" w:rsidRDefault="0074284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62D0435" wp14:editId="3807642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386801" w14:textId="7322627D" w:rsidR="00F0237A" w:rsidRDefault="00742841">
                          <w:pPr>
                            <w:pStyle w:val="Referentiegegevens"/>
                          </w:pPr>
                          <w:r>
                            <w:t xml:space="preserve">Pagina </w:t>
                          </w:r>
                          <w:r>
                            <w:fldChar w:fldCharType="begin"/>
                          </w:r>
                          <w:r>
                            <w:instrText>PAGE</w:instrText>
                          </w:r>
                          <w:r>
                            <w:fldChar w:fldCharType="separate"/>
                          </w:r>
                          <w:r w:rsidR="006121D6">
                            <w:rPr>
                              <w:noProof/>
                            </w:rPr>
                            <w:t>2</w:t>
                          </w:r>
                          <w:r>
                            <w:fldChar w:fldCharType="end"/>
                          </w:r>
                          <w:r>
                            <w:t xml:space="preserve"> van </w:t>
                          </w:r>
                          <w:r>
                            <w:fldChar w:fldCharType="begin"/>
                          </w:r>
                          <w:r>
                            <w:instrText>NUMPAGES</w:instrText>
                          </w:r>
                          <w:r>
                            <w:fldChar w:fldCharType="separate"/>
                          </w:r>
                          <w:r w:rsidR="00E55B35">
                            <w:rPr>
                              <w:noProof/>
                            </w:rPr>
                            <w:t>1</w:t>
                          </w:r>
                          <w:r>
                            <w:fldChar w:fldCharType="end"/>
                          </w:r>
                        </w:p>
                      </w:txbxContent>
                    </wps:txbx>
                    <wps:bodyPr vert="horz" wrap="square" lIns="0" tIns="0" rIns="0" bIns="0" anchor="t" anchorCtr="0"/>
                  </wps:wsp>
                </a:graphicData>
              </a:graphic>
            </wp:anchor>
          </w:drawing>
        </mc:Choice>
        <mc:Fallback>
          <w:pict>
            <v:shape w14:anchorId="762D043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2386801" w14:textId="7322627D" w:rsidR="00F0237A" w:rsidRDefault="00742841">
                    <w:pPr>
                      <w:pStyle w:val="Referentiegegevens"/>
                    </w:pPr>
                    <w:r>
                      <w:t xml:space="preserve">Pagina </w:t>
                    </w:r>
                    <w:r>
                      <w:fldChar w:fldCharType="begin"/>
                    </w:r>
                    <w:r>
                      <w:instrText>PAGE</w:instrText>
                    </w:r>
                    <w:r>
                      <w:fldChar w:fldCharType="separate"/>
                    </w:r>
                    <w:r w:rsidR="006121D6">
                      <w:rPr>
                        <w:noProof/>
                      </w:rPr>
                      <w:t>2</w:t>
                    </w:r>
                    <w:r>
                      <w:fldChar w:fldCharType="end"/>
                    </w:r>
                    <w:r>
                      <w:t xml:space="preserve"> van </w:t>
                    </w:r>
                    <w:r>
                      <w:fldChar w:fldCharType="begin"/>
                    </w:r>
                    <w:r>
                      <w:instrText>NUMPAGES</w:instrText>
                    </w:r>
                    <w:r>
                      <w:fldChar w:fldCharType="separate"/>
                    </w:r>
                    <w:r w:rsidR="00E55B3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5ED06" w14:textId="77777777" w:rsidR="00F0237A" w:rsidRDefault="00742841">
    <w:pPr>
      <w:spacing w:after="6377" w:line="14" w:lineRule="exact"/>
    </w:pPr>
    <w:r>
      <w:rPr>
        <w:noProof/>
      </w:rPr>
      <mc:AlternateContent>
        <mc:Choice Requires="wps">
          <w:drawing>
            <wp:anchor distT="0" distB="0" distL="0" distR="0" simplePos="0" relativeHeight="251655680" behindDoc="0" locked="1" layoutInCell="1" allowOverlap="1" wp14:anchorId="0E9B2D87" wp14:editId="722E4E5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7C1A9D" w14:textId="77777777" w:rsidR="00E7313B" w:rsidRDefault="00742841">
                          <w:r>
                            <w:t xml:space="preserve">Aan de Voorzitter van de Tweede Kamer </w:t>
                          </w:r>
                        </w:p>
                        <w:p w14:paraId="51D1EA45" w14:textId="5D1284C3" w:rsidR="00F0237A" w:rsidRDefault="00742841">
                          <w:r>
                            <w:t>der Staten-Generaal</w:t>
                          </w:r>
                        </w:p>
                        <w:p w14:paraId="7D1545A2" w14:textId="77777777" w:rsidR="00F0237A" w:rsidRDefault="00742841">
                          <w:r>
                            <w:t xml:space="preserve">Postbus 20018 </w:t>
                          </w:r>
                        </w:p>
                        <w:p w14:paraId="341D5F9F" w14:textId="77777777" w:rsidR="00F0237A" w:rsidRDefault="00742841">
                          <w:r>
                            <w:t>2500 EA  DEN HAAG</w:t>
                          </w:r>
                        </w:p>
                      </w:txbxContent>
                    </wps:txbx>
                    <wps:bodyPr vert="horz" wrap="square" lIns="0" tIns="0" rIns="0" bIns="0" anchor="t" anchorCtr="0"/>
                  </wps:wsp>
                </a:graphicData>
              </a:graphic>
            </wp:anchor>
          </w:drawing>
        </mc:Choice>
        <mc:Fallback>
          <w:pict>
            <v:shapetype w14:anchorId="0E9B2D8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2A7C1A9D" w14:textId="77777777" w:rsidR="00E7313B" w:rsidRDefault="00742841">
                    <w:r>
                      <w:t xml:space="preserve">Aan de Voorzitter van de Tweede Kamer </w:t>
                    </w:r>
                  </w:p>
                  <w:p w14:paraId="51D1EA45" w14:textId="5D1284C3" w:rsidR="00F0237A" w:rsidRDefault="00742841">
                    <w:r>
                      <w:t>der Staten-Generaal</w:t>
                    </w:r>
                  </w:p>
                  <w:p w14:paraId="7D1545A2" w14:textId="77777777" w:rsidR="00F0237A" w:rsidRDefault="00742841">
                    <w:r>
                      <w:t xml:space="preserve">Postbus 20018 </w:t>
                    </w:r>
                  </w:p>
                  <w:p w14:paraId="341D5F9F" w14:textId="77777777" w:rsidR="00F0237A" w:rsidRDefault="0074284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5801F37" wp14:editId="5AB0C82F">
              <wp:simplePos x="0" y="0"/>
              <wp:positionH relativeFrom="page">
                <wp:posOffset>1009650</wp:posOffset>
              </wp:positionH>
              <wp:positionV relativeFrom="page">
                <wp:posOffset>3352165</wp:posOffset>
              </wp:positionV>
              <wp:extent cx="4787900" cy="6572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0237A" w14:paraId="70EBCC65" w14:textId="77777777">
                            <w:trPr>
                              <w:trHeight w:val="240"/>
                            </w:trPr>
                            <w:tc>
                              <w:tcPr>
                                <w:tcW w:w="1140" w:type="dxa"/>
                              </w:tcPr>
                              <w:p w14:paraId="651ACCD2" w14:textId="77777777" w:rsidR="00F0237A" w:rsidRDefault="00742841">
                                <w:r>
                                  <w:t>Datum</w:t>
                                </w:r>
                              </w:p>
                            </w:tc>
                            <w:tc>
                              <w:tcPr>
                                <w:tcW w:w="5918" w:type="dxa"/>
                              </w:tcPr>
                              <w:p w14:paraId="5030885A" w14:textId="39204868" w:rsidR="00F0237A" w:rsidRDefault="00686DC5">
                                <w:sdt>
                                  <w:sdtPr>
                                    <w:id w:val="-111280121"/>
                                    <w:date w:fullDate="2025-02-20T00:00:00Z">
                                      <w:dateFormat w:val="d MMMM yyyy"/>
                                      <w:lid w:val="nl"/>
                                      <w:storeMappedDataAs w:val="dateTime"/>
                                      <w:calendar w:val="gregorian"/>
                                    </w:date>
                                  </w:sdtPr>
                                  <w:sdtEndPr/>
                                  <w:sdtContent>
                                    <w:r w:rsidR="00E7313B">
                                      <w:rPr>
                                        <w:lang w:val="nl"/>
                                      </w:rPr>
                                      <w:t>20 februari 2025</w:t>
                                    </w:r>
                                  </w:sdtContent>
                                </w:sdt>
                              </w:p>
                            </w:tc>
                          </w:tr>
                          <w:tr w:rsidR="00F0237A" w14:paraId="10B6D1A9" w14:textId="77777777" w:rsidTr="00E7313B">
                            <w:trPr>
                              <w:trHeight w:val="617"/>
                            </w:trPr>
                            <w:tc>
                              <w:tcPr>
                                <w:tcW w:w="1140" w:type="dxa"/>
                              </w:tcPr>
                              <w:p w14:paraId="210D2785" w14:textId="77777777" w:rsidR="00F0237A" w:rsidRDefault="00742841">
                                <w:r>
                                  <w:t>Betreft</w:t>
                                </w:r>
                              </w:p>
                            </w:tc>
                            <w:tc>
                              <w:tcPr>
                                <w:tcW w:w="5918" w:type="dxa"/>
                              </w:tcPr>
                              <w:p w14:paraId="10B1D14B" w14:textId="1A184FDC" w:rsidR="00F0237A" w:rsidRDefault="00E7313B">
                                <w:r>
                                  <w:t xml:space="preserve">Antwoorden </w:t>
                                </w:r>
                                <w:r w:rsidR="00742841">
                                  <w:t xml:space="preserve">Kamervragen over </w:t>
                                </w:r>
                                <w:r>
                                  <w:t>de scheve positie van de onvrijwillige schuldeiser ten opzichte van de vrijwillige schuldeiser</w:t>
                                </w:r>
                                <w:r>
                                  <w:br/>
                                </w:r>
                              </w:p>
                            </w:tc>
                          </w:tr>
                        </w:tbl>
                        <w:p w14:paraId="509608B3" w14:textId="77777777" w:rsidR="00742841" w:rsidRDefault="0074284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5801F37" id="46feebd0-aa3c-11ea-a756-beb5f67e67be" o:spid="_x0000_s1030" type="#_x0000_t202" style="position:absolute;margin-left:79.5pt;margin-top:263.95pt;width:377pt;height:51.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H4gygEAAG0DAAAOAAAAZHJzL2Uyb0RvYy54bWysU9uO0zAQfUfiHyy/t0lLkyxR0xWwWoSE&#10;WKSFD3CccWMpvmC7TcrXM3aaLoI3xIsznrGPzzkz2d9PaiBncF4a3dDNOqcENDed1MeGfv/2uLqj&#10;xAemOzYYDQ29gKf3h9ev9qOtYWt6M3TgCIJoX4+2oX0Its4yz3tQzK+NBY1FYZxiAbfumHWOjYiu&#10;hmyb52U2GtdZZzh4j9mHuUgPCV8I4OFJCA+BDA1FbiGtLq1tXLPDntVHx2wv+ZUG+wcWikmNj96g&#10;Hlhg5OTkX1BKcme8EWHNjcqMEJJD0oBqNvkfap57ZiFpQXO8vdnk/x8s/3L+6ojsGlpQopnCFu1K&#10;AdB2+YqxN3y12QBbsaooVy20hSgrKKsWom+j9TVef7YIEKb3ZsL+L3mPyWjHJJyKXxRKsI4duNxc&#10;hykQjslddVe9zbHEsVYW1XZbRJjs5bZ1PnwEo0gMGuqwq8lsdv7sw3x0ORIf0+ZRDkPMR4ozlRiF&#10;qZ2S1N1CszXdBdnj/CJsb9xPSkachYb6HyfmgJLhk0az4+AsgVuCdgmY5ni1oYGSOfwQ0oDNVN6d&#10;ghEysYwc5hev1LCnSed1/uLQ/L5Pp17+ksMvAAAA//8DAFBLAwQUAAYACAAAACEAYZU0wuAAAAAL&#10;AQAADwAAAGRycy9kb3ducmV2LnhtbEyPQU+DQBCF7yb+h82YeLMLrUVBlqYxejIxpXjwuMAUNmVn&#10;kd22+O8dT3p8b17efC/fzHYQZ5y8caQgXkQgkBrXGuoUfFSvd48gfNDU6sERKvhGD5vi+irXWesu&#10;VOJ5HzrBJeQzraAPYcyk9E2PVvuFG5H4dnCT1YHl1Ml20hcut4NcRlEirTbEH3o94nOPzXF/sgq2&#10;n1S+mK/3elceSlNVaURvyVGp25t5+wQi4Bz+wvCLz+hQMFPtTtR6MbBep7wlKFgvH1IQnEjjFTu1&#10;gmQV34Mscvl/Q/EDAAD//wMAUEsBAi0AFAAGAAgAAAAhALaDOJL+AAAA4QEAABMAAAAAAAAAAAAA&#10;AAAAAAAAAFtDb250ZW50X1R5cGVzXS54bWxQSwECLQAUAAYACAAAACEAOP0h/9YAAACUAQAACwAA&#10;AAAAAAAAAAAAAAAvAQAAX3JlbHMvLnJlbHNQSwECLQAUAAYACAAAACEAeax+IMoBAABtAwAADgAA&#10;AAAAAAAAAAAAAAAuAgAAZHJzL2Uyb0RvYy54bWxQSwECLQAUAAYACAAAACEAYZU0wu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0237A" w14:paraId="70EBCC65" w14:textId="77777777">
                      <w:trPr>
                        <w:trHeight w:val="240"/>
                      </w:trPr>
                      <w:tc>
                        <w:tcPr>
                          <w:tcW w:w="1140" w:type="dxa"/>
                        </w:tcPr>
                        <w:p w14:paraId="651ACCD2" w14:textId="77777777" w:rsidR="00F0237A" w:rsidRDefault="00742841">
                          <w:r>
                            <w:t>Datum</w:t>
                          </w:r>
                        </w:p>
                      </w:tc>
                      <w:tc>
                        <w:tcPr>
                          <w:tcW w:w="5918" w:type="dxa"/>
                        </w:tcPr>
                        <w:p w14:paraId="5030885A" w14:textId="39204868" w:rsidR="00F0237A" w:rsidRDefault="00686DC5">
                          <w:sdt>
                            <w:sdtPr>
                              <w:id w:val="-111280121"/>
                              <w:date w:fullDate="2025-02-20T00:00:00Z">
                                <w:dateFormat w:val="d MMMM yyyy"/>
                                <w:lid w:val="nl"/>
                                <w:storeMappedDataAs w:val="dateTime"/>
                                <w:calendar w:val="gregorian"/>
                              </w:date>
                            </w:sdtPr>
                            <w:sdtEndPr/>
                            <w:sdtContent>
                              <w:r w:rsidR="00E7313B">
                                <w:rPr>
                                  <w:lang w:val="nl"/>
                                </w:rPr>
                                <w:t>20 februari 2025</w:t>
                              </w:r>
                            </w:sdtContent>
                          </w:sdt>
                        </w:p>
                      </w:tc>
                    </w:tr>
                    <w:tr w:rsidR="00F0237A" w14:paraId="10B6D1A9" w14:textId="77777777" w:rsidTr="00E7313B">
                      <w:trPr>
                        <w:trHeight w:val="617"/>
                      </w:trPr>
                      <w:tc>
                        <w:tcPr>
                          <w:tcW w:w="1140" w:type="dxa"/>
                        </w:tcPr>
                        <w:p w14:paraId="210D2785" w14:textId="77777777" w:rsidR="00F0237A" w:rsidRDefault="00742841">
                          <w:r>
                            <w:t>Betreft</w:t>
                          </w:r>
                        </w:p>
                      </w:tc>
                      <w:tc>
                        <w:tcPr>
                          <w:tcW w:w="5918" w:type="dxa"/>
                        </w:tcPr>
                        <w:p w14:paraId="10B1D14B" w14:textId="1A184FDC" w:rsidR="00F0237A" w:rsidRDefault="00E7313B">
                          <w:r>
                            <w:t xml:space="preserve">Antwoorden </w:t>
                          </w:r>
                          <w:r w:rsidR="00742841">
                            <w:t xml:space="preserve">Kamervragen over </w:t>
                          </w:r>
                          <w:r>
                            <w:t>de scheve positie van de onvrijwillige schuldeiser ten opzichte van de vrijwillige schuldeiser</w:t>
                          </w:r>
                          <w:r>
                            <w:br/>
                          </w:r>
                        </w:p>
                      </w:tc>
                    </w:tr>
                  </w:tbl>
                  <w:p w14:paraId="509608B3" w14:textId="77777777" w:rsidR="00742841" w:rsidRDefault="0074284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3B6EB99" wp14:editId="6B790D9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74A791" w14:textId="77777777" w:rsidR="00F0237A" w:rsidRDefault="00742841">
                          <w:pPr>
                            <w:pStyle w:val="Referentiegegevensbold"/>
                          </w:pPr>
                          <w:r>
                            <w:t>Cluster secretaris-generaal</w:t>
                          </w:r>
                        </w:p>
                        <w:p w14:paraId="194D4F54" w14:textId="77777777" w:rsidR="00F0237A" w:rsidRDefault="00742841">
                          <w:pPr>
                            <w:pStyle w:val="Referentiegegevens"/>
                          </w:pPr>
                          <w:r>
                            <w:t>Directie Wetgeving en Juridische Zaken</w:t>
                          </w:r>
                        </w:p>
                        <w:p w14:paraId="45E90156" w14:textId="77777777" w:rsidR="00F0237A" w:rsidRDefault="00742841">
                          <w:pPr>
                            <w:pStyle w:val="Referentiegegevens"/>
                          </w:pPr>
                          <w:r>
                            <w:t>Privaatrecht</w:t>
                          </w:r>
                        </w:p>
                        <w:p w14:paraId="16E52672" w14:textId="77777777" w:rsidR="00F0237A" w:rsidRDefault="00F0237A">
                          <w:pPr>
                            <w:pStyle w:val="WitregelW1"/>
                          </w:pPr>
                        </w:p>
                        <w:p w14:paraId="7000B3F6" w14:textId="77777777" w:rsidR="00F0237A" w:rsidRDefault="00742841">
                          <w:pPr>
                            <w:pStyle w:val="Referentiegegevens"/>
                          </w:pPr>
                          <w:r>
                            <w:t>Turfmarkt 147</w:t>
                          </w:r>
                        </w:p>
                        <w:p w14:paraId="6604C852" w14:textId="77777777" w:rsidR="00F0237A" w:rsidRDefault="00742841">
                          <w:pPr>
                            <w:pStyle w:val="Referentiegegevens"/>
                          </w:pPr>
                          <w:r>
                            <w:t>2511 DP   Den Haag</w:t>
                          </w:r>
                        </w:p>
                        <w:p w14:paraId="6085D79D" w14:textId="77777777" w:rsidR="00F0237A" w:rsidRDefault="00742841">
                          <w:pPr>
                            <w:pStyle w:val="Referentiegegevens"/>
                          </w:pPr>
                          <w:r>
                            <w:t>Postbus 20301</w:t>
                          </w:r>
                        </w:p>
                        <w:p w14:paraId="09AD9C79" w14:textId="77777777" w:rsidR="00F0237A" w:rsidRDefault="00742841">
                          <w:pPr>
                            <w:pStyle w:val="Referentiegegevens"/>
                          </w:pPr>
                          <w:r>
                            <w:t>2500 EH   Den Haag</w:t>
                          </w:r>
                        </w:p>
                        <w:p w14:paraId="645879CA" w14:textId="77777777" w:rsidR="00F0237A" w:rsidRDefault="00742841">
                          <w:pPr>
                            <w:pStyle w:val="Referentiegegevens"/>
                          </w:pPr>
                          <w:r>
                            <w:t>www.rijksoverheid.nl/jenv</w:t>
                          </w:r>
                        </w:p>
                        <w:p w14:paraId="31451E30" w14:textId="77777777" w:rsidR="00F0237A" w:rsidRDefault="00F0237A">
                          <w:pPr>
                            <w:pStyle w:val="WitregelW2"/>
                          </w:pPr>
                        </w:p>
                        <w:p w14:paraId="43A3EF2E" w14:textId="77777777" w:rsidR="00F0237A" w:rsidRDefault="00742841">
                          <w:pPr>
                            <w:pStyle w:val="Referentiegegevensbold"/>
                          </w:pPr>
                          <w:r>
                            <w:t>Onze referentie</w:t>
                          </w:r>
                        </w:p>
                        <w:p w14:paraId="0F651070" w14:textId="012DBCB7" w:rsidR="00F36558" w:rsidRDefault="00F36558" w:rsidP="00F36558">
                          <w:pPr>
                            <w:pStyle w:val="Referentiegegevens"/>
                          </w:pPr>
                          <w:r w:rsidRPr="00F36558">
                            <w:t>6</w:t>
                          </w:r>
                          <w:r w:rsidR="00E7313B">
                            <w:t>183182</w:t>
                          </w:r>
                        </w:p>
                        <w:p w14:paraId="36CB7082" w14:textId="77777777" w:rsidR="00E7313B" w:rsidRDefault="00E7313B" w:rsidP="00E7313B"/>
                        <w:p w14:paraId="1F2D1439" w14:textId="31B82C0B" w:rsidR="00E7313B" w:rsidRDefault="00E7313B" w:rsidP="00E7313B">
                          <w:pPr>
                            <w:pStyle w:val="Referentiegegevensbold"/>
                          </w:pPr>
                          <w:r>
                            <w:t>Uw kenmerk</w:t>
                          </w:r>
                        </w:p>
                        <w:p w14:paraId="09D72EDA" w14:textId="047481D0" w:rsidR="00E7313B" w:rsidRPr="00E7313B" w:rsidRDefault="00E7313B" w:rsidP="00E7313B">
                          <w:pPr>
                            <w:rPr>
                              <w:sz w:val="13"/>
                              <w:szCs w:val="13"/>
                            </w:rPr>
                          </w:pPr>
                          <w:r w:rsidRPr="00E7313B">
                            <w:rPr>
                              <w:sz w:val="13"/>
                              <w:szCs w:val="13"/>
                            </w:rPr>
                            <w:t>2025Z00713</w:t>
                          </w:r>
                        </w:p>
                        <w:p w14:paraId="031B8617" w14:textId="4B5ED02C" w:rsidR="00F0237A" w:rsidRDefault="00F0237A" w:rsidP="00F36558">
                          <w:pPr>
                            <w:pStyle w:val="Referentiegegevens"/>
                          </w:pPr>
                        </w:p>
                      </w:txbxContent>
                    </wps:txbx>
                    <wps:bodyPr vert="horz" wrap="square" lIns="0" tIns="0" rIns="0" bIns="0" anchor="t" anchorCtr="0"/>
                  </wps:wsp>
                </a:graphicData>
              </a:graphic>
            </wp:anchor>
          </w:drawing>
        </mc:Choice>
        <mc:Fallback>
          <w:pict>
            <v:shape w14:anchorId="13B6EB9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F74A791" w14:textId="77777777" w:rsidR="00F0237A" w:rsidRDefault="00742841">
                    <w:pPr>
                      <w:pStyle w:val="Referentiegegevensbold"/>
                    </w:pPr>
                    <w:r>
                      <w:t>Cluster secretaris-generaal</w:t>
                    </w:r>
                  </w:p>
                  <w:p w14:paraId="194D4F54" w14:textId="77777777" w:rsidR="00F0237A" w:rsidRDefault="00742841">
                    <w:pPr>
                      <w:pStyle w:val="Referentiegegevens"/>
                    </w:pPr>
                    <w:r>
                      <w:t>Directie Wetgeving en Juridische Zaken</w:t>
                    </w:r>
                  </w:p>
                  <w:p w14:paraId="45E90156" w14:textId="77777777" w:rsidR="00F0237A" w:rsidRDefault="00742841">
                    <w:pPr>
                      <w:pStyle w:val="Referentiegegevens"/>
                    </w:pPr>
                    <w:r>
                      <w:t>Privaatrecht</w:t>
                    </w:r>
                  </w:p>
                  <w:p w14:paraId="16E52672" w14:textId="77777777" w:rsidR="00F0237A" w:rsidRDefault="00F0237A">
                    <w:pPr>
                      <w:pStyle w:val="WitregelW1"/>
                    </w:pPr>
                  </w:p>
                  <w:p w14:paraId="7000B3F6" w14:textId="77777777" w:rsidR="00F0237A" w:rsidRDefault="00742841">
                    <w:pPr>
                      <w:pStyle w:val="Referentiegegevens"/>
                    </w:pPr>
                    <w:r>
                      <w:t>Turfmarkt 147</w:t>
                    </w:r>
                  </w:p>
                  <w:p w14:paraId="6604C852" w14:textId="77777777" w:rsidR="00F0237A" w:rsidRDefault="00742841">
                    <w:pPr>
                      <w:pStyle w:val="Referentiegegevens"/>
                    </w:pPr>
                    <w:r>
                      <w:t>2511 DP   Den Haag</w:t>
                    </w:r>
                  </w:p>
                  <w:p w14:paraId="6085D79D" w14:textId="77777777" w:rsidR="00F0237A" w:rsidRDefault="00742841">
                    <w:pPr>
                      <w:pStyle w:val="Referentiegegevens"/>
                    </w:pPr>
                    <w:r>
                      <w:t>Postbus 20301</w:t>
                    </w:r>
                  </w:p>
                  <w:p w14:paraId="09AD9C79" w14:textId="77777777" w:rsidR="00F0237A" w:rsidRDefault="00742841">
                    <w:pPr>
                      <w:pStyle w:val="Referentiegegevens"/>
                    </w:pPr>
                    <w:r>
                      <w:t>2500 EH   Den Haag</w:t>
                    </w:r>
                  </w:p>
                  <w:p w14:paraId="645879CA" w14:textId="77777777" w:rsidR="00F0237A" w:rsidRDefault="00742841">
                    <w:pPr>
                      <w:pStyle w:val="Referentiegegevens"/>
                    </w:pPr>
                    <w:r>
                      <w:t>www.rijksoverheid.nl/jenv</w:t>
                    </w:r>
                  </w:p>
                  <w:p w14:paraId="31451E30" w14:textId="77777777" w:rsidR="00F0237A" w:rsidRDefault="00F0237A">
                    <w:pPr>
                      <w:pStyle w:val="WitregelW2"/>
                    </w:pPr>
                  </w:p>
                  <w:p w14:paraId="43A3EF2E" w14:textId="77777777" w:rsidR="00F0237A" w:rsidRDefault="00742841">
                    <w:pPr>
                      <w:pStyle w:val="Referentiegegevensbold"/>
                    </w:pPr>
                    <w:r>
                      <w:t>Onze referentie</w:t>
                    </w:r>
                  </w:p>
                  <w:p w14:paraId="0F651070" w14:textId="012DBCB7" w:rsidR="00F36558" w:rsidRDefault="00F36558" w:rsidP="00F36558">
                    <w:pPr>
                      <w:pStyle w:val="Referentiegegevens"/>
                    </w:pPr>
                    <w:r w:rsidRPr="00F36558">
                      <w:t>6</w:t>
                    </w:r>
                    <w:r w:rsidR="00E7313B">
                      <w:t>183182</w:t>
                    </w:r>
                  </w:p>
                  <w:p w14:paraId="36CB7082" w14:textId="77777777" w:rsidR="00E7313B" w:rsidRDefault="00E7313B" w:rsidP="00E7313B"/>
                  <w:p w14:paraId="1F2D1439" w14:textId="31B82C0B" w:rsidR="00E7313B" w:rsidRDefault="00E7313B" w:rsidP="00E7313B">
                    <w:pPr>
                      <w:pStyle w:val="Referentiegegevensbold"/>
                    </w:pPr>
                    <w:r>
                      <w:t>Uw kenmerk</w:t>
                    </w:r>
                  </w:p>
                  <w:p w14:paraId="09D72EDA" w14:textId="047481D0" w:rsidR="00E7313B" w:rsidRPr="00E7313B" w:rsidRDefault="00E7313B" w:rsidP="00E7313B">
                    <w:pPr>
                      <w:rPr>
                        <w:sz w:val="13"/>
                        <w:szCs w:val="13"/>
                      </w:rPr>
                    </w:pPr>
                    <w:r w:rsidRPr="00E7313B">
                      <w:rPr>
                        <w:sz w:val="13"/>
                        <w:szCs w:val="13"/>
                      </w:rPr>
                      <w:t>2025Z00713</w:t>
                    </w:r>
                  </w:p>
                  <w:p w14:paraId="031B8617" w14:textId="4B5ED02C" w:rsidR="00F0237A" w:rsidRDefault="00F0237A" w:rsidP="00F3655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E0C59B7" wp14:editId="5ADA89E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0CA451" w14:textId="77777777" w:rsidR="00742841" w:rsidRDefault="00742841"/>
                      </w:txbxContent>
                    </wps:txbx>
                    <wps:bodyPr vert="horz" wrap="square" lIns="0" tIns="0" rIns="0" bIns="0" anchor="t" anchorCtr="0"/>
                  </wps:wsp>
                </a:graphicData>
              </a:graphic>
            </wp:anchor>
          </w:drawing>
        </mc:Choice>
        <mc:Fallback>
          <w:pict>
            <v:shape w14:anchorId="1E0C59B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20CA451" w14:textId="77777777" w:rsidR="00742841" w:rsidRDefault="0074284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CEA8878" wp14:editId="1C8213A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D79EA6" w14:textId="31F66AD3" w:rsidR="00F0237A" w:rsidRDefault="00742841">
                          <w:pPr>
                            <w:pStyle w:val="Referentiegegevens"/>
                          </w:pPr>
                          <w:r>
                            <w:t xml:space="preserve">Pagina </w:t>
                          </w:r>
                          <w:r>
                            <w:fldChar w:fldCharType="begin"/>
                          </w:r>
                          <w:r>
                            <w:instrText>PAGE</w:instrText>
                          </w:r>
                          <w:r>
                            <w:fldChar w:fldCharType="separate"/>
                          </w:r>
                          <w:r w:rsidR="00686DC5">
                            <w:rPr>
                              <w:noProof/>
                            </w:rPr>
                            <w:t>1</w:t>
                          </w:r>
                          <w:r>
                            <w:fldChar w:fldCharType="end"/>
                          </w:r>
                          <w:r>
                            <w:t xml:space="preserve"> van </w:t>
                          </w:r>
                          <w:r>
                            <w:fldChar w:fldCharType="begin"/>
                          </w:r>
                          <w:r>
                            <w:instrText>NUMPAGES</w:instrText>
                          </w:r>
                          <w:r>
                            <w:fldChar w:fldCharType="separate"/>
                          </w:r>
                          <w:r w:rsidR="00686DC5">
                            <w:rPr>
                              <w:noProof/>
                            </w:rPr>
                            <w:t>1</w:t>
                          </w:r>
                          <w:r>
                            <w:fldChar w:fldCharType="end"/>
                          </w:r>
                        </w:p>
                      </w:txbxContent>
                    </wps:txbx>
                    <wps:bodyPr vert="horz" wrap="square" lIns="0" tIns="0" rIns="0" bIns="0" anchor="t" anchorCtr="0"/>
                  </wps:wsp>
                </a:graphicData>
              </a:graphic>
            </wp:anchor>
          </w:drawing>
        </mc:Choice>
        <mc:Fallback>
          <w:pict>
            <v:shape w14:anchorId="0CEA887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ED79EA6" w14:textId="31F66AD3" w:rsidR="00F0237A" w:rsidRDefault="00742841">
                    <w:pPr>
                      <w:pStyle w:val="Referentiegegevens"/>
                    </w:pPr>
                    <w:r>
                      <w:t xml:space="preserve">Pagina </w:t>
                    </w:r>
                    <w:r>
                      <w:fldChar w:fldCharType="begin"/>
                    </w:r>
                    <w:r>
                      <w:instrText>PAGE</w:instrText>
                    </w:r>
                    <w:r>
                      <w:fldChar w:fldCharType="separate"/>
                    </w:r>
                    <w:r w:rsidR="00686DC5">
                      <w:rPr>
                        <w:noProof/>
                      </w:rPr>
                      <w:t>1</w:t>
                    </w:r>
                    <w:r>
                      <w:fldChar w:fldCharType="end"/>
                    </w:r>
                    <w:r>
                      <w:t xml:space="preserve"> van </w:t>
                    </w:r>
                    <w:r>
                      <w:fldChar w:fldCharType="begin"/>
                    </w:r>
                    <w:r>
                      <w:instrText>NUMPAGES</w:instrText>
                    </w:r>
                    <w:r>
                      <w:fldChar w:fldCharType="separate"/>
                    </w:r>
                    <w:r w:rsidR="00686DC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537A529" wp14:editId="02C7ED0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2525A2" w14:textId="77777777" w:rsidR="00F0237A" w:rsidRDefault="00742841">
                          <w:pPr>
                            <w:spacing w:line="240" w:lineRule="auto"/>
                          </w:pPr>
                          <w:r>
                            <w:rPr>
                              <w:noProof/>
                            </w:rPr>
                            <w:drawing>
                              <wp:inline distT="0" distB="0" distL="0" distR="0" wp14:anchorId="1A764AF7" wp14:editId="4726A6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37A52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F2525A2" w14:textId="77777777" w:rsidR="00F0237A" w:rsidRDefault="00742841">
                    <w:pPr>
                      <w:spacing w:line="240" w:lineRule="auto"/>
                    </w:pPr>
                    <w:r>
                      <w:rPr>
                        <w:noProof/>
                      </w:rPr>
                      <w:drawing>
                        <wp:inline distT="0" distB="0" distL="0" distR="0" wp14:anchorId="1A764AF7" wp14:editId="4726A6B1">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DD55A0" wp14:editId="282AAF6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522B50" w14:textId="77777777" w:rsidR="00F0237A" w:rsidRDefault="00742841">
                          <w:pPr>
                            <w:spacing w:line="240" w:lineRule="auto"/>
                          </w:pPr>
                          <w:r>
                            <w:rPr>
                              <w:noProof/>
                            </w:rPr>
                            <w:drawing>
                              <wp:inline distT="0" distB="0" distL="0" distR="0" wp14:anchorId="30D5C0A6" wp14:editId="134C6CC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DD55A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5522B50" w14:textId="77777777" w:rsidR="00F0237A" w:rsidRDefault="00742841">
                    <w:pPr>
                      <w:spacing w:line="240" w:lineRule="auto"/>
                    </w:pPr>
                    <w:r>
                      <w:rPr>
                        <w:noProof/>
                      </w:rPr>
                      <w:drawing>
                        <wp:inline distT="0" distB="0" distL="0" distR="0" wp14:anchorId="30D5C0A6" wp14:editId="134C6CC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89899FB" wp14:editId="6157DA3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EF0220" w14:textId="77777777" w:rsidR="00F0237A" w:rsidRDefault="0074284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89899F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AEF0220" w14:textId="77777777" w:rsidR="00F0237A" w:rsidRDefault="0074284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927912"/>
    <w:multiLevelType w:val="multilevel"/>
    <w:tmpl w:val="030A0F3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A5317DF"/>
    <w:multiLevelType w:val="multilevel"/>
    <w:tmpl w:val="8F401C0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74F8A73"/>
    <w:multiLevelType w:val="multilevel"/>
    <w:tmpl w:val="6532F9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75207B7"/>
    <w:multiLevelType w:val="multilevel"/>
    <w:tmpl w:val="E78EC3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E6DC050"/>
    <w:multiLevelType w:val="multilevel"/>
    <w:tmpl w:val="9173879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D041745"/>
    <w:multiLevelType w:val="multilevel"/>
    <w:tmpl w:val="E68FA3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B35"/>
    <w:rsid w:val="00144CE0"/>
    <w:rsid w:val="001B04AA"/>
    <w:rsid w:val="001F56F6"/>
    <w:rsid w:val="003B0624"/>
    <w:rsid w:val="003B72F6"/>
    <w:rsid w:val="00406D31"/>
    <w:rsid w:val="004D5418"/>
    <w:rsid w:val="005D2E78"/>
    <w:rsid w:val="006121D6"/>
    <w:rsid w:val="00686DC5"/>
    <w:rsid w:val="00742841"/>
    <w:rsid w:val="0076269A"/>
    <w:rsid w:val="00833A58"/>
    <w:rsid w:val="008649C7"/>
    <w:rsid w:val="008B3E45"/>
    <w:rsid w:val="00A42E8C"/>
    <w:rsid w:val="00AB1069"/>
    <w:rsid w:val="00C466CF"/>
    <w:rsid w:val="00C858D8"/>
    <w:rsid w:val="00D5211A"/>
    <w:rsid w:val="00E55B35"/>
    <w:rsid w:val="00E7313B"/>
    <w:rsid w:val="00F0237A"/>
    <w:rsid w:val="00F36558"/>
    <w:rsid w:val="00F46B36"/>
    <w:rsid w:val="00FA2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3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ind w:left="720" w:hanging="360"/>
    </w:pPr>
    <w:rPr>
      <w:b/>
    </w:rPr>
  </w:style>
  <w:style w:type="paragraph" w:customStyle="1" w:styleId="Agendapuntniveau1">
    <w:name w:val="Agendapunt niveau 1"/>
    <w:basedOn w:val="Standaard"/>
    <w:next w:val="Standaard"/>
    <w:pPr>
      <w:numPr>
        <w:ilvl w:val="1"/>
        <w:numId w:val="1"/>
      </w:numPr>
      <w:ind w:left="1440" w:hanging="36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ind w:left="720" w:hanging="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55B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55B35"/>
    <w:rPr>
      <w:rFonts w:ascii="Verdana" w:hAnsi="Verdana"/>
      <w:color w:val="000000"/>
      <w:sz w:val="18"/>
      <w:szCs w:val="18"/>
    </w:rPr>
  </w:style>
  <w:style w:type="paragraph" w:styleId="Voetnoottekst">
    <w:name w:val="footnote text"/>
    <w:basedOn w:val="Standaard"/>
    <w:link w:val="VoetnoottekstChar"/>
    <w:uiPriority w:val="99"/>
    <w:semiHidden/>
    <w:unhideWhenUsed/>
    <w:rsid w:val="006121D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6121D6"/>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6121D6"/>
    <w:rPr>
      <w:vertAlign w:val="superscript"/>
    </w:rPr>
  </w:style>
  <w:style w:type="character" w:styleId="Verwijzingopmerking">
    <w:name w:val="annotation reference"/>
    <w:basedOn w:val="Standaardalinea-lettertype"/>
    <w:uiPriority w:val="99"/>
    <w:semiHidden/>
    <w:unhideWhenUsed/>
    <w:rsid w:val="006121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4045">
      <w:bodyDiv w:val="1"/>
      <w:marLeft w:val="0"/>
      <w:marRight w:val="0"/>
      <w:marTop w:val="0"/>
      <w:marBottom w:val="0"/>
      <w:divBdr>
        <w:top w:val="none" w:sz="0" w:space="0" w:color="auto"/>
        <w:left w:val="none" w:sz="0" w:space="0" w:color="auto"/>
        <w:bottom w:val="none" w:sz="0" w:space="0" w:color="auto"/>
        <w:right w:val="none" w:sz="0" w:space="0" w:color="auto"/>
      </w:divBdr>
    </w:div>
    <w:div w:id="1145194535">
      <w:bodyDiv w:val="1"/>
      <w:marLeft w:val="0"/>
      <w:marRight w:val="0"/>
      <w:marTop w:val="0"/>
      <w:marBottom w:val="0"/>
      <w:divBdr>
        <w:top w:val="none" w:sz="0" w:space="0" w:color="auto"/>
        <w:left w:val="none" w:sz="0" w:space="0" w:color="auto"/>
        <w:bottom w:val="none" w:sz="0" w:space="0" w:color="auto"/>
        <w:right w:val="none" w:sz="0" w:space="0" w:color="auto"/>
      </w:divBdr>
    </w:div>
    <w:div w:id="1532263637">
      <w:bodyDiv w:val="1"/>
      <w:marLeft w:val="0"/>
      <w:marRight w:val="0"/>
      <w:marTop w:val="0"/>
      <w:marBottom w:val="0"/>
      <w:divBdr>
        <w:top w:val="none" w:sz="0" w:space="0" w:color="auto"/>
        <w:left w:val="none" w:sz="0" w:space="0" w:color="auto"/>
        <w:bottom w:val="none" w:sz="0" w:space="0" w:color="auto"/>
        <w:right w:val="none" w:sz="0" w:space="0" w:color="auto"/>
      </w:divBdr>
    </w:div>
    <w:div w:id="1724401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1142</ap:Words>
  <ap:Characters>6281</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de positie van de onvrijwillige schuldeiser ten opzichte van de vrijwillige schuldeiser</vt:lpstr>
    </vt:vector>
  </ap:TitlesOfParts>
  <ap:LinksUpToDate>false</ap:LinksUpToDate>
  <ap:CharactersWithSpaces>7409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2025-02-20T10:06:00.0000000Z</dcterms:created>
  <dcterms:modified xsi:type="dcterms:W3CDTF">2025-02-20T10:06:00.0000000Z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de positie van de onvrijwillige schuldeiser ten opzichte van de vrijwillige schuldeiser </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februari 2025</vt:lpwstr>
  </property>
  <property fmtid="{D5CDD505-2E9C-101B-9397-08002B2CF9AE}" pid="13" name="Opgesteld door, Naam">
    <vt:lpwstr>E.J. de Koning</vt:lpwstr>
  </property>
  <property fmtid="{D5CDD505-2E9C-101B-9397-08002B2CF9AE}" pid="14" name="Opgesteld door, Telefoonnummer">
    <vt:lpwstr/>
  </property>
  <property fmtid="{D5CDD505-2E9C-101B-9397-08002B2CF9AE}" pid="15" name="Kenmerk">
    <vt:lpwstr>PM</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