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2025Z03229</w:t>
        <w:br/>
      </w:r>
      <w:proofErr w:type="spellEnd"/>
    </w:p>
    <w:p>
      <w:pPr>
        <w:pStyle w:val="Normal"/>
        <w:rPr>
          <w:b w:val="1"/>
          <w:bCs w:val="1"/>
        </w:rPr>
      </w:pPr>
      <w:r w:rsidR="250AE766">
        <w:rPr>
          <w:b w:val="0"/>
          <w:bCs w:val="0"/>
        </w:rPr>
        <w:t>(ingezonden 20 februari 2025)</w:t>
        <w:br/>
      </w:r>
    </w:p>
    <w:p>
      <w:r>
        <w:t xml:space="preserve">Vragen van het lid Koekkoek (Volt) aan de ministers van Buitenlandse Zaken en voor Buitenlandse Handel en Ontwikkelingshulp over de ontwikkelingen omtrent de strategische partnerschappen tussen de Europese Unie en Jordanië, Libië, Polen en Griekenland</w:t>
      </w:r>
      <w:r>
        <w:br/>
      </w:r>
    </w:p>
    <w:p>
      <w:r>
        <w:t xml:space="preserve"> </w:t>
      </w:r>
      <w:r>
        <w:br/>
      </w:r>
    </w:p>
    <w:p>
      <w:pPr>
        <w:pStyle w:val="ListParagraph"/>
        <w:numPr>
          <w:ilvl w:val="0"/>
          <w:numId w:val="100469220"/>
        </w:numPr>
        <w:ind w:left="360"/>
      </w:pPr>
      <w:r>
        <w:t>Welke formele rol speelt de nieuw aangestelde Commissioner for the Mediterranean, Dubravka Šuica, bij het strategisch partnerschap? Welke relatie is er tussen dit partnerschap en het New Pact for the Mediterranean?</w:t>
      </w:r>
      <w:r>
        <w:br/>
      </w:r>
    </w:p>
    <w:p>
      <w:pPr>
        <w:pStyle w:val="ListParagraph"/>
        <w:numPr>
          <w:ilvl w:val="0"/>
          <w:numId w:val="100469220"/>
        </w:numPr>
        <w:ind w:left="360"/>
      </w:pPr>
      <w:r>
        <w:t>Kunt u inzage geven hoeveel financiële steun naar (samenwerking rondom) grensmanagement, mensensmokkel en mensenhandel gaat vanuit de Europese Unie? Worden er ook andere vormen van ondersteuning gebieden rondom deze onderwerpen vanuit de Europese Unie? Welke vormen zijn dit?</w:t>
      </w:r>
      <w:r>
        <w:br/>
      </w:r>
    </w:p>
    <w:p>
      <w:pPr>
        <w:pStyle w:val="ListParagraph"/>
        <w:numPr>
          <w:ilvl w:val="0"/>
          <w:numId w:val="100469220"/>
        </w:numPr>
        <w:ind w:left="360"/>
      </w:pPr>
      <w:r>
        <w:t>Kunt u inzage geven in de rol van Europese agentschappen, specifiek EASO, Frontex en Europol, bij het partnerschap?</w:t>
      </w:r>
      <w:r>
        <w:br/>
      </w:r>
    </w:p>
    <w:p>
      <w:pPr>
        <w:pStyle w:val="ListParagraph"/>
        <w:numPr>
          <w:ilvl w:val="0"/>
          <w:numId w:val="100469220"/>
        </w:numPr>
        <w:ind w:left="360"/>
      </w:pPr>
      <w:r>
        <w:t>Welke rol ligt er voor Nederland in de ‘implementation roadmap under the Jordan-EU Association Agreement framework’ waarover de Europese Commissie communiceert? Wat is de inzet van Nederland hierin?</w:t>
      </w:r>
      <w:r>
        <w:br/>
      </w:r>
    </w:p>
    <w:p>
      <w:pPr>
        <w:pStyle w:val="ListParagraph"/>
        <w:numPr>
          <w:ilvl w:val="0"/>
          <w:numId w:val="100469220"/>
        </w:numPr>
        <w:ind w:left="360"/>
      </w:pPr>
      <w:r>
        <w:t>Kunt u met de eerdere reactie op de schriftelijke vragen ter voorbereiding van de informele JBZ raad van afgelopen januari (‘</w:t>
      </w:r>
      <w:r>
        <w:rPr>
          <w:i w:val="1"/>
          <w:iCs w:val="1"/>
        </w:rPr>
        <w:t xml:space="preserve">Nederland spant zich er in Europees verband voor in om de toetsing en monitoring van de mensenrechtensituatie te versterken en dat eventuele zorgen op dit vlak onderdeel zijn van de dialoog met partnerlanden’</w:t>
      </w:r>
      <w:r>
        <w:rPr/>
        <w:t xml:space="preserve">) in het achterhoofd terugkomen op de toezegging om huidige monitoring te delen met de Kamer zoals is gecommuniceerd rondom de motie van het lid Boomsma, Kamerstuk 36 600-XX, nr. 24?</w:t>
      </w:r>
      <w:r>
        <w:br/>
      </w:r>
    </w:p>
    <w:p>
      <w:pPr>
        <w:pStyle w:val="ListParagraph"/>
        <w:numPr>
          <w:ilvl w:val="0"/>
          <w:numId w:val="100469220"/>
        </w:numPr>
        <w:ind w:left="360"/>
      </w:pPr>
      <w:r>
        <w:t>Kunt u inzage geven in welke voorwaarden Nederland inzet binnen het EU-Jordanië partnerschap, met in het achterhoofd de eerdere reactie op de schriftelijke vragen ter voorbereiding van de informele JBZ raad van afgelopen januari (‘</w:t>
      </w:r>
      <w:r>
        <w:rPr>
          <w:i w:val="1"/>
          <w:iCs w:val="1"/>
        </w:rPr>
        <w:t xml:space="preserve">Ook bepleit Nederland dat macro-financiële bijstand dient te voldoen aan de gebruikelijke voorwaarden, waaronder mensenrechten, de rechtstaat, effectieve democratische mechanismen, een hervormingsagenda en een link met het IMF-programma’</w:t>
      </w:r>
      <w:r>
        <w:rPr/>
        <w:t xml:space="preserve">)?</w:t>
      </w:r>
      <w:r>
        <w:br/>
      </w:r>
    </w:p>
    <w:p>
      <w:pPr>
        <w:pStyle w:val="ListParagraph"/>
        <w:numPr>
          <w:ilvl w:val="0"/>
          <w:numId w:val="100469220"/>
        </w:numPr>
        <w:ind w:left="360"/>
      </w:pPr>
      <w:r>
        <w:t>Naast het partnerschap met Jordanie is er afgelopen jaar een partnerschap opgezet tussen de Europese Unie en Libanon. Kunt u inzage geven in de huidige invulling van het partnerschap tussen de Europese Unie en Libanon en de inzet van Nederland?</w:t>
      </w:r>
      <w:r>
        <w:br/>
      </w:r>
    </w:p>
    <w:p>
      <w:pPr>
        <w:pStyle w:val="ListParagraph"/>
        <w:numPr>
          <w:ilvl w:val="0"/>
          <w:numId w:val="100469220"/>
        </w:numPr>
        <w:ind w:left="360"/>
      </w:pPr>
      <w:r>
        <w:t>Bent u op de hoogte van de recente ontdekking van een massagraf met de lichamen van ten minste 28 migranten uit Sub-Sahara Afrika in het zuidoosten van Libië?</w:t>
      </w:r>
      <w:r>
        <w:br/>
      </w:r>
    </w:p>
    <w:p>
      <w:pPr>
        <w:pStyle w:val="ListParagraph"/>
        <w:numPr>
          <w:ilvl w:val="0"/>
          <w:numId w:val="100469220"/>
        </w:numPr>
        <w:ind w:left="360"/>
      </w:pPr>
      <w:r>
        <w:t>Kunt u in VN-verband een oproep doen om een nieuwe Fact-Finding Mission on Libya te starten?</w:t>
      </w:r>
      <w:r>
        <w:br/>
      </w:r>
    </w:p>
    <w:p>
      <w:pPr>
        <w:pStyle w:val="ListParagraph"/>
        <w:numPr>
          <w:ilvl w:val="0"/>
          <w:numId w:val="100469220"/>
        </w:numPr>
        <w:ind w:left="360"/>
      </w:pPr>
      <w:r>
        <w:t>Hoe beoordeelt u het recente advies van de Nationaal Rapporteur Mensenhandel over de versterking van de governance aanpak mensenhandel, en hoe zal dit worden geïmplementeerd in het huidige beleid?</w:t>
      </w:r>
      <w:r>
        <w:br/>
      </w:r>
    </w:p>
    <w:p>
      <w:pPr>
        <w:pStyle w:val="ListParagraph"/>
        <w:numPr>
          <w:ilvl w:val="0"/>
          <w:numId w:val="100469220"/>
        </w:numPr>
        <w:ind w:left="360"/>
      </w:pPr>
      <w:r>
        <w:t>Welke maatregelen neemt de regering om de identificatie en bescherming van slachtoffers van mensenhandel onder migranten en asielzoekers in Nederland te verbeteren, met name degenen die via Libië zijn gereisd?</w:t>
      </w:r>
      <w:r>
        <w:br/>
      </w:r>
    </w:p>
    <w:p>
      <w:pPr>
        <w:pStyle w:val="ListParagraph"/>
        <w:numPr>
          <w:ilvl w:val="0"/>
          <w:numId w:val="100469220"/>
        </w:numPr>
        <w:ind w:left="360"/>
      </w:pPr>
      <w:r>
        <w:t>Is deze assessment reeds afgerond en, zo ja, kan deze openbaar worden gemaakt? Zo nee, wat is de reden voor eventuele vertraging?</w:t>
      </w:r>
      <w:r>
        <w:br/>
      </w:r>
    </w:p>
    <w:p>
      <w:pPr>
        <w:pStyle w:val="ListParagraph"/>
        <w:numPr>
          <w:ilvl w:val="0"/>
          <w:numId w:val="100469220"/>
        </w:numPr>
        <w:ind w:left="360"/>
      </w:pPr>
      <w:r>
        <w:t>Op welke wijze wordt in deze review getoetst of EUBAM Libya effectief bijdraagt aan stabiliteit, grensbeheer en rechtsstatelijkheid in Libië?</w:t>
      </w:r>
      <w:r>
        <w:br/>
      </w:r>
    </w:p>
    <w:p>
      <w:pPr>
        <w:pStyle w:val="ListParagraph"/>
        <w:numPr>
          <w:ilvl w:val="0"/>
          <w:numId w:val="100469220"/>
        </w:numPr>
        <w:ind w:left="360"/>
      </w:pPr>
      <w:r>
        <w:t>Wordt in de beoordeling van EUBAM Libya ook rekening gehouden met recente berichten over de vondst van massagraven in Libië en de mogelijke betrokkenheid van gewapende groepen?</w:t>
      </w:r>
      <w:r>
        <w:br/>
      </w:r>
    </w:p>
    <w:p>
      <w:pPr>
        <w:pStyle w:val="ListParagraph"/>
        <w:numPr>
          <w:ilvl w:val="0"/>
          <w:numId w:val="100469220"/>
        </w:numPr>
        <w:ind w:left="360"/>
      </w:pPr>
      <w:r>
        <w:t>Kunt u aangeven wanneer het actieplan dat volgens de procedure rondom het Schengenevaluatiemechanisme volgt op de evaluatie wordt gepubliceerd? [1] Bespreekt Nederland met Polen de concrete verbeterpunten zoals genoemd in de samenvatting van de Schengenevaluatie, specifiek aanbeveling 13, 14, 15 en 16? Kunt u hierop reflecteren, met in het achterhoofd de beantwoording van de schriftelijke vragen ter voorbereiding van de informele JBZ raad van afgelopen januari (‘</w:t>
      </w:r>
      <w:r>
        <w:rPr>
          <w:i w:val="1"/>
          <w:iCs w:val="1"/>
        </w:rPr>
        <w:t xml:space="preserve">De Europese Commissie heeft een belangrijke rol en verantwoordelijkheid ten aanzien van monitoring en naleving van geldende wet- en regelgeving, dit gebeurt onder meer aan de hand van het Schengenevaluatiemechanisme</w:t>
      </w:r>
      <w:r>
        <w:rPr/>
        <w:t xml:space="preserve">’)?</w:t>
      </w:r>
      <w:r>
        <w:br/>
      </w:r>
    </w:p>
    <w:p>
      <w:pPr>
        <w:pStyle w:val="ListParagraph"/>
        <w:numPr>
          <w:ilvl w:val="0"/>
          <w:numId w:val="100469220"/>
        </w:numPr>
        <w:ind w:left="360"/>
      </w:pPr>
      <w:r>
        <w:t>Kunt u aangeven welke mogelijkheden er zijn voor Frontex om dergelijke signalen te onderzoeken aangezien er geen Frontex medewerkers werkzaam zijn aan de Pools-Belarussische grens, met in het achterhoofd de eerdere reactie op de schriftelijke vragen ter voorbereiding van de informele JBZ raad van afgelopen januari (‘</w:t>
      </w:r>
      <w:r>
        <w:rPr>
          <w:i w:val="1"/>
          <w:iCs w:val="1"/>
        </w:rPr>
        <w:t xml:space="preserve">Daarnaast kunnen eventuele signalen van pushbacks via het klachtenmechanisme bij het Fundamental Rights Bureau van Frontex aangekaart worden. Deze signalen worden dan onderzocht en de conclusies worden geadresseerd in de Management Board waarin alle lidstaten vertegenwoordigd zijn.</w:t>
      </w:r>
      <w:r>
        <w:rPr/>
        <w:t xml:space="preserve">’)?</w:t>
      </w:r>
      <w:r>
        <w:br/>
      </w:r>
    </w:p>
    <w:p>
      <w:pPr>
        <w:pStyle w:val="ListParagraph"/>
        <w:numPr>
          <w:ilvl w:val="0"/>
          <w:numId w:val="100469220"/>
        </w:numPr>
        <w:ind w:left="360"/>
      </w:pPr>
      <w:r>
        <w:t>Kunt u aangeven welke signalen van pushbacks over de gehele Europese Unie wel zijn besproken tijdens het Frontex Management Board van 22 en 23 januari (‘</w:t>
      </w:r>
      <w:r>
        <w:rPr>
          <w:i w:val="1"/>
          <w:iCs w:val="1"/>
        </w:rPr>
        <w:t xml:space="preserve">Tijdens de Management Board van 22 en 23 januari 2025 zijn geen signalen van pushbacks aan de Poolse buitengrens geagendeerd’</w:t>
      </w:r>
      <w:r>
        <w:rPr/>
        <w:t xml:space="preserve">)?</w:t>
      </w:r>
      <w:r>
        <w:br/>
      </w:r>
    </w:p>
    <w:p>
      <w:pPr>
        <w:pStyle w:val="ListParagraph"/>
        <w:numPr>
          <w:ilvl w:val="0"/>
          <w:numId w:val="100469220"/>
        </w:numPr>
        <w:ind w:left="360"/>
      </w:pPr>
      <w:r>
        <w:t>Wanneer zal de Kamer geïnformeerd worden over de opvolging van het rapport zoals gevraagd in de schriftelijke vragen ter voorbereiding op de informele JBZ raad van afgelopen januari? Wordt hierin meegenomen welke concrete stappen het ministerie van Asiel en Migratie zal ondernemen naar aanleiding van dit feitenonderzoek? Wanneer wordt er een beslissing verwacht over de verlenging van het moratorium op terugkeer naar Griekenland?</w:t>
      </w:r>
      <w:r>
        <w:br/>
      </w:r>
    </w:p>
    <w:p>
      <w:r>
        <w:t xml:space="preserve"> </w:t>
      </w:r>
      <w:r>
        <w:br/>
      </w:r>
    </w:p>
    <w:p>
      <w:r>
        <w:t xml:space="preserve">[1] Europese Commissie, 'Schengen evaluation of Poland' (https://home-affairs.ec.europa.eu/document/download/aa985c3b-2c11-47e7-99e3-a7459e7c2bc8_en?filename=Schengen%20evaluation%20of%20Poland.pdf)</w:t>
      </w:r>
      <w:r>
        <w:br/>
      </w:r>
    </w:p>
    <w:p>
      <w:r>
        <w:t xml:space="preserve">[2] Rijksoverheid, 'Verslag feitenonderzoek naar statushouders in Griekenland september 2024', 3 september 2024 (Verslag feitenonderzoek naar statushouders in Griekenland september 2024 | Ambtsbericht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