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79BB" w:rsidR="001079BB" w:rsidP="001079BB" w:rsidRDefault="001079BB" w14:paraId="3B549D35" w14:textId="71331519">
      <w:pPr>
        <w:pStyle w:val="Geenafstand"/>
        <w:rPr>
          <w:b/>
          <w:bCs/>
        </w:rPr>
      </w:pPr>
      <w:r w:rsidRPr="001079BB">
        <w:rPr>
          <w:b/>
          <w:bCs/>
        </w:rPr>
        <w:t xml:space="preserve">AH </w:t>
      </w:r>
      <w:r>
        <w:rPr>
          <w:b/>
          <w:bCs/>
        </w:rPr>
        <w:t>1373</w:t>
      </w:r>
    </w:p>
    <w:p w:rsidR="001079BB" w:rsidP="001079BB" w:rsidRDefault="001079BB" w14:paraId="43FA4229" w14:textId="30B5FE44">
      <w:pPr>
        <w:pStyle w:val="Geenafstand"/>
        <w:rPr>
          <w:b/>
          <w:bCs/>
        </w:rPr>
      </w:pPr>
      <w:r w:rsidRPr="001079BB">
        <w:rPr>
          <w:b/>
          <w:bCs/>
        </w:rPr>
        <w:t>2025Z00125</w:t>
      </w:r>
    </w:p>
    <w:p w:rsidRPr="001079BB" w:rsidR="001079BB" w:rsidP="001079BB" w:rsidRDefault="001079BB" w14:paraId="084D8407" w14:textId="77777777">
      <w:pPr>
        <w:pStyle w:val="Geenafstand"/>
        <w:rPr>
          <w:b/>
          <w:bCs/>
        </w:rPr>
      </w:pPr>
    </w:p>
    <w:p w:rsidR="001079BB" w:rsidP="001079BB" w:rsidRDefault="001079BB" w14:paraId="30E3E7D5" w14:textId="225AF11E">
      <w:pPr>
        <w:spacing w:line="240" w:lineRule="auto"/>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20 februari 2025)</w:t>
      </w:r>
    </w:p>
    <w:p w:rsidRPr="001079BB" w:rsidR="001079BB" w:rsidP="001079BB" w:rsidRDefault="001079BB" w14:paraId="6E08AA48" w14:textId="5B3239ED">
      <w:pPr>
        <w:spacing w:line="240" w:lineRule="auto"/>
        <w:rPr>
          <w:sz w:val="24"/>
          <w:szCs w:val="24"/>
        </w:rPr>
      </w:pPr>
      <w:r w:rsidRPr="001079BB">
        <w:rPr>
          <w:sz w:val="24"/>
          <w:szCs w:val="24"/>
        </w:rPr>
        <w:t>Zie ook Aanhangsel Handelingen, vergaderjaar 2024-2025, nr.</w:t>
      </w:r>
      <w:r>
        <w:rPr>
          <w:sz w:val="24"/>
          <w:szCs w:val="24"/>
        </w:rPr>
        <w:t xml:space="preserve"> 1171</w:t>
      </w:r>
    </w:p>
    <w:p w:rsidRPr="00AE0516" w:rsidR="001079BB" w:rsidP="001079BB" w:rsidRDefault="001079BB" w14:paraId="381FBEF7" w14:textId="77777777">
      <w:pPr>
        <w:spacing w:line="240" w:lineRule="auto"/>
        <w:rPr>
          <w:b/>
          <w:bCs/>
        </w:rPr>
      </w:pPr>
      <w:r w:rsidRPr="00AE0516">
        <w:rPr>
          <w:b/>
          <w:bCs/>
        </w:rPr>
        <w:t>Vraag 1</w:t>
      </w:r>
    </w:p>
    <w:p w:rsidRPr="00AE0516" w:rsidR="001079BB" w:rsidP="001079BB" w:rsidRDefault="001079BB" w14:paraId="34EDD2DD" w14:textId="77777777">
      <w:pPr>
        <w:spacing w:line="240" w:lineRule="auto"/>
        <w:rPr>
          <w:b/>
          <w:bCs/>
        </w:rPr>
      </w:pPr>
      <w:r w:rsidRPr="00AE0516">
        <w:rPr>
          <w:b/>
          <w:bCs/>
        </w:rPr>
        <w:t>Hoe luidt uw reactie op het bericht 'Vandaag gestolen, morgen in Polen: ‘De hele polder wordt leeggeroofd''?</w:t>
      </w:r>
      <w:r w:rsidRPr="00AE0516">
        <w:rPr>
          <w:rStyle w:val="Voetnootmarkering"/>
          <w:b/>
          <w:bCs/>
        </w:rPr>
        <w:footnoteReference w:id="1"/>
      </w:r>
    </w:p>
    <w:p w:rsidRPr="00AE0516" w:rsidR="001079BB" w:rsidP="001079BB" w:rsidRDefault="001079BB" w14:paraId="22BF268D" w14:textId="77777777">
      <w:pPr>
        <w:spacing w:line="240" w:lineRule="auto"/>
        <w:rPr>
          <w:b/>
          <w:bCs/>
        </w:rPr>
      </w:pPr>
      <w:r w:rsidRPr="00AE0516">
        <w:rPr>
          <w:b/>
          <w:bCs/>
        </w:rPr>
        <w:t xml:space="preserve">     </w:t>
      </w:r>
    </w:p>
    <w:p w:rsidRPr="00AE0516" w:rsidR="001079BB" w:rsidP="001079BB" w:rsidRDefault="001079BB" w14:paraId="1A36C6E4" w14:textId="77777777">
      <w:pPr>
        <w:spacing w:line="240" w:lineRule="auto"/>
        <w:rPr>
          <w:b/>
          <w:bCs/>
        </w:rPr>
      </w:pPr>
      <w:r w:rsidRPr="00AE0516">
        <w:rPr>
          <w:b/>
          <w:bCs/>
        </w:rPr>
        <w:t>Antwoord op vraag 1</w:t>
      </w:r>
    </w:p>
    <w:p w:rsidRPr="00AE0516" w:rsidR="001079BB" w:rsidP="001079BB" w:rsidRDefault="001079BB" w14:paraId="4278E03C" w14:textId="77777777">
      <w:pPr>
        <w:spacing w:line="240" w:lineRule="auto"/>
        <w:rPr>
          <w:rFonts w:cstheme="minorHAnsi"/>
        </w:rPr>
      </w:pPr>
      <w:r w:rsidRPr="00AE0516">
        <w:rPr>
          <w:rFonts w:cstheme="minorHAnsi"/>
        </w:rPr>
        <w:t>Diefstal van vaak kostbare landbouwvoertuigen en -apparatuur kan een grote impact hebben op agrarisch ondernemers. Naast de financiële schade, is het ook een inbreuk op de veiligheid. Ik deel de zorg die in het artikel wordt geuit en ondersteun de oproep voor een gerichte en gezamenlijke aanpak die in de onderstaande beantwoording nader wordt toegelicht.</w:t>
      </w:r>
    </w:p>
    <w:p w:rsidRPr="00AE0516" w:rsidR="001079BB" w:rsidP="001079BB" w:rsidRDefault="001079BB" w14:paraId="323F3B9C" w14:textId="77777777">
      <w:pPr>
        <w:spacing w:line="240" w:lineRule="auto"/>
      </w:pPr>
    </w:p>
    <w:p w:rsidRPr="00AE0516" w:rsidR="001079BB" w:rsidP="001079BB" w:rsidRDefault="001079BB" w14:paraId="3EDE9308" w14:textId="77777777">
      <w:pPr>
        <w:spacing w:line="240" w:lineRule="auto"/>
        <w:rPr>
          <w:b/>
          <w:bCs/>
        </w:rPr>
      </w:pPr>
      <w:r w:rsidRPr="00AE0516">
        <w:rPr>
          <w:b/>
          <w:bCs/>
        </w:rPr>
        <w:t>Vraag 2</w:t>
      </w:r>
    </w:p>
    <w:p w:rsidRPr="00AE0516" w:rsidR="001079BB" w:rsidP="001079BB" w:rsidRDefault="001079BB" w14:paraId="7BBB7F0E" w14:textId="77777777">
      <w:pPr>
        <w:spacing w:line="240" w:lineRule="auto"/>
        <w:rPr>
          <w:b/>
          <w:bCs/>
        </w:rPr>
      </w:pPr>
      <w:r w:rsidRPr="00AE0516">
        <w:rPr>
          <w:b/>
          <w:bCs/>
        </w:rPr>
        <w:t>Hoe groot is het probleem van de diefstal van trekkers en andere landbouwmachines? Kunt u hierbij aantallen en bedragen aangeven? Is er sprake van een stijgende trend?</w:t>
      </w:r>
    </w:p>
    <w:p w:rsidRPr="00AE0516" w:rsidR="001079BB" w:rsidP="001079BB" w:rsidRDefault="001079BB" w14:paraId="63064487" w14:textId="77777777">
      <w:pPr>
        <w:spacing w:line="240" w:lineRule="auto"/>
        <w:rPr>
          <w:b/>
          <w:bCs/>
          <w:color w:val="FF0000"/>
        </w:rPr>
      </w:pPr>
    </w:p>
    <w:p w:rsidRPr="00AE0516" w:rsidR="001079BB" w:rsidP="001079BB" w:rsidRDefault="001079BB" w14:paraId="027FE668" w14:textId="77777777">
      <w:pPr>
        <w:spacing w:line="240" w:lineRule="auto"/>
        <w:rPr>
          <w:b/>
          <w:bCs/>
        </w:rPr>
      </w:pPr>
      <w:r w:rsidRPr="00AE0516">
        <w:rPr>
          <w:b/>
          <w:bCs/>
        </w:rPr>
        <w:t>Antwoord op vraag 2</w:t>
      </w:r>
    </w:p>
    <w:p w:rsidRPr="00AE0516" w:rsidR="001079BB" w:rsidP="001079BB" w:rsidRDefault="001079BB" w14:paraId="7FB6E4D1" w14:textId="77777777">
      <w:pPr>
        <w:spacing w:line="240" w:lineRule="auto"/>
      </w:pPr>
      <w:r w:rsidRPr="00AE0516">
        <w:t xml:space="preserve">Uit </w:t>
      </w:r>
      <w:r>
        <w:t>onderstaande</w:t>
      </w:r>
      <w:r w:rsidRPr="00AE0516">
        <w:t xml:space="preserve"> cijfers van de politie blijkt geen stijgende trend van het stelen van trekkers en andere landbouwmachines. Een voertuig telt alleen mee als het hele voertuig als gestolen goed geregistreerd staat, niet als alleen een onderdeel is gestolen:</w:t>
      </w:r>
    </w:p>
    <w:p w:rsidRPr="00AE0516" w:rsidR="001079BB" w:rsidP="001079BB" w:rsidRDefault="001079BB" w14:paraId="2675193F" w14:textId="77777777">
      <w:pPr>
        <w:spacing w:line="240" w:lineRule="auto"/>
      </w:pPr>
    </w:p>
    <w:tbl>
      <w:tblPr>
        <w:tblW w:w="0" w:type="auto"/>
        <w:tblCellMar>
          <w:left w:w="0" w:type="dxa"/>
          <w:right w:w="0" w:type="dxa"/>
        </w:tblCellMar>
        <w:tblLook w:val="04A0" w:firstRow="1" w:lastRow="0" w:firstColumn="1" w:lastColumn="0" w:noHBand="0" w:noVBand="1"/>
      </w:tblPr>
      <w:tblGrid>
        <w:gridCol w:w="1712"/>
        <w:gridCol w:w="687"/>
        <w:gridCol w:w="687"/>
        <w:gridCol w:w="687"/>
        <w:gridCol w:w="687"/>
      </w:tblGrid>
      <w:tr w:rsidRPr="00AE0516" w:rsidR="001079BB" w:rsidTr="002C2642" w14:paraId="5814B32E" w14:textId="77777777">
        <w:trPr>
          <w:trHeight w:val="255"/>
        </w:trPr>
        <w:tc>
          <w:tcPr>
            <w:tcW w:w="1712"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tcPr>
          <w:p w:rsidRPr="00AE0516" w:rsidR="001079BB" w:rsidP="002C2642" w:rsidRDefault="001079BB" w14:paraId="75563EE7" w14:textId="77777777">
            <w:pPr>
              <w:spacing w:line="240" w:lineRule="auto"/>
              <w:rPr>
                <w:rFonts w:cs="Arial"/>
              </w:rPr>
            </w:pPr>
          </w:p>
        </w:tc>
        <w:tc>
          <w:tcPr>
            <w:tcW w:w="662"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AE0516" w:rsidR="001079BB" w:rsidP="002C2642" w:rsidRDefault="001079BB" w14:paraId="08B82CE4" w14:textId="77777777">
            <w:pPr>
              <w:spacing w:line="240" w:lineRule="auto"/>
              <w:rPr>
                <w:rFonts w:cs="Arial"/>
              </w:rPr>
            </w:pPr>
            <w:r w:rsidRPr="00AE0516">
              <w:rPr>
                <w:rFonts w:cs="Arial"/>
              </w:rPr>
              <w:t>2021</w:t>
            </w:r>
          </w:p>
        </w:tc>
        <w:tc>
          <w:tcPr>
            <w:tcW w:w="662"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AE0516" w:rsidR="001079BB" w:rsidP="002C2642" w:rsidRDefault="001079BB" w14:paraId="1C9EDBCE" w14:textId="77777777">
            <w:pPr>
              <w:spacing w:line="240" w:lineRule="auto"/>
              <w:rPr>
                <w:rFonts w:cs="Arial"/>
              </w:rPr>
            </w:pPr>
            <w:r w:rsidRPr="00AE0516">
              <w:rPr>
                <w:rFonts w:cs="Arial"/>
              </w:rPr>
              <w:t>2022</w:t>
            </w:r>
          </w:p>
        </w:tc>
        <w:tc>
          <w:tcPr>
            <w:tcW w:w="662"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AE0516" w:rsidR="001079BB" w:rsidP="002C2642" w:rsidRDefault="001079BB" w14:paraId="1563316D" w14:textId="77777777">
            <w:pPr>
              <w:spacing w:line="240" w:lineRule="auto"/>
              <w:rPr>
                <w:rFonts w:cs="Arial"/>
              </w:rPr>
            </w:pPr>
            <w:r w:rsidRPr="00AE0516">
              <w:rPr>
                <w:rFonts w:cs="Arial"/>
              </w:rPr>
              <w:t>2023</w:t>
            </w:r>
          </w:p>
        </w:tc>
        <w:tc>
          <w:tcPr>
            <w:tcW w:w="662"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AE0516" w:rsidR="001079BB" w:rsidP="002C2642" w:rsidRDefault="001079BB" w14:paraId="196BCFEF" w14:textId="77777777">
            <w:pPr>
              <w:spacing w:line="240" w:lineRule="auto"/>
              <w:rPr>
                <w:rFonts w:cs="Arial"/>
              </w:rPr>
            </w:pPr>
            <w:r w:rsidRPr="00AE0516">
              <w:rPr>
                <w:rFonts w:cs="Arial"/>
              </w:rPr>
              <w:t>2024</w:t>
            </w:r>
          </w:p>
        </w:tc>
      </w:tr>
      <w:tr w:rsidRPr="00AE0516" w:rsidR="001079BB" w:rsidTr="002C2642" w14:paraId="40533645" w14:textId="77777777">
        <w:trPr>
          <w:trHeight w:val="255"/>
        </w:trPr>
        <w:tc>
          <w:tcPr>
            <w:tcW w:w="1712"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AE0516" w:rsidR="001079BB" w:rsidP="002C2642" w:rsidRDefault="001079BB" w14:paraId="2D2ABDC2" w14:textId="77777777">
            <w:pPr>
              <w:spacing w:line="240" w:lineRule="auto"/>
              <w:rPr>
                <w:rFonts w:cs="Arial"/>
              </w:rPr>
            </w:pPr>
            <w:r w:rsidRPr="00AE0516">
              <w:rPr>
                <w:rFonts w:cs="Arial"/>
              </w:rPr>
              <w:t>Eindtotaal</w:t>
            </w:r>
          </w:p>
        </w:tc>
        <w:tc>
          <w:tcPr>
            <w:tcW w:w="662" w:type="dxa"/>
            <w:tcBorders>
              <w:top w:val="nil"/>
              <w:left w:val="nil"/>
              <w:bottom w:val="single" w:color="auto" w:sz="8" w:space="0"/>
              <w:right w:val="single" w:color="auto" w:sz="8" w:space="0"/>
            </w:tcBorders>
            <w:noWrap/>
            <w:tcMar>
              <w:top w:w="0" w:type="dxa"/>
              <w:left w:w="108" w:type="dxa"/>
              <w:bottom w:w="0" w:type="dxa"/>
              <w:right w:w="108" w:type="dxa"/>
            </w:tcMar>
            <w:hideMark/>
          </w:tcPr>
          <w:p w:rsidRPr="00AE0516" w:rsidR="001079BB" w:rsidP="002C2642" w:rsidRDefault="001079BB" w14:paraId="5BBE9158" w14:textId="77777777">
            <w:pPr>
              <w:spacing w:line="240" w:lineRule="auto"/>
              <w:rPr>
                <w:rFonts w:cs="Arial"/>
              </w:rPr>
            </w:pPr>
            <w:r w:rsidRPr="00AE0516">
              <w:rPr>
                <w:rFonts w:cs="Arial"/>
              </w:rPr>
              <w:t>137</w:t>
            </w:r>
          </w:p>
        </w:tc>
        <w:tc>
          <w:tcPr>
            <w:tcW w:w="662" w:type="dxa"/>
            <w:tcBorders>
              <w:top w:val="nil"/>
              <w:left w:val="nil"/>
              <w:bottom w:val="single" w:color="auto" w:sz="8" w:space="0"/>
              <w:right w:val="single" w:color="auto" w:sz="8" w:space="0"/>
            </w:tcBorders>
            <w:noWrap/>
            <w:tcMar>
              <w:top w:w="0" w:type="dxa"/>
              <w:left w:w="108" w:type="dxa"/>
              <w:bottom w:w="0" w:type="dxa"/>
              <w:right w:w="108" w:type="dxa"/>
            </w:tcMar>
            <w:hideMark/>
          </w:tcPr>
          <w:p w:rsidRPr="00AE0516" w:rsidR="001079BB" w:rsidP="002C2642" w:rsidRDefault="001079BB" w14:paraId="38DABCF4" w14:textId="77777777">
            <w:pPr>
              <w:spacing w:line="240" w:lineRule="auto"/>
              <w:rPr>
                <w:rFonts w:cs="Arial"/>
              </w:rPr>
            </w:pPr>
            <w:r w:rsidRPr="00AE0516">
              <w:rPr>
                <w:rFonts w:cs="Arial"/>
              </w:rPr>
              <w:t>253</w:t>
            </w:r>
          </w:p>
        </w:tc>
        <w:tc>
          <w:tcPr>
            <w:tcW w:w="662" w:type="dxa"/>
            <w:tcBorders>
              <w:top w:val="nil"/>
              <w:left w:val="nil"/>
              <w:bottom w:val="single" w:color="auto" w:sz="8" w:space="0"/>
              <w:right w:val="single" w:color="auto" w:sz="8" w:space="0"/>
            </w:tcBorders>
            <w:noWrap/>
            <w:tcMar>
              <w:top w:w="0" w:type="dxa"/>
              <w:left w:w="108" w:type="dxa"/>
              <w:bottom w:w="0" w:type="dxa"/>
              <w:right w:w="108" w:type="dxa"/>
            </w:tcMar>
            <w:hideMark/>
          </w:tcPr>
          <w:p w:rsidRPr="00AE0516" w:rsidR="001079BB" w:rsidP="002C2642" w:rsidRDefault="001079BB" w14:paraId="3A8FAA44" w14:textId="77777777">
            <w:pPr>
              <w:spacing w:line="240" w:lineRule="auto"/>
              <w:rPr>
                <w:rFonts w:cs="Arial"/>
              </w:rPr>
            </w:pPr>
            <w:r w:rsidRPr="00AE0516">
              <w:rPr>
                <w:rFonts w:cs="Arial"/>
              </w:rPr>
              <w:t>190</w:t>
            </w:r>
          </w:p>
        </w:tc>
        <w:tc>
          <w:tcPr>
            <w:tcW w:w="662" w:type="dxa"/>
            <w:tcBorders>
              <w:top w:val="nil"/>
              <w:left w:val="nil"/>
              <w:bottom w:val="single" w:color="auto" w:sz="8" w:space="0"/>
              <w:right w:val="single" w:color="auto" w:sz="8" w:space="0"/>
            </w:tcBorders>
            <w:noWrap/>
            <w:tcMar>
              <w:top w:w="0" w:type="dxa"/>
              <w:left w:w="108" w:type="dxa"/>
              <w:bottom w:w="0" w:type="dxa"/>
              <w:right w:w="108" w:type="dxa"/>
            </w:tcMar>
            <w:hideMark/>
          </w:tcPr>
          <w:p w:rsidRPr="00AE0516" w:rsidR="001079BB" w:rsidP="002C2642" w:rsidRDefault="001079BB" w14:paraId="3483D370" w14:textId="77777777">
            <w:pPr>
              <w:spacing w:line="240" w:lineRule="auto"/>
              <w:rPr>
                <w:rFonts w:cs="Arial"/>
              </w:rPr>
            </w:pPr>
            <w:r w:rsidRPr="00AE0516">
              <w:rPr>
                <w:rFonts w:cs="Arial"/>
              </w:rPr>
              <w:t>155</w:t>
            </w:r>
          </w:p>
        </w:tc>
      </w:tr>
    </w:tbl>
    <w:p w:rsidRPr="00AE0516" w:rsidR="001079BB" w:rsidP="001079BB" w:rsidRDefault="001079BB" w14:paraId="5355D2F3" w14:textId="77777777">
      <w:pPr>
        <w:spacing w:line="240" w:lineRule="auto"/>
      </w:pPr>
      <w:r w:rsidRPr="00AE0516">
        <w:br/>
        <w:t>De politie heeft geen inzicht in de bedragen van de gestolen voertuigen.</w:t>
      </w:r>
    </w:p>
    <w:p w:rsidRPr="00AE0516" w:rsidR="001079BB" w:rsidP="001079BB" w:rsidRDefault="001079BB" w14:paraId="1E8AA4F9" w14:textId="77777777">
      <w:pPr>
        <w:spacing w:line="240" w:lineRule="auto"/>
      </w:pPr>
    </w:p>
    <w:p w:rsidRPr="00AE0516" w:rsidR="001079BB" w:rsidP="001079BB" w:rsidRDefault="001079BB" w14:paraId="47E79F20" w14:textId="77777777">
      <w:pPr>
        <w:spacing w:line="240" w:lineRule="auto"/>
        <w:rPr>
          <w:b/>
          <w:bCs/>
        </w:rPr>
      </w:pPr>
      <w:r w:rsidRPr="00AE0516">
        <w:rPr>
          <w:b/>
          <w:bCs/>
        </w:rPr>
        <w:lastRenderedPageBreak/>
        <w:t>Vraag 3</w:t>
      </w:r>
    </w:p>
    <w:p w:rsidRPr="00AE0516" w:rsidR="001079BB" w:rsidP="001079BB" w:rsidRDefault="001079BB" w14:paraId="1BD07115" w14:textId="77777777">
      <w:pPr>
        <w:spacing w:line="240" w:lineRule="auto"/>
        <w:rPr>
          <w:b/>
          <w:bCs/>
        </w:rPr>
      </w:pPr>
      <w:r w:rsidRPr="00AE0516">
        <w:rPr>
          <w:b/>
          <w:bCs/>
        </w:rPr>
        <w:t>Klopt het dat door verschillende politiesystemen deze vorm van criminaliteit per regio anders wordt geregistreerd, waardoor een gezamenlijke aanpak lastig is? Bent u bereid om in samenspraak met de politie deze registratiesystemen tegen het licht te houden en aan te passen, zodat er meer zicht komt op de omvang van het probleem en de aanpak effectiever kan worden?</w:t>
      </w:r>
    </w:p>
    <w:p w:rsidRPr="00AE0516" w:rsidR="001079BB" w:rsidP="001079BB" w:rsidRDefault="001079BB" w14:paraId="268F0008" w14:textId="77777777">
      <w:pPr>
        <w:spacing w:line="240" w:lineRule="auto"/>
        <w:rPr>
          <w:b/>
          <w:bCs/>
        </w:rPr>
      </w:pPr>
    </w:p>
    <w:p w:rsidRPr="00AE0516" w:rsidR="001079BB" w:rsidP="001079BB" w:rsidRDefault="001079BB" w14:paraId="5700FEBC" w14:textId="77777777">
      <w:pPr>
        <w:spacing w:line="240" w:lineRule="auto"/>
        <w:rPr>
          <w:b/>
          <w:bCs/>
        </w:rPr>
      </w:pPr>
      <w:r w:rsidRPr="00AE0516">
        <w:rPr>
          <w:b/>
          <w:bCs/>
        </w:rPr>
        <w:t>Antwoord op vraag 3</w:t>
      </w:r>
    </w:p>
    <w:p w:rsidR="001079BB" w:rsidP="001079BB" w:rsidRDefault="001079BB" w14:paraId="5C39453E" w14:textId="77777777">
      <w:pPr>
        <w:spacing w:line="240" w:lineRule="auto"/>
      </w:pPr>
      <w:r w:rsidRPr="00AE0516">
        <w:t>De politie werkt met een landelijk systeem waar de aangiftes in worden verwerkt. Sinds enkele jaren moeten landbouwvoertuigen op de openbare weg ook zijn voorzien van een kenteken. Hierdoor is de diefstal van landbouwvoertuigen die zijn voorzien van een kenteken terug te vinden in de systemen. Momenteel werkt de politie aan een voorziening die trends en ontwikkelingen op dergelijke criminaliteitsfenomenen landelijk analyseert en hier een waarschuwing op nieuwe trends, zoals pieken van bepaalde criminaliteit en regio</w:t>
      </w:r>
      <w:r>
        <w:t>’</w:t>
      </w:r>
      <w:r w:rsidRPr="00AE0516">
        <w:t xml:space="preserve">s, kan geven. </w:t>
      </w:r>
    </w:p>
    <w:p w:rsidR="001079BB" w:rsidP="001079BB" w:rsidRDefault="001079BB" w14:paraId="1C22384A" w14:textId="77777777">
      <w:pPr>
        <w:spacing w:line="240" w:lineRule="auto"/>
      </w:pPr>
    </w:p>
    <w:p w:rsidR="001079BB" w:rsidP="001079BB" w:rsidRDefault="001079BB" w14:paraId="67D61D69" w14:textId="77777777">
      <w:pPr>
        <w:spacing w:line="240" w:lineRule="auto"/>
      </w:pPr>
    </w:p>
    <w:p w:rsidR="001079BB" w:rsidP="001079BB" w:rsidRDefault="001079BB" w14:paraId="1C333DA2" w14:textId="77777777">
      <w:pPr>
        <w:spacing w:line="240" w:lineRule="auto"/>
      </w:pPr>
    </w:p>
    <w:p w:rsidRPr="00AE0516" w:rsidR="001079BB" w:rsidP="001079BB" w:rsidRDefault="001079BB" w14:paraId="74D02652" w14:textId="77777777">
      <w:pPr>
        <w:spacing w:line="240" w:lineRule="auto"/>
      </w:pPr>
    </w:p>
    <w:p w:rsidRPr="00AE0516" w:rsidR="001079BB" w:rsidP="001079BB" w:rsidRDefault="001079BB" w14:paraId="705B1A03" w14:textId="77777777">
      <w:pPr>
        <w:spacing w:line="240" w:lineRule="auto"/>
        <w:rPr>
          <w:b/>
          <w:bCs/>
        </w:rPr>
      </w:pPr>
      <w:r w:rsidRPr="00AE0516">
        <w:rPr>
          <w:b/>
          <w:bCs/>
        </w:rPr>
        <w:t>Vraag 4</w:t>
      </w:r>
    </w:p>
    <w:p w:rsidRPr="00AE0516" w:rsidR="001079BB" w:rsidP="001079BB" w:rsidRDefault="001079BB" w14:paraId="7201D99A" w14:textId="77777777">
      <w:pPr>
        <w:spacing w:line="240" w:lineRule="auto"/>
        <w:rPr>
          <w:b/>
          <w:bCs/>
        </w:rPr>
      </w:pPr>
      <w:r w:rsidRPr="00AE0516">
        <w:rPr>
          <w:b/>
          <w:bCs/>
        </w:rPr>
        <w:t>Wat is de inzet vanuit uw ministeries om deze vormen van internationale, georganiseerde criminaliteit op het platteland tegen te gaan? Overweegt u hierbij ook onorthodoxe maatregelen? Is het bijvoorbeeld mogelijk de geïntensiveerde grenscontroles ook in te zetten voor de aanpak van deze internationale criminele bendes? Zo ja, benut u dit instrument? Zo nee, waarom niet?</w:t>
      </w:r>
    </w:p>
    <w:p w:rsidRPr="00AE0516" w:rsidR="001079BB" w:rsidP="001079BB" w:rsidRDefault="001079BB" w14:paraId="4C05D42B" w14:textId="77777777">
      <w:pPr>
        <w:spacing w:line="240" w:lineRule="auto"/>
        <w:rPr>
          <w:color w:val="FF0000"/>
        </w:rPr>
      </w:pPr>
    </w:p>
    <w:p w:rsidR="001079BB" w:rsidP="001079BB" w:rsidRDefault="001079BB" w14:paraId="16A94CC4" w14:textId="77777777">
      <w:pPr>
        <w:spacing w:line="240" w:lineRule="auto"/>
      </w:pPr>
      <w:r w:rsidRPr="00AE0516">
        <w:rPr>
          <w:b/>
          <w:bCs/>
        </w:rPr>
        <w:t>Antwoord op vraag 4</w:t>
      </w:r>
      <w:r w:rsidRPr="00AE0516">
        <w:br/>
        <w:t xml:space="preserve">Via de structurele financiering van de Platforms Veilig Ondernemen vinden, in samenwerking met gemeenten en brancheorganisaties, verschillende activiteiten plaats voor een veiliger buitengebied. Door </w:t>
      </w:r>
      <w:bookmarkStart w:name="_Hlk187765146" w:id="0"/>
      <w:r w:rsidRPr="00AE0516">
        <w:t xml:space="preserve">de Platforms Veilig Ondernemen </w:t>
      </w:r>
      <w:bookmarkEnd w:id="0"/>
      <w:r w:rsidRPr="00AE0516">
        <w:t xml:space="preserve">wordt voorlichting gegeven en handelingsperspectief geboden om deze criminaliteit te bemoeilijken, net als door brancheorganisaties. </w:t>
      </w:r>
    </w:p>
    <w:p w:rsidR="001079BB" w:rsidP="001079BB" w:rsidRDefault="001079BB" w14:paraId="77F2B831" w14:textId="77777777">
      <w:pPr>
        <w:spacing w:line="240" w:lineRule="auto"/>
      </w:pPr>
    </w:p>
    <w:p w:rsidRPr="00AE0516" w:rsidR="001079BB" w:rsidP="001079BB" w:rsidRDefault="001079BB" w14:paraId="35912A76" w14:textId="77777777">
      <w:pPr>
        <w:spacing w:line="240" w:lineRule="auto"/>
      </w:pPr>
      <w:r w:rsidRPr="00AE0516">
        <w:t xml:space="preserve">De aanpak voor een veilig buitengebied en voor het tegengaan van mobiel banditisme maakt deel uit van het Actieprogramma Veilig Ondernemen, </w:t>
      </w:r>
      <w:r w:rsidRPr="00AE0516">
        <w:lastRenderedPageBreak/>
        <w:t>vastgesteld en gemonitord door het Nationaal Platform Criminaliteitsbeheersing onder voorzitterschap van de minister van Justitie en Veiligheid</w:t>
      </w:r>
      <w:r w:rsidRPr="00AE0516">
        <w:rPr>
          <w:rStyle w:val="Voetnootmarkering"/>
        </w:rPr>
        <w:footnoteReference w:id="2"/>
      </w:r>
      <w:r w:rsidRPr="00AE0516">
        <w:t>. Het met partners opgestelde barrièremodel mobiele bendes geeft richting aan de gezamenlijke aanpak.</w:t>
      </w:r>
    </w:p>
    <w:p w:rsidRPr="00AE0516" w:rsidR="001079BB" w:rsidP="001079BB" w:rsidRDefault="001079BB" w14:paraId="1D16B1AF" w14:textId="77777777">
      <w:pPr>
        <w:spacing w:line="240" w:lineRule="auto"/>
      </w:pPr>
    </w:p>
    <w:p w:rsidR="001079BB" w:rsidP="001079BB" w:rsidRDefault="001079BB" w14:paraId="0AAB3EA0" w14:textId="77777777">
      <w:pPr>
        <w:autoSpaceDE w:val="0"/>
        <w:spacing w:line="240" w:lineRule="auto"/>
        <w:rPr>
          <w:bCs/>
        </w:rPr>
      </w:pPr>
      <w:r w:rsidRPr="00AE0516">
        <w:t>Een gecombineerd team van de politie, het ministerie van Justitie en Veiligheid en het Centraal Bureau voor de Statistiek heeft recent een analyse gedaan naar internationale, georganiseerde vermogenscriminaliteit.</w:t>
      </w:r>
      <w:r w:rsidRPr="00AE0516">
        <w:rPr>
          <w:rStyle w:val="Voetnootmarkering"/>
        </w:rPr>
        <w:footnoteReference w:id="3"/>
      </w:r>
      <w:r w:rsidRPr="00AE0516">
        <w:t xml:space="preserve"> Op basis hiervan wordt met publieke en private partners gewerkt aan een beschrijving van modus operandi in combinatie met een gericht handelingsperspectief en de implementatie van het opgeleverde barrièremodel GPS-diefstal van landbouwapparatuur. De politie onderzoekt hoe informatie op fenomeenniveau en operationeel niveau verzameld en ontsloten kan worden binnen de nieuwe Nationale Intelligence Voorziening. Het doel is om tot een informatievoorziening te komen waarbij (in publiek-privaat verband) informatie gedeeld kan worden.</w:t>
      </w:r>
      <w:r w:rsidRPr="00AE0516">
        <w:rPr>
          <w:bCs/>
        </w:rPr>
        <w:t xml:space="preserve"> De strafvorderingsrichtlijn mobiel banditisme wordt doorlopend op passende momenten onder de aandacht gebracht door en binnen het Openbaar Ministerie.</w:t>
      </w:r>
    </w:p>
    <w:p w:rsidRPr="00AE0516" w:rsidR="001079BB" w:rsidP="001079BB" w:rsidRDefault="001079BB" w14:paraId="668E2E81" w14:textId="77777777">
      <w:pPr>
        <w:autoSpaceDE w:val="0"/>
        <w:spacing w:line="240" w:lineRule="auto"/>
        <w:rPr>
          <w:bCs/>
        </w:rPr>
      </w:pPr>
    </w:p>
    <w:p w:rsidRPr="00AE0516" w:rsidR="001079BB" w:rsidP="001079BB" w:rsidRDefault="001079BB" w14:paraId="779AF569" w14:textId="77777777">
      <w:pPr>
        <w:autoSpaceDE w:val="0"/>
        <w:spacing w:line="240" w:lineRule="auto"/>
        <w:rPr>
          <w:bCs/>
        </w:rPr>
      </w:pPr>
      <w:r w:rsidRPr="00AE0516">
        <w:rPr>
          <w:bCs/>
        </w:rPr>
        <w:t>Vanaf 1 januari 2025 geldt een kentekenplicht voor alle (land)bouwvoertuigen met een registratieplicht. Ervan uitgaande dat een kenteken enig preventief effect heeft tegen diefstal, kan dit mettertijd bijdragen aan het terugdringen van het aantal diefstallen.</w:t>
      </w:r>
    </w:p>
    <w:p w:rsidRPr="00AE0516" w:rsidR="001079BB" w:rsidP="001079BB" w:rsidRDefault="001079BB" w14:paraId="0EC5A23A" w14:textId="77777777">
      <w:pPr>
        <w:autoSpaceDE w:val="0"/>
        <w:spacing w:line="240" w:lineRule="auto"/>
        <w:rPr>
          <w:bCs/>
        </w:rPr>
      </w:pPr>
    </w:p>
    <w:p w:rsidRPr="00AE0516" w:rsidR="001079BB" w:rsidP="001079BB" w:rsidRDefault="001079BB" w14:paraId="4EED3FE5" w14:textId="77777777">
      <w:pPr>
        <w:spacing w:line="240" w:lineRule="auto"/>
      </w:pPr>
      <w:bookmarkStart w:name="_Hlk189472364" w:id="2"/>
      <w:r w:rsidRPr="00AE0516">
        <w:t xml:space="preserve">Sinds 9 december 2024 heeft Nederland tijdelijk de binnengrenscontroles ingevoerd. Het doel van binnengrenscontroles is het voorkomen van irreguliere migratie en aanpak van grensoverschrijdende criminaliteit, in het bijzonder migratiecriminaliteit zoals mensensmokkel of identiteitsfraude. De controles focussen zich op personen die Nederland inreizen. Bij de grenscontroles toetst de Koninklijke Marechaussee of personen voldoen aan de toegangsvoorwaarden voor Nederland. Het is bestaande praktijk dat de Koninklijke Marechaussee bij grenscontroles van personen, kan handelen als het op signalen stuit van (andere vormen van) criminaliteit, waaronder diefstal van goederen. Afhankelijk van het strafbare feit kan de Koninklijke Marechaussee dit zelf afhandelen of overdragen aan andere (rechtshandhavings)autoriteiten. De Koninklijke Marechaussee en politie wisselen tevens op een structurele wijze informatie uit, o.a. over grensoverschrijdende criminaliteit. </w:t>
      </w:r>
    </w:p>
    <w:p w:rsidRPr="00AE0516" w:rsidR="001079BB" w:rsidP="001079BB" w:rsidRDefault="001079BB" w14:paraId="7EB91033" w14:textId="77777777">
      <w:pPr>
        <w:spacing w:line="240" w:lineRule="auto"/>
      </w:pPr>
    </w:p>
    <w:bookmarkEnd w:id="2"/>
    <w:p w:rsidRPr="00AE0516" w:rsidR="001079BB" w:rsidP="001079BB" w:rsidRDefault="001079BB" w14:paraId="1CAF76D5" w14:textId="77777777">
      <w:pPr>
        <w:spacing w:line="240" w:lineRule="auto"/>
        <w:rPr>
          <w:b/>
          <w:bCs/>
        </w:rPr>
      </w:pPr>
      <w:r w:rsidRPr="00AE0516">
        <w:rPr>
          <w:b/>
          <w:bCs/>
        </w:rPr>
        <w:lastRenderedPageBreak/>
        <w:t>Vraag 5</w:t>
      </w:r>
    </w:p>
    <w:p w:rsidRPr="00AE0516" w:rsidR="001079BB" w:rsidP="001079BB" w:rsidRDefault="001079BB" w14:paraId="126E7810" w14:textId="77777777">
      <w:pPr>
        <w:spacing w:line="240" w:lineRule="auto"/>
        <w:rPr>
          <w:b/>
          <w:bCs/>
        </w:rPr>
      </w:pPr>
      <w:r w:rsidRPr="00AE0516">
        <w:rPr>
          <w:b/>
          <w:bCs/>
        </w:rPr>
        <w:t>Welke prioriteit heeft de aanpak van georganiseerde criminaliteit op het platteland bij politie en justitie? Zijn er voldoende middelen en capaciteit beschikbaar om dit effectief aan te pakken?</w:t>
      </w:r>
    </w:p>
    <w:p w:rsidRPr="00AE0516" w:rsidR="001079BB" w:rsidP="001079BB" w:rsidRDefault="001079BB" w14:paraId="3300B782" w14:textId="77777777">
      <w:pPr>
        <w:spacing w:line="240" w:lineRule="auto"/>
      </w:pPr>
    </w:p>
    <w:p w:rsidRPr="00AE0516" w:rsidR="001079BB" w:rsidP="001079BB" w:rsidRDefault="001079BB" w14:paraId="3D8CCAD2" w14:textId="77777777">
      <w:pPr>
        <w:spacing w:line="240" w:lineRule="auto"/>
        <w:rPr>
          <w:b/>
          <w:bCs/>
          <w:color w:val="FF0000"/>
        </w:rPr>
      </w:pPr>
      <w:r w:rsidRPr="00AE0516">
        <w:rPr>
          <w:b/>
          <w:bCs/>
        </w:rPr>
        <w:t>Antwoord op vraag 5</w:t>
      </w:r>
    </w:p>
    <w:p w:rsidRPr="00AE0516" w:rsidR="001079BB" w:rsidP="001079BB" w:rsidRDefault="001079BB" w14:paraId="5D4DB6E6" w14:textId="77777777">
      <w:pPr>
        <w:spacing w:line="240" w:lineRule="auto"/>
      </w:pPr>
      <w:r w:rsidRPr="00AE0516">
        <w:t xml:space="preserve">De strijd tegen de georganiseerde ondermijnende criminaliteit is een </w:t>
      </w:r>
      <w:r>
        <w:t>top</w:t>
      </w:r>
      <w:r w:rsidRPr="00AE0516">
        <w:t>prioriteit van dit kabinet en ook zeker van politie en justitie. Deze strekt zich zowel nationaal als internationaal uit en draait op het voorkomen, verstoren, bestraffen en beschermen</w:t>
      </w:r>
      <w:r>
        <w:t xml:space="preserve"> van de georganiseerde criminaliteit</w:t>
      </w:r>
      <w:r w:rsidRPr="00AE0516">
        <w:t xml:space="preserve">. </w:t>
      </w:r>
      <w:r>
        <w:t>De Regionale Informatie- en Expertisecentra hebben dit onderwerp ook scherp op het vizier.</w:t>
      </w:r>
    </w:p>
    <w:p w:rsidRPr="00AE0516" w:rsidR="001079BB" w:rsidP="001079BB" w:rsidRDefault="001079BB" w14:paraId="096E82E1" w14:textId="77777777">
      <w:pPr>
        <w:spacing w:line="240" w:lineRule="auto"/>
      </w:pPr>
    </w:p>
    <w:p w:rsidRPr="00AE0516" w:rsidR="001079BB" w:rsidP="001079BB" w:rsidRDefault="001079BB" w14:paraId="6F9FA5BC" w14:textId="77777777">
      <w:pPr>
        <w:spacing w:line="240" w:lineRule="auto"/>
      </w:pPr>
      <w:r w:rsidRPr="00AE0516">
        <w:t xml:space="preserve">De politie werkt </w:t>
      </w:r>
      <w:r>
        <w:t xml:space="preserve">bovendien </w:t>
      </w:r>
      <w:r w:rsidRPr="00AE0516">
        <w:t>samen met brancheorganisatie</w:t>
      </w:r>
      <w:r>
        <w:t xml:space="preserve">s </w:t>
      </w:r>
      <w:r w:rsidRPr="00AE0516">
        <w:t xml:space="preserve">om preventie te verbeteren. Ze nemen deel aan de werkgroep mobiel banditisme en er is samenwerking in het barrièremiddel GPS diefstallen waar in 2024 met het Centrum </w:t>
      </w:r>
      <w:r>
        <w:t xml:space="preserve">voor </w:t>
      </w:r>
      <w:r w:rsidRPr="00AE0516">
        <w:t>Criminaliteitspreventie en Veiligheid aan is gewerkt. Ook werkt de politie aan een voorziening om toenemende criminaliteit sneller op te merken en hiernaar te handelen, al dan niet in samenwerking met de sector en gemeenten.</w:t>
      </w:r>
    </w:p>
    <w:p w:rsidRPr="00AE0516" w:rsidR="001079BB" w:rsidP="001079BB" w:rsidRDefault="001079BB" w14:paraId="5AA61FBF" w14:textId="77777777">
      <w:pPr>
        <w:spacing w:line="240" w:lineRule="auto"/>
      </w:pPr>
    </w:p>
    <w:p w:rsidRPr="00AE0516" w:rsidR="001079BB" w:rsidP="001079BB" w:rsidRDefault="001079BB" w14:paraId="321CC55E" w14:textId="77777777">
      <w:pPr>
        <w:spacing w:line="240" w:lineRule="auto"/>
      </w:pPr>
      <w:r w:rsidRPr="00AE0516">
        <w:t>Ook op het platteland gaat de politie met de beschikbare middelen en capaciteit zo effectief mogelijk te werk. Zoals ook eerder in de halfjaarberichten politie aan uw Kamer gemeld</w:t>
      </w:r>
      <w:r>
        <w:t>,</w:t>
      </w:r>
      <w:r w:rsidRPr="00AE0516">
        <w:t xml:space="preserve"> leidt op dit moment in álle politieregio’s de druk op politiecapaciteit tot knelpunten. Dit verschilt overigens wel van plek tot plek. Maar omdat de politiecapaciteit per definitie schaars is betekent dit dat er altijd keuzes moeten worden gemaakt over de inzet van de politiecapaciteit. </w:t>
      </w:r>
    </w:p>
    <w:p w:rsidRPr="00AE0516" w:rsidR="001079BB" w:rsidP="001079BB" w:rsidRDefault="001079BB" w14:paraId="14CC7EF8" w14:textId="77777777">
      <w:pPr>
        <w:spacing w:line="240" w:lineRule="auto"/>
      </w:pPr>
    </w:p>
    <w:p w:rsidRPr="00AE0516" w:rsidR="001079BB" w:rsidP="001079BB" w:rsidRDefault="001079BB" w14:paraId="042F9F14" w14:textId="77777777">
      <w:pPr>
        <w:spacing w:line="240" w:lineRule="auto"/>
        <w:rPr>
          <w:b/>
          <w:bCs/>
        </w:rPr>
      </w:pPr>
      <w:r w:rsidRPr="00AE0516">
        <w:rPr>
          <w:b/>
          <w:bCs/>
        </w:rPr>
        <w:t>Vraag 6</w:t>
      </w:r>
    </w:p>
    <w:p w:rsidRPr="00AE0516" w:rsidR="001079BB" w:rsidP="001079BB" w:rsidRDefault="001079BB" w14:paraId="31F67179" w14:textId="77777777">
      <w:pPr>
        <w:spacing w:line="240" w:lineRule="auto"/>
        <w:rPr>
          <w:b/>
          <w:bCs/>
        </w:rPr>
      </w:pPr>
      <w:r w:rsidRPr="00AE0516">
        <w:rPr>
          <w:b/>
          <w:bCs/>
        </w:rPr>
        <w:t>Vind u het in het licht van dit nieuws verantwoord om te bezuinigen op de vertrouwenspersonen voor veilige buitengebieden, waardoor het onzeker is of deze aanpak kan worden voortgezet? Bent u bereid om alsnog deze financiering (met het budget van 2024) te garanderen voor 2025 en de jaren daarna?</w:t>
      </w:r>
    </w:p>
    <w:p w:rsidRPr="00AE0516" w:rsidR="001079BB" w:rsidP="001079BB" w:rsidRDefault="001079BB" w14:paraId="566BF311" w14:textId="77777777">
      <w:pPr>
        <w:spacing w:line="240" w:lineRule="auto"/>
      </w:pPr>
    </w:p>
    <w:p w:rsidRPr="00AE0516" w:rsidR="001079BB" w:rsidP="001079BB" w:rsidRDefault="001079BB" w14:paraId="0658B14A" w14:textId="77777777">
      <w:pPr>
        <w:spacing w:line="240" w:lineRule="auto"/>
      </w:pPr>
      <w:r w:rsidRPr="00AE0516">
        <w:rPr>
          <w:b/>
          <w:bCs/>
        </w:rPr>
        <w:t>Antwoord op vraag 6</w:t>
      </w:r>
      <w:r w:rsidRPr="00AE0516">
        <w:br/>
        <w:t xml:space="preserve">Het buitengebied is aantrekkelijk voor criminelen. Met name door een grote mate van anonimiteit, leegstaande stallen en boeren en tuinders in een kwetsbare positie. Onderzoek ‘Weerbare boeren in een kwetsbaar gebied </w:t>
      </w:r>
      <w:r w:rsidRPr="00AE0516">
        <w:lastRenderedPageBreak/>
        <w:t>(2020)’</w:t>
      </w:r>
      <w:r w:rsidRPr="00AE0516">
        <w:rPr>
          <w:rStyle w:val="Voetnootmarkering"/>
        </w:rPr>
        <w:footnoteReference w:id="4"/>
      </w:r>
      <w:r w:rsidRPr="00AE0516">
        <w:t xml:space="preserve"> wees uit dat één op de vijf boeren weleens was benaderd voor criminele activiteiten. Bovendien kwam naar voren in het onderzoek dat de meldingsbereid in het buitengebied laag is. Hierom is sinds 2022 een vertrouwenspersoon voor ondernemers in het agrarische gebied actief. Deze vertrouwenspersoon helpt agrariërs en tuinders wanneer zij een vermoeden hebben van criminaliteit of onveiligheid ervaren. Naar aanleiding van de Motie Bikker van 24 mei 2023 over de landelijke uitrol van de Brabantse aanpak om boeren weerbaarder te maken tegen drugscriminaliteit</w:t>
      </w:r>
      <w:r w:rsidRPr="00AE0516">
        <w:rPr>
          <w:rStyle w:val="Voetnootmarkering"/>
        </w:rPr>
        <w:footnoteReference w:id="5"/>
      </w:r>
      <w:r w:rsidRPr="00AE0516">
        <w:t xml:space="preserve">, zijn er twee vertrouwenspersonen bij drie brancheorganisaties aangesteld. Hiermee is er sprake van een landelijke dekking voor de agrarische sector. </w:t>
      </w:r>
    </w:p>
    <w:p w:rsidRPr="00AE0516" w:rsidR="001079BB" w:rsidP="001079BB" w:rsidRDefault="001079BB" w14:paraId="13961CC2" w14:textId="77777777">
      <w:pPr>
        <w:spacing w:line="240" w:lineRule="auto"/>
      </w:pPr>
    </w:p>
    <w:p w:rsidRPr="00AE0516" w:rsidR="001079BB" w:rsidP="001079BB" w:rsidRDefault="001079BB" w14:paraId="00D9ECC9" w14:textId="77777777">
      <w:pPr>
        <w:spacing w:line="240" w:lineRule="auto"/>
      </w:pPr>
      <w:r w:rsidRPr="00AE0516">
        <w:t>De vertrouwenspersonen worden met incidentele middelen behorende bij het Actieprogramma Veilig Ondernemen 2023-2026 gefinancierd.</w:t>
      </w:r>
      <w:r w:rsidRPr="00AE0516">
        <w:rPr>
          <w:rFonts w:cs="Times New Roman"/>
        </w:rPr>
        <w:t xml:space="preserve"> </w:t>
      </w:r>
      <w:r w:rsidRPr="00AE0516">
        <w:t xml:space="preserve">Aan de financiering voor het opstarten van vertrouwenspersonen in de agrarische sector zijn door het ministerie van Justitie en Veiligheid op voorhand </w:t>
      </w:r>
      <w:r>
        <w:t xml:space="preserve">en in de subsidiebesluiten </w:t>
      </w:r>
      <w:r w:rsidRPr="00AE0516">
        <w:t xml:space="preserve">uitgangspunten geformuleerd en kenbaar gemaakt. </w:t>
      </w:r>
      <w:r>
        <w:t>Onderdeel</w:t>
      </w:r>
      <w:r w:rsidRPr="00AE0516">
        <w:t xml:space="preserve"> hiervan is dat de </w:t>
      </w:r>
      <w:r>
        <w:t xml:space="preserve">functie van vertrouwenspersoon en de </w:t>
      </w:r>
      <w:r w:rsidRPr="00AE0516">
        <w:t xml:space="preserve">opbrengsten </w:t>
      </w:r>
      <w:r>
        <w:t>ervan door</w:t>
      </w:r>
      <w:r w:rsidRPr="00AE0516">
        <w:t xml:space="preserve"> de (branche)organisaties </w:t>
      </w:r>
      <w:r>
        <w:t>geborgd</w:t>
      </w:r>
      <w:r w:rsidRPr="00AE0516">
        <w:t xml:space="preserve"> worden</w:t>
      </w:r>
      <w:r>
        <w:t xml:space="preserve">, zodat de </w:t>
      </w:r>
      <w:r w:rsidRPr="00AE0516">
        <w:t>bijdrage aan de weerbaarheid van de branche tegen (ondermijnende) criminaliteit</w:t>
      </w:r>
      <w:r>
        <w:t xml:space="preserve"> gecontinueerd wordt</w:t>
      </w:r>
      <w:r w:rsidRPr="00AE0516">
        <w:t>.</w:t>
      </w:r>
      <w:r>
        <w:t xml:space="preserve"> </w:t>
      </w:r>
    </w:p>
    <w:p w:rsidRPr="00AE0516" w:rsidR="001079BB" w:rsidP="001079BB" w:rsidRDefault="001079BB" w14:paraId="435D983C" w14:textId="77777777">
      <w:pPr>
        <w:spacing w:line="240" w:lineRule="auto"/>
        <w:rPr>
          <w:rFonts w:cs="Times New Roman"/>
        </w:rPr>
      </w:pPr>
    </w:p>
    <w:p w:rsidRPr="00AE0516" w:rsidR="001079BB" w:rsidP="001079BB" w:rsidRDefault="001079BB" w14:paraId="78A61EFF" w14:textId="77777777">
      <w:pPr>
        <w:spacing w:line="240" w:lineRule="auto"/>
        <w:rPr>
          <w:b/>
          <w:bCs/>
        </w:rPr>
      </w:pPr>
      <w:r w:rsidRPr="00AE0516">
        <w:rPr>
          <w:b/>
          <w:bCs/>
        </w:rPr>
        <w:t>Vraag 7</w:t>
      </w:r>
    </w:p>
    <w:p w:rsidRPr="00AE0516" w:rsidR="001079BB" w:rsidP="001079BB" w:rsidRDefault="001079BB" w14:paraId="180002D7" w14:textId="77777777">
      <w:pPr>
        <w:spacing w:line="240" w:lineRule="auto"/>
        <w:rPr>
          <w:b/>
          <w:bCs/>
        </w:rPr>
      </w:pPr>
      <w:r w:rsidRPr="00AE0516">
        <w:rPr>
          <w:b/>
          <w:bCs/>
        </w:rPr>
        <w:t>Verwacht u dat het plaatsen van meer camera’s met automatische nummerbordherkenning (ANPR) gaat helpen in de strijd tegen deze criminaliteit? Zo ja, bent u bereid om meer van deze camera’s te laten plaatsen? Zo nee, waarom niet?</w:t>
      </w:r>
    </w:p>
    <w:p w:rsidRPr="00AE0516" w:rsidR="001079BB" w:rsidP="001079BB" w:rsidRDefault="001079BB" w14:paraId="5379C2A7" w14:textId="77777777">
      <w:pPr>
        <w:spacing w:line="240" w:lineRule="auto"/>
      </w:pPr>
    </w:p>
    <w:p w:rsidRPr="00AE0516" w:rsidR="001079BB" w:rsidP="001079BB" w:rsidRDefault="001079BB" w14:paraId="012D64A0" w14:textId="77777777">
      <w:pPr>
        <w:spacing w:line="240" w:lineRule="auto"/>
        <w:rPr>
          <w:b/>
          <w:bCs/>
        </w:rPr>
      </w:pPr>
      <w:r w:rsidRPr="00AE0516">
        <w:rPr>
          <w:b/>
          <w:bCs/>
        </w:rPr>
        <w:t>Antwoord op vraag 7</w:t>
      </w:r>
    </w:p>
    <w:p w:rsidRPr="00AE0516" w:rsidR="001079BB" w:rsidP="001079BB" w:rsidRDefault="001079BB" w14:paraId="457A0D70" w14:textId="77777777">
      <w:pPr>
        <w:spacing w:line="240" w:lineRule="auto"/>
      </w:pPr>
      <w:r w:rsidRPr="00AE0516">
        <w:t xml:space="preserve">Een van de doelstellingen van het regeerprogramma is het verhogen van de pakkans door te investeren in de opsporing, waarbij deze inzet ook een preventieve werking kan hebben. Het kabinet heeft structureel extra gelden beschikbaar gesteld voor technologisch hoogwaardige middelen, waaronder ANPR-camera’s. De definitieve toekenning van de extra gelden bevindt zich in een afrondende fase. </w:t>
      </w:r>
    </w:p>
    <w:p w:rsidRPr="00AE0516" w:rsidR="001079BB" w:rsidP="001079BB" w:rsidRDefault="001079BB" w14:paraId="76626E2F" w14:textId="77777777">
      <w:pPr>
        <w:spacing w:line="240" w:lineRule="auto"/>
      </w:pPr>
    </w:p>
    <w:p w:rsidRPr="00AE0516" w:rsidR="001079BB" w:rsidP="001079BB" w:rsidRDefault="001079BB" w14:paraId="3929E6FA" w14:textId="77777777">
      <w:pPr>
        <w:spacing w:line="240" w:lineRule="auto"/>
        <w:rPr>
          <w:b/>
          <w:bCs/>
        </w:rPr>
      </w:pPr>
      <w:r w:rsidRPr="00AE0516">
        <w:rPr>
          <w:b/>
          <w:bCs/>
        </w:rPr>
        <w:t>Vraag 8</w:t>
      </w:r>
    </w:p>
    <w:p w:rsidRPr="00AE0516" w:rsidR="001079BB" w:rsidP="001079BB" w:rsidRDefault="001079BB" w14:paraId="178EDFDC" w14:textId="77777777">
      <w:pPr>
        <w:spacing w:line="240" w:lineRule="auto"/>
        <w:rPr>
          <w:b/>
          <w:bCs/>
        </w:rPr>
      </w:pPr>
      <w:r w:rsidRPr="00AE0516">
        <w:rPr>
          <w:b/>
          <w:bCs/>
        </w:rPr>
        <w:lastRenderedPageBreak/>
        <w:t>Is het beeld vergelijkbaar met onze buurlanden? Welke stappen onderneemt u samen met de buurlanden om deze internationale bendes aan te pakken?</w:t>
      </w:r>
    </w:p>
    <w:p w:rsidRPr="00AE0516" w:rsidR="001079BB" w:rsidP="001079BB" w:rsidRDefault="001079BB" w14:paraId="5F2EC8FF" w14:textId="77777777">
      <w:pPr>
        <w:spacing w:line="240" w:lineRule="auto"/>
      </w:pPr>
    </w:p>
    <w:p w:rsidR="001079BB" w:rsidP="001079BB" w:rsidRDefault="001079BB" w14:paraId="20E1C2D1" w14:textId="77777777">
      <w:pPr>
        <w:spacing w:line="240" w:lineRule="auto"/>
      </w:pPr>
      <w:r w:rsidRPr="00AE0516">
        <w:rPr>
          <w:b/>
          <w:bCs/>
        </w:rPr>
        <w:t>Antwoord vraag 8</w:t>
      </w:r>
      <w:r w:rsidRPr="00AE0516">
        <w:br/>
        <w:t>Deze criminaliteit is geen typisch Nederlands probleem. Ook in België, Frankrijk en Duitsland wordt kostbare landbouwapparatuur gestolen. Mede om die reden is een samenwerking met Europol aangegaan. Deze samenwerking is in EU-verband ook een prioriteit vanuit het European Multidisciplinary Platform Against Criminal Threats (EMPACT)</w:t>
      </w:r>
      <w:r w:rsidRPr="00AE0516">
        <w:rPr>
          <w:rStyle w:val="Voetnootmarkering"/>
        </w:rPr>
        <w:footnoteReference w:id="6"/>
      </w:r>
      <w:r w:rsidRPr="00AE0516">
        <w:t xml:space="preserve"> via een aanpak die onder meer bestaat uit controles aan de buitengrenzen, publiek-private samenwerking, opleiding en preventie. De politie en het Centrum voor Criminaliteitspreventie en Veiligheid zijn hierin actief.</w:t>
      </w:r>
    </w:p>
    <w:p w:rsidRPr="00AE0516" w:rsidR="001079BB" w:rsidP="001079BB" w:rsidRDefault="001079BB" w14:paraId="0FFBA026" w14:textId="77777777">
      <w:pPr>
        <w:spacing w:line="240" w:lineRule="auto"/>
      </w:pPr>
    </w:p>
    <w:p w:rsidRPr="00AE0516" w:rsidR="001079BB" w:rsidP="001079BB" w:rsidRDefault="001079BB" w14:paraId="433B8B93" w14:textId="77777777">
      <w:pPr>
        <w:spacing w:line="240" w:lineRule="auto"/>
        <w:rPr>
          <w:i/>
          <w:iCs/>
        </w:rPr>
      </w:pPr>
      <w:r w:rsidRPr="00AE0516">
        <w:t>De inwerkingtreding van het Benelux verdrag voor politiesamenwerking heeft de operationele samenwerking tussen de verdragspartijen verbeterd. Zo is de grensoverschrijdende uitoefening van bevoegdheden vereenvoudigd en verruimd, bijvoorbeeld bij grensoverschrijdende achtervolging. Daarnaast biedt het verdrag, in aanvulling op het EU-recht, een aantal verdergaande mogelijkheden voor deling van politiegegevens. Zo worden tijdens gezamenlijke acties en in gemeenschappelijke politieposten direct politiedatabanken geraadpleegd. In een uitvoeringsovereenkomst worden voorwaarden vastgelegd waaronder politiediensten op basis van hit/no hit kunnen zien of andere politiediensten binnen de Benelux gegevens hebben over bepaalde personen.</w:t>
      </w:r>
      <w:r w:rsidRPr="00AE0516">
        <w:rPr>
          <w:i/>
          <w:iCs/>
        </w:rPr>
        <w:t xml:space="preserve"> </w:t>
      </w:r>
    </w:p>
    <w:p w:rsidRPr="00AE0516" w:rsidR="001079BB" w:rsidP="001079BB" w:rsidRDefault="001079BB" w14:paraId="5E6661F7" w14:textId="77777777">
      <w:pPr>
        <w:spacing w:line="240" w:lineRule="auto"/>
        <w:rPr>
          <w:i/>
          <w:iCs/>
        </w:rPr>
      </w:pPr>
    </w:p>
    <w:p w:rsidRPr="00AE0516" w:rsidR="001079BB" w:rsidP="001079BB" w:rsidRDefault="001079BB" w14:paraId="18C91939" w14:textId="77777777">
      <w:pPr>
        <w:spacing w:line="240" w:lineRule="auto"/>
        <w:rPr>
          <w:b/>
          <w:bCs/>
        </w:rPr>
      </w:pPr>
      <w:r w:rsidRPr="00AE0516">
        <w:rPr>
          <w:b/>
          <w:bCs/>
        </w:rPr>
        <w:t>Vraag 9</w:t>
      </w:r>
    </w:p>
    <w:p w:rsidRPr="00AE0516" w:rsidR="001079BB" w:rsidP="001079BB" w:rsidRDefault="001079BB" w14:paraId="75D96709" w14:textId="77777777">
      <w:pPr>
        <w:spacing w:line="240" w:lineRule="auto"/>
        <w:rPr>
          <w:b/>
          <w:bCs/>
        </w:rPr>
      </w:pPr>
      <w:r w:rsidRPr="00AE0516">
        <w:rPr>
          <w:b/>
          <w:bCs/>
        </w:rPr>
        <w:t>Hoe wordt voorkomen dat gestolen materieel waarvan de locatie bekend is, toch in het buitenland bij de heler blijft? Welke stappen worden ondernomen om gestolen goederen weer terug naar Nederland te halen? Welke stappen worden ondernomen om naast daders ook helers aan te pakken?</w:t>
      </w:r>
    </w:p>
    <w:p w:rsidRPr="00AE0516" w:rsidR="001079BB" w:rsidP="001079BB" w:rsidRDefault="001079BB" w14:paraId="3052C17A" w14:textId="77777777">
      <w:pPr>
        <w:spacing w:line="240" w:lineRule="auto"/>
        <w:rPr>
          <w:b/>
          <w:bCs/>
        </w:rPr>
      </w:pPr>
    </w:p>
    <w:p w:rsidRPr="00AE0516" w:rsidR="001079BB" w:rsidP="001079BB" w:rsidRDefault="001079BB" w14:paraId="71D52CE0" w14:textId="77777777">
      <w:pPr>
        <w:spacing w:line="240" w:lineRule="auto"/>
        <w:rPr>
          <w:b/>
          <w:bCs/>
          <w:color w:val="FF0000"/>
        </w:rPr>
      </w:pPr>
      <w:r w:rsidRPr="00AE0516">
        <w:rPr>
          <w:b/>
          <w:bCs/>
        </w:rPr>
        <w:t>Antwoord op vraag 9</w:t>
      </w:r>
    </w:p>
    <w:p w:rsidR="001079BB" w:rsidP="001079BB" w:rsidRDefault="001079BB" w14:paraId="1A277920" w14:textId="77777777">
      <w:pPr>
        <w:spacing w:line="240" w:lineRule="auto"/>
      </w:pPr>
      <w:r w:rsidRPr="00AE0516">
        <w:t xml:space="preserve">Zodra een landbouwvoertuig </w:t>
      </w:r>
      <w:r>
        <w:t>dat</w:t>
      </w:r>
      <w:r w:rsidRPr="00AE0516">
        <w:t xml:space="preserve"> voorzien is van een kenteken in Europa door de politie wordt aangetroffen zal deze in het systeem zien dat het om een gestolen voertuig gaat en de opdracht krijgen deze in beslag te nemen. Dit kan zowel op het kenteken als op het Voertuig identificatie nummer (VIN). Als het voertuig op een andere wijze is aangetroffen door de eigenaar zelf en deze dit bij de politie meldt, zal de politie een Europees onderzoeksbevel op moeten maken en </w:t>
      </w:r>
      <w:r w:rsidRPr="00AE0516">
        <w:lastRenderedPageBreak/>
        <w:t>verzenden naar de autoriteiten. Dit is een proces waar veel tijd in zit, en wat internationaal over veel schijven gaat. Vaak gaat het uiteindelijk goed, maar het komt ook voor dat er door werkdruk, andere prioriteiten of internationale regelgeving een verzoek niet opgemaakt wordt, of door het ontvangende land niet kan worden uitgevoerd.</w:t>
      </w:r>
    </w:p>
    <w:p w:rsidRPr="00AE0516" w:rsidR="001079BB" w:rsidP="001079BB" w:rsidRDefault="001079BB" w14:paraId="775E7BE4" w14:textId="77777777">
      <w:pPr>
        <w:spacing w:line="240" w:lineRule="auto"/>
      </w:pPr>
    </w:p>
    <w:p w:rsidRPr="00AE0516" w:rsidR="001079BB" w:rsidP="001079BB" w:rsidRDefault="001079BB" w14:paraId="7EC3CDAA" w14:textId="77777777">
      <w:pPr>
        <w:spacing w:line="240" w:lineRule="auto"/>
      </w:pPr>
      <w:r w:rsidRPr="00AE0516">
        <w:t>Om de helers aan te pakken heeft Nederland in verschillende Europese landen het Nederlandse systeem rondom heling en het digitaal opkopersregister gepresenteerd. Dit is positief ontvangen en er zijn landen bezig met een soortgelijk systeem. </w:t>
      </w:r>
    </w:p>
    <w:p w:rsidR="002C3023" w:rsidRDefault="002C3023" w14:paraId="38B5EC11" w14:textId="77777777"/>
    <w:sectPr w:rsidR="002C3023" w:rsidSect="001079B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39D3" w14:textId="77777777" w:rsidR="001079BB" w:rsidRDefault="001079BB" w:rsidP="001079BB">
      <w:pPr>
        <w:spacing w:after="0" w:line="240" w:lineRule="auto"/>
      </w:pPr>
      <w:r>
        <w:separator/>
      </w:r>
    </w:p>
  </w:endnote>
  <w:endnote w:type="continuationSeparator" w:id="0">
    <w:p w14:paraId="5D4B0A43" w14:textId="77777777" w:rsidR="001079BB" w:rsidRDefault="001079BB" w:rsidP="0010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3342" w14:textId="77777777" w:rsidR="001079BB" w:rsidRPr="001079BB" w:rsidRDefault="001079BB" w:rsidP="001079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B787" w14:textId="77777777" w:rsidR="001079BB" w:rsidRPr="001079BB" w:rsidRDefault="001079BB" w:rsidP="001079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F75D" w14:textId="77777777" w:rsidR="001079BB" w:rsidRPr="001079BB" w:rsidRDefault="001079BB" w:rsidP="001079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2DB3" w14:textId="77777777" w:rsidR="001079BB" w:rsidRDefault="001079BB" w:rsidP="001079BB">
      <w:pPr>
        <w:spacing w:after="0" w:line="240" w:lineRule="auto"/>
      </w:pPr>
      <w:r>
        <w:separator/>
      </w:r>
    </w:p>
  </w:footnote>
  <w:footnote w:type="continuationSeparator" w:id="0">
    <w:p w14:paraId="4E7746AC" w14:textId="77777777" w:rsidR="001079BB" w:rsidRDefault="001079BB" w:rsidP="001079BB">
      <w:pPr>
        <w:spacing w:after="0" w:line="240" w:lineRule="auto"/>
      </w:pPr>
      <w:r>
        <w:continuationSeparator/>
      </w:r>
    </w:p>
  </w:footnote>
  <w:footnote w:id="1">
    <w:p w14:paraId="521F9BB1" w14:textId="77777777" w:rsidR="001079BB" w:rsidRDefault="001079BB" w:rsidP="001079BB">
      <w:pPr>
        <w:pStyle w:val="Voetnoottekst"/>
      </w:pPr>
      <w:r>
        <w:rPr>
          <w:rStyle w:val="Voetnootmarkering"/>
        </w:rPr>
        <w:footnoteRef/>
      </w:r>
      <w:r>
        <w:t xml:space="preserve"> </w:t>
      </w:r>
      <w:r w:rsidRPr="004C188A">
        <w:rPr>
          <w:rFonts w:ascii="Verdana" w:hAnsi="Verdana"/>
          <w:sz w:val="18"/>
          <w:szCs w:val="18"/>
        </w:rPr>
        <w:t>Algemeen Dagblad, 7 januari 2025 (https://www.ad.nl/binnenland/vandaag-gestolen-morgen-in-polen-de-hele-polder-wordt-leeggeroofd~a2918d1d/).</w:t>
      </w:r>
    </w:p>
  </w:footnote>
  <w:footnote w:id="2">
    <w:p w14:paraId="21A4AE18" w14:textId="77777777" w:rsidR="001079BB" w:rsidRDefault="001079BB" w:rsidP="001079BB">
      <w:pPr>
        <w:pStyle w:val="Voetnoottekst"/>
      </w:pPr>
      <w:r>
        <w:rPr>
          <w:rStyle w:val="Voetnootmarkering"/>
        </w:rPr>
        <w:footnoteRef/>
      </w:r>
      <w:r>
        <w:t xml:space="preserve"> Tweede Kamer, 2023-2024, nr. </w:t>
      </w:r>
      <w:r w:rsidRPr="00693AC5">
        <w:t>29911-385</w:t>
      </w:r>
    </w:p>
  </w:footnote>
  <w:footnote w:id="3">
    <w:p w14:paraId="45B79706" w14:textId="77777777" w:rsidR="001079BB" w:rsidRDefault="001079BB" w:rsidP="001079BB">
      <w:pPr>
        <w:pStyle w:val="Voetnoottekst"/>
      </w:pPr>
      <w:r>
        <w:rPr>
          <w:rStyle w:val="Voetnootmarkering"/>
        </w:rPr>
        <w:footnoteRef/>
      </w:r>
      <w:r>
        <w:t xml:space="preserve"> Zie bijlagen tweede Halfjaarbericht politie, </w:t>
      </w:r>
      <w:bookmarkStart w:id="1" w:name="_Hlk188004242"/>
      <w:r>
        <w:t xml:space="preserve">Tweede Kamer, 2023-2024, nr. </w:t>
      </w:r>
      <w:bookmarkEnd w:id="1"/>
      <w:r w:rsidRPr="00C12B03">
        <w:t>29628-1240</w:t>
      </w:r>
    </w:p>
  </w:footnote>
  <w:footnote w:id="4">
    <w:p w14:paraId="2F29A5E2" w14:textId="77777777" w:rsidR="001079BB" w:rsidRDefault="001079BB" w:rsidP="001079BB">
      <w:pPr>
        <w:pStyle w:val="Voetnoottekst"/>
        <w:rPr>
          <w:kern w:val="2"/>
          <w14:ligatures w14:val="standardContextual"/>
        </w:rPr>
      </w:pPr>
      <w:r>
        <w:rPr>
          <w:rStyle w:val="Voetnootmarkering"/>
        </w:rPr>
        <w:footnoteRef/>
      </w:r>
      <w:r>
        <w:t xml:space="preserve"> </w:t>
      </w:r>
      <w:hyperlink r:id="rId1" w:history="1">
        <w:r>
          <w:rPr>
            <w:rStyle w:val="Hyperlink"/>
          </w:rPr>
          <w:t>Weerbare boeren in een kwetsbaar gebied | Rapport | Rijksoverheid.nl</w:t>
        </w:r>
      </w:hyperlink>
    </w:p>
  </w:footnote>
  <w:footnote w:id="5">
    <w:p w14:paraId="6BCDADBC" w14:textId="77777777" w:rsidR="001079BB" w:rsidRPr="006D75DF" w:rsidRDefault="001079BB" w:rsidP="001079BB">
      <w:pPr>
        <w:rPr>
          <w:i/>
          <w:iCs/>
          <w:sz w:val="20"/>
          <w:szCs w:val="20"/>
        </w:rPr>
      </w:pPr>
      <w:r>
        <w:rPr>
          <w:rStyle w:val="Voetnootmarkering"/>
        </w:rPr>
        <w:footnoteRef/>
      </w:r>
      <w:r>
        <w:t xml:space="preserve"> </w:t>
      </w:r>
      <w:hyperlink r:id="rId2" w:history="1">
        <w:r w:rsidRPr="006D75DF">
          <w:rPr>
            <w:rStyle w:val="Hyperlink"/>
            <w:sz w:val="20"/>
            <w:szCs w:val="20"/>
          </w:rPr>
          <w:t>Drugbeleid | Tweede Kamer der Staten-Generaal</w:t>
        </w:r>
      </w:hyperlink>
    </w:p>
    <w:p w14:paraId="4C8EEEF2" w14:textId="77777777" w:rsidR="001079BB" w:rsidRDefault="001079BB" w:rsidP="001079BB">
      <w:pPr>
        <w:pStyle w:val="Voetnoottekst"/>
      </w:pPr>
    </w:p>
  </w:footnote>
  <w:footnote w:id="6">
    <w:p w14:paraId="22719840" w14:textId="77777777" w:rsidR="001079BB" w:rsidRDefault="001079BB" w:rsidP="001079BB">
      <w:pPr>
        <w:pStyle w:val="Voetnoottekst"/>
      </w:pPr>
      <w:r>
        <w:rPr>
          <w:rStyle w:val="Voetnootmarkering"/>
        </w:rPr>
        <w:footnoteRef/>
      </w:r>
      <w:r>
        <w:t xml:space="preserve"> Zie https://www.europol.europa.eu/crime-areas-and-statistics/empact.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CE23" w14:textId="77777777" w:rsidR="001079BB" w:rsidRPr="001079BB" w:rsidRDefault="001079BB" w:rsidP="001079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AD73" w14:textId="77777777" w:rsidR="001079BB" w:rsidRPr="001079BB" w:rsidRDefault="001079BB" w:rsidP="001079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8DF7" w14:textId="77777777" w:rsidR="001079BB" w:rsidRPr="001079BB" w:rsidRDefault="001079BB" w:rsidP="001079B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BB"/>
    <w:rsid w:val="001079BB"/>
    <w:rsid w:val="002C3023"/>
    <w:rsid w:val="00BD27E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884B"/>
  <w15:chartTrackingRefBased/>
  <w15:docId w15:val="{096C05D7-741D-49D0-ACA4-04C12F90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7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7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79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79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79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79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79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79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79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79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79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79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79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79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79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79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79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79BB"/>
    <w:rPr>
      <w:rFonts w:eastAsiaTheme="majorEastAsia" w:cstheme="majorBidi"/>
      <w:color w:val="272727" w:themeColor="text1" w:themeTint="D8"/>
    </w:rPr>
  </w:style>
  <w:style w:type="paragraph" w:styleId="Titel">
    <w:name w:val="Title"/>
    <w:basedOn w:val="Standaard"/>
    <w:next w:val="Standaard"/>
    <w:link w:val="TitelChar"/>
    <w:uiPriority w:val="10"/>
    <w:qFormat/>
    <w:rsid w:val="00107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79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79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79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79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79BB"/>
    <w:rPr>
      <w:i/>
      <w:iCs/>
      <w:color w:val="404040" w:themeColor="text1" w:themeTint="BF"/>
    </w:rPr>
  </w:style>
  <w:style w:type="paragraph" w:styleId="Lijstalinea">
    <w:name w:val="List Paragraph"/>
    <w:basedOn w:val="Standaard"/>
    <w:uiPriority w:val="34"/>
    <w:qFormat/>
    <w:rsid w:val="001079BB"/>
    <w:pPr>
      <w:ind w:left="720"/>
      <w:contextualSpacing/>
    </w:pPr>
  </w:style>
  <w:style w:type="character" w:styleId="Intensievebenadrukking">
    <w:name w:val="Intense Emphasis"/>
    <w:basedOn w:val="Standaardalinea-lettertype"/>
    <w:uiPriority w:val="21"/>
    <w:qFormat/>
    <w:rsid w:val="001079BB"/>
    <w:rPr>
      <w:i/>
      <w:iCs/>
      <w:color w:val="0F4761" w:themeColor="accent1" w:themeShade="BF"/>
    </w:rPr>
  </w:style>
  <w:style w:type="paragraph" w:styleId="Duidelijkcitaat">
    <w:name w:val="Intense Quote"/>
    <w:basedOn w:val="Standaard"/>
    <w:next w:val="Standaard"/>
    <w:link w:val="DuidelijkcitaatChar"/>
    <w:uiPriority w:val="30"/>
    <w:qFormat/>
    <w:rsid w:val="00107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79BB"/>
    <w:rPr>
      <w:i/>
      <w:iCs/>
      <w:color w:val="0F4761" w:themeColor="accent1" w:themeShade="BF"/>
    </w:rPr>
  </w:style>
  <w:style w:type="character" w:styleId="Intensieveverwijzing">
    <w:name w:val="Intense Reference"/>
    <w:basedOn w:val="Standaardalinea-lettertype"/>
    <w:uiPriority w:val="32"/>
    <w:qFormat/>
    <w:rsid w:val="001079BB"/>
    <w:rPr>
      <w:b/>
      <w:bCs/>
      <w:smallCaps/>
      <w:color w:val="0F4761" w:themeColor="accent1" w:themeShade="BF"/>
      <w:spacing w:val="5"/>
    </w:rPr>
  </w:style>
  <w:style w:type="character" w:styleId="Hyperlink">
    <w:name w:val="Hyperlink"/>
    <w:basedOn w:val="Standaardalinea-lettertype"/>
    <w:uiPriority w:val="99"/>
    <w:unhideWhenUsed/>
    <w:rsid w:val="001079BB"/>
    <w:rPr>
      <w:color w:val="467886" w:themeColor="hyperlink"/>
      <w:u w:val="single"/>
    </w:rPr>
  </w:style>
  <w:style w:type="paragraph" w:customStyle="1" w:styleId="Referentiegegevens">
    <w:name w:val="Referentiegegevens"/>
    <w:basedOn w:val="Standaard"/>
    <w:next w:val="Standaard"/>
    <w:rsid w:val="001079B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079B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079B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079B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079B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079BB"/>
    <w:rPr>
      <w:kern w:val="0"/>
      <w:sz w:val="20"/>
      <w:szCs w:val="20"/>
      <w14:ligatures w14:val="none"/>
    </w:rPr>
  </w:style>
  <w:style w:type="character" w:styleId="Voetnootmarkering">
    <w:name w:val="footnote reference"/>
    <w:basedOn w:val="Standaardalinea-lettertype"/>
    <w:uiPriority w:val="99"/>
    <w:semiHidden/>
    <w:unhideWhenUsed/>
    <w:rsid w:val="001079BB"/>
    <w:rPr>
      <w:vertAlign w:val="superscript"/>
    </w:rPr>
  </w:style>
  <w:style w:type="paragraph" w:styleId="Koptekst">
    <w:name w:val="header"/>
    <w:basedOn w:val="Standaard"/>
    <w:link w:val="KoptekstChar"/>
    <w:uiPriority w:val="99"/>
    <w:unhideWhenUsed/>
    <w:rsid w:val="001079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79BB"/>
  </w:style>
  <w:style w:type="paragraph" w:styleId="Voettekst">
    <w:name w:val="footer"/>
    <w:basedOn w:val="Standaard"/>
    <w:link w:val="VoettekstChar"/>
    <w:uiPriority w:val="99"/>
    <w:unhideWhenUsed/>
    <w:rsid w:val="001079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79BB"/>
  </w:style>
  <w:style w:type="paragraph" w:styleId="Geenafstand">
    <w:name w:val="No Spacing"/>
    <w:uiPriority w:val="1"/>
    <w:qFormat/>
    <w:rsid w:val="00107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moties/detail?id=2023Z09157&amp;did=2023D21975" TargetMode="External"/><Relationship Id="rId1" Type="http://schemas.openxmlformats.org/officeDocument/2006/relationships/hyperlink" Target="https://www.rijksoverheid.nl/documenten/rapporten/2020/11/23/tk-bijlage-rapport-weerbare-boeren-in-een-kwetsbaar-gebi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1897</ap:Words>
  <ap:Characters>10438</ap:Characters>
  <ap:DocSecurity>0</ap:DocSecurity>
  <ap:Lines>86</ap:Lines>
  <ap:Paragraphs>24</ap:Paragraphs>
  <ap:ScaleCrop>false</ap:ScaleCrop>
  <ap:LinksUpToDate>false</ap:LinksUpToDate>
  <ap:CharactersWithSpaces>12311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2025-02-21T11:43:00.0000000Z</dcterms:created>
  <dcterms:modified xsi:type="dcterms:W3CDTF">2025-02-21T11:44:00.0000000Z</dcterms:modified>
  <version/>
  <category/>
</coreProperties>
</file>