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6D67" w:rsidR="00C22F95" w:rsidP="007472AA" w:rsidRDefault="00AE389B" w14:paraId="088A0AA4" w14:textId="7B32FFD7">
      <w:pPr>
        <w:pStyle w:val="Lijstalinea"/>
        <w:numPr>
          <w:ilvl w:val="0"/>
          <w:numId w:val="5"/>
        </w:numPr>
        <w:spacing w:line="276" w:lineRule="auto"/>
        <w:rPr>
          <w:b/>
          <w:bCs/>
        </w:rPr>
      </w:pPr>
      <w:r w:rsidRPr="006D6D67">
        <w:rPr>
          <w:b/>
          <w:bCs/>
        </w:rPr>
        <w:t>Inleiding</w:t>
      </w:r>
    </w:p>
    <w:p w:rsidRPr="006D6D67" w:rsidR="00C22F95" w:rsidP="007472AA" w:rsidRDefault="00C22F95" w14:paraId="32C6ECBA" w14:textId="77777777">
      <w:pPr>
        <w:spacing w:line="276" w:lineRule="auto"/>
      </w:pPr>
    </w:p>
    <w:p w:rsidRPr="006D6D67" w:rsidR="00C22F95" w:rsidP="556CAC0B" w:rsidRDefault="00B07EFA" w14:paraId="1474696C" w14:textId="739FFC83">
      <w:pPr>
        <w:spacing w:line="276" w:lineRule="auto"/>
        <w:rPr>
          <w:rFonts w:eastAsia="Arial"/>
          <w:color w:val="000000" w:themeColor="text1"/>
        </w:rPr>
      </w:pPr>
      <w:r w:rsidRPr="008B32A2">
        <w:t>Constitutionele toetsing</w:t>
      </w:r>
      <w:r w:rsidRPr="008B32A2" w:rsidR="00C22F95">
        <w:t xml:space="preserve"> is een onderwerp dat al jaren, vrijwel ononderbroken, op de politieke agenda staat.</w:t>
      </w:r>
      <w:r w:rsidRPr="008B32A2">
        <w:t xml:space="preserve"> </w:t>
      </w:r>
      <w:r w:rsidRPr="008B32A2" w:rsidR="006F0102">
        <w:t>Daarmee</w:t>
      </w:r>
      <w:r w:rsidRPr="008B32A2">
        <w:t xml:space="preserve"> wordt gedoeld op het beoordelen </w:t>
      </w:r>
      <w:r w:rsidRPr="008B32A2" w:rsidR="006F0102">
        <w:t xml:space="preserve">door de rechter </w:t>
      </w:r>
      <w:r w:rsidRPr="008B32A2">
        <w:t xml:space="preserve">of wetten in </w:t>
      </w:r>
      <w:r w:rsidRPr="008B32A2" w:rsidR="008F1118">
        <w:t>overeenstemming</w:t>
      </w:r>
      <w:r w:rsidRPr="008B32A2">
        <w:t xml:space="preserve"> zijn met de Grondwet.</w:t>
      </w:r>
      <w:r w:rsidRPr="008B32A2" w:rsidR="00C22F95">
        <w:t xml:space="preserve"> Sinds de negentiende eeuw verbiedt de Nederlandse Grondwet deze vorm van toetsing. </w:t>
      </w:r>
      <w:r w:rsidRPr="008B32A2" w:rsidR="00E66DFD">
        <w:t xml:space="preserve">In </w:t>
      </w:r>
      <w:r w:rsidRPr="008B32A2" w:rsidR="007C123F">
        <w:t xml:space="preserve">verschillende </w:t>
      </w:r>
      <w:r w:rsidRPr="008B32A2" w:rsidR="00E66DFD">
        <w:t xml:space="preserve">lagen van de politiek en samenleving leeft </w:t>
      </w:r>
      <w:r w:rsidRPr="008B32A2" w:rsidR="00EA0DBE">
        <w:t xml:space="preserve">echter </w:t>
      </w:r>
      <w:r w:rsidRPr="008B32A2" w:rsidR="00E66DFD">
        <w:t>het inzicht dat de tijd rijp is voor aanpassing</w:t>
      </w:r>
      <w:r w:rsidRPr="006D6D67" w:rsidR="00E66DFD">
        <w:t xml:space="preserve"> van dit verbod.</w:t>
      </w:r>
      <w:r w:rsidRPr="006D6D67" w:rsidR="00360930">
        <w:rPr>
          <w:rStyle w:val="Voetnootmarkering"/>
        </w:rPr>
        <w:footnoteReference w:id="2"/>
      </w:r>
      <w:r w:rsidRPr="006D6D67" w:rsidR="00E66DFD">
        <w:t xml:space="preserve"> </w:t>
      </w:r>
      <w:r w:rsidRPr="006D6D67" w:rsidR="00EA0DBE">
        <w:t xml:space="preserve">Wanneer een burger meent </w:t>
      </w:r>
      <w:r w:rsidRPr="006D6D67" w:rsidR="00EA0DBE">
        <w:rPr>
          <w:rFonts w:eastAsia="Arial"/>
          <w:color w:val="000000" w:themeColor="text1"/>
          <w:kern w:val="2"/>
          <w14:ligatures w14:val="standardContextual"/>
        </w:rPr>
        <w:t xml:space="preserve">dat een wet een schending oplevert van een of meer van zijn klassieke grondrechten in de Grondwet, </w:t>
      </w:r>
      <w:r w:rsidRPr="006D6D67" w:rsidR="556CAC0B">
        <w:rPr>
          <w:rFonts w:eastAsia="Arial"/>
          <w:color w:val="000000" w:themeColor="text1"/>
          <w:kern w:val="2"/>
          <w14:ligatures w14:val="standardContextual"/>
        </w:rPr>
        <w:t>wordt</w:t>
      </w:r>
      <w:r w:rsidRPr="006D6D67" w:rsidR="00EA0DBE">
        <w:rPr>
          <w:rFonts w:eastAsia="Arial"/>
          <w:color w:val="000000" w:themeColor="text1"/>
          <w:kern w:val="2"/>
          <w14:ligatures w14:val="standardContextual"/>
        </w:rPr>
        <w:t xml:space="preserve"> het mogelijk </w:t>
      </w:r>
      <w:r w:rsidRPr="006D6D67" w:rsidR="00225124">
        <w:rPr>
          <w:rFonts w:eastAsia="Arial"/>
          <w:color w:val="000000" w:themeColor="text1"/>
          <w:kern w:val="2"/>
          <w14:ligatures w14:val="standardContextual"/>
        </w:rPr>
        <w:t>hierover</w:t>
      </w:r>
      <w:r w:rsidRPr="006D6D67" w:rsidR="556CAC0B">
        <w:rPr>
          <w:rFonts w:eastAsia="Arial"/>
          <w:color w:val="000000" w:themeColor="text1"/>
          <w:kern w:val="2"/>
          <w14:ligatures w14:val="standardContextual"/>
        </w:rPr>
        <w:t xml:space="preserve"> </w:t>
      </w:r>
      <w:r w:rsidRPr="006D6D67" w:rsidR="00D83EA9">
        <w:rPr>
          <w:rFonts w:eastAsia="Arial"/>
          <w:color w:val="000000" w:themeColor="text1"/>
          <w:kern w:val="2"/>
          <w14:ligatures w14:val="standardContextual"/>
        </w:rPr>
        <w:t xml:space="preserve">een rechtsvraag ter beoordeling aan een rechter voor te leggen. </w:t>
      </w:r>
      <w:r w:rsidRPr="006D6D67" w:rsidR="00CD54DF">
        <w:rPr>
          <w:rFonts w:eastAsia="Arial"/>
          <w:color w:val="000000" w:themeColor="text1"/>
          <w:kern w:val="2"/>
          <w14:ligatures w14:val="standardContextual"/>
        </w:rPr>
        <w:t xml:space="preserve">De rechtsbescherming van burgers </w:t>
      </w:r>
      <w:r w:rsidRPr="006D6D67" w:rsidR="556CAC0B">
        <w:rPr>
          <w:rFonts w:eastAsia="Arial"/>
          <w:color w:val="000000" w:themeColor="text1"/>
          <w:kern w:val="2"/>
          <w14:ligatures w14:val="standardContextual"/>
        </w:rPr>
        <w:t>wordt daardoor versterkt</w:t>
      </w:r>
      <w:r w:rsidRPr="006D6D67" w:rsidR="00CD54DF">
        <w:rPr>
          <w:rFonts w:eastAsia="Arial"/>
          <w:color w:val="000000" w:themeColor="text1"/>
          <w:kern w:val="2"/>
          <w14:ligatures w14:val="standardContextual"/>
        </w:rPr>
        <w:t xml:space="preserve">, in het bijzonder daar waar de Grondwet meer bescherming biedt dan internationale verdragen. </w:t>
      </w:r>
      <w:r w:rsidRPr="006D6D67" w:rsidR="00E66DFD">
        <w:t xml:space="preserve">De </w:t>
      </w:r>
      <w:r w:rsidRPr="006D6D67" w:rsidR="00D83EA9">
        <w:t xml:space="preserve">traditionele </w:t>
      </w:r>
      <w:r w:rsidRPr="006D6D67" w:rsidR="00E66DFD">
        <w:t xml:space="preserve">rechtvaardiging voor het toetsingsverbod – </w:t>
      </w:r>
      <w:r w:rsidRPr="006D6D67" w:rsidR="00BA67DD">
        <w:rPr>
          <w:rFonts w:eastAsia="Arial"/>
          <w:color w:val="000000" w:themeColor="text1"/>
          <w:kern w:val="2"/>
          <w14:ligatures w14:val="standardContextual"/>
        </w:rPr>
        <w:t xml:space="preserve">het primaat van de wetgever en de onschendbaarheid van door hem gemaakte wetten </w:t>
      </w:r>
      <w:r w:rsidRPr="006D6D67" w:rsidR="001207C4">
        <w:rPr>
          <w:rFonts w:eastAsia="Arial"/>
          <w:color w:val="000000" w:themeColor="text1"/>
          <w:kern w:val="2"/>
          <w14:ligatures w14:val="standardContextual"/>
        </w:rPr>
        <w:t xml:space="preserve">– </w:t>
      </w:r>
      <w:r w:rsidRPr="006D6D67" w:rsidR="00D83EA9">
        <w:rPr>
          <w:rFonts w:eastAsia="Arial"/>
          <w:color w:val="000000" w:themeColor="text1"/>
          <w:kern w:val="2"/>
          <w14:ligatures w14:val="standardContextual"/>
        </w:rPr>
        <w:t xml:space="preserve">weegt niet langer </w:t>
      </w:r>
      <w:r w:rsidRPr="006D6D67" w:rsidR="00674327">
        <w:rPr>
          <w:rFonts w:eastAsia="Arial"/>
          <w:color w:val="000000" w:themeColor="text1"/>
          <w:kern w:val="2"/>
          <w14:ligatures w14:val="standardContextual"/>
        </w:rPr>
        <w:t xml:space="preserve">op </w:t>
      </w:r>
      <w:r w:rsidRPr="006D6D67" w:rsidR="00D83EA9">
        <w:rPr>
          <w:rFonts w:eastAsia="Arial"/>
          <w:color w:val="000000" w:themeColor="text1"/>
          <w:kern w:val="2"/>
          <w14:ligatures w14:val="standardContextual"/>
        </w:rPr>
        <w:t>tegen deze behoefte aan rechtsbescherming</w:t>
      </w:r>
      <w:r w:rsidRPr="006D6D67" w:rsidR="00BA67DD">
        <w:rPr>
          <w:rFonts w:eastAsia="Arial"/>
          <w:color w:val="000000" w:themeColor="text1"/>
          <w:kern w:val="2"/>
          <w14:ligatures w14:val="standardContextual"/>
        </w:rPr>
        <w:t xml:space="preserve">. </w:t>
      </w:r>
      <w:r w:rsidRPr="006D6D67" w:rsidR="005E63D4">
        <w:rPr>
          <w:rFonts w:eastAsia="Arial"/>
          <w:color w:val="000000" w:themeColor="text1"/>
          <w:kern w:val="2"/>
          <w14:ligatures w14:val="standardContextual"/>
        </w:rPr>
        <w:t xml:space="preserve">Daar komt bij dat </w:t>
      </w:r>
      <w:r w:rsidRPr="006D6D67" w:rsidR="006D6736">
        <w:rPr>
          <w:rFonts w:eastAsia="Arial"/>
          <w:color w:val="000000" w:themeColor="text1"/>
          <w:kern w:val="2"/>
          <w14:ligatures w14:val="standardContextual"/>
        </w:rPr>
        <w:t xml:space="preserve">het toetsingsverbod in de weg staat aan een bloeiende grondwettelijke cultuur, een onmisbaar ingrediënt van een democratische rechtsstaat. </w:t>
      </w:r>
    </w:p>
    <w:p w:rsidRPr="006D6D67" w:rsidR="00C22F95" w:rsidP="007472AA" w:rsidRDefault="00C22F95" w14:paraId="5A066E35" w14:textId="77777777">
      <w:pPr>
        <w:spacing w:line="276" w:lineRule="auto"/>
      </w:pPr>
    </w:p>
    <w:p w:rsidRPr="006D6D67" w:rsidR="004377A5" w:rsidP="007472AA" w:rsidRDefault="556CAC0B" w14:paraId="318F3EEE" w14:textId="0924B925">
      <w:pPr>
        <w:spacing w:line="276" w:lineRule="auto"/>
      </w:pPr>
      <w:r w:rsidRPr="006D6D67">
        <w:t xml:space="preserve">De versterking van de rechtsbescherming van burgers en de bevordering van een grondwettelijke cultuur zijn de kerndoelstellingen achter het grondwetsvoorstel dat het kabinet over constitutionele toetsing voorbereidt. In lijn met het hoofdlijnenakkoord en het regeerprogramma verwezenlijkt het kabinet deze doelstellingen door in dit voorstel in te zetten op twee speerpunten: 1) de </w:t>
      </w:r>
      <w:r w:rsidRPr="006D6D67">
        <w:lastRenderedPageBreak/>
        <w:t>gedeeltelijke opheffing van het toetsingsverbod in artikel 120 van de Grondwet en 2) de instelling van een grondwettelijk hof dat wetten, lagere regelgeving en besluiten via een prejudiciële procedure kan toetsen aan (een deel van) de Grondwet. Met het eerste speerpunt wordt de weg vrijgemaakt voor de rechterlijke toetsing van wetten aan klassieke grondrechten. Met het tweede speerpunt wordt ons institutionele bestel verrijkt met een instelling die op tastbare wijze de belangrijke positie van de Grondwet belichaamt en de rechtsbescherming die burgers aan de Grondwet kunnen ontlenen. Samen met de inspanningen die reeds worden geleverd door bestaande instanties, zoals de Tweede Kamer, Eerste Kamer en de Afdeling advisering van de Raad van State, zal dit bijdragen aan een centralere rol voor de Grondwet in het maatschappelijk leven.</w:t>
      </w:r>
    </w:p>
    <w:p w:rsidRPr="006D6D67" w:rsidR="00D83EA9" w:rsidP="007472AA" w:rsidRDefault="00D83EA9" w14:paraId="73A1B767" w14:textId="77777777">
      <w:pPr>
        <w:spacing w:line="276" w:lineRule="auto"/>
      </w:pPr>
    </w:p>
    <w:p w:rsidRPr="006D6D67" w:rsidR="004377A5" w:rsidP="007472AA" w:rsidRDefault="00302D46" w14:paraId="1A847357" w14:textId="1626F871">
      <w:pPr>
        <w:spacing w:line="276" w:lineRule="auto"/>
      </w:pPr>
      <w:r w:rsidRPr="006D6D67">
        <w:t xml:space="preserve">In deze brief schetsen wij, mede </w:t>
      </w:r>
      <w:r w:rsidRPr="006D6D67" w:rsidR="008732C4">
        <w:t>namens</w:t>
      </w:r>
      <w:r w:rsidRPr="006D6D67">
        <w:t xml:space="preserve"> de Minister van Justitie en Veiligheid, de contouren van </w:t>
      </w:r>
      <w:r w:rsidRPr="006D6D67" w:rsidR="004377A5">
        <w:t>de</w:t>
      </w:r>
      <w:r w:rsidRPr="006D6D67">
        <w:t xml:space="preserve"> grondwets</w:t>
      </w:r>
      <w:r w:rsidRPr="006D6D67" w:rsidR="004377A5">
        <w:t>herziening</w:t>
      </w:r>
      <w:r w:rsidRPr="006D6D67">
        <w:t xml:space="preserve"> </w:t>
      </w:r>
      <w:r w:rsidRPr="006D6D67" w:rsidR="009718F6">
        <w:t>d</w:t>
      </w:r>
      <w:r w:rsidRPr="006D6D67" w:rsidR="004377A5">
        <w:t>ie</w:t>
      </w:r>
      <w:r w:rsidRPr="006D6D67" w:rsidR="009718F6">
        <w:t xml:space="preserve"> wordt voorbereid </w:t>
      </w:r>
      <w:r w:rsidRPr="006D6D67">
        <w:t xml:space="preserve">en werken wij de </w:t>
      </w:r>
      <w:r w:rsidRPr="006D6D67" w:rsidR="009718F6">
        <w:t>bovengenoemde</w:t>
      </w:r>
      <w:r w:rsidRPr="006D6D67">
        <w:t xml:space="preserve"> twee speerpunten uit.</w:t>
      </w:r>
      <w:r w:rsidRPr="006D6D67" w:rsidR="009718F6">
        <w:t xml:space="preserve"> </w:t>
      </w:r>
      <w:r w:rsidRPr="006D6D67" w:rsidR="00A73647">
        <w:t xml:space="preserve">Daarbij hebben wij ook de initiatiefnota van </w:t>
      </w:r>
      <w:r w:rsidRPr="006D6D67" w:rsidR="007C503E">
        <w:t>het Kamerlid</w:t>
      </w:r>
      <w:r w:rsidRPr="006D6D67" w:rsidR="00A73647">
        <w:t xml:space="preserve"> Omtzigt </w:t>
      </w:r>
      <w:r w:rsidRPr="006D6D67" w:rsidR="007C503E">
        <w:t>over</w:t>
      </w:r>
      <w:r w:rsidRPr="006D6D67" w:rsidR="00A73647">
        <w:t xml:space="preserve"> tien voorstellen ter verbetering van de constitutionele toetsing betrokken.</w:t>
      </w:r>
      <w:r w:rsidRPr="006D6D67" w:rsidR="00A1130C">
        <w:rPr>
          <w:rStyle w:val="Voetnootmarkering"/>
        </w:rPr>
        <w:footnoteReference w:id="3"/>
      </w:r>
      <w:r w:rsidRPr="006D6D67" w:rsidR="00A73647">
        <w:t xml:space="preserve"> </w:t>
      </w:r>
      <w:r w:rsidRPr="006D6D67" w:rsidR="00A1130C">
        <w:t>Met deze contourennota</w:t>
      </w:r>
      <w:r w:rsidRPr="006D6D67" w:rsidR="0091481A">
        <w:t xml:space="preserve"> </w:t>
      </w:r>
      <w:r w:rsidRPr="006D6D67" w:rsidR="00267E2C">
        <w:t xml:space="preserve">leggen </w:t>
      </w:r>
      <w:r w:rsidRPr="006D6D67" w:rsidR="009718F6">
        <w:t xml:space="preserve">we een fundament voor een gedachtewisseling met uw Kamers en andere betrokken actoren, in het bijzonder de rechterlijke instanties, over de invulling van </w:t>
      </w:r>
      <w:r w:rsidRPr="006D6D67" w:rsidR="00EF75D3">
        <w:t>de</w:t>
      </w:r>
      <w:r w:rsidRPr="006D6D67" w:rsidR="009718F6">
        <w:t xml:space="preserve"> grondwetsvoorstel</w:t>
      </w:r>
      <w:r w:rsidRPr="006D6D67" w:rsidR="00EF75D3">
        <w:t>len</w:t>
      </w:r>
      <w:r w:rsidRPr="006D6D67" w:rsidR="009718F6">
        <w:t xml:space="preserve">. </w:t>
      </w:r>
      <w:r w:rsidRPr="006D6D67" w:rsidR="0083011B">
        <w:t xml:space="preserve">Constitutionele toetsing is een onderwerp dat raakt aan de essentie van de democratische rechtsstaat en ons staatsbestel. Het is dus belangrijk dat </w:t>
      </w:r>
      <w:r w:rsidRPr="006D6D67" w:rsidR="00D36C2D">
        <w:t>het</w:t>
      </w:r>
      <w:r w:rsidRPr="006D6D67" w:rsidR="0083011B">
        <w:t xml:space="preserve"> kabinet </w:t>
      </w:r>
      <w:r w:rsidRPr="006D6D67" w:rsidR="00752058">
        <w:t xml:space="preserve">reeds </w:t>
      </w:r>
      <w:r w:rsidRPr="006D6D67" w:rsidR="0083011B">
        <w:t>aan de voorkant inzicht geeft in de overwegingen ten aanzien van de wijze waarop het kabinet de invoering van constitutionele toetsing en de instelling van een grondwettelijk hof wil realiseren.</w:t>
      </w:r>
      <w:r w:rsidRPr="006D6D67" w:rsidR="004377A5">
        <w:t xml:space="preserve"> </w:t>
      </w:r>
    </w:p>
    <w:p w:rsidRPr="006D6D67" w:rsidR="004377A5" w:rsidP="007472AA" w:rsidRDefault="004377A5" w14:paraId="3E23AF0B" w14:textId="77777777">
      <w:pPr>
        <w:spacing w:line="276" w:lineRule="auto"/>
      </w:pPr>
    </w:p>
    <w:p w:rsidRPr="006D6D67" w:rsidR="00752058" w:rsidP="007472AA" w:rsidRDefault="004377A5" w14:paraId="70C721CA" w14:textId="3CBCB205">
      <w:pPr>
        <w:spacing w:line="276" w:lineRule="auto"/>
      </w:pPr>
      <w:r w:rsidRPr="006D6D67">
        <w:t xml:space="preserve">Het kabinet </w:t>
      </w:r>
      <w:r w:rsidRPr="006D6D67" w:rsidR="00A73647">
        <w:t>wil</w:t>
      </w:r>
      <w:r w:rsidRPr="006D6D67">
        <w:t xml:space="preserve"> alle voornemens ten aanzien van constitutionele toetsing uitwerken in twee herzieningsvoorstellen</w:t>
      </w:r>
      <w:r w:rsidRPr="006D6D67" w:rsidR="0091481A">
        <w:t>: één voorstel voor de gedeeltelijke opheffing</w:t>
      </w:r>
      <w:r w:rsidRPr="006D6D67">
        <w:t xml:space="preserve"> van </w:t>
      </w:r>
      <w:r w:rsidRPr="006D6D67" w:rsidR="0091481A">
        <w:t>het toetsingsverbod van artikel 120 Grondwet</w:t>
      </w:r>
      <w:r w:rsidRPr="006D6D67" w:rsidR="0067526F">
        <w:rPr>
          <w:rStyle w:val="Voetnootmarkering"/>
        </w:rPr>
        <w:footnoteReference w:id="4"/>
      </w:r>
      <w:r w:rsidRPr="006D6D67" w:rsidR="0091481A">
        <w:t xml:space="preserve"> en één voorstel voor de instelling van een </w:t>
      </w:r>
      <w:r w:rsidRPr="006D6D67" w:rsidR="008C1918">
        <w:t>grondwettelijk</w:t>
      </w:r>
      <w:r w:rsidRPr="006D6D67" w:rsidR="0091481A">
        <w:t xml:space="preserve"> hof</w:t>
      </w:r>
      <w:r w:rsidRPr="006D6D67">
        <w:t xml:space="preserve">. </w:t>
      </w:r>
    </w:p>
    <w:p w:rsidRPr="006D6D67" w:rsidR="004377A5" w:rsidP="007472AA" w:rsidRDefault="004377A5" w14:paraId="052C55E0" w14:textId="77777777">
      <w:pPr>
        <w:spacing w:line="276" w:lineRule="auto"/>
      </w:pPr>
    </w:p>
    <w:tbl>
      <w:tblPr>
        <w:tblStyle w:val="Tabelraster"/>
        <w:tblW w:w="0" w:type="auto"/>
        <w:tblInd w:w="0" w:type="dxa"/>
        <w:tblLook w:val="04A0" w:firstRow="1" w:lastRow="0" w:firstColumn="1" w:lastColumn="0" w:noHBand="0" w:noVBand="1"/>
      </w:tblPr>
      <w:tblGrid>
        <w:gridCol w:w="7531"/>
      </w:tblGrid>
      <w:tr w:rsidRPr="006D6D67" w:rsidR="004377A5" w:rsidTr="004377A5" w14:paraId="6DAA4503" w14:textId="77777777">
        <w:tc>
          <w:tcPr>
            <w:tcW w:w="7531" w:type="dxa"/>
          </w:tcPr>
          <w:p w:rsidRPr="006D6D67" w:rsidR="004377A5" w:rsidP="007472AA" w:rsidRDefault="004377A5" w14:paraId="3D61AF60" w14:textId="77777777">
            <w:pPr>
              <w:spacing w:line="276" w:lineRule="auto"/>
              <w:rPr>
                <w:u w:val="single"/>
              </w:rPr>
            </w:pPr>
            <w:r w:rsidRPr="006D6D67">
              <w:rPr>
                <w:u w:val="single"/>
              </w:rPr>
              <w:t>Leeswijzer</w:t>
            </w:r>
          </w:p>
          <w:p w:rsidRPr="006D6D67" w:rsidR="004377A5" w:rsidP="007472AA" w:rsidRDefault="004377A5" w14:paraId="5D7D6E02" w14:textId="77777777">
            <w:pPr>
              <w:spacing w:line="276" w:lineRule="auto"/>
            </w:pPr>
          </w:p>
          <w:p w:rsidRPr="008B32A2" w:rsidR="004377A5" w:rsidP="004377A5" w:rsidRDefault="004377A5" w14:paraId="128CDBEC" w14:textId="2F9C5BD6">
            <w:pPr>
              <w:spacing w:line="276" w:lineRule="auto"/>
            </w:pPr>
            <w:r w:rsidRPr="006D6D67">
              <w:t xml:space="preserve">Deze contourennota is opgebouwd uit vier inhoudelijke paragrafen. In paragraaf 2 staan we stil bij de gedeeltelijke opheffing van het toetsingsverbod in artikel 120 Grondwet die het </w:t>
            </w:r>
            <w:r w:rsidRPr="008B32A2">
              <w:t>kabinet voor ogen heeft en bij het toetsingskader dat aldus ontstaat. Kort samengevat zijn de belangrijkste voorstellen en overwegingen van het kabinet in deze paragraaf:</w:t>
            </w:r>
          </w:p>
          <w:p w:rsidRPr="008B32A2" w:rsidR="004377A5" w:rsidP="004377A5" w:rsidRDefault="004377A5" w14:paraId="40DD9E6A" w14:textId="77777777">
            <w:pPr>
              <w:spacing w:line="276" w:lineRule="auto"/>
            </w:pPr>
          </w:p>
          <w:p w:rsidRPr="008B32A2" w:rsidR="004377A5" w:rsidP="004377A5" w:rsidRDefault="004377A5" w14:paraId="11130C65" w14:textId="442B06EF">
            <w:pPr>
              <w:pStyle w:val="Lijstalinea"/>
              <w:numPr>
                <w:ilvl w:val="0"/>
                <w:numId w:val="7"/>
              </w:numPr>
              <w:spacing w:line="276" w:lineRule="auto"/>
            </w:pPr>
            <w:r w:rsidRPr="008B32A2">
              <w:t>Wetten worden toetsbaar aan de zogeheten klassieke grondrechten in de Grondwet. Daartoe wordt een limitatieve lijst van grondwettelijke bepalingen opgesteld</w:t>
            </w:r>
            <w:r w:rsidRPr="008B32A2" w:rsidR="006B339D">
              <w:t>, waarvan in ieder geval de</w:t>
            </w:r>
            <w:r w:rsidRPr="008B32A2" w:rsidR="00FF66DE">
              <w:t xml:space="preserve"> klassieke grondrechten </w:t>
            </w:r>
            <w:r w:rsidRPr="008B32A2" w:rsidR="00FF66DE">
              <w:lastRenderedPageBreak/>
              <w:t>uit hoofdstuk 1 van de Grondwet deel uitmaken.</w:t>
            </w:r>
            <w:r w:rsidRPr="008B32A2" w:rsidR="00FF66DE">
              <w:rPr>
                <w:rStyle w:val="Voetnootmarkering"/>
              </w:rPr>
              <w:footnoteReference w:id="5"/>
            </w:r>
            <w:r w:rsidRPr="008B32A2" w:rsidR="006B339D">
              <w:t xml:space="preserve"> Bezien wordt of daarnaast enkele andere aanverwante bepalingen worden toegevoegd</w:t>
            </w:r>
            <w:r w:rsidRPr="008B32A2" w:rsidR="003757EF">
              <w:t>.</w:t>
            </w:r>
            <w:r w:rsidRPr="008B32A2" w:rsidR="006B339D">
              <w:rPr>
                <w:rStyle w:val="Voetnootmarkering"/>
              </w:rPr>
              <w:footnoteReference w:id="6"/>
            </w:r>
          </w:p>
          <w:p w:rsidRPr="008B32A2" w:rsidR="00EF75D3" w:rsidP="004377A5" w:rsidRDefault="00536C0C" w14:paraId="762A0671" w14:textId="77777777">
            <w:pPr>
              <w:pStyle w:val="Lijstalinea"/>
              <w:numPr>
                <w:ilvl w:val="0"/>
                <w:numId w:val="7"/>
              </w:numPr>
              <w:spacing w:line="276" w:lineRule="auto"/>
            </w:pPr>
            <w:r w:rsidRPr="008B32A2">
              <w:t xml:space="preserve">Het kabinet </w:t>
            </w:r>
            <w:r w:rsidRPr="008B32A2" w:rsidR="00CA4667">
              <w:t>kiest niet voor</w:t>
            </w:r>
            <w:r w:rsidRPr="008B32A2">
              <w:t xml:space="preserve"> toetsing van wetten aan ongeschreven algemene rechtsbeginselen.</w:t>
            </w:r>
            <w:r w:rsidRPr="008B32A2" w:rsidR="003757EF">
              <w:t xml:space="preserve"> </w:t>
            </w:r>
          </w:p>
          <w:p w:rsidRPr="008B32A2" w:rsidR="004377A5" w:rsidP="004377A5" w:rsidRDefault="00DA5884" w14:paraId="050607CB" w14:textId="27A20F7A">
            <w:pPr>
              <w:pStyle w:val="Lijstalinea"/>
              <w:numPr>
                <w:ilvl w:val="0"/>
                <w:numId w:val="7"/>
              </w:numPr>
              <w:spacing w:line="276" w:lineRule="auto"/>
            </w:pPr>
            <w:r w:rsidRPr="008B32A2">
              <w:rPr>
                <w:rFonts w:eastAsia="Times New Roman"/>
              </w:rPr>
              <w:t xml:space="preserve">Het kabinet beziet of per grondrecht afzonderlijk wordt geformuleerd welke </w:t>
            </w:r>
            <w:r w:rsidRPr="008B32A2" w:rsidR="00207870">
              <w:rPr>
                <w:rFonts w:eastAsia="Times New Roman"/>
              </w:rPr>
              <w:t>beperking</w:t>
            </w:r>
            <w:r w:rsidRPr="008B32A2">
              <w:rPr>
                <w:rFonts w:eastAsia="Times New Roman"/>
              </w:rPr>
              <w:t xml:space="preserve"> daarop wordt toegestaan, of door middel van één algemene beperkingenclausule. In het laatste geval kan worden volstaan met de in de Grondwet op te nemen norm dat een wettelijke beperking op een grondrecht moet voldoen aan de criteria van noodzaak, proportionaliteit en subsidiariteit</w:t>
            </w:r>
            <w:r w:rsidRPr="008B32A2" w:rsidR="004377A5">
              <w:t xml:space="preserve">. </w:t>
            </w:r>
          </w:p>
          <w:p w:rsidRPr="008B32A2" w:rsidR="004377A5" w:rsidP="004377A5" w:rsidRDefault="004377A5" w14:paraId="5365A3ED" w14:textId="77777777">
            <w:pPr>
              <w:spacing w:line="276" w:lineRule="auto"/>
            </w:pPr>
          </w:p>
          <w:p w:rsidRPr="006D6D67" w:rsidR="004377A5" w:rsidP="004377A5" w:rsidRDefault="004377A5" w14:paraId="7D4EA93D" w14:textId="1B36E78F">
            <w:pPr>
              <w:spacing w:line="276" w:lineRule="auto"/>
            </w:pPr>
            <w:r w:rsidRPr="008B32A2">
              <w:t>In paragraaf 3 gaan we in op de rol die het kabinet met betrekking tot constitutionele toetsing voor ogen heeft voor een grondwettelijk hof. We beschrijven meer in detail de argumenten voor de instelling van een dergelijke instantie en</w:t>
            </w:r>
            <w:r w:rsidRPr="008B32A2" w:rsidR="00197781">
              <w:t xml:space="preserve"> we</w:t>
            </w:r>
            <w:r w:rsidRPr="008B32A2">
              <w:t xml:space="preserve"> behandelen de grondwettelijke rechtsbescherming bij de rechter en het hof. Ook schenken we in paragraaf 3 aandacht aan de relatie van deze procedure tot het internationale en EU-recht. Kort samengevat zijn</w:t>
            </w:r>
            <w:r w:rsidRPr="006D6D67">
              <w:t xml:space="preserve"> de belangrijkste voorstellen en overwegingen van het kabinet in deze paragraaf:</w:t>
            </w:r>
          </w:p>
          <w:p w:rsidRPr="006D6D67" w:rsidR="002B0C7C" w:rsidP="004377A5" w:rsidRDefault="002B0C7C" w14:paraId="3F06777E" w14:textId="77777777">
            <w:pPr>
              <w:spacing w:line="276" w:lineRule="auto"/>
            </w:pPr>
          </w:p>
          <w:p w:rsidRPr="006D6D67" w:rsidR="00BF35E1" w:rsidP="002B0C7C" w:rsidRDefault="00197781" w14:paraId="7CF13EE8" w14:textId="20F223BA">
            <w:pPr>
              <w:pStyle w:val="Lijstalinea"/>
              <w:numPr>
                <w:ilvl w:val="0"/>
                <w:numId w:val="7"/>
              </w:numPr>
              <w:spacing w:line="276" w:lineRule="auto"/>
            </w:pPr>
            <w:r w:rsidRPr="006D6D67">
              <w:t xml:space="preserve">Om het potentieel van grondwetstoetsing ten volle te benutten, </w:t>
            </w:r>
            <w:r w:rsidRPr="006D6D67" w:rsidR="003757EF">
              <w:t xml:space="preserve">richt </w:t>
            </w:r>
            <w:r w:rsidRPr="006D6D67">
              <w:t xml:space="preserve">het kabinet een grondwettelijk hof op. </w:t>
            </w:r>
            <w:r w:rsidRPr="006D6D67" w:rsidR="003C540B">
              <w:t xml:space="preserve"> De drie centrale overwegingen betreffen het voor de rechtszoekende versterken van de rechtsbescherming bij schending van grondrechten, het bevorderen van snelheid in het verkrijgen van een oordeel over de grondwettigheid van wetten en regels en het vergroten van de constitutionele cultuur in Nederland.</w:t>
            </w:r>
          </w:p>
          <w:p w:rsidRPr="006D6D67" w:rsidR="008374D6" w:rsidP="00D62F82" w:rsidRDefault="00D62F82" w14:paraId="719FB630" w14:textId="7D85AFDD">
            <w:pPr>
              <w:pStyle w:val="Lijstalinea"/>
              <w:numPr>
                <w:ilvl w:val="0"/>
                <w:numId w:val="7"/>
              </w:numPr>
              <w:spacing w:line="276" w:lineRule="auto"/>
            </w:pPr>
            <w:r w:rsidRPr="006D6D67">
              <w:t xml:space="preserve">Het grondwettelijk hof kan door rechters in een prejudiciële procedure om een deelbeslissing worden gevraagd over de grondwettigheid van een wet, lagere regelgeving of besluit. </w:t>
            </w:r>
          </w:p>
          <w:p w:rsidRPr="006D6D67" w:rsidR="00D941FE" w:rsidP="00D62F82" w:rsidRDefault="00662BA1" w14:paraId="0F1656E0" w14:textId="29E22502">
            <w:pPr>
              <w:pStyle w:val="Lijstalinea"/>
              <w:numPr>
                <w:ilvl w:val="0"/>
                <w:numId w:val="7"/>
              </w:numPr>
              <w:spacing w:line="276" w:lineRule="auto"/>
            </w:pPr>
            <w:r w:rsidRPr="006D6D67">
              <w:t>Een prejudiciële procedure bij een grondwettelijk hof</w:t>
            </w:r>
            <w:r w:rsidRPr="006D6D67" w:rsidR="008374D6">
              <w:t xml:space="preserve"> </w:t>
            </w:r>
            <w:r w:rsidRPr="006D6D67">
              <w:t xml:space="preserve">kan voor </w:t>
            </w:r>
            <w:r w:rsidRPr="006D6D67" w:rsidR="008374D6">
              <w:t>samenloop</w:t>
            </w:r>
            <w:r w:rsidRPr="006D6D67" w:rsidR="00674327">
              <w:t>vragen</w:t>
            </w:r>
            <w:r w:rsidRPr="006D6D67" w:rsidR="008374D6">
              <w:t xml:space="preserve"> </w:t>
            </w:r>
            <w:r w:rsidRPr="006D6D67">
              <w:t xml:space="preserve">zorgen met bestaande bevoegdheden en verplichtingen van rechters op grond van het EU-recht en internationale recht. </w:t>
            </w:r>
            <w:r w:rsidRPr="006D6D67" w:rsidR="00D941FE">
              <w:t xml:space="preserve">Bij de implementatie van de grondwetswijziging wil het kabinet een regeling treffen waarin deze </w:t>
            </w:r>
            <w:r w:rsidRPr="006D6D67" w:rsidR="00674327">
              <w:t>vragen</w:t>
            </w:r>
            <w:r w:rsidRPr="006D6D67" w:rsidR="00D941FE">
              <w:t xml:space="preserve"> worden geadresseerd. </w:t>
            </w:r>
          </w:p>
          <w:p w:rsidRPr="006D6D67" w:rsidR="004377A5" w:rsidP="00FE5CBA" w:rsidRDefault="004377A5" w14:paraId="702DBE59" w14:textId="77777777">
            <w:pPr>
              <w:spacing w:line="276" w:lineRule="auto"/>
            </w:pPr>
          </w:p>
          <w:p w:rsidRPr="006D6D67" w:rsidR="00D941FE" w:rsidP="009810A8" w:rsidRDefault="00BE1EA7" w14:paraId="01F44092" w14:textId="748CFC74">
            <w:pPr>
              <w:spacing w:line="276" w:lineRule="auto"/>
            </w:pPr>
            <w:r w:rsidRPr="006D6D67">
              <w:t>P</w:t>
            </w:r>
            <w:r w:rsidRPr="006D6D67" w:rsidR="00D941FE">
              <w:t>aragraaf 4</w:t>
            </w:r>
            <w:r w:rsidRPr="006D6D67">
              <w:t xml:space="preserve"> gaat over de institutionele delen van de Grondwet, die bevoegdheden van overheidsorganen regelen</w:t>
            </w:r>
            <w:r w:rsidRPr="006D6D67" w:rsidR="00D941FE">
              <w:t>.</w:t>
            </w:r>
            <w:r w:rsidRPr="006D6D67">
              <w:t xml:space="preserve"> </w:t>
            </w:r>
            <w:r w:rsidRPr="006D6D67" w:rsidR="00A747AD">
              <w:t>Het kabinet gaat</w:t>
            </w:r>
            <w:r w:rsidRPr="006D6D67" w:rsidR="00040633">
              <w:t xml:space="preserve"> laten</w:t>
            </w:r>
            <w:r w:rsidRPr="006D6D67" w:rsidR="00A747AD">
              <w:t xml:space="preserve"> onderzoeken of </w:t>
            </w:r>
            <w:r w:rsidRPr="006D6D67" w:rsidR="005F7E17">
              <w:t xml:space="preserve">bepaalde </w:t>
            </w:r>
            <w:proofErr w:type="spellStart"/>
            <w:r w:rsidRPr="006D6D67" w:rsidR="00C17363">
              <w:t>interinstitutionele</w:t>
            </w:r>
            <w:proofErr w:type="spellEnd"/>
            <w:r w:rsidRPr="006D6D67" w:rsidR="00C17363">
              <w:t xml:space="preserve"> bepalingen ook toetsbaar </w:t>
            </w:r>
            <w:r w:rsidRPr="006D6D67" w:rsidR="005F7E17">
              <w:t xml:space="preserve">kunnen </w:t>
            </w:r>
            <w:r w:rsidRPr="006D6D67" w:rsidR="00C17363">
              <w:t xml:space="preserve">worden door </w:t>
            </w:r>
            <w:r w:rsidRPr="006D6D67">
              <w:t xml:space="preserve">het grondwettelijk hof. </w:t>
            </w:r>
            <w:r w:rsidRPr="006D6D67" w:rsidR="00A747AD">
              <w:t>Onderdeel van dat onderzoek zijn</w:t>
            </w:r>
            <w:r w:rsidRPr="006D6D67">
              <w:t>:</w:t>
            </w:r>
          </w:p>
          <w:p w:rsidRPr="006D6D67" w:rsidR="00BE1EA7" w:rsidP="00BE1EA7" w:rsidRDefault="00BE1EA7" w14:paraId="2653F9B1" w14:textId="63AEE6AF">
            <w:pPr>
              <w:pStyle w:val="Lijstalinea"/>
              <w:numPr>
                <w:ilvl w:val="0"/>
                <w:numId w:val="7"/>
              </w:numPr>
              <w:spacing w:line="276" w:lineRule="auto"/>
            </w:pPr>
            <w:r w:rsidRPr="006D6D67">
              <w:t>Geschillen over de vraag of een minister of staatssecretaris terecht geweigerd heeft om bepaalde informatie aan de Kamer te geven;</w:t>
            </w:r>
          </w:p>
          <w:p w:rsidRPr="006D6D67" w:rsidR="00BE1EA7" w:rsidP="00BE1EA7" w:rsidRDefault="00BE1EA7" w14:paraId="309A0E04" w14:textId="477B98D6">
            <w:pPr>
              <w:pStyle w:val="Lijstalinea"/>
              <w:numPr>
                <w:ilvl w:val="0"/>
                <w:numId w:val="7"/>
              </w:numPr>
              <w:spacing w:line="276" w:lineRule="auto"/>
            </w:pPr>
            <w:r w:rsidRPr="006D6D67">
              <w:t>Geschillen die kunnen ontstaan naar aanleiding van verkiezingen;</w:t>
            </w:r>
          </w:p>
          <w:p w:rsidRPr="006D6D67" w:rsidR="00BE1EA7" w:rsidP="00BE1EA7" w:rsidRDefault="00BE1EA7" w14:paraId="11BDAEFA" w14:textId="35BAF55C">
            <w:pPr>
              <w:pStyle w:val="Lijstalinea"/>
              <w:numPr>
                <w:ilvl w:val="0"/>
                <w:numId w:val="7"/>
              </w:numPr>
              <w:spacing w:line="276" w:lineRule="auto"/>
            </w:pPr>
            <w:r w:rsidRPr="006D6D67">
              <w:lastRenderedPageBreak/>
              <w:t>Zuivere bestuursgeschillen;</w:t>
            </w:r>
          </w:p>
          <w:p w:rsidRPr="006D6D67" w:rsidR="006F20C2" w:rsidP="00E7494A" w:rsidRDefault="00BE1EA7" w14:paraId="1A376576" w14:textId="288EA6DC">
            <w:pPr>
              <w:pStyle w:val="Lijstalinea"/>
              <w:numPr>
                <w:ilvl w:val="0"/>
                <w:numId w:val="7"/>
              </w:numPr>
              <w:spacing w:line="276" w:lineRule="auto"/>
            </w:pPr>
            <w:r w:rsidRPr="006D6D67">
              <w:t>Het opleggen van een partijverbod</w:t>
            </w:r>
            <w:r w:rsidRPr="006D6D67" w:rsidR="00BA04CA">
              <w:t>.</w:t>
            </w:r>
          </w:p>
          <w:p w:rsidRPr="006D6D67" w:rsidR="00BE1EA7" w:rsidP="009810A8" w:rsidRDefault="00516D6A" w14:paraId="5677E1F7" w14:textId="1046EB88">
            <w:pPr>
              <w:spacing w:line="276" w:lineRule="auto"/>
            </w:pPr>
            <w:r w:rsidRPr="006D6D67">
              <w:t xml:space="preserve">Naar aanleiding van de uitkomsten van het onderzoek zal het kabinet wegen of deze taken zouden kunnen worden toegevoegd aan </w:t>
            </w:r>
            <w:r w:rsidRPr="006D6D67" w:rsidR="00A747AD">
              <w:t>het takenpakket van het hof</w:t>
            </w:r>
            <w:r w:rsidRPr="006D6D67" w:rsidR="00BE1EA7">
              <w:t>.</w:t>
            </w:r>
          </w:p>
          <w:p w:rsidRPr="006D6D67" w:rsidR="009810A8" w:rsidP="009810A8" w:rsidRDefault="009810A8" w14:paraId="3D1C9FC5" w14:textId="77777777">
            <w:pPr>
              <w:spacing w:line="276" w:lineRule="auto"/>
            </w:pPr>
          </w:p>
          <w:p w:rsidRPr="006D6D67" w:rsidR="002753E5" w:rsidP="002753E5" w:rsidRDefault="002753E5" w14:paraId="782E58BB" w14:textId="25036DDA">
            <w:r w:rsidRPr="006D6D67">
              <w:t>In parag</w:t>
            </w:r>
            <w:r w:rsidRPr="006D6D67" w:rsidR="00A16FFD">
              <w:t>r</w:t>
            </w:r>
            <w:r w:rsidRPr="006D6D67">
              <w:t xml:space="preserve">aaf 5 gaan we in op de inrichting en de onafhankelijkheid van het grondwettelijk hof. Kort samengevat zijn de belangrijkste voorstellen en overwegingen van het kabinet in deze paragraaf: </w:t>
            </w:r>
          </w:p>
          <w:p w:rsidRPr="006D6D67" w:rsidR="002753E5" w:rsidP="002753E5" w:rsidRDefault="002753E5" w14:paraId="250F03D5" w14:textId="68AFE0A6">
            <w:pPr>
              <w:pStyle w:val="Lijstalinea"/>
              <w:numPr>
                <w:ilvl w:val="0"/>
                <w:numId w:val="8"/>
              </w:numPr>
              <w:autoSpaceDN/>
              <w:spacing w:after="160" w:line="259" w:lineRule="auto"/>
              <w:textAlignment w:val="auto"/>
            </w:pPr>
            <w:r w:rsidRPr="006D6D67">
              <w:t>Om de onafhankelijk</w:t>
            </w:r>
            <w:r w:rsidRPr="006D6D67" w:rsidR="003757EF">
              <w:t>heid</w:t>
            </w:r>
            <w:r w:rsidRPr="006D6D67">
              <w:t xml:space="preserve"> van het grondwettelijk hof te waarborgen stelt het kabinet voor om het grondwettelijk hof tot de rechterlijke macht te laten behoren.</w:t>
            </w:r>
          </w:p>
          <w:p w:rsidRPr="006D6D67" w:rsidR="002753E5" w:rsidP="002753E5" w:rsidRDefault="002753E5" w14:paraId="4C12CCA2" w14:textId="25BE799C">
            <w:pPr>
              <w:pStyle w:val="Lijstalinea"/>
              <w:numPr>
                <w:ilvl w:val="0"/>
                <w:numId w:val="8"/>
              </w:numPr>
              <w:autoSpaceDN/>
              <w:spacing w:after="160" w:line="259" w:lineRule="auto"/>
              <w:textAlignment w:val="auto"/>
            </w:pPr>
            <w:r w:rsidRPr="006D6D67">
              <w:t>Als uitzondering op de waarborgen die gelden voor de leden van de rechterlijke macht worden leden bij het hof niet voor het leven benoemd, maar voor maximaal negen ja</w:t>
            </w:r>
            <w:r w:rsidRPr="006D6D67" w:rsidR="00A16FFD">
              <w:t>ar</w:t>
            </w:r>
            <w:r w:rsidRPr="006D6D67">
              <w:t xml:space="preserve">, zonder mogelijkheid tot herbenoeming. Een zittingsduur van negen jaar verzekert de benodigde continuïteit, maar zorgt ook voor voldoende wisseling in de samenstelling van de leden van </w:t>
            </w:r>
            <w:r w:rsidRPr="006D6D67" w:rsidR="00A16FFD">
              <w:t>het</w:t>
            </w:r>
            <w:r w:rsidRPr="006D6D67">
              <w:t xml:space="preserve"> hof.</w:t>
            </w:r>
          </w:p>
          <w:p w:rsidRPr="006D6D67" w:rsidR="0077070C" w:rsidP="0077070C" w:rsidRDefault="002753E5" w14:paraId="3CD87894" w14:textId="05B1B06B">
            <w:pPr>
              <w:pStyle w:val="Lijstalinea"/>
              <w:numPr>
                <w:ilvl w:val="0"/>
                <w:numId w:val="8"/>
              </w:numPr>
              <w:autoSpaceDN/>
              <w:spacing w:after="160" w:line="259" w:lineRule="auto"/>
              <w:textAlignment w:val="auto"/>
            </w:pPr>
            <w:r w:rsidRPr="006D6D67">
              <w:t xml:space="preserve">Het grondwettelijk hof zal bestaan uit een beperkt aantal leden. Het aantal leden dat zitting neemt en uitspraak doet in een concrete zaak moet een oneven aantal zijn. </w:t>
            </w:r>
            <w:r w:rsidRPr="006D6D67" w:rsidR="0077070C">
              <w:rPr>
                <w:rFonts w:eastAsiaTheme="minorEastAsia" w:cstheme="minorBidi"/>
                <w:color w:val="auto"/>
                <w:kern w:val="2"/>
                <w:lang w:eastAsia="en-US"/>
                <w14:ligatures w14:val="standardContextual"/>
              </w:rPr>
              <w:t>Om snelle besluitvorming te kunnen garanderen kan daarnaast gedacht worden aan plaatsvervan</w:t>
            </w:r>
            <w:r w:rsidRPr="006D6D67" w:rsidR="003757EF">
              <w:rPr>
                <w:rFonts w:eastAsiaTheme="minorEastAsia" w:cstheme="minorBidi"/>
                <w:color w:val="auto"/>
                <w:kern w:val="2"/>
                <w:lang w:eastAsia="en-US"/>
                <w14:ligatures w14:val="standardContextual"/>
              </w:rPr>
              <w:t>gende leden</w:t>
            </w:r>
            <w:r w:rsidRPr="006D6D67" w:rsidR="0077070C">
              <w:rPr>
                <w:rFonts w:eastAsiaTheme="minorEastAsia" w:cstheme="minorBidi"/>
                <w:color w:val="auto"/>
                <w:kern w:val="2"/>
                <w:lang w:eastAsia="en-US"/>
                <w14:ligatures w14:val="standardContextual"/>
              </w:rPr>
              <w:t>.</w:t>
            </w:r>
          </w:p>
          <w:p w:rsidRPr="006D6D67" w:rsidR="00D941FE" w:rsidP="009810A8" w:rsidRDefault="0077070C" w14:paraId="632A6D26" w14:textId="6D1EF16D">
            <w:pPr>
              <w:pStyle w:val="Lijstalinea"/>
              <w:numPr>
                <w:ilvl w:val="0"/>
                <w:numId w:val="8"/>
              </w:numPr>
              <w:autoSpaceDN/>
              <w:spacing w:after="160" w:line="259" w:lineRule="auto"/>
              <w:textAlignment w:val="auto"/>
            </w:pPr>
            <w:r w:rsidRPr="006D6D67">
              <w:rPr>
                <w:rFonts w:eastAsia="Times New Roman" w:cstheme="minorBidi"/>
              </w:rPr>
              <w:t>Het kabinet onderschrijft het belang van een goed doordachte en gebalanceerde benoemingsprocedure voor de leden van het hof.</w:t>
            </w:r>
            <w:r w:rsidRPr="006D6D67" w:rsidR="001B1C98">
              <w:rPr>
                <w:rFonts w:eastAsia="Times New Roman" w:cstheme="minorBidi"/>
              </w:rPr>
              <w:t xml:space="preserve"> </w:t>
            </w:r>
            <w:r w:rsidRPr="006D6D67">
              <w:rPr>
                <w:rFonts w:eastAsia="Times New Roman" w:cstheme="minorBidi"/>
              </w:rPr>
              <w:t>De vormgeving hiervan vergt nadere uitwerking. Daarbij z</w:t>
            </w:r>
            <w:r w:rsidRPr="006D6D67" w:rsidR="005F7E17">
              <w:rPr>
                <w:rFonts w:eastAsia="Times New Roman" w:cstheme="minorBidi"/>
              </w:rPr>
              <w:t>al</w:t>
            </w:r>
            <w:r w:rsidRPr="006D6D67">
              <w:rPr>
                <w:rFonts w:eastAsia="Times New Roman" w:cstheme="minorBidi"/>
              </w:rPr>
              <w:t xml:space="preserve"> ook </w:t>
            </w:r>
            <w:r w:rsidRPr="006D6D67">
              <w:rPr>
                <w:rFonts w:eastAsiaTheme="minorEastAsia" w:cstheme="minorBidi"/>
                <w:color w:val="auto"/>
                <w:kern w:val="2"/>
                <w:lang w:eastAsia="en-US"/>
                <w14:ligatures w14:val="standardContextual"/>
              </w:rPr>
              <w:t xml:space="preserve">een aantal incompatibiliteiten (grond)wettelijk worden vastgesteld. </w:t>
            </w:r>
          </w:p>
        </w:tc>
      </w:tr>
    </w:tbl>
    <w:p w:rsidRPr="006D6D67" w:rsidR="00162A7B" w:rsidP="007472AA" w:rsidRDefault="00162A7B" w14:paraId="50E339B5" w14:textId="465B2EAB">
      <w:pPr>
        <w:spacing w:line="276" w:lineRule="auto"/>
        <w:rPr>
          <w:b/>
          <w:bCs/>
        </w:rPr>
      </w:pPr>
    </w:p>
    <w:p w:rsidRPr="006D6D67" w:rsidR="00405958" w:rsidP="007472AA" w:rsidRDefault="00405958" w14:paraId="440B3757" w14:textId="229B1B4C">
      <w:pPr>
        <w:pStyle w:val="Lijstalinea"/>
        <w:numPr>
          <w:ilvl w:val="0"/>
          <w:numId w:val="5"/>
        </w:numPr>
        <w:spacing w:line="276" w:lineRule="auto"/>
        <w:rPr>
          <w:b/>
          <w:bCs/>
        </w:rPr>
      </w:pPr>
      <w:r w:rsidRPr="006D6D67">
        <w:rPr>
          <w:b/>
          <w:bCs/>
        </w:rPr>
        <w:t xml:space="preserve">Waarborging van grondrechten </w:t>
      </w:r>
    </w:p>
    <w:p w:rsidRPr="006D6D67" w:rsidR="002D0AC8" w:rsidP="007472AA" w:rsidRDefault="002D0AC8" w14:paraId="6D74B331" w14:textId="77777777">
      <w:pPr>
        <w:autoSpaceDN/>
        <w:spacing w:line="276" w:lineRule="auto"/>
        <w:textAlignment w:val="auto"/>
        <w:rPr>
          <w:rFonts w:eastAsia="Arial"/>
          <w:color w:val="000000" w:themeColor="text1"/>
          <w:kern w:val="2"/>
          <w14:ligatures w14:val="standardContextual"/>
        </w:rPr>
      </w:pPr>
      <w:bookmarkStart w:name="_Hlk178713759" w:id="0"/>
    </w:p>
    <w:p w:rsidRPr="006D6D67" w:rsidR="007F6FE9" w:rsidP="007472AA" w:rsidRDefault="00C667E4" w14:paraId="26D9980D" w14:textId="04E88A01">
      <w:pPr>
        <w:autoSpaceDN/>
        <w:spacing w:line="276" w:lineRule="auto"/>
        <w:textAlignment w:val="auto"/>
        <w:rPr>
          <w:rFonts w:eastAsia="Arial"/>
          <w:color w:val="000000" w:themeColor="text1"/>
          <w:kern w:val="2"/>
          <w14:ligatures w14:val="standardContextual"/>
        </w:rPr>
      </w:pPr>
      <w:r w:rsidRPr="006D6D67">
        <w:rPr>
          <w:rFonts w:eastAsia="Arial"/>
          <w:color w:val="000000" w:themeColor="text1"/>
          <w:kern w:val="2"/>
          <w14:ligatures w14:val="standardContextual"/>
        </w:rPr>
        <w:t xml:space="preserve">Op grond van </w:t>
      </w:r>
      <w:r w:rsidRPr="006D6D67" w:rsidR="00731E04">
        <w:rPr>
          <w:rFonts w:eastAsia="Arial"/>
          <w:color w:val="000000" w:themeColor="text1"/>
          <w:kern w:val="2"/>
          <w14:ligatures w14:val="standardContextual"/>
        </w:rPr>
        <w:t xml:space="preserve">het toetsingsverbod van artikel 120 Grondwet </w:t>
      </w:r>
      <w:r w:rsidRPr="006D6D67">
        <w:rPr>
          <w:rFonts w:eastAsia="Arial"/>
          <w:color w:val="000000" w:themeColor="text1"/>
          <w:kern w:val="2"/>
          <w14:ligatures w14:val="standardContextual"/>
        </w:rPr>
        <w:t>is h</w:t>
      </w:r>
      <w:r w:rsidRPr="006D6D67" w:rsidR="00731E04">
        <w:rPr>
          <w:rFonts w:eastAsia="Arial"/>
          <w:color w:val="000000" w:themeColor="text1"/>
          <w:kern w:val="2"/>
          <w14:ligatures w14:val="standardContextual"/>
        </w:rPr>
        <w:t xml:space="preserve">et de rechter </w:t>
      </w:r>
      <w:r w:rsidRPr="006D6D67">
        <w:rPr>
          <w:rFonts w:eastAsia="Arial"/>
          <w:color w:val="000000" w:themeColor="text1"/>
          <w:kern w:val="2"/>
          <w14:ligatures w14:val="standardContextual"/>
        </w:rPr>
        <w:t>niet toegestaan</w:t>
      </w:r>
      <w:r w:rsidRPr="006D6D67" w:rsidR="00731E04">
        <w:rPr>
          <w:rFonts w:eastAsia="Arial"/>
          <w:color w:val="000000" w:themeColor="text1"/>
          <w:kern w:val="2"/>
          <w14:ligatures w14:val="standardContextual"/>
        </w:rPr>
        <w:t xml:space="preserve"> om de grondwettigheid van wetten</w:t>
      </w:r>
      <w:r w:rsidRPr="006D6D67" w:rsidR="00373723">
        <w:rPr>
          <w:rStyle w:val="Voetnootmarkering"/>
          <w:rFonts w:eastAsia="Arial"/>
          <w:color w:val="000000" w:themeColor="text1"/>
          <w:kern w:val="2"/>
          <w14:ligatures w14:val="standardContextual"/>
        </w:rPr>
        <w:footnoteReference w:id="7"/>
      </w:r>
      <w:r w:rsidRPr="006D6D67" w:rsidR="00731E04">
        <w:rPr>
          <w:rFonts w:eastAsia="Arial"/>
          <w:color w:val="000000" w:themeColor="text1"/>
          <w:kern w:val="2"/>
          <w14:ligatures w14:val="standardContextual"/>
        </w:rPr>
        <w:t xml:space="preserve"> en verdragen</w:t>
      </w:r>
      <w:r w:rsidRPr="006D6D67" w:rsidR="00531E23">
        <w:rPr>
          <w:rStyle w:val="Voetnootmarkering"/>
          <w:rFonts w:eastAsia="Arial"/>
          <w:color w:val="000000" w:themeColor="text1"/>
          <w:kern w:val="2"/>
          <w14:ligatures w14:val="standardContextual"/>
        </w:rPr>
        <w:footnoteReference w:id="8"/>
      </w:r>
      <w:r w:rsidRPr="006D6D67" w:rsidR="00731E04">
        <w:rPr>
          <w:rFonts w:eastAsia="Arial"/>
          <w:color w:val="000000" w:themeColor="text1"/>
          <w:kern w:val="2"/>
          <w14:ligatures w14:val="standardContextual"/>
        </w:rPr>
        <w:t xml:space="preserve"> te beoordelen. De bepaling strekt zich niet uit tot toetsing aan de Grondwet van lagere regelgeving, concrete besluiten van overheidsorganen en andere (rechts)handelingen. </w:t>
      </w:r>
      <w:r w:rsidRPr="006D6D67" w:rsidR="007F6FE9">
        <w:rPr>
          <w:rFonts w:eastAsia="Arial"/>
          <w:color w:val="000000" w:themeColor="text1"/>
          <w:kern w:val="2"/>
          <w14:ligatures w14:val="standardContextual"/>
        </w:rPr>
        <w:t xml:space="preserve">Daartoe is de rechter, zonder dat dit met zoveel woorden </w:t>
      </w:r>
      <w:r w:rsidRPr="006D6D67" w:rsidR="00024D93">
        <w:rPr>
          <w:rFonts w:eastAsia="Arial"/>
          <w:color w:val="000000" w:themeColor="text1"/>
          <w:kern w:val="2"/>
          <w14:ligatures w14:val="standardContextual"/>
        </w:rPr>
        <w:t xml:space="preserve">in </w:t>
      </w:r>
      <w:r w:rsidRPr="006D6D67" w:rsidR="007F6FE9">
        <w:rPr>
          <w:rFonts w:eastAsia="Arial"/>
          <w:color w:val="000000" w:themeColor="text1"/>
          <w:kern w:val="2"/>
          <w14:ligatures w14:val="standardContextual"/>
        </w:rPr>
        <w:t xml:space="preserve">de Grondwet wordt genoemd, </w:t>
      </w:r>
      <w:r w:rsidRPr="006D6D67">
        <w:rPr>
          <w:rFonts w:eastAsia="Arial"/>
          <w:color w:val="000000" w:themeColor="text1"/>
          <w:kern w:val="2"/>
          <w14:ligatures w14:val="standardContextual"/>
        </w:rPr>
        <w:t xml:space="preserve">wel </w:t>
      </w:r>
      <w:r w:rsidRPr="006D6D67" w:rsidR="007F6FE9">
        <w:rPr>
          <w:rFonts w:eastAsia="Arial"/>
          <w:color w:val="000000" w:themeColor="text1"/>
          <w:kern w:val="2"/>
          <w14:ligatures w14:val="standardContextual"/>
        </w:rPr>
        <w:t xml:space="preserve">bevoegd. Aangezien met name wetten een grote impact kunnen hebben op de levens van mensen, is de impact van artikel 120 Grondwet </w:t>
      </w:r>
      <w:r w:rsidRPr="006D6D67" w:rsidR="00024D93">
        <w:rPr>
          <w:rFonts w:eastAsia="Arial"/>
          <w:color w:val="000000" w:themeColor="text1"/>
          <w:kern w:val="2"/>
          <w14:ligatures w14:val="standardContextual"/>
        </w:rPr>
        <w:t>niettemin</w:t>
      </w:r>
      <w:r w:rsidRPr="006D6D67" w:rsidR="007F6FE9">
        <w:rPr>
          <w:rFonts w:eastAsia="Arial"/>
          <w:color w:val="000000" w:themeColor="text1"/>
          <w:kern w:val="2"/>
          <w14:ligatures w14:val="standardContextual"/>
        </w:rPr>
        <w:t xml:space="preserve"> groot, in het bijzonder daar waar de Grondwet waarborgen biedt voor fundamentele rechten. </w:t>
      </w:r>
    </w:p>
    <w:p w:rsidRPr="006D6D67" w:rsidR="008D096B" w:rsidP="007472AA" w:rsidRDefault="008D096B" w14:paraId="33882001" w14:textId="77777777">
      <w:pPr>
        <w:spacing w:line="276" w:lineRule="auto"/>
        <w:rPr>
          <w:rFonts w:eastAsiaTheme="minorEastAsia"/>
          <w:kern w:val="2"/>
          <w14:ligatures w14:val="standardContextual"/>
        </w:rPr>
      </w:pPr>
    </w:p>
    <w:p w:rsidRPr="006D6D67" w:rsidR="000565C9" w:rsidP="007472AA" w:rsidRDefault="00194D88" w14:paraId="15B7962D" w14:textId="5BA7313D">
      <w:pPr>
        <w:spacing w:line="276" w:lineRule="auto"/>
        <w:rPr>
          <w:rFonts w:eastAsia="Arial"/>
          <w:color w:val="000000" w:themeColor="text1"/>
          <w:kern w:val="2"/>
          <w14:ligatures w14:val="standardContextual"/>
        </w:rPr>
      </w:pPr>
      <w:r w:rsidRPr="006D6D67">
        <w:rPr>
          <w:rFonts w:eastAsia="Arial"/>
          <w:color w:val="000000" w:themeColor="text1"/>
          <w:kern w:val="2"/>
          <w14:ligatures w14:val="standardContextual"/>
        </w:rPr>
        <w:t>O</w:t>
      </w:r>
      <w:r w:rsidRPr="006D6D67" w:rsidR="00FC3D54">
        <w:rPr>
          <w:rFonts w:eastAsia="Arial"/>
          <w:color w:val="000000" w:themeColor="text1"/>
          <w:kern w:val="2"/>
          <w14:ligatures w14:val="standardContextual"/>
        </w:rPr>
        <w:t>p</w:t>
      </w:r>
      <w:r w:rsidRPr="006D6D67" w:rsidR="003F2A57">
        <w:rPr>
          <w:rFonts w:eastAsia="Arial"/>
          <w:color w:val="000000" w:themeColor="text1"/>
          <w:kern w:val="2"/>
          <w14:ligatures w14:val="standardContextual"/>
        </w:rPr>
        <w:t xml:space="preserve"> grond van artikel 94 van de Grondwet </w:t>
      </w:r>
      <w:r w:rsidRPr="006D6D67" w:rsidR="00FC3D54">
        <w:rPr>
          <w:rFonts w:eastAsia="Arial"/>
          <w:color w:val="000000" w:themeColor="text1"/>
          <w:kern w:val="2"/>
          <w14:ligatures w14:val="standardContextual"/>
        </w:rPr>
        <w:t>kunnen burgers wel bij de rechter opkomen tegen inperkingen door een wet van fundamentele rechten, wanneer deze fundamentele rechten zijn neergelegd in verdragen en als een ieder verbindend kunnen worden aangemerkt. Denk hierbij bijvoorbeeld aan</w:t>
      </w:r>
      <w:r w:rsidRPr="006D6D67" w:rsidR="008D096B">
        <w:rPr>
          <w:rFonts w:eastAsia="Arial"/>
          <w:color w:val="000000" w:themeColor="text1"/>
          <w:kern w:val="2"/>
          <w14:ligatures w14:val="standardContextual"/>
        </w:rPr>
        <w:t xml:space="preserve"> het Europees Verdrag </w:t>
      </w:r>
      <w:r w:rsidRPr="006D6D67" w:rsidR="008F1118">
        <w:rPr>
          <w:rFonts w:eastAsia="Arial"/>
          <w:color w:val="000000" w:themeColor="text1"/>
          <w:kern w:val="2"/>
          <w14:ligatures w14:val="standardContextual"/>
        </w:rPr>
        <w:t xml:space="preserve">voor </w:t>
      </w:r>
      <w:r w:rsidRPr="006D6D67" w:rsidR="008D096B">
        <w:rPr>
          <w:rFonts w:eastAsia="Arial"/>
          <w:color w:val="000000" w:themeColor="text1"/>
          <w:kern w:val="2"/>
          <w14:ligatures w14:val="standardContextual"/>
        </w:rPr>
        <w:t>de Rechten van de Mens (EVRM)</w:t>
      </w:r>
      <w:r w:rsidRPr="006D6D67" w:rsidR="00024D93">
        <w:rPr>
          <w:rFonts w:eastAsia="Arial"/>
          <w:color w:val="000000" w:themeColor="text1"/>
          <w:kern w:val="2"/>
          <w14:ligatures w14:val="standardContextual"/>
        </w:rPr>
        <w:t xml:space="preserve">. Ook kan de rechter </w:t>
      </w:r>
      <w:r w:rsidRPr="006D6D67" w:rsidR="006D50B7">
        <w:rPr>
          <w:rFonts w:eastAsia="Arial"/>
          <w:color w:val="000000" w:themeColor="text1"/>
          <w:kern w:val="2"/>
          <w14:ligatures w14:val="standardContextual"/>
        </w:rPr>
        <w:lastRenderedPageBreak/>
        <w:t xml:space="preserve">wanneer de lidstaten optreden binnen het toepassingsgebied van het recht van de Europese Unie, </w:t>
      </w:r>
      <w:r w:rsidRPr="006D6D67" w:rsidR="00024D93">
        <w:rPr>
          <w:rFonts w:eastAsia="Arial"/>
          <w:color w:val="000000" w:themeColor="text1"/>
          <w:kern w:val="2"/>
          <w14:ligatures w14:val="standardContextual"/>
        </w:rPr>
        <w:t>wetten toetsen aan fundamentele rechten in</w:t>
      </w:r>
      <w:r w:rsidRPr="006D6D67" w:rsidR="00243D9C">
        <w:rPr>
          <w:rFonts w:eastAsia="Arial"/>
          <w:color w:val="000000" w:themeColor="text1"/>
          <w:kern w:val="2"/>
          <w14:ligatures w14:val="standardContextual"/>
        </w:rPr>
        <w:t xml:space="preserve"> het Handvest van de grondrechten van de Europese Unie (EU-Handvest)</w:t>
      </w:r>
      <w:r w:rsidRPr="006D6D67" w:rsidR="00430438">
        <w:rPr>
          <w:rFonts w:eastAsia="Arial"/>
          <w:color w:val="000000" w:themeColor="text1"/>
          <w:kern w:val="2"/>
          <w14:ligatures w14:val="standardContextual"/>
        </w:rPr>
        <w:t>. T</w:t>
      </w:r>
      <w:r w:rsidRPr="006D6D67" w:rsidR="008D096B">
        <w:rPr>
          <w:rFonts w:eastAsia="Arial"/>
          <w:color w:val="000000" w:themeColor="text1"/>
          <w:kern w:val="2"/>
          <w14:ligatures w14:val="standardContextual"/>
        </w:rPr>
        <w:t xml:space="preserve">oetsing aan grondrechten uit de Grondwet </w:t>
      </w:r>
      <w:r w:rsidRPr="006D6D67" w:rsidR="00430438">
        <w:rPr>
          <w:rFonts w:eastAsia="Arial"/>
          <w:color w:val="000000" w:themeColor="text1"/>
          <w:kern w:val="2"/>
          <w14:ligatures w14:val="standardContextual"/>
        </w:rPr>
        <w:t xml:space="preserve">kan echter </w:t>
      </w:r>
      <w:r w:rsidRPr="006D6D67" w:rsidR="00FD790C">
        <w:rPr>
          <w:rFonts w:eastAsia="Arial"/>
          <w:color w:val="000000" w:themeColor="text1"/>
          <w:kern w:val="2"/>
          <w14:ligatures w14:val="standardContextual"/>
        </w:rPr>
        <w:t>van wezenlijke</w:t>
      </w:r>
      <w:r w:rsidRPr="006D6D67" w:rsidR="00430438">
        <w:rPr>
          <w:rFonts w:eastAsia="Arial"/>
          <w:color w:val="000000" w:themeColor="text1"/>
          <w:kern w:val="2"/>
          <w14:ligatures w14:val="standardContextual"/>
        </w:rPr>
        <w:t xml:space="preserve"> </w:t>
      </w:r>
      <w:r w:rsidRPr="006D6D67" w:rsidR="008D096B">
        <w:rPr>
          <w:rFonts w:eastAsia="Arial"/>
          <w:color w:val="000000" w:themeColor="text1"/>
          <w:kern w:val="2"/>
          <w14:ligatures w14:val="standardContextual"/>
        </w:rPr>
        <w:t xml:space="preserve">meerwaarde </w:t>
      </w:r>
      <w:r w:rsidRPr="006D6D67" w:rsidR="00FD790C">
        <w:rPr>
          <w:rFonts w:eastAsia="Arial"/>
          <w:color w:val="000000" w:themeColor="text1"/>
          <w:kern w:val="2"/>
          <w14:ligatures w14:val="standardContextual"/>
        </w:rPr>
        <w:t>zijn</w:t>
      </w:r>
      <w:r w:rsidRPr="006D6D67" w:rsidR="008D096B">
        <w:rPr>
          <w:rFonts w:eastAsia="Arial"/>
          <w:color w:val="000000" w:themeColor="text1"/>
          <w:kern w:val="2"/>
          <w14:ligatures w14:val="standardContextual"/>
        </w:rPr>
        <w:t>. Het EVRM</w:t>
      </w:r>
      <w:r w:rsidRPr="006D6D67" w:rsidR="00243D9C">
        <w:rPr>
          <w:rFonts w:eastAsia="Arial"/>
          <w:color w:val="000000" w:themeColor="text1"/>
          <w:kern w:val="2"/>
          <w14:ligatures w14:val="standardContextual"/>
        </w:rPr>
        <w:t xml:space="preserve"> en het EU-Handvest</w:t>
      </w:r>
      <w:r w:rsidRPr="006D6D67" w:rsidR="008D096B">
        <w:rPr>
          <w:rFonts w:eastAsia="Arial"/>
          <w:color w:val="000000" w:themeColor="text1"/>
          <w:kern w:val="2"/>
          <w14:ligatures w14:val="standardContextual"/>
        </w:rPr>
        <w:t xml:space="preserve"> </w:t>
      </w:r>
      <w:r w:rsidRPr="006D6D67" w:rsidR="007644C6">
        <w:rPr>
          <w:rFonts w:eastAsia="Arial"/>
          <w:color w:val="000000" w:themeColor="text1"/>
          <w:kern w:val="2"/>
          <w14:ligatures w14:val="standardContextual"/>
        </w:rPr>
        <w:t>la</w:t>
      </w:r>
      <w:r w:rsidRPr="006D6D67" w:rsidR="00243D9C">
        <w:rPr>
          <w:rFonts w:eastAsia="Arial"/>
          <w:color w:val="000000" w:themeColor="text1"/>
          <w:kern w:val="2"/>
          <w14:ligatures w14:val="standardContextual"/>
        </w:rPr>
        <w:t>ten</w:t>
      </w:r>
      <w:r w:rsidRPr="006D6D67" w:rsidR="003F2A57">
        <w:rPr>
          <w:rFonts w:eastAsia="Arial"/>
          <w:color w:val="000000" w:themeColor="text1"/>
          <w:kern w:val="2"/>
          <w14:ligatures w14:val="standardContextual"/>
        </w:rPr>
        <w:t xml:space="preserve"> ruimte aan </w:t>
      </w:r>
      <w:r w:rsidRPr="006D6D67" w:rsidR="00BA793C">
        <w:rPr>
          <w:rFonts w:eastAsia="Arial"/>
          <w:color w:val="000000" w:themeColor="text1"/>
          <w:kern w:val="2"/>
          <w14:ligatures w14:val="standardContextual"/>
        </w:rPr>
        <w:t xml:space="preserve">de partijen </w:t>
      </w:r>
      <w:r w:rsidRPr="006D6D67" w:rsidR="00FD790C">
        <w:rPr>
          <w:rFonts w:eastAsia="Arial"/>
          <w:color w:val="000000" w:themeColor="text1"/>
          <w:kern w:val="2"/>
          <w14:ligatures w14:val="standardContextual"/>
        </w:rPr>
        <w:t xml:space="preserve">bij </w:t>
      </w:r>
      <w:r w:rsidRPr="006D6D67" w:rsidR="004867FA">
        <w:rPr>
          <w:rFonts w:eastAsia="Arial"/>
          <w:color w:val="000000" w:themeColor="text1"/>
          <w:kern w:val="2"/>
          <w14:ligatures w14:val="standardContextual"/>
        </w:rPr>
        <w:t xml:space="preserve">het EVRM </w:t>
      </w:r>
      <w:r w:rsidRPr="006D6D67" w:rsidR="00051582">
        <w:rPr>
          <w:rFonts w:eastAsia="Arial"/>
          <w:color w:val="000000" w:themeColor="text1"/>
          <w:kern w:val="2"/>
          <w14:ligatures w14:val="standardContextual"/>
        </w:rPr>
        <w:t xml:space="preserve">respectievelijk </w:t>
      </w:r>
      <w:r w:rsidRPr="006D6D67" w:rsidR="00024D93">
        <w:rPr>
          <w:rFonts w:eastAsia="Arial"/>
          <w:color w:val="000000" w:themeColor="text1"/>
          <w:kern w:val="2"/>
          <w14:ligatures w14:val="standardContextual"/>
        </w:rPr>
        <w:t xml:space="preserve">aan de </w:t>
      </w:r>
      <w:r w:rsidRPr="006D6D67" w:rsidR="00051582">
        <w:rPr>
          <w:rFonts w:eastAsia="Arial"/>
          <w:color w:val="000000" w:themeColor="text1"/>
          <w:kern w:val="2"/>
          <w14:ligatures w14:val="standardContextual"/>
        </w:rPr>
        <w:t>EU-lidstaten</w:t>
      </w:r>
      <w:r w:rsidRPr="006D6D67" w:rsidR="00FD790C">
        <w:rPr>
          <w:rFonts w:eastAsia="Arial"/>
          <w:color w:val="000000" w:themeColor="text1"/>
          <w:kern w:val="2"/>
          <w14:ligatures w14:val="standardContextual"/>
        </w:rPr>
        <w:t xml:space="preserve"> </w:t>
      </w:r>
      <w:r w:rsidRPr="006D6D67" w:rsidR="00BA793C">
        <w:rPr>
          <w:rFonts w:eastAsia="Arial"/>
          <w:color w:val="000000" w:themeColor="text1"/>
          <w:kern w:val="2"/>
          <w14:ligatures w14:val="standardContextual"/>
        </w:rPr>
        <w:t xml:space="preserve">om op grond van het </w:t>
      </w:r>
      <w:r w:rsidRPr="006D6D67" w:rsidR="00693F93">
        <w:rPr>
          <w:rFonts w:eastAsia="Arial"/>
          <w:color w:val="000000" w:themeColor="text1"/>
          <w:kern w:val="2"/>
          <w14:ligatures w14:val="standardContextual"/>
        </w:rPr>
        <w:t xml:space="preserve">nationale </w:t>
      </w:r>
      <w:r w:rsidRPr="006D6D67" w:rsidR="00BA793C">
        <w:rPr>
          <w:rFonts w:eastAsia="Arial"/>
          <w:color w:val="000000" w:themeColor="text1"/>
          <w:kern w:val="2"/>
          <w14:ligatures w14:val="standardContextual"/>
        </w:rPr>
        <w:t xml:space="preserve">recht </w:t>
      </w:r>
      <w:r w:rsidRPr="006D6D67" w:rsidR="008D096B">
        <w:rPr>
          <w:rFonts w:eastAsia="Arial"/>
          <w:color w:val="000000" w:themeColor="text1"/>
          <w:kern w:val="2"/>
          <w14:ligatures w14:val="standardContextual"/>
        </w:rPr>
        <w:t xml:space="preserve">verdergaande bescherming </w:t>
      </w:r>
      <w:r w:rsidRPr="006D6D67" w:rsidR="00BA793C">
        <w:rPr>
          <w:rFonts w:eastAsia="Arial"/>
          <w:color w:val="000000" w:themeColor="text1"/>
          <w:kern w:val="2"/>
          <w14:ligatures w14:val="standardContextual"/>
        </w:rPr>
        <w:t xml:space="preserve">van grondrechten </w:t>
      </w:r>
      <w:r w:rsidRPr="006D6D67" w:rsidR="008D096B">
        <w:rPr>
          <w:rFonts w:eastAsia="Arial"/>
          <w:color w:val="000000" w:themeColor="text1"/>
          <w:kern w:val="2"/>
          <w14:ligatures w14:val="standardContextual"/>
        </w:rPr>
        <w:t xml:space="preserve">te </w:t>
      </w:r>
      <w:r w:rsidRPr="006D6D67" w:rsidR="00BA793C">
        <w:rPr>
          <w:rFonts w:eastAsia="Arial"/>
          <w:color w:val="000000" w:themeColor="text1"/>
          <w:kern w:val="2"/>
          <w14:ligatures w14:val="standardContextual"/>
        </w:rPr>
        <w:t>verlenen</w:t>
      </w:r>
      <w:r w:rsidRPr="006D6D67" w:rsidR="00017E67">
        <w:rPr>
          <w:rFonts w:eastAsia="Arial"/>
          <w:color w:val="000000" w:themeColor="text1"/>
          <w:kern w:val="2"/>
          <w14:ligatures w14:val="standardContextual"/>
        </w:rPr>
        <w:t xml:space="preserve"> dan het EVRM</w:t>
      </w:r>
      <w:r w:rsidRPr="006D6D67" w:rsidR="00243D9C">
        <w:rPr>
          <w:rFonts w:eastAsia="Arial"/>
          <w:color w:val="000000" w:themeColor="text1"/>
          <w:kern w:val="2"/>
          <w14:ligatures w14:val="standardContextual"/>
        </w:rPr>
        <w:t xml:space="preserve"> en het EU-Handvest</w:t>
      </w:r>
      <w:r w:rsidRPr="006D6D67" w:rsidR="00BA793C">
        <w:rPr>
          <w:rFonts w:eastAsia="Arial"/>
          <w:color w:val="000000" w:themeColor="text1"/>
          <w:kern w:val="2"/>
          <w14:ligatures w14:val="standardContextual"/>
        </w:rPr>
        <w:t>.</w:t>
      </w:r>
      <w:r w:rsidRPr="006D6D67" w:rsidR="00C526B9">
        <w:rPr>
          <w:rStyle w:val="Voetnootmarkering"/>
          <w:rFonts w:eastAsia="Arial"/>
          <w:color w:val="000000" w:themeColor="text1"/>
          <w:kern w:val="2"/>
          <w14:ligatures w14:val="standardContextual"/>
        </w:rPr>
        <w:footnoteReference w:id="9"/>
      </w:r>
      <w:r w:rsidRPr="006D6D67" w:rsidR="00BA793C">
        <w:rPr>
          <w:rFonts w:eastAsia="Arial"/>
          <w:color w:val="000000" w:themeColor="text1"/>
          <w:kern w:val="2"/>
          <w14:ligatures w14:val="standardContextual"/>
        </w:rPr>
        <w:t xml:space="preserve"> </w:t>
      </w:r>
      <w:r w:rsidRPr="006D6D67" w:rsidR="00FD790C">
        <w:rPr>
          <w:rFonts w:eastAsia="Arial"/>
          <w:color w:val="000000" w:themeColor="text1"/>
          <w:kern w:val="2"/>
          <w14:ligatures w14:val="standardContextual"/>
        </w:rPr>
        <w:t>Aanpassing van artikel 120 van de Grondwet</w:t>
      </w:r>
      <w:r w:rsidRPr="006D6D67" w:rsidR="00A64444">
        <w:rPr>
          <w:rFonts w:eastAsia="Arial"/>
          <w:color w:val="000000" w:themeColor="text1"/>
          <w:kern w:val="2"/>
          <w14:ligatures w14:val="standardContextual"/>
        </w:rPr>
        <w:t xml:space="preserve"> </w:t>
      </w:r>
      <w:r w:rsidRPr="006D6D67" w:rsidR="00FD790C">
        <w:rPr>
          <w:rFonts w:eastAsia="Arial"/>
          <w:color w:val="000000" w:themeColor="text1"/>
          <w:kern w:val="2"/>
          <w14:ligatures w14:val="standardContextual"/>
        </w:rPr>
        <w:t>zou</w:t>
      </w:r>
      <w:r w:rsidRPr="006D6D67" w:rsidR="0086051A">
        <w:rPr>
          <w:rFonts w:eastAsia="Arial"/>
          <w:color w:val="000000" w:themeColor="text1"/>
          <w:kern w:val="2"/>
          <w14:ligatures w14:val="standardContextual"/>
        </w:rPr>
        <w:t xml:space="preserve"> </w:t>
      </w:r>
      <w:r w:rsidRPr="006D6D67" w:rsidR="00ED4ABF">
        <w:rPr>
          <w:rFonts w:eastAsia="Arial"/>
          <w:color w:val="000000" w:themeColor="text1"/>
          <w:kern w:val="2"/>
          <w14:ligatures w14:val="standardContextual"/>
        </w:rPr>
        <w:t xml:space="preserve">voor de rechter </w:t>
      </w:r>
      <w:r w:rsidRPr="006D6D67" w:rsidR="0086051A">
        <w:rPr>
          <w:rFonts w:eastAsia="Arial"/>
          <w:color w:val="000000" w:themeColor="text1"/>
          <w:kern w:val="2"/>
          <w14:ligatures w14:val="standardContextual"/>
        </w:rPr>
        <w:t xml:space="preserve">de deur </w:t>
      </w:r>
      <w:r w:rsidRPr="006D6D67" w:rsidR="00ED4ABF">
        <w:rPr>
          <w:rFonts w:eastAsia="Arial"/>
          <w:color w:val="000000" w:themeColor="text1"/>
          <w:kern w:val="2"/>
          <w14:ligatures w14:val="standardContextual"/>
        </w:rPr>
        <w:t>openen</w:t>
      </w:r>
      <w:r w:rsidRPr="006D6D67" w:rsidR="00693F93">
        <w:rPr>
          <w:rFonts w:eastAsia="Arial"/>
          <w:color w:val="000000" w:themeColor="text1"/>
          <w:kern w:val="2"/>
          <w14:ligatures w14:val="standardContextual"/>
        </w:rPr>
        <w:t xml:space="preserve"> om</w:t>
      </w:r>
      <w:r w:rsidRPr="006D6D67" w:rsidR="00ED4ABF">
        <w:rPr>
          <w:rFonts w:eastAsia="Arial"/>
          <w:color w:val="000000" w:themeColor="text1"/>
          <w:kern w:val="2"/>
          <w14:ligatures w14:val="standardContextual"/>
        </w:rPr>
        <w:t xml:space="preserve"> ten aanzien van wetten</w:t>
      </w:r>
      <w:r w:rsidRPr="006D6D67" w:rsidR="0086051A">
        <w:rPr>
          <w:rFonts w:eastAsia="Arial"/>
          <w:color w:val="000000" w:themeColor="text1"/>
          <w:kern w:val="2"/>
          <w14:ligatures w14:val="standardContextual"/>
        </w:rPr>
        <w:t xml:space="preserve"> een eigen, nationale </w:t>
      </w:r>
      <w:r w:rsidRPr="006D6D67" w:rsidR="00ED4ABF">
        <w:rPr>
          <w:rFonts w:eastAsia="Arial"/>
          <w:color w:val="000000" w:themeColor="text1"/>
          <w:kern w:val="2"/>
          <w14:ligatures w14:val="standardContextual"/>
        </w:rPr>
        <w:t xml:space="preserve">grondrechtenjurisprudentie te ontwikkelen en deze verdergaande bescherming te </w:t>
      </w:r>
      <w:r w:rsidRPr="006D6D67" w:rsidR="001B1C98">
        <w:rPr>
          <w:rFonts w:eastAsia="Arial"/>
          <w:color w:val="000000" w:themeColor="text1"/>
          <w:kern w:val="2"/>
          <w14:ligatures w14:val="standardContextual"/>
        </w:rPr>
        <w:t>b</w:t>
      </w:r>
      <w:r w:rsidRPr="006D6D67" w:rsidR="00ED4ABF">
        <w:rPr>
          <w:rFonts w:eastAsia="Arial"/>
          <w:color w:val="000000" w:themeColor="text1"/>
          <w:kern w:val="2"/>
          <w14:ligatures w14:val="standardContextual"/>
        </w:rPr>
        <w:t>ieden</w:t>
      </w:r>
      <w:r w:rsidRPr="006D6D67" w:rsidR="00BA793C">
        <w:rPr>
          <w:rFonts w:eastAsia="Arial"/>
          <w:color w:val="000000" w:themeColor="text1"/>
          <w:kern w:val="2"/>
          <w14:ligatures w14:val="standardContextual"/>
        </w:rPr>
        <w:t>.</w:t>
      </w:r>
      <w:r w:rsidRPr="006D6D67" w:rsidR="008D096B">
        <w:rPr>
          <w:rFonts w:eastAsia="Arial"/>
          <w:color w:val="000000" w:themeColor="text1"/>
          <w:kern w:val="2"/>
          <w:vertAlign w:val="superscript"/>
          <w14:ligatures w14:val="standardContextual"/>
        </w:rPr>
        <w:footnoteReference w:id="10"/>
      </w:r>
      <w:r w:rsidRPr="006D6D67" w:rsidR="00017E67">
        <w:rPr>
          <w:rFonts w:eastAsia="Arial"/>
          <w:color w:val="000000" w:themeColor="text1"/>
          <w:kern w:val="2"/>
          <w14:ligatures w14:val="standardContextual"/>
        </w:rPr>
        <w:t xml:space="preserve"> </w:t>
      </w:r>
      <w:r w:rsidRPr="006D6D67" w:rsidR="00767FA1">
        <w:rPr>
          <w:rFonts w:eastAsia="Arial"/>
          <w:color w:val="000000" w:themeColor="text1"/>
          <w:kern w:val="2"/>
          <w14:ligatures w14:val="standardContextual"/>
        </w:rPr>
        <w:t xml:space="preserve">Relevant </w:t>
      </w:r>
      <w:r w:rsidRPr="006D6D67" w:rsidR="00ED4ABF">
        <w:rPr>
          <w:rFonts w:eastAsia="Arial"/>
          <w:color w:val="000000" w:themeColor="text1"/>
          <w:kern w:val="2"/>
          <w14:ligatures w14:val="standardContextual"/>
        </w:rPr>
        <w:t>in dit verband</w:t>
      </w:r>
      <w:r w:rsidRPr="006D6D67" w:rsidR="00767FA1">
        <w:rPr>
          <w:rFonts w:eastAsia="Arial"/>
          <w:color w:val="000000" w:themeColor="text1"/>
          <w:kern w:val="2"/>
          <w14:ligatures w14:val="standardContextual"/>
        </w:rPr>
        <w:t xml:space="preserve"> is</w:t>
      </w:r>
      <w:r w:rsidRPr="006D6D67" w:rsidR="008D096B">
        <w:rPr>
          <w:rFonts w:eastAsia="Arial"/>
          <w:color w:val="000000" w:themeColor="text1"/>
          <w:kern w:val="2"/>
          <w14:ligatures w14:val="standardContextual"/>
        </w:rPr>
        <w:t xml:space="preserve"> dat de grondrechten </w:t>
      </w:r>
      <w:r w:rsidRPr="006D6D67" w:rsidR="00ED4ABF">
        <w:rPr>
          <w:rFonts w:eastAsia="Arial"/>
          <w:color w:val="000000" w:themeColor="text1"/>
          <w:kern w:val="2"/>
          <w14:ligatures w14:val="standardContextual"/>
        </w:rPr>
        <w:t xml:space="preserve">die in de Grondwet zijn neergelegd </w:t>
      </w:r>
      <w:r w:rsidRPr="006D6D67" w:rsidR="008D096B">
        <w:rPr>
          <w:rFonts w:eastAsia="Arial"/>
          <w:color w:val="000000" w:themeColor="text1"/>
          <w:kern w:val="2"/>
          <w14:ligatures w14:val="standardContextual"/>
        </w:rPr>
        <w:t xml:space="preserve">een aantal zaken beschermen die niet verdragsrechtelijk </w:t>
      </w:r>
      <w:r w:rsidRPr="006D6D67" w:rsidR="00ED4ABF">
        <w:rPr>
          <w:rFonts w:eastAsia="Arial"/>
          <w:color w:val="000000" w:themeColor="text1"/>
          <w:kern w:val="2"/>
          <w14:ligatures w14:val="standardContextual"/>
        </w:rPr>
        <w:t>worden gewaarborgd</w:t>
      </w:r>
      <w:r w:rsidRPr="006D6D67" w:rsidR="008D096B">
        <w:rPr>
          <w:rFonts w:eastAsia="Arial"/>
          <w:color w:val="000000" w:themeColor="text1"/>
          <w:kern w:val="2"/>
          <w14:ligatures w14:val="standardContextual"/>
        </w:rPr>
        <w:t xml:space="preserve">, zoals het censuurverbod van artikel 7 Grondwet. Ook heeft een aantal grondrechten uit de Grondwet een bredere reikwijdte dan </w:t>
      </w:r>
      <w:r w:rsidRPr="006D6D67" w:rsidR="00276878">
        <w:rPr>
          <w:rFonts w:eastAsia="Arial"/>
          <w:color w:val="000000" w:themeColor="text1"/>
          <w:kern w:val="2"/>
          <w14:ligatures w14:val="standardContextual"/>
        </w:rPr>
        <w:t xml:space="preserve">hun </w:t>
      </w:r>
      <w:r w:rsidRPr="006D6D67" w:rsidR="008D096B">
        <w:rPr>
          <w:rFonts w:eastAsia="Arial"/>
          <w:color w:val="000000" w:themeColor="text1"/>
          <w:kern w:val="2"/>
          <w14:ligatures w14:val="standardContextual"/>
        </w:rPr>
        <w:t>verdragsrechtelijke equivalent</w:t>
      </w:r>
      <w:r w:rsidRPr="006D6D67" w:rsidR="00693F93">
        <w:rPr>
          <w:rFonts w:eastAsia="Arial"/>
          <w:color w:val="000000" w:themeColor="text1"/>
          <w:kern w:val="2"/>
          <w14:ligatures w14:val="standardContextual"/>
        </w:rPr>
        <w:t>. Dit geldt bijvoorbeeld</w:t>
      </w:r>
      <w:r w:rsidRPr="006D6D67" w:rsidR="00276878">
        <w:rPr>
          <w:rFonts w:eastAsia="Arial"/>
          <w:color w:val="000000" w:themeColor="text1"/>
          <w:kern w:val="2"/>
          <w14:ligatures w14:val="standardContextual"/>
        </w:rPr>
        <w:t xml:space="preserve"> voor</w:t>
      </w:r>
      <w:r w:rsidRPr="006D6D67" w:rsidR="00713523">
        <w:rPr>
          <w:rFonts w:eastAsia="Arial"/>
          <w:color w:val="000000" w:themeColor="text1"/>
          <w:kern w:val="2"/>
          <w14:ligatures w14:val="standardContextual"/>
        </w:rPr>
        <w:t xml:space="preserve"> </w:t>
      </w:r>
      <w:r w:rsidRPr="006D6D67" w:rsidR="008D096B">
        <w:rPr>
          <w:rFonts w:eastAsia="Arial"/>
          <w:color w:val="000000" w:themeColor="text1"/>
          <w:kern w:val="2"/>
          <w14:ligatures w14:val="standardContextual"/>
        </w:rPr>
        <w:t xml:space="preserve">het recht op een eerlijk proces als bedoeld in artikel 17 Grondwet </w:t>
      </w:r>
      <w:r w:rsidRPr="006D6D67" w:rsidR="00A03FAC">
        <w:rPr>
          <w:rFonts w:eastAsia="Arial"/>
          <w:color w:val="000000" w:themeColor="text1"/>
          <w:kern w:val="2"/>
          <w14:ligatures w14:val="standardContextual"/>
        </w:rPr>
        <w:t xml:space="preserve">ten opzichte van </w:t>
      </w:r>
      <w:r w:rsidRPr="006D6D67" w:rsidR="008D096B">
        <w:rPr>
          <w:rFonts w:eastAsia="Arial"/>
          <w:color w:val="000000" w:themeColor="text1"/>
          <w:kern w:val="2"/>
          <w14:ligatures w14:val="standardContextual"/>
        </w:rPr>
        <w:t>artikel 6 EVRM.</w:t>
      </w:r>
      <w:r w:rsidRPr="006D6D67" w:rsidR="008D096B">
        <w:rPr>
          <w:rStyle w:val="Voetnootmarkering"/>
          <w:rFonts w:eastAsia="Arial"/>
          <w:color w:val="000000" w:themeColor="text1"/>
          <w:kern w:val="2"/>
          <w14:ligatures w14:val="standardContextual"/>
        </w:rPr>
        <w:footnoteReference w:id="11"/>
      </w:r>
      <w:r w:rsidRPr="006D6D67" w:rsidR="008D096B">
        <w:rPr>
          <w:rFonts w:eastAsia="Arial"/>
          <w:color w:val="000000" w:themeColor="text1"/>
          <w:kern w:val="2"/>
          <w14:ligatures w14:val="standardContextual"/>
        </w:rPr>
        <w:t xml:space="preserve"> </w:t>
      </w:r>
      <w:r w:rsidRPr="006D6D67" w:rsidR="00286593">
        <w:rPr>
          <w:rFonts w:eastAsia="Arial"/>
          <w:color w:val="000000" w:themeColor="text1"/>
          <w:kern w:val="2"/>
          <w14:ligatures w14:val="standardContextual"/>
        </w:rPr>
        <w:t xml:space="preserve">Voor </w:t>
      </w:r>
      <w:r w:rsidRPr="006D6D67" w:rsidR="00563504">
        <w:rPr>
          <w:rFonts w:eastAsia="Arial"/>
          <w:color w:val="000000" w:themeColor="text1"/>
          <w:kern w:val="2"/>
          <w14:ligatures w14:val="standardContextual"/>
        </w:rPr>
        <w:t xml:space="preserve">het EU-Handvest </w:t>
      </w:r>
      <w:r w:rsidRPr="006D6D67" w:rsidR="00286593">
        <w:rPr>
          <w:rFonts w:eastAsia="Arial"/>
          <w:color w:val="000000" w:themeColor="text1"/>
          <w:kern w:val="2"/>
          <w14:ligatures w14:val="standardContextual"/>
        </w:rPr>
        <w:t xml:space="preserve">geldt als beperking dat bepalingen hierin </w:t>
      </w:r>
      <w:r w:rsidRPr="006D6D67" w:rsidR="00563504">
        <w:rPr>
          <w:rFonts w:eastAsia="Arial"/>
          <w:color w:val="000000" w:themeColor="text1"/>
          <w:kern w:val="2"/>
          <w14:ligatures w14:val="standardContextual"/>
        </w:rPr>
        <w:t xml:space="preserve">alleen van toepassing </w:t>
      </w:r>
      <w:r w:rsidRPr="006D6D67" w:rsidR="00286593">
        <w:rPr>
          <w:rFonts w:eastAsia="Arial"/>
          <w:color w:val="000000" w:themeColor="text1"/>
          <w:kern w:val="2"/>
          <w14:ligatures w14:val="standardContextual"/>
        </w:rPr>
        <w:t xml:space="preserve">zijn </w:t>
      </w:r>
      <w:r w:rsidRPr="006D6D67" w:rsidR="00563504">
        <w:rPr>
          <w:rFonts w:eastAsia="Arial"/>
          <w:color w:val="000000" w:themeColor="text1"/>
          <w:kern w:val="2"/>
          <w14:ligatures w14:val="standardContextual"/>
        </w:rPr>
        <w:t>op de lidstaten wanneer zij het EU-recht ten uitvoer brengen.</w:t>
      </w:r>
      <w:r w:rsidRPr="006D6D67" w:rsidR="00563504">
        <w:rPr>
          <w:rStyle w:val="Voetnootmarkering"/>
          <w:rFonts w:eastAsia="Arial"/>
          <w:color w:val="000000" w:themeColor="text1"/>
          <w:kern w:val="2"/>
          <w14:ligatures w14:val="standardContextual"/>
        </w:rPr>
        <w:footnoteReference w:id="12"/>
      </w:r>
    </w:p>
    <w:p w:rsidRPr="006D6D67" w:rsidR="001A5819" w:rsidP="007472AA" w:rsidRDefault="001A5819" w14:paraId="752FA849" w14:textId="77777777">
      <w:pPr>
        <w:spacing w:line="276" w:lineRule="auto"/>
        <w:rPr>
          <w:rFonts w:eastAsia="Arial"/>
          <w:color w:val="000000" w:themeColor="text1"/>
          <w:kern w:val="2"/>
          <w14:ligatures w14:val="standardContextual"/>
        </w:rPr>
      </w:pPr>
    </w:p>
    <w:p w:rsidRPr="006D6D67" w:rsidR="000565C9" w:rsidP="007472AA" w:rsidRDefault="00C42654" w14:paraId="55134141" w14:textId="6107FE41">
      <w:pPr>
        <w:spacing w:line="276" w:lineRule="auto"/>
        <w:rPr>
          <w:rFonts w:eastAsia="Arial"/>
          <w:color w:val="000000" w:themeColor="text1"/>
          <w:kern w:val="2"/>
          <w14:ligatures w14:val="standardContextual"/>
        </w:rPr>
      </w:pPr>
      <w:r w:rsidRPr="006D6D67">
        <w:rPr>
          <w:rFonts w:eastAsia="Arial"/>
          <w:color w:val="000000" w:themeColor="text1"/>
          <w:kern w:val="2"/>
          <w14:ligatures w14:val="standardContextual"/>
        </w:rPr>
        <w:t>Hieronder gaan wij in op de vraag welke grondrechten uit de Grondwet volgens het kabinet in aanmerking zouden moeten komen voor rechterlijke toetsing van wetten</w:t>
      </w:r>
      <w:r w:rsidRPr="006D6D67" w:rsidR="00BB6B20">
        <w:rPr>
          <w:rFonts w:eastAsia="Arial"/>
          <w:color w:val="000000" w:themeColor="text1"/>
          <w:kern w:val="2"/>
          <w14:ligatures w14:val="standardContextual"/>
        </w:rPr>
        <w:t xml:space="preserve">. </w:t>
      </w:r>
      <w:r w:rsidRPr="006D6D67" w:rsidR="00E5227D">
        <w:rPr>
          <w:rFonts w:eastAsia="Arial"/>
          <w:color w:val="000000" w:themeColor="text1"/>
          <w:kern w:val="2"/>
          <w14:ligatures w14:val="standardContextual"/>
        </w:rPr>
        <w:t xml:space="preserve">Daarnaast wordt aandacht besteed aan de rol van algemene rechtsbeginselen en de grondwettelijke beperkingssystematiek. </w:t>
      </w:r>
    </w:p>
    <w:p w:rsidRPr="006D6D67" w:rsidR="008D096B" w:rsidP="007472AA" w:rsidRDefault="008D096B" w14:paraId="5968DE02" w14:textId="77777777">
      <w:pPr>
        <w:spacing w:line="276" w:lineRule="auto"/>
        <w:rPr>
          <w:rFonts w:eastAsia="Arial"/>
          <w:color w:val="000000" w:themeColor="text1"/>
          <w:kern w:val="2"/>
          <w14:ligatures w14:val="standardContextual"/>
        </w:rPr>
      </w:pPr>
    </w:p>
    <w:p w:rsidRPr="006D6D67" w:rsidR="008D096B" w:rsidP="007472AA" w:rsidRDefault="004C1696" w14:paraId="2719E54B" w14:textId="26E00A82">
      <w:pPr>
        <w:spacing w:line="276" w:lineRule="auto"/>
        <w:rPr>
          <w:rFonts w:eastAsiaTheme="minorEastAsia"/>
          <w:bCs/>
          <w:i/>
          <w:iCs/>
          <w:kern w:val="2"/>
          <w14:ligatures w14:val="standardContextual"/>
        </w:rPr>
      </w:pPr>
      <w:r w:rsidRPr="006D6D67">
        <w:rPr>
          <w:rFonts w:eastAsiaTheme="minorEastAsia"/>
          <w:bCs/>
          <w:i/>
          <w:iCs/>
          <w:kern w:val="2"/>
          <w14:ligatures w14:val="standardContextual"/>
        </w:rPr>
        <w:t xml:space="preserve">2.1 </w:t>
      </w:r>
      <w:r w:rsidRPr="006D6D67" w:rsidR="008D096B">
        <w:rPr>
          <w:rFonts w:eastAsiaTheme="minorEastAsia"/>
          <w:bCs/>
          <w:i/>
          <w:iCs/>
          <w:kern w:val="2"/>
          <w14:ligatures w14:val="standardContextual"/>
        </w:rPr>
        <w:t xml:space="preserve">Toetsingskader: </w:t>
      </w:r>
      <w:r w:rsidRPr="006D6D67" w:rsidR="00A747AD">
        <w:rPr>
          <w:rFonts w:eastAsiaTheme="minorEastAsia"/>
          <w:bCs/>
          <w:i/>
          <w:iCs/>
          <w:kern w:val="2"/>
          <w14:ligatures w14:val="standardContextual"/>
        </w:rPr>
        <w:t xml:space="preserve">klassieke </w:t>
      </w:r>
      <w:r w:rsidRPr="006D6D67">
        <w:rPr>
          <w:rFonts w:eastAsiaTheme="minorEastAsia"/>
          <w:bCs/>
          <w:i/>
          <w:iCs/>
          <w:kern w:val="2"/>
          <w14:ligatures w14:val="standardContextual"/>
        </w:rPr>
        <w:t>grondrechten</w:t>
      </w:r>
      <w:r w:rsidRPr="006D6D67" w:rsidR="005B7261">
        <w:rPr>
          <w:rFonts w:eastAsiaTheme="minorEastAsia"/>
          <w:bCs/>
          <w:i/>
          <w:iCs/>
          <w:kern w:val="2"/>
          <w14:ligatures w14:val="standardContextual"/>
        </w:rPr>
        <w:t xml:space="preserve"> </w:t>
      </w:r>
    </w:p>
    <w:p w:rsidRPr="006D6D67" w:rsidR="00BF48A6" w:rsidP="007472AA" w:rsidRDefault="00BF48A6" w14:paraId="71AB3C8A" w14:textId="77777777">
      <w:pPr>
        <w:autoSpaceDN/>
        <w:spacing w:line="276" w:lineRule="auto"/>
        <w:textAlignment w:val="auto"/>
        <w:rPr>
          <w:rFonts w:eastAsia="Arial"/>
          <w:color w:val="000000" w:themeColor="text1"/>
          <w:kern w:val="2"/>
          <w14:ligatures w14:val="standardContextual"/>
        </w:rPr>
      </w:pPr>
    </w:p>
    <w:p w:rsidRPr="006D6D67" w:rsidR="00BF48A6" w:rsidP="007472AA" w:rsidRDefault="009F5D3F" w14:paraId="513E614F" w14:textId="06E7CCD5">
      <w:pPr>
        <w:pBdr>
          <w:top w:val="single" w:color="auto" w:sz="4" w:space="1"/>
          <w:left w:val="single" w:color="auto" w:sz="4" w:space="4"/>
          <w:bottom w:val="single" w:color="auto" w:sz="4" w:space="0"/>
          <w:right w:val="single" w:color="auto" w:sz="4" w:space="4"/>
        </w:pBdr>
        <w:spacing w:line="276" w:lineRule="auto"/>
        <w:rPr>
          <w:rFonts w:eastAsia="Arial"/>
          <w:kern w:val="2"/>
          <w14:ligatures w14:val="standardContextual"/>
        </w:rPr>
      </w:pPr>
      <w:bookmarkStart w:name="_Hlk181111584" w:id="1"/>
      <w:r w:rsidRPr="006D6D67">
        <w:rPr>
          <w:rFonts w:eastAsiaTheme="minorEastAsia"/>
          <w:kern w:val="2"/>
          <w14:ligatures w14:val="standardContextual"/>
        </w:rPr>
        <w:t xml:space="preserve">Het kabinet </w:t>
      </w:r>
      <w:r w:rsidRPr="006D6D67" w:rsidR="00912908">
        <w:rPr>
          <w:rFonts w:eastAsiaTheme="minorEastAsia"/>
          <w:kern w:val="2"/>
          <w14:ligatures w14:val="standardContextual"/>
        </w:rPr>
        <w:t>stelt</w:t>
      </w:r>
      <w:r w:rsidRPr="006D6D67">
        <w:rPr>
          <w:rFonts w:eastAsiaTheme="minorEastAsia"/>
          <w:kern w:val="2"/>
          <w14:ligatures w14:val="standardContextual"/>
        </w:rPr>
        <w:t xml:space="preserve"> een gedeeltelijke opheffing van het toetsingsverbod</w:t>
      </w:r>
      <w:r w:rsidRPr="006D6D67" w:rsidR="00912908">
        <w:rPr>
          <w:rFonts w:eastAsiaTheme="minorEastAsia"/>
          <w:kern w:val="2"/>
          <w14:ligatures w14:val="standardContextual"/>
        </w:rPr>
        <w:t xml:space="preserve"> voor</w:t>
      </w:r>
      <w:r w:rsidRPr="006D6D67">
        <w:rPr>
          <w:rFonts w:eastAsiaTheme="minorEastAsia"/>
          <w:kern w:val="2"/>
          <w14:ligatures w14:val="standardContextual"/>
        </w:rPr>
        <w:t xml:space="preserve">. Dat betekent dat wetten alleen aan </w:t>
      </w:r>
      <w:r w:rsidRPr="008B32A2">
        <w:rPr>
          <w:rFonts w:eastAsiaTheme="minorEastAsia"/>
          <w:kern w:val="2"/>
          <w14:ligatures w14:val="standardContextual"/>
        </w:rPr>
        <w:t>zogeheten klassieke grondrechten</w:t>
      </w:r>
      <w:r w:rsidRPr="008B32A2" w:rsidR="00253997">
        <w:rPr>
          <w:rFonts w:eastAsiaTheme="minorEastAsia"/>
          <w:kern w:val="2"/>
          <w14:ligatures w14:val="standardContextual"/>
        </w:rPr>
        <w:t xml:space="preserve"> </w:t>
      </w:r>
      <w:r w:rsidRPr="008B32A2">
        <w:rPr>
          <w:rFonts w:eastAsiaTheme="minorEastAsia"/>
          <w:kern w:val="2"/>
          <w14:ligatures w14:val="standardContextual"/>
        </w:rPr>
        <w:t>mogen worden getoetst. Daarvoor wordt een limitatieve lijst van bepalingen van de Grondwet opgesteld</w:t>
      </w:r>
      <w:r w:rsidRPr="008B32A2" w:rsidR="001A094E">
        <w:rPr>
          <w:rFonts w:eastAsiaTheme="minorEastAsia"/>
          <w:kern w:val="2"/>
          <w14:ligatures w14:val="standardContextual"/>
        </w:rPr>
        <w:t xml:space="preserve">, waarvan in ieder geval de </w:t>
      </w:r>
      <w:r w:rsidRPr="008B32A2" w:rsidR="000C0C7C">
        <w:rPr>
          <w:rFonts w:eastAsiaTheme="minorEastAsia"/>
          <w:kern w:val="2"/>
          <w14:ligatures w14:val="standardContextual"/>
        </w:rPr>
        <w:t>klassieke grondrechten uit hoofdstuk 1 van de Grondwet</w:t>
      </w:r>
      <w:r w:rsidRPr="008B32A2" w:rsidR="001A094E">
        <w:rPr>
          <w:rFonts w:eastAsiaTheme="minorEastAsia"/>
          <w:kern w:val="2"/>
          <w14:ligatures w14:val="standardContextual"/>
        </w:rPr>
        <w:t xml:space="preserve"> deel uitmaken</w:t>
      </w:r>
      <w:r w:rsidRPr="008B32A2" w:rsidR="00BF48A6">
        <w:rPr>
          <w:rFonts w:eastAsiaTheme="minorEastAsia"/>
          <w:kern w:val="2"/>
          <w14:ligatures w14:val="standardContextual"/>
        </w:rPr>
        <w:t>.</w:t>
      </w:r>
      <w:r w:rsidRPr="008B32A2" w:rsidR="000E0196">
        <w:rPr>
          <w:rStyle w:val="Voetnootmarkering"/>
          <w:rFonts w:eastAsiaTheme="minorEastAsia"/>
          <w:kern w:val="2"/>
          <w14:ligatures w14:val="standardContextual"/>
        </w:rPr>
        <w:footnoteReference w:id="13"/>
      </w:r>
      <w:r w:rsidRPr="008B32A2" w:rsidR="001A094E">
        <w:rPr>
          <w:rFonts w:eastAsiaTheme="minorEastAsia"/>
          <w:kern w:val="2"/>
          <w14:ligatures w14:val="standardContextual"/>
        </w:rPr>
        <w:t xml:space="preserve"> Bezien wordt of </w:t>
      </w:r>
      <w:r w:rsidRPr="008B32A2" w:rsidR="00D139E6">
        <w:rPr>
          <w:rFonts w:eastAsiaTheme="minorEastAsia"/>
          <w:kern w:val="2"/>
          <w14:ligatures w14:val="standardContextual"/>
        </w:rPr>
        <w:t xml:space="preserve">daarnaast </w:t>
      </w:r>
      <w:r w:rsidRPr="008B32A2" w:rsidR="001A094E">
        <w:rPr>
          <w:rFonts w:eastAsiaTheme="minorEastAsia"/>
          <w:kern w:val="2"/>
          <w14:ligatures w14:val="standardContextual"/>
        </w:rPr>
        <w:t>enkele andere aanverwante bepalingen worden toegevoegd.</w:t>
      </w:r>
      <w:r w:rsidRPr="008B32A2" w:rsidR="00BF48A6">
        <w:rPr>
          <w:rFonts w:eastAsiaTheme="minorEastAsia"/>
          <w:kern w:val="2"/>
          <w:vertAlign w:val="superscript"/>
          <w14:ligatures w14:val="standardContextual"/>
        </w:rPr>
        <w:footnoteReference w:id="14"/>
      </w:r>
      <w:bookmarkEnd w:id="1"/>
      <w:r w:rsidRPr="008B32A2" w:rsidR="00BF48A6">
        <w:rPr>
          <w:rFonts w:eastAsiaTheme="minorEastAsia"/>
          <w:kern w:val="2"/>
          <w14:ligatures w14:val="standardContextual"/>
        </w:rPr>
        <w:t xml:space="preserve"> </w:t>
      </w:r>
      <w:r w:rsidRPr="008B32A2" w:rsidR="00BF48A6">
        <w:rPr>
          <w:rFonts w:eastAsia="Arial"/>
          <w:kern w:val="2"/>
          <w14:ligatures w14:val="standardContextual"/>
        </w:rPr>
        <w:t>Als alternatief</w:t>
      </w:r>
      <w:r w:rsidRPr="006D6D67" w:rsidR="00BF48A6">
        <w:rPr>
          <w:rFonts w:eastAsia="Arial"/>
          <w:kern w:val="2"/>
          <w14:ligatures w14:val="standardContextual"/>
        </w:rPr>
        <w:t xml:space="preserve"> voor een limitatieve lijst van klassieke grondrechten heeft het kabinet ook</w:t>
      </w:r>
      <w:r w:rsidRPr="006D6D67" w:rsidR="000D5A0A">
        <w:rPr>
          <w:rFonts w:eastAsia="Arial"/>
          <w:kern w:val="2"/>
          <w14:ligatures w14:val="standardContextual"/>
        </w:rPr>
        <w:t xml:space="preserve"> een materieel criterium</w:t>
      </w:r>
      <w:r w:rsidRPr="006D6D67" w:rsidR="00BF48A6">
        <w:rPr>
          <w:rFonts w:eastAsia="Arial"/>
          <w:kern w:val="2"/>
          <w14:ligatures w14:val="standardContextual"/>
        </w:rPr>
        <w:t xml:space="preserve"> </w:t>
      </w:r>
      <w:r w:rsidRPr="006D6D67" w:rsidR="00BF48A6">
        <w:rPr>
          <w:rFonts w:eastAsia="Arial"/>
          <w:kern w:val="2"/>
          <w14:ligatures w14:val="standardContextual"/>
        </w:rPr>
        <w:lastRenderedPageBreak/>
        <w:t xml:space="preserve">overwogen om het toetsingskader vorm te geven. Naar de mening van het kabinet wegen de voordelen van het gebruik van zo’n criterium echter niet op tegen de voorspelbaarheid (en daarmee rechtszekerheid) die wordt geboden door een duidelijke afbakening van het toetsingskader </w:t>
      </w:r>
      <w:r w:rsidRPr="006D6D67" w:rsidR="00295700">
        <w:rPr>
          <w:rFonts w:eastAsia="Arial"/>
          <w:kern w:val="2"/>
          <w14:ligatures w14:val="standardContextual"/>
        </w:rPr>
        <w:t xml:space="preserve">door </w:t>
      </w:r>
      <w:r w:rsidRPr="006D6D67" w:rsidR="00BF48A6">
        <w:rPr>
          <w:rFonts w:eastAsia="Arial"/>
          <w:kern w:val="2"/>
          <w14:ligatures w14:val="standardContextual"/>
        </w:rPr>
        <w:t>een opsomming van grondwetsartikelen</w:t>
      </w:r>
      <w:r w:rsidRPr="006D6D67" w:rsidR="009378CD">
        <w:rPr>
          <w:rFonts w:eastAsia="Arial"/>
          <w:kern w:val="2"/>
          <w14:ligatures w14:val="standardContextual"/>
        </w:rPr>
        <w:t xml:space="preserve"> waaraan de rechter kan toetsen</w:t>
      </w:r>
      <w:r w:rsidRPr="006D6D67" w:rsidR="00BF48A6">
        <w:rPr>
          <w:rFonts w:eastAsia="Arial"/>
          <w:kern w:val="2"/>
          <w14:ligatures w14:val="standardContextual"/>
        </w:rPr>
        <w:t>.</w:t>
      </w:r>
    </w:p>
    <w:p w:rsidRPr="006D6D67" w:rsidR="00BF48A6" w:rsidP="007472AA" w:rsidRDefault="00BF48A6" w14:paraId="5482D0C9" w14:textId="77777777">
      <w:pPr>
        <w:pBdr>
          <w:top w:val="single" w:color="auto" w:sz="4" w:space="1"/>
          <w:left w:val="single" w:color="auto" w:sz="4" w:space="4"/>
          <w:bottom w:val="single" w:color="auto" w:sz="4" w:space="0"/>
          <w:right w:val="single" w:color="auto" w:sz="4" w:space="4"/>
        </w:pBdr>
        <w:spacing w:line="276" w:lineRule="auto"/>
        <w:rPr>
          <w:rFonts w:eastAsia="Arial"/>
          <w:kern w:val="2"/>
          <w14:ligatures w14:val="standardContextual"/>
        </w:rPr>
      </w:pPr>
    </w:p>
    <w:p w:rsidRPr="006D6D67" w:rsidR="00BF48A6" w:rsidP="007472AA" w:rsidRDefault="00BF48A6" w14:paraId="39909572" w14:textId="757C0411">
      <w:pPr>
        <w:pBdr>
          <w:top w:val="single" w:color="auto" w:sz="4" w:space="1"/>
          <w:left w:val="single" w:color="auto" w:sz="4" w:space="4"/>
          <w:bottom w:val="single" w:color="auto" w:sz="4" w:space="0"/>
          <w:right w:val="single" w:color="auto" w:sz="4" w:space="4"/>
        </w:pBdr>
        <w:spacing w:line="276" w:lineRule="auto"/>
        <w:rPr>
          <w:rFonts w:eastAsia="Arial"/>
          <w:kern w:val="2"/>
          <w14:ligatures w14:val="standardContextual"/>
        </w:rPr>
      </w:pPr>
      <w:r w:rsidRPr="006D6D67">
        <w:rPr>
          <w:rFonts w:eastAsia="Arial"/>
          <w:kern w:val="2"/>
          <w14:ligatures w14:val="standardContextual"/>
        </w:rPr>
        <w:t xml:space="preserve">Het kabinet is geen voorstander van toetsing aan sociale grondrechten, vanwege het risico van politisering van de rechtspraak en juridificering van de politieke besluitvorming. </w:t>
      </w:r>
    </w:p>
    <w:p w:rsidRPr="006D6D67" w:rsidR="001928B8" w:rsidP="007472AA" w:rsidRDefault="001928B8" w14:paraId="1F3F17EA" w14:textId="77777777">
      <w:pPr>
        <w:spacing w:line="276" w:lineRule="auto"/>
        <w:rPr>
          <w:rFonts w:eastAsiaTheme="minorEastAsia"/>
          <w:kern w:val="2"/>
          <w14:ligatures w14:val="standardContextual"/>
        </w:rPr>
      </w:pPr>
    </w:p>
    <w:p w:rsidRPr="006D6D67" w:rsidR="00E677E5" w:rsidP="007472AA" w:rsidRDefault="008D096B" w14:paraId="10999E12" w14:textId="44472B08">
      <w:pPr>
        <w:spacing w:line="276" w:lineRule="auto"/>
        <w:rPr>
          <w:rFonts w:eastAsia="Arial"/>
          <w:kern w:val="2"/>
          <w14:ligatures w14:val="standardContextual"/>
        </w:rPr>
      </w:pPr>
      <w:r w:rsidRPr="006D6D67">
        <w:rPr>
          <w:rFonts w:eastAsiaTheme="minorEastAsia"/>
          <w:kern w:val="2"/>
          <w14:ligatures w14:val="standardContextual"/>
        </w:rPr>
        <w:t xml:space="preserve">De versterking van </w:t>
      </w:r>
      <w:r w:rsidRPr="006D6D67" w:rsidR="00562274">
        <w:rPr>
          <w:rFonts w:eastAsiaTheme="minorEastAsia"/>
          <w:kern w:val="2"/>
          <w14:ligatures w14:val="standardContextual"/>
        </w:rPr>
        <w:t>de</w:t>
      </w:r>
      <w:r w:rsidRPr="006D6D67">
        <w:rPr>
          <w:rFonts w:eastAsiaTheme="minorEastAsia"/>
          <w:kern w:val="2"/>
          <w14:ligatures w14:val="standardContextual"/>
        </w:rPr>
        <w:t xml:space="preserve"> rechtsbescherming</w:t>
      </w:r>
      <w:r w:rsidRPr="006D6D67" w:rsidR="00562274">
        <w:rPr>
          <w:rFonts w:eastAsiaTheme="minorEastAsia"/>
          <w:kern w:val="2"/>
          <w14:ligatures w14:val="standardContextual"/>
        </w:rPr>
        <w:t xml:space="preserve"> van burgers</w:t>
      </w:r>
      <w:r w:rsidRPr="006D6D67">
        <w:rPr>
          <w:rFonts w:eastAsiaTheme="minorEastAsia"/>
          <w:kern w:val="2"/>
          <w14:ligatures w14:val="standardContextual"/>
        </w:rPr>
        <w:t xml:space="preserve"> is</w:t>
      </w:r>
      <w:r w:rsidRPr="006D6D67" w:rsidR="005A5C20">
        <w:rPr>
          <w:rFonts w:eastAsiaTheme="minorEastAsia"/>
          <w:kern w:val="2"/>
          <w14:ligatures w14:val="standardContextual"/>
        </w:rPr>
        <w:t xml:space="preserve"> in de</w:t>
      </w:r>
      <w:r w:rsidRPr="006D6D67" w:rsidR="00B62E51">
        <w:rPr>
          <w:rFonts w:eastAsiaTheme="minorEastAsia"/>
          <w:kern w:val="2"/>
          <w14:ligatures w14:val="standardContextual"/>
        </w:rPr>
        <w:t xml:space="preserve"> visie van het kabinet</w:t>
      </w:r>
      <w:r w:rsidRPr="006D6D67">
        <w:rPr>
          <w:rFonts w:eastAsiaTheme="minorEastAsia"/>
          <w:kern w:val="2"/>
          <w14:ligatures w14:val="standardContextual"/>
        </w:rPr>
        <w:t xml:space="preserve"> het meest gebaat bij het </w:t>
      </w:r>
      <w:r w:rsidRPr="006D6D67" w:rsidR="00B62E51">
        <w:rPr>
          <w:rFonts w:eastAsiaTheme="minorEastAsia"/>
          <w:kern w:val="2"/>
          <w14:ligatures w14:val="standardContextual"/>
        </w:rPr>
        <w:t>openstellen</w:t>
      </w:r>
      <w:r w:rsidRPr="006D6D67">
        <w:rPr>
          <w:rFonts w:eastAsiaTheme="minorEastAsia"/>
          <w:kern w:val="2"/>
          <w14:ligatures w14:val="standardContextual"/>
        </w:rPr>
        <w:t xml:space="preserve"> van toetsing aan </w:t>
      </w:r>
      <w:r w:rsidRPr="006D6D67" w:rsidR="00331882">
        <w:rPr>
          <w:rFonts w:eastAsiaTheme="minorEastAsia"/>
          <w:kern w:val="2"/>
          <w14:ligatures w14:val="standardContextual"/>
        </w:rPr>
        <w:t xml:space="preserve">bepalingen van de Grondwet die </w:t>
      </w:r>
      <w:r w:rsidRPr="006D6D67">
        <w:rPr>
          <w:rFonts w:eastAsiaTheme="minorEastAsia"/>
          <w:kern w:val="2"/>
          <w14:ligatures w14:val="standardContextual"/>
        </w:rPr>
        <w:t xml:space="preserve">klassieke </w:t>
      </w:r>
      <w:r w:rsidRPr="006D6D67" w:rsidR="00331882">
        <w:rPr>
          <w:rFonts w:eastAsiaTheme="minorEastAsia"/>
          <w:kern w:val="2"/>
          <w14:ligatures w14:val="standardContextual"/>
        </w:rPr>
        <w:t>vrijheidsrechten bevatten en die beogen een staatsvrije sfeer voor de burger te creëren waarop de overheid alleen met gerechtvaardigde beperkingen mag ingrijpen</w:t>
      </w:r>
      <w:r w:rsidRPr="006D6D67">
        <w:rPr>
          <w:rFonts w:eastAsiaTheme="minorEastAsia"/>
          <w:kern w:val="2"/>
          <w14:ligatures w14:val="standardContextual"/>
        </w:rPr>
        <w:t xml:space="preserve">. </w:t>
      </w:r>
      <w:r w:rsidRPr="006D6D67">
        <w:rPr>
          <w:rFonts w:eastAsia="Arial"/>
          <w:kern w:val="2"/>
          <w14:ligatures w14:val="standardContextual"/>
        </w:rPr>
        <w:t xml:space="preserve">Het gaat daarbij om bepalingen in de Grondwet die zich tot de burger richten en hem een individueel recht verschaffen. </w:t>
      </w:r>
      <w:r w:rsidRPr="006D6D67" w:rsidR="009D0BC1">
        <w:rPr>
          <w:rFonts w:eastAsia="Arial"/>
          <w:kern w:val="2"/>
          <w14:ligatures w14:val="standardContextual"/>
        </w:rPr>
        <w:t>Deze bepalingen</w:t>
      </w:r>
      <w:r w:rsidRPr="006D6D67">
        <w:rPr>
          <w:rFonts w:eastAsia="Arial"/>
          <w:kern w:val="2"/>
          <w14:ligatures w14:val="standardContextual"/>
        </w:rPr>
        <w:t xml:space="preserve"> bieden de burger subjectieve rechten, die hij bij de rechter kan inroepen</w:t>
      </w:r>
      <w:r w:rsidRPr="008B32A2">
        <w:rPr>
          <w:rFonts w:eastAsia="Arial"/>
          <w:kern w:val="2"/>
          <w14:ligatures w14:val="standardContextual"/>
        </w:rPr>
        <w:t>.</w:t>
      </w:r>
      <w:r w:rsidRPr="008B32A2" w:rsidR="009A7E6E">
        <w:rPr>
          <w:rFonts w:eastAsia="Arial"/>
          <w:kern w:val="2"/>
          <w14:ligatures w14:val="standardContextual"/>
        </w:rPr>
        <w:t xml:space="preserve"> </w:t>
      </w:r>
      <w:r w:rsidRPr="008B32A2" w:rsidR="00DA5884">
        <w:rPr>
          <w:rFonts w:eastAsia="Arial"/>
          <w:kern w:val="2"/>
          <w14:ligatures w14:val="standardContextual"/>
        </w:rPr>
        <w:t xml:space="preserve">Het gaat daarbij in ieder geval om de klassieke grondrechten uit hoofdstuk 1 van de Grondwet. Bezien wordt of </w:t>
      </w:r>
      <w:r w:rsidRPr="008B32A2" w:rsidR="00D139E6">
        <w:rPr>
          <w:rFonts w:eastAsia="Arial"/>
          <w:kern w:val="2"/>
          <w14:ligatures w14:val="standardContextual"/>
        </w:rPr>
        <w:t xml:space="preserve">daarnaast </w:t>
      </w:r>
      <w:r w:rsidRPr="008B32A2" w:rsidR="00DA5884">
        <w:rPr>
          <w:rFonts w:eastAsia="Arial"/>
          <w:kern w:val="2"/>
          <w14:ligatures w14:val="standardContextual"/>
        </w:rPr>
        <w:t>enkele andere aanverwante bepalingen worden toegevoegd.</w:t>
      </w:r>
    </w:p>
    <w:p w:rsidRPr="006D6D67" w:rsidR="008D096B" w:rsidP="007472AA" w:rsidRDefault="008D096B" w14:paraId="5F07FD0C" w14:textId="08A6171C">
      <w:pPr>
        <w:spacing w:line="276" w:lineRule="auto"/>
        <w:rPr>
          <w:kern w:val="2"/>
          <w14:ligatures w14:val="standardContextual"/>
        </w:rPr>
      </w:pPr>
      <w:r w:rsidRPr="006D6D67">
        <w:rPr>
          <w:rFonts w:eastAsia="Arial"/>
          <w:kern w:val="2"/>
          <w14:ligatures w14:val="standardContextual"/>
        </w:rPr>
        <w:t xml:space="preserve"> </w:t>
      </w:r>
    </w:p>
    <w:p w:rsidRPr="006D6D67" w:rsidR="008D096B" w:rsidP="007472AA" w:rsidRDefault="008D096B" w14:paraId="5083A41A" w14:textId="699D38FD">
      <w:pPr>
        <w:spacing w:line="276" w:lineRule="auto"/>
        <w:rPr>
          <w:rFonts w:eastAsia="Arial"/>
          <w:kern w:val="2"/>
          <w14:ligatures w14:val="standardContextual"/>
        </w:rPr>
      </w:pPr>
      <w:r w:rsidRPr="006D6D67">
        <w:rPr>
          <w:rFonts w:eastAsia="Arial"/>
          <w:kern w:val="2"/>
          <w14:ligatures w14:val="standardContextual"/>
        </w:rPr>
        <w:t xml:space="preserve">Voor </w:t>
      </w:r>
      <w:r w:rsidRPr="006D6D67" w:rsidR="006D50B7">
        <w:rPr>
          <w:rFonts w:eastAsia="Arial"/>
          <w:kern w:val="2"/>
          <w14:ligatures w14:val="standardContextual"/>
        </w:rPr>
        <w:t xml:space="preserve">de bepalingen uit de Grondwet </w:t>
      </w:r>
      <w:r w:rsidRPr="006D6D67">
        <w:rPr>
          <w:rFonts w:eastAsia="Arial"/>
          <w:kern w:val="2"/>
          <w14:ligatures w14:val="standardContextual"/>
        </w:rPr>
        <w:t>die als ‘social</w:t>
      </w:r>
      <w:r w:rsidRPr="006D6D67" w:rsidR="006D50B7">
        <w:rPr>
          <w:rFonts w:eastAsia="Arial"/>
          <w:kern w:val="2"/>
          <w14:ligatures w14:val="standardContextual"/>
        </w:rPr>
        <w:t>e grondrechten</w:t>
      </w:r>
      <w:r w:rsidRPr="006D6D67">
        <w:rPr>
          <w:rFonts w:eastAsia="Arial"/>
          <w:kern w:val="2"/>
          <w14:ligatures w14:val="standardContextual"/>
        </w:rPr>
        <w:t xml:space="preserve">’ worden aangemerkt geldt dat die in de regel juist overheidsingrijpen vergen om doelstellingen te realiseren, zoals voldoende werkgelegenheid, </w:t>
      </w:r>
      <w:r w:rsidRPr="006D6D67" w:rsidR="00562274">
        <w:rPr>
          <w:rFonts w:eastAsia="Arial"/>
          <w:kern w:val="2"/>
          <w14:ligatures w14:val="standardContextual"/>
        </w:rPr>
        <w:t xml:space="preserve">voldoende </w:t>
      </w:r>
      <w:r w:rsidRPr="006D6D67">
        <w:rPr>
          <w:rFonts w:eastAsia="Arial"/>
          <w:kern w:val="2"/>
          <w14:ligatures w14:val="standardContextual"/>
        </w:rPr>
        <w:t xml:space="preserve">woongelegenheid </w:t>
      </w:r>
      <w:r w:rsidRPr="006D6D67" w:rsidR="00562274">
        <w:rPr>
          <w:rFonts w:eastAsia="Arial"/>
          <w:kern w:val="2"/>
          <w14:ligatures w14:val="standardContextual"/>
        </w:rPr>
        <w:t>en</w:t>
      </w:r>
      <w:r w:rsidRPr="006D6D67">
        <w:rPr>
          <w:rFonts w:eastAsia="Arial"/>
          <w:kern w:val="2"/>
          <w14:ligatures w14:val="standardContextual"/>
        </w:rPr>
        <w:t xml:space="preserve"> </w:t>
      </w:r>
      <w:r w:rsidRPr="006D6D67" w:rsidR="00562274">
        <w:rPr>
          <w:rFonts w:eastAsia="Arial"/>
          <w:kern w:val="2"/>
          <w14:ligatures w14:val="standardContextual"/>
        </w:rPr>
        <w:t>bescherming en verbetering van het leefmilieu</w:t>
      </w:r>
      <w:r w:rsidRPr="006D6D67">
        <w:rPr>
          <w:rFonts w:eastAsia="Arial"/>
          <w:kern w:val="2"/>
          <w14:ligatures w14:val="standardContextual"/>
        </w:rPr>
        <w:t xml:space="preserve">. </w:t>
      </w:r>
      <w:r w:rsidRPr="006D6D67" w:rsidR="00295700">
        <w:rPr>
          <w:rFonts w:eastAsia="Arial"/>
          <w:kern w:val="2"/>
          <w14:ligatures w14:val="standardContextual"/>
        </w:rPr>
        <w:t xml:space="preserve">Omdat </w:t>
      </w:r>
      <w:r w:rsidRPr="006D6D67">
        <w:rPr>
          <w:rFonts w:eastAsia="Arial"/>
          <w:kern w:val="2"/>
          <w14:ligatures w14:val="standardContextual"/>
        </w:rPr>
        <w:t xml:space="preserve">overheidshandelen op gespannen voet kan komen te staan met </w:t>
      </w:r>
      <w:r w:rsidRPr="006D6D67" w:rsidR="006D50B7">
        <w:rPr>
          <w:rFonts w:eastAsia="Arial"/>
          <w:kern w:val="2"/>
          <w14:ligatures w14:val="standardContextual"/>
        </w:rPr>
        <w:t>hier</w:t>
      </w:r>
      <w:r w:rsidRPr="006D6D67">
        <w:rPr>
          <w:rFonts w:eastAsia="Arial"/>
          <w:kern w:val="2"/>
          <w14:ligatures w14:val="standardContextual"/>
        </w:rPr>
        <w:t xml:space="preserve">in geschetste verplichtingen, pleiten sommigen er voor dat juist toetsing aan </w:t>
      </w:r>
      <w:r w:rsidRPr="006D6D67" w:rsidR="006D50B7">
        <w:rPr>
          <w:rFonts w:eastAsia="Arial"/>
          <w:kern w:val="2"/>
          <w14:ligatures w14:val="standardContextual"/>
        </w:rPr>
        <w:t xml:space="preserve">deze </w:t>
      </w:r>
      <w:r w:rsidRPr="006D6D67">
        <w:rPr>
          <w:rFonts w:eastAsia="Arial"/>
          <w:kern w:val="2"/>
          <w14:ligatures w14:val="standardContextual"/>
        </w:rPr>
        <w:t>sociale grondrechten de rechtsbescherming van burgers verbetert.</w:t>
      </w:r>
      <w:r w:rsidRPr="006D6D67">
        <w:rPr>
          <w:rFonts w:eastAsia="Arial"/>
          <w:kern w:val="2"/>
          <w:vertAlign w:val="superscript"/>
          <w14:ligatures w14:val="standardContextual"/>
        </w:rPr>
        <w:footnoteReference w:id="15"/>
      </w:r>
      <w:r w:rsidRPr="006D6D67">
        <w:rPr>
          <w:rFonts w:eastAsia="Arial"/>
          <w:kern w:val="2"/>
          <w14:ligatures w14:val="standardContextual"/>
        </w:rPr>
        <w:t xml:space="preserve"> Het kabinet is niettemin van mening dat </w:t>
      </w:r>
      <w:r w:rsidRPr="006D6D67" w:rsidR="006D50B7">
        <w:rPr>
          <w:rFonts w:eastAsia="Arial"/>
          <w:kern w:val="2"/>
          <w14:ligatures w14:val="standardContextual"/>
        </w:rPr>
        <w:t xml:space="preserve">de </w:t>
      </w:r>
      <w:r w:rsidRPr="006D6D67">
        <w:rPr>
          <w:rFonts w:eastAsia="Arial"/>
          <w:kern w:val="2"/>
          <w14:ligatures w14:val="standardContextual"/>
        </w:rPr>
        <w:t>sociale grondrechten</w:t>
      </w:r>
      <w:r w:rsidRPr="006D6D67" w:rsidR="006D50B7">
        <w:rPr>
          <w:rFonts w:eastAsia="Arial"/>
          <w:kern w:val="2"/>
          <w14:ligatures w14:val="standardContextual"/>
        </w:rPr>
        <w:t xml:space="preserve"> uit de Grondwet</w:t>
      </w:r>
      <w:r w:rsidRPr="006D6D67">
        <w:rPr>
          <w:rFonts w:eastAsia="Arial"/>
          <w:kern w:val="2"/>
          <w14:ligatures w14:val="standardContextual"/>
        </w:rPr>
        <w:t xml:space="preserve">, gelet op hun karakter als instructienorm en de </w:t>
      </w:r>
      <w:r w:rsidRPr="006D6D67" w:rsidR="00295700">
        <w:rPr>
          <w:rFonts w:eastAsia="Arial"/>
          <w:kern w:val="2"/>
          <w14:ligatures w14:val="standardContextual"/>
        </w:rPr>
        <w:t xml:space="preserve">abstracte </w:t>
      </w:r>
      <w:r w:rsidRPr="006D6D67">
        <w:rPr>
          <w:rFonts w:eastAsia="Arial"/>
          <w:kern w:val="2"/>
          <w14:ligatures w14:val="standardContextual"/>
        </w:rPr>
        <w:t xml:space="preserve">formulering, minder geschikt zijn voor rechterlijke toetsing. Van de rechter wordt in het geval van toetsing aan sociale grondrechten </w:t>
      </w:r>
      <w:r w:rsidRPr="008B32A2" w:rsidR="007B0603">
        <w:rPr>
          <w:rFonts w:eastAsia="Arial"/>
          <w:kern w:val="2"/>
          <w14:ligatures w14:val="standardContextual"/>
        </w:rPr>
        <w:t>uit de Grondwet</w:t>
      </w:r>
      <w:r w:rsidRPr="006D6D67" w:rsidR="007B0603">
        <w:rPr>
          <w:rFonts w:eastAsia="Arial"/>
          <w:kern w:val="2"/>
          <w14:ligatures w14:val="standardContextual"/>
        </w:rPr>
        <w:t xml:space="preserve"> </w:t>
      </w:r>
      <w:r w:rsidRPr="006D6D67">
        <w:rPr>
          <w:rFonts w:eastAsia="Arial"/>
          <w:kern w:val="2"/>
          <w14:ligatures w14:val="standardContextual"/>
        </w:rPr>
        <w:t xml:space="preserve">immers niet gevraagd een oordeel te vellen over een (wettelijke) inperking van een grondrecht, maar zich te buigen over de vraag of de overheid heeft voldaan aan een inspanningsverplichting. Zo’n oordeel is kwetsbaar voor het verwijt van politisering, nu de rechter zich inlaat met een discussie die naar haar aard </w:t>
      </w:r>
      <w:r w:rsidRPr="006D6D67" w:rsidR="009D25B7">
        <w:rPr>
          <w:rFonts w:eastAsia="Arial"/>
          <w:kern w:val="2"/>
          <w14:ligatures w14:val="standardContextual"/>
        </w:rPr>
        <w:t>primair</w:t>
      </w:r>
      <w:r w:rsidRPr="006D6D67">
        <w:rPr>
          <w:rFonts w:eastAsia="Arial"/>
          <w:kern w:val="2"/>
          <w14:ligatures w14:val="standardContextual"/>
        </w:rPr>
        <w:t xml:space="preserve"> in het politieke domein wordt gevoerd. Daarbij worden belangen afgewogen die veelal politiek van aard en dus niet toetsbaar zijn. De beslissing aan welke belangen onder welke omstandigheden het meeste gewicht moet worden toegekend</w:t>
      </w:r>
      <w:r w:rsidRPr="006D6D67" w:rsidR="009D25B7">
        <w:rPr>
          <w:rFonts w:eastAsia="Arial"/>
          <w:kern w:val="2"/>
          <w14:ligatures w14:val="standardContextual"/>
        </w:rPr>
        <w:t>,</w:t>
      </w:r>
      <w:r w:rsidRPr="006D6D67">
        <w:rPr>
          <w:rFonts w:eastAsia="Arial"/>
          <w:kern w:val="2"/>
          <w14:ligatures w14:val="standardContextual"/>
        </w:rPr>
        <w:t xml:space="preserve"> dient naar </w:t>
      </w:r>
      <w:r w:rsidRPr="006D6D67" w:rsidR="009D25B7">
        <w:rPr>
          <w:rFonts w:eastAsia="Arial"/>
          <w:kern w:val="2"/>
          <w14:ligatures w14:val="standardContextual"/>
        </w:rPr>
        <w:t xml:space="preserve">de </w:t>
      </w:r>
      <w:r w:rsidRPr="006D6D67">
        <w:rPr>
          <w:rFonts w:eastAsia="Arial"/>
          <w:kern w:val="2"/>
          <w14:ligatures w14:val="standardContextual"/>
        </w:rPr>
        <w:t xml:space="preserve">mening van het kabinet </w:t>
      </w:r>
      <w:r w:rsidRPr="006D6D67" w:rsidR="009D25B7">
        <w:rPr>
          <w:rFonts w:eastAsia="Arial"/>
          <w:kern w:val="2"/>
          <w14:ligatures w14:val="standardContextual"/>
        </w:rPr>
        <w:t xml:space="preserve">in de eerste plaats </w:t>
      </w:r>
      <w:r w:rsidRPr="006D6D67">
        <w:rPr>
          <w:rFonts w:eastAsia="Arial"/>
          <w:kern w:val="2"/>
          <w14:ligatures w14:val="standardContextual"/>
        </w:rPr>
        <w:t xml:space="preserve">te worden gemaakt </w:t>
      </w:r>
      <w:r w:rsidRPr="006D6D67" w:rsidR="00587E29">
        <w:rPr>
          <w:rFonts w:eastAsia="Arial"/>
          <w:kern w:val="2"/>
          <w14:ligatures w14:val="standardContextual"/>
        </w:rPr>
        <w:t>door de wetgever</w:t>
      </w:r>
      <w:r w:rsidRPr="006D6D67">
        <w:rPr>
          <w:rFonts w:eastAsia="Arial"/>
          <w:kern w:val="2"/>
          <w14:ligatures w14:val="standardContextual"/>
        </w:rPr>
        <w:t xml:space="preserve">, niet </w:t>
      </w:r>
      <w:r w:rsidRPr="006D6D67" w:rsidR="00587E29">
        <w:rPr>
          <w:rFonts w:eastAsia="Arial"/>
          <w:kern w:val="2"/>
          <w14:ligatures w14:val="standardContextual"/>
        </w:rPr>
        <w:t>door de rechter</w:t>
      </w:r>
      <w:r w:rsidRPr="006D6D67">
        <w:rPr>
          <w:rFonts w:eastAsia="Arial"/>
          <w:kern w:val="2"/>
          <w14:ligatures w14:val="standardContextual"/>
        </w:rPr>
        <w:t xml:space="preserve">. </w:t>
      </w:r>
      <w:r w:rsidRPr="006D6D67" w:rsidR="00033BB6">
        <w:rPr>
          <w:rFonts w:eastAsia="Arial"/>
          <w:kern w:val="2"/>
          <w14:ligatures w14:val="standardContextual"/>
        </w:rPr>
        <w:t xml:space="preserve">Bovendien lijkt er op </w:t>
      </w:r>
      <w:r w:rsidRPr="006D6D67" w:rsidR="009645C1">
        <w:rPr>
          <w:rFonts w:eastAsia="Arial"/>
          <w:kern w:val="2"/>
          <w14:ligatures w14:val="standardContextual"/>
        </w:rPr>
        <w:t xml:space="preserve">dit moment onvoldoende </w:t>
      </w:r>
      <w:r w:rsidRPr="006D6D67" w:rsidR="00CB2E51">
        <w:rPr>
          <w:rFonts w:eastAsia="Arial"/>
          <w:kern w:val="2"/>
          <w14:ligatures w14:val="standardContextual"/>
        </w:rPr>
        <w:t>politiek</w:t>
      </w:r>
      <w:r w:rsidRPr="006D6D67" w:rsidR="009645C1">
        <w:rPr>
          <w:rFonts w:eastAsia="Arial"/>
          <w:kern w:val="2"/>
          <w14:ligatures w14:val="standardContextual"/>
        </w:rPr>
        <w:t xml:space="preserve"> draagvlak voor toetsing aan</w:t>
      </w:r>
      <w:r w:rsidRPr="006D6D67" w:rsidR="006D50B7">
        <w:rPr>
          <w:rFonts w:eastAsia="Arial"/>
          <w:kern w:val="2"/>
          <w14:ligatures w14:val="standardContextual"/>
        </w:rPr>
        <w:t xml:space="preserve"> de</w:t>
      </w:r>
      <w:r w:rsidRPr="006D6D67" w:rsidR="009645C1">
        <w:rPr>
          <w:rFonts w:eastAsia="Arial"/>
          <w:kern w:val="2"/>
          <w14:ligatures w14:val="standardContextual"/>
        </w:rPr>
        <w:t xml:space="preserve"> sociale grondrechten</w:t>
      </w:r>
      <w:r w:rsidRPr="006D6D67" w:rsidR="006D50B7">
        <w:rPr>
          <w:rFonts w:eastAsia="Arial"/>
          <w:kern w:val="2"/>
          <w14:ligatures w14:val="standardContextual"/>
        </w:rPr>
        <w:t xml:space="preserve"> uit de Grondwet</w:t>
      </w:r>
      <w:r w:rsidRPr="006D6D67" w:rsidR="009645C1">
        <w:rPr>
          <w:rFonts w:eastAsia="Arial"/>
          <w:kern w:val="2"/>
          <w14:ligatures w14:val="standardContextual"/>
        </w:rPr>
        <w:t xml:space="preserve"> te bestaan.</w:t>
      </w:r>
    </w:p>
    <w:p w:rsidRPr="006D6D67" w:rsidR="008D096B" w:rsidP="007472AA" w:rsidRDefault="008D096B" w14:paraId="336DE61E" w14:textId="77777777">
      <w:pPr>
        <w:spacing w:line="276" w:lineRule="auto"/>
      </w:pPr>
    </w:p>
    <w:p w:rsidRPr="006D6D67" w:rsidR="008D096B" w:rsidP="007472AA" w:rsidRDefault="008D096B" w14:paraId="14944D18" w14:textId="3581ECF3">
      <w:pPr>
        <w:spacing w:line="276" w:lineRule="auto"/>
        <w:rPr>
          <w:rFonts w:eastAsia="Arial"/>
          <w:kern w:val="2"/>
          <w14:ligatures w14:val="standardContextual"/>
        </w:rPr>
      </w:pPr>
      <w:r w:rsidRPr="006D6D67">
        <w:rPr>
          <w:rFonts w:eastAsia="Arial"/>
          <w:kern w:val="2"/>
          <w14:ligatures w14:val="standardContextual"/>
        </w:rPr>
        <w:lastRenderedPageBreak/>
        <w:t xml:space="preserve">Om voor de rechter duidelijk te maken aan welke </w:t>
      </w:r>
      <w:r w:rsidRPr="006D6D67" w:rsidR="00B62E51">
        <w:rPr>
          <w:rFonts w:eastAsia="Arial"/>
          <w:kern w:val="2"/>
          <w14:ligatures w14:val="standardContextual"/>
        </w:rPr>
        <w:t xml:space="preserve">klassieke </w:t>
      </w:r>
      <w:r w:rsidRPr="006D6D67">
        <w:rPr>
          <w:rFonts w:eastAsia="Arial"/>
          <w:kern w:val="2"/>
          <w14:ligatures w14:val="standardContextual"/>
        </w:rPr>
        <w:t xml:space="preserve">grondrechten kan worden getoetst, ligt het opstellen van een limitatieve lijst met bepalingen die bij het toetsingskader worden betrokken voor de hand. </w:t>
      </w:r>
      <w:r w:rsidRPr="006D6D67" w:rsidR="009D25B7">
        <w:rPr>
          <w:rFonts w:eastAsia="Arial"/>
          <w:kern w:val="2"/>
          <w14:ligatures w14:val="standardContextual"/>
        </w:rPr>
        <w:t>Het nadeel van de keuze voor het opstellen van een (limitatieve) lijst van grondrechten is</w:t>
      </w:r>
      <w:r w:rsidRPr="006D6D67" w:rsidR="00E46D52">
        <w:rPr>
          <w:rFonts w:eastAsia="Arial"/>
          <w:kern w:val="2"/>
          <w14:ligatures w14:val="standardContextual"/>
        </w:rPr>
        <w:t xml:space="preserve"> </w:t>
      </w:r>
      <w:r w:rsidRPr="006D6D67">
        <w:rPr>
          <w:rFonts w:eastAsia="Arial"/>
          <w:kern w:val="2"/>
          <w14:ligatures w14:val="standardContextual"/>
        </w:rPr>
        <w:t xml:space="preserve">dat het de rechter niet is toegestaan aan grondwetsartikelen te toetsen die buiten deze lijst vallen, ook als die volgens de rechter wel subjectieve rechten voor de burger bevatten. Om dit probleem te ondervangen kan </w:t>
      </w:r>
      <w:r w:rsidRPr="006D6D67" w:rsidR="00041CD8">
        <w:rPr>
          <w:rFonts w:eastAsia="Arial"/>
          <w:kern w:val="2"/>
          <w14:ligatures w14:val="standardContextual"/>
        </w:rPr>
        <w:t>als alternatief</w:t>
      </w:r>
      <w:r w:rsidRPr="006D6D67" w:rsidDel="00041CD8" w:rsidR="000D15D5">
        <w:rPr>
          <w:rFonts w:eastAsia="Arial"/>
          <w:kern w:val="2"/>
          <w14:ligatures w14:val="standardContextual"/>
        </w:rPr>
        <w:t xml:space="preserve"> </w:t>
      </w:r>
      <w:r w:rsidRPr="006D6D67">
        <w:rPr>
          <w:rFonts w:eastAsia="Arial"/>
          <w:kern w:val="2"/>
          <w14:ligatures w14:val="standardContextual"/>
        </w:rPr>
        <w:t>worden</w:t>
      </w:r>
      <w:r w:rsidRPr="006D6D67" w:rsidR="00041CD8">
        <w:rPr>
          <w:rFonts w:eastAsia="Arial"/>
          <w:kern w:val="2"/>
          <w14:ligatures w14:val="standardContextual"/>
        </w:rPr>
        <w:t xml:space="preserve"> gedacht</w:t>
      </w:r>
      <w:r w:rsidRPr="006D6D67">
        <w:rPr>
          <w:rFonts w:eastAsia="Arial"/>
          <w:kern w:val="2"/>
          <w14:ligatures w14:val="standardContextual"/>
        </w:rPr>
        <w:t xml:space="preserve"> aan het opnemen van een materieel criterium op grond waarvan de rechter kan beoordelen of aan het grondwetsartikel in kwestie kan worden getoetst. Een vergelijkbare constructie bestaat voor de toetsing aan verdragsbepalingen</w:t>
      </w:r>
      <w:r w:rsidRPr="006D6D67" w:rsidR="00EB4BE6">
        <w:rPr>
          <w:rFonts w:eastAsia="Arial"/>
          <w:kern w:val="2"/>
          <w14:ligatures w14:val="standardContextual"/>
        </w:rPr>
        <w:t>.</w:t>
      </w:r>
      <w:r w:rsidRPr="006D6D67">
        <w:rPr>
          <w:rFonts w:eastAsia="Arial"/>
          <w:kern w:val="2"/>
          <w14:ligatures w14:val="standardContextual"/>
        </w:rPr>
        <w:t xml:space="preserve"> </w:t>
      </w:r>
      <w:r w:rsidRPr="006D6D67" w:rsidR="00EB4BE6">
        <w:rPr>
          <w:rFonts w:eastAsia="Arial"/>
          <w:kern w:val="2"/>
          <w14:ligatures w14:val="standardContextual"/>
        </w:rPr>
        <w:t>O</w:t>
      </w:r>
      <w:r w:rsidRPr="006D6D67">
        <w:rPr>
          <w:rFonts w:eastAsia="Arial"/>
          <w:kern w:val="2"/>
          <w14:ligatures w14:val="standardContextual"/>
        </w:rPr>
        <w:t>p grond van artikel</w:t>
      </w:r>
      <w:r w:rsidRPr="006D6D67" w:rsidR="00057C14">
        <w:rPr>
          <w:rFonts w:eastAsia="Arial"/>
          <w:kern w:val="2"/>
          <w14:ligatures w14:val="standardContextual"/>
        </w:rPr>
        <w:t xml:space="preserve"> 93 en</w:t>
      </w:r>
      <w:r w:rsidRPr="006D6D67" w:rsidR="006741E0">
        <w:rPr>
          <w:rFonts w:eastAsia="Arial"/>
          <w:kern w:val="2"/>
          <w14:ligatures w14:val="standardContextual"/>
        </w:rPr>
        <w:t xml:space="preserve"> </w:t>
      </w:r>
      <w:r w:rsidRPr="006D6D67">
        <w:rPr>
          <w:rFonts w:eastAsia="Arial"/>
          <w:kern w:val="2"/>
          <w14:ligatures w14:val="standardContextual"/>
        </w:rPr>
        <w:t>94 van de Grondwet kan de burger zich beroepen op ‘een ieder verbindende’ bepalingen in verdragen</w:t>
      </w:r>
      <w:r w:rsidRPr="006D6D67" w:rsidR="00E46D52">
        <w:rPr>
          <w:rFonts w:eastAsia="Arial"/>
          <w:kern w:val="2"/>
          <w14:ligatures w14:val="standardContextual"/>
        </w:rPr>
        <w:t>; in de praktijk vaak ‘rechtstreeks werkende’ bepalingen genoemd</w:t>
      </w:r>
      <w:r w:rsidRPr="006D6D67">
        <w:rPr>
          <w:rFonts w:eastAsia="Arial"/>
          <w:kern w:val="2"/>
          <w14:ligatures w14:val="standardContextual"/>
        </w:rPr>
        <w:t>.</w:t>
      </w:r>
      <w:r w:rsidRPr="006D6D67" w:rsidR="003E4C53">
        <w:rPr>
          <w:rStyle w:val="Voetnootmarkering"/>
          <w:rFonts w:eastAsia="Arial"/>
          <w:kern w:val="2"/>
          <w14:ligatures w14:val="standardContextual"/>
        </w:rPr>
        <w:footnoteReference w:id="16"/>
      </w:r>
      <w:r w:rsidRPr="006D6D67">
        <w:rPr>
          <w:rFonts w:eastAsia="Arial"/>
          <w:kern w:val="2"/>
          <w14:ligatures w14:val="standardContextual"/>
        </w:rPr>
        <w:t xml:space="preserve"> Het is </w:t>
      </w:r>
      <w:r w:rsidRPr="006D6D67" w:rsidR="00E46D52">
        <w:rPr>
          <w:rFonts w:eastAsia="Arial"/>
          <w:kern w:val="2"/>
          <w14:ligatures w14:val="standardContextual"/>
        </w:rPr>
        <w:t xml:space="preserve">primair </w:t>
      </w:r>
      <w:r w:rsidRPr="006D6D67">
        <w:rPr>
          <w:rFonts w:eastAsia="Arial"/>
          <w:kern w:val="2"/>
          <w14:ligatures w14:val="standardContextual"/>
        </w:rPr>
        <w:t xml:space="preserve">aan de rechter om te beoordelen of </w:t>
      </w:r>
      <w:r w:rsidRPr="006D6D67" w:rsidR="00E46D52">
        <w:rPr>
          <w:rFonts w:eastAsia="Arial"/>
          <w:kern w:val="2"/>
          <w14:ligatures w14:val="standardContextual"/>
        </w:rPr>
        <w:t>een</w:t>
      </w:r>
      <w:r w:rsidRPr="006D6D67">
        <w:rPr>
          <w:rFonts w:eastAsia="Arial"/>
          <w:kern w:val="2"/>
          <w14:ligatures w14:val="standardContextual"/>
        </w:rPr>
        <w:t xml:space="preserve"> door </w:t>
      </w:r>
      <w:r w:rsidRPr="006D6D67" w:rsidR="00E46D52">
        <w:rPr>
          <w:rFonts w:eastAsia="Arial"/>
          <w:kern w:val="2"/>
          <w14:ligatures w14:val="standardContextual"/>
        </w:rPr>
        <w:t>een</w:t>
      </w:r>
      <w:r w:rsidRPr="006D6D67">
        <w:rPr>
          <w:rFonts w:eastAsia="Arial"/>
          <w:kern w:val="2"/>
          <w14:ligatures w14:val="standardContextual"/>
        </w:rPr>
        <w:t xml:space="preserve"> burger ingeroepen bepaling aan het vereiste van ‘een ieder verbindendheid’ voldoet</w:t>
      </w:r>
      <w:r w:rsidRPr="006D6D67" w:rsidR="00EB4BE6">
        <w:rPr>
          <w:rFonts w:eastAsia="Arial"/>
          <w:kern w:val="2"/>
          <w14:ligatures w14:val="standardContextual"/>
        </w:rPr>
        <w:t>.</w:t>
      </w:r>
      <w:r w:rsidRPr="006D6D67">
        <w:rPr>
          <w:rFonts w:eastAsia="Arial"/>
          <w:kern w:val="2"/>
          <w14:ligatures w14:val="standardContextual"/>
        </w:rPr>
        <w:t xml:space="preserve"> Zo’n materieel criterium kan ervoor zorgen dat het toetsingskader geen vaststaand gegeven is, maar kan meebewegen met ontwikkelingen in de samenleving. </w:t>
      </w:r>
    </w:p>
    <w:p w:rsidRPr="006D6D67" w:rsidR="006D50B7" w:rsidP="007472AA" w:rsidRDefault="006D50B7" w14:paraId="68A62B5C" w14:textId="77777777">
      <w:pPr>
        <w:spacing w:line="276" w:lineRule="auto"/>
        <w:rPr>
          <w:rFonts w:eastAsia="Arial"/>
          <w:kern w:val="2"/>
          <w14:ligatures w14:val="standardContextual"/>
        </w:rPr>
      </w:pPr>
    </w:p>
    <w:p w:rsidRPr="006D6D67" w:rsidR="008D096B" w:rsidP="007472AA" w:rsidRDefault="008D096B" w14:paraId="77C47077" w14:textId="3472E594">
      <w:pPr>
        <w:spacing w:line="276" w:lineRule="auto"/>
        <w:rPr>
          <w:rFonts w:eastAsia="Arial"/>
          <w:kern w:val="2"/>
          <w14:ligatures w14:val="standardContextual"/>
        </w:rPr>
      </w:pPr>
      <w:r w:rsidRPr="006D6D67">
        <w:rPr>
          <w:rFonts w:eastAsia="Arial"/>
          <w:kern w:val="2"/>
          <w14:ligatures w14:val="standardContextual"/>
        </w:rPr>
        <w:t xml:space="preserve">Het kabinet ziet ook </w:t>
      </w:r>
      <w:r w:rsidRPr="006D6D67" w:rsidR="00A05D8A">
        <w:rPr>
          <w:rFonts w:eastAsia="Arial"/>
          <w:kern w:val="2"/>
          <w14:ligatures w14:val="standardContextual"/>
        </w:rPr>
        <w:t>een</w:t>
      </w:r>
      <w:r w:rsidRPr="006D6D67">
        <w:rPr>
          <w:rFonts w:eastAsia="Arial"/>
          <w:kern w:val="2"/>
          <w14:ligatures w14:val="standardContextual"/>
        </w:rPr>
        <w:t xml:space="preserve"> keerzijde </w:t>
      </w:r>
      <w:r w:rsidRPr="006D6D67" w:rsidR="00A05D8A">
        <w:rPr>
          <w:rFonts w:eastAsia="Arial"/>
          <w:kern w:val="2"/>
          <w14:ligatures w14:val="standardContextual"/>
        </w:rPr>
        <w:t>a</w:t>
      </w:r>
      <w:r w:rsidRPr="006D6D67">
        <w:rPr>
          <w:rFonts w:eastAsia="Arial"/>
          <w:kern w:val="2"/>
          <w14:ligatures w14:val="standardContextual"/>
        </w:rPr>
        <w:t xml:space="preserve">an de introductie van een materieel criterium. Waar een limitatieve lijst met klassieke bepalingen de toetsingsbevoegdheid van de rechter duidelijk afbakent, heeft de rechter bij het gebruik van een materieel criterium zelf de mogelijkheid om </w:t>
      </w:r>
      <w:r w:rsidRPr="006D6D67" w:rsidR="000F3223">
        <w:rPr>
          <w:rFonts w:eastAsia="Arial"/>
          <w:kern w:val="2"/>
          <w14:ligatures w14:val="standardContextual"/>
        </w:rPr>
        <w:t>te bepalen welke grondrechtelijke normen zich lenen voor grondwettelijke toetsing</w:t>
      </w:r>
      <w:r w:rsidRPr="006D6D67">
        <w:rPr>
          <w:rFonts w:eastAsia="Arial"/>
          <w:kern w:val="2"/>
          <w14:ligatures w14:val="standardContextual"/>
        </w:rPr>
        <w:t xml:space="preserve">. Dat </w:t>
      </w:r>
      <w:r w:rsidRPr="006D6D67" w:rsidR="000F3223">
        <w:rPr>
          <w:rFonts w:eastAsia="Arial"/>
          <w:kern w:val="2"/>
          <w14:ligatures w14:val="standardContextual"/>
        </w:rPr>
        <w:t xml:space="preserve">raakt aan </w:t>
      </w:r>
      <w:r w:rsidRPr="006D6D67">
        <w:rPr>
          <w:rFonts w:eastAsia="Arial"/>
          <w:kern w:val="2"/>
          <w14:ligatures w14:val="standardContextual"/>
        </w:rPr>
        <w:t>de rechtszekerheid</w:t>
      </w:r>
      <w:r w:rsidRPr="006D6D67" w:rsidR="006741E0">
        <w:rPr>
          <w:rFonts w:eastAsia="Arial"/>
          <w:kern w:val="2"/>
          <w14:ligatures w14:val="standardContextual"/>
        </w:rPr>
        <w:t>, nu op voorhand niet zeker is op welke grondwetsbepalingen de burger een beroep zal kunnen doen</w:t>
      </w:r>
      <w:r w:rsidRPr="006D6D67">
        <w:rPr>
          <w:rFonts w:eastAsia="Arial"/>
          <w:kern w:val="2"/>
          <w14:ligatures w14:val="standardContextual"/>
        </w:rPr>
        <w:t xml:space="preserve">. Bovendien </w:t>
      </w:r>
      <w:r w:rsidRPr="006D6D67" w:rsidR="000F3223">
        <w:rPr>
          <w:rFonts w:eastAsia="Arial"/>
          <w:kern w:val="2"/>
          <w14:ligatures w14:val="standardContextual"/>
        </w:rPr>
        <w:t>wordt de rechter</w:t>
      </w:r>
      <w:r w:rsidRPr="006D6D67">
        <w:rPr>
          <w:rFonts w:eastAsia="Arial"/>
          <w:kern w:val="2"/>
          <w14:ligatures w14:val="standardContextual"/>
        </w:rPr>
        <w:t xml:space="preserve">, net als bij toetsing aan sociale grondrechten, </w:t>
      </w:r>
      <w:r w:rsidRPr="006D6D67" w:rsidR="000F3223">
        <w:rPr>
          <w:rFonts w:eastAsia="Arial"/>
          <w:kern w:val="2"/>
          <w14:ligatures w14:val="standardContextual"/>
        </w:rPr>
        <w:t>op deze manier kwetsbaar voor</w:t>
      </w:r>
      <w:r w:rsidRPr="006D6D67">
        <w:rPr>
          <w:rFonts w:eastAsia="Arial"/>
          <w:kern w:val="2"/>
          <w14:ligatures w14:val="standardContextual"/>
        </w:rPr>
        <w:t xml:space="preserve"> het verwijt van</w:t>
      </w:r>
      <w:r w:rsidRPr="006D6D67" w:rsidR="006741E0">
        <w:rPr>
          <w:rFonts w:eastAsia="Arial"/>
          <w:kern w:val="2"/>
          <w14:ligatures w14:val="standardContextual"/>
        </w:rPr>
        <w:t xml:space="preserve"> politisering</w:t>
      </w:r>
      <w:r w:rsidRPr="006D6D67">
        <w:rPr>
          <w:rFonts w:eastAsia="Arial"/>
          <w:kern w:val="2"/>
          <w14:ligatures w14:val="standardContextual"/>
        </w:rPr>
        <w:t xml:space="preserve">. </w:t>
      </w:r>
      <w:r w:rsidRPr="006D6D67" w:rsidR="000F3223">
        <w:rPr>
          <w:rFonts w:eastAsia="Arial"/>
          <w:kern w:val="2"/>
          <w14:ligatures w14:val="standardContextual"/>
        </w:rPr>
        <w:t>De introductie van een materieel criterium kan daarom het</w:t>
      </w:r>
      <w:r w:rsidRPr="006D6D67">
        <w:rPr>
          <w:rFonts w:eastAsia="Arial"/>
          <w:kern w:val="2"/>
          <w14:ligatures w14:val="standardContextual"/>
        </w:rPr>
        <w:t xml:space="preserve"> vertrouwen in de rechtspraak</w:t>
      </w:r>
      <w:r w:rsidRPr="006D6D67" w:rsidR="000F3223">
        <w:rPr>
          <w:rFonts w:eastAsia="Arial"/>
          <w:kern w:val="2"/>
          <w14:ligatures w14:val="standardContextual"/>
        </w:rPr>
        <w:t xml:space="preserve"> aantasten</w:t>
      </w:r>
      <w:r w:rsidRPr="006D6D67">
        <w:rPr>
          <w:rFonts w:eastAsia="Arial"/>
          <w:kern w:val="2"/>
          <w14:ligatures w14:val="standardContextual"/>
        </w:rPr>
        <w:t xml:space="preserve">. </w:t>
      </w:r>
      <w:r w:rsidRPr="006D6D67" w:rsidR="000F3223">
        <w:rPr>
          <w:rFonts w:eastAsia="Arial"/>
          <w:kern w:val="2"/>
          <w14:ligatures w14:val="standardContextual"/>
        </w:rPr>
        <w:t xml:space="preserve">Om deze redenen </w:t>
      </w:r>
      <w:r w:rsidRPr="006D6D67" w:rsidR="00F11EF0">
        <w:rPr>
          <w:rFonts w:eastAsia="Arial"/>
          <w:kern w:val="2"/>
          <w14:ligatures w14:val="standardContextual"/>
        </w:rPr>
        <w:t>voelt</w:t>
      </w:r>
      <w:r w:rsidRPr="006D6D67" w:rsidR="000F3223">
        <w:rPr>
          <w:rFonts w:eastAsia="Arial"/>
          <w:kern w:val="2"/>
          <w14:ligatures w14:val="standardContextual"/>
        </w:rPr>
        <w:t xml:space="preserve"> het kabinet meer </w:t>
      </w:r>
      <w:r w:rsidRPr="006D6D67" w:rsidR="00F11EF0">
        <w:rPr>
          <w:rFonts w:eastAsia="Arial"/>
          <w:kern w:val="2"/>
          <w14:ligatures w14:val="standardContextual"/>
        </w:rPr>
        <w:t>voor</w:t>
      </w:r>
      <w:r w:rsidRPr="006D6D67">
        <w:rPr>
          <w:rFonts w:eastAsia="Arial"/>
          <w:kern w:val="2"/>
          <w14:ligatures w14:val="standardContextual"/>
        </w:rPr>
        <w:t xml:space="preserve"> een duidelijke afbakening van het toetsingskader.</w:t>
      </w:r>
    </w:p>
    <w:p w:rsidRPr="006D6D67" w:rsidR="00314FA8" w:rsidP="007472AA" w:rsidRDefault="00314FA8" w14:paraId="41409A74" w14:textId="77777777">
      <w:pPr>
        <w:spacing w:line="276" w:lineRule="auto"/>
        <w:rPr>
          <w:rFonts w:eastAsia="Arial"/>
          <w:kern w:val="2"/>
          <w14:ligatures w14:val="standardContextual"/>
        </w:rPr>
      </w:pPr>
    </w:p>
    <w:p w:rsidRPr="006D6D67" w:rsidR="00314FA8" w:rsidP="007472AA" w:rsidRDefault="00314FA8" w14:paraId="3066DC74" w14:textId="559A7D76">
      <w:pPr>
        <w:spacing w:line="276" w:lineRule="auto"/>
      </w:pPr>
      <w:r w:rsidRPr="006D6D67">
        <w:t>Een andere vraag is of de algemene bepaling uit de Grondwet tot het toetsingskader moet behoren. De algemene bepaling bevat de plicht voor de regering en de Staten-Generaal gezamenlijk als (grond)wetgever om de grondrechten en de democratische rechtsstaat te waarborgen en richt zich (primair) tot de (grond)wetgever.</w:t>
      </w:r>
      <w:r w:rsidRPr="006D6D67">
        <w:rPr>
          <w:rStyle w:val="Voetnootmarkering"/>
        </w:rPr>
        <w:footnoteReference w:id="17"/>
      </w:r>
      <w:r w:rsidRPr="006D6D67">
        <w:t xml:space="preserve"> Uit de toelichting op de algemene bepaling volgt dan ook dat burgers geen beroep op de algemene bepaling kunnen doen, nu deze geen subjectieve rechten bevat.</w:t>
      </w:r>
      <w:r w:rsidRPr="006D6D67">
        <w:rPr>
          <w:rStyle w:val="Voetnootmarkering"/>
        </w:rPr>
        <w:footnoteReference w:id="18"/>
      </w:r>
      <w:r w:rsidRPr="006D6D67">
        <w:t xml:space="preserve"> Dit maakt dat het opnemen van de algemene bepaling bij het toetsingskader voor constitutionele toetsing niet alleen</w:t>
      </w:r>
      <w:r w:rsidRPr="006D6D67" w:rsidR="00532D8A">
        <w:t xml:space="preserve"> op gespannen voet staat met </w:t>
      </w:r>
      <w:r w:rsidRPr="006D6D67">
        <w:t xml:space="preserve">de bedoeling van de grondwetgever die de bepaling ontwierp, maar ook dat de algemene bepaling naar haar aard onvoldoende aanknopingspunten biedt voor de rechter om eraan te kunnen toetsen. </w:t>
      </w:r>
      <w:r w:rsidRPr="006D6D67" w:rsidR="00532D8A">
        <w:t xml:space="preserve">Toetsing aan de algemene bepaling van de Grondwet leidt in feite </w:t>
      </w:r>
      <w:r w:rsidRPr="006D6D67" w:rsidR="002416CD">
        <w:t xml:space="preserve">(alsnog) </w:t>
      </w:r>
      <w:r w:rsidRPr="006D6D67" w:rsidR="00532D8A">
        <w:t xml:space="preserve">tot een toetsing </w:t>
      </w:r>
      <w:r w:rsidRPr="006D6D67" w:rsidR="00532D8A">
        <w:lastRenderedPageBreak/>
        <w:t xml:space="preserve">aan de gehele Grondwet, omdat </w:t>
      </w:r>
      <w:r w:rsidRPr="006D6D67">
        <w:t>alle bepalingen in de Grondwet betekenis geven aan de bescherming van grondrechten en de democratische rechtsstaat.</w:t>
      </w:r>
      <w:r w:rsidRPr="006D6D67" w:rsidR="00532D8A">
        <w:t xml:space="preserve"> </w:t>
      </w:r>
      <w:r w:rsidRPr="006D6D67" w:rsidR="003363FC">
        <w:t>T</w:t>
      </w:r>
      <w:r w:rsidRPr="006D6D67" w:rsidR="00532D8A">
        <w:t>oetsing van wetten aan de algemene bepaling</w:t>
      </w:r>
      <w:r w:rsidRPr="006D6D67" w:rsidR="003363FC">
        <w:t xml:space="preserve"> heeft daarom niet de voorkeur van het kabinet</w:t>
      </w:r>
      <w:r w:rsidRPr="006D6D67" w:rsidR="00532D8A">
        <w:t xml:space="preserve">. </w:t>
      </w:r>
      <w:r w:rsidRPr="006D6D67">
        <w:t>Dit betekent overigens niet dat de algemene bepaling helemaal geen betekenis zal hebben bij rechterlijke constitutionele toetsing van wetten en wetsbepalingen</w:t>
      </w:r>
      <w:r w:rsidRPr="006D6D67" w:rsidR="00EB4BE6">
        <w:t>.</w:t>
      </w:r>
      <w:r w:rsidRPr="006D6D67">
        <w:t xml:space="preserve"> </w:t>
      </w:r>
      <w:r w:rsidRPr="006D6D67" w:rsidR="00EB4BE6">
        <w:t>Z</w:t>
      </w:r>
      <w:r w:rsidRPr="006D6D67">
        <w:t>oals de grondwetgever heeft toegelicht, kan de algemene bepaling als interpretatief kader dienen voor de overige bepalingen van de Grondwet, en als hulpmiddel wanneer er twijfel is over de vraag hoe de Grondwet moet worden uitgelegd.</w:t>
      </w:r>
      <w:r w:rsidRPr="006D6D67">
        <w:rPr>
          <w:rStyle w:val="Voetnootmarkering"/>
        </w:rPr>
        <w:footnoteReference w:id="19"/>
      </w:r>
      <w:r w:rsidRPr="006D6D67">
        <w:t xml:space="preserve"> </w:t>
      </w:r>
    </w:p>
    <w:p w:rsidRPr="006D6D67" w:rsidR="008D096B" w:rsidP="007472AA" w:rsidRDefault="008D096B" w14:paraId="461B7E3D" w14:textId="77777777">
      <w:pPr>
        <w:spacing w:line="276" w:lineRule="auto"/>
        <w:rPr>
          <w:rFonts w:eastAsia="Arial"/>
          <w:kern w:val="2"/>
          <w14:ligatures w14:val="standardContextual"/>
        </w:rPr>
      </w:pPr>
    </w:p>
    <w:p w:rsidRPr="006D6D67" w:rsidR="00F84C05" w:rsidP="007472AA" w:rsidRDefault="00926208" w14:paraId="57AD153D" w14:textId="65DC386D">
      <w:pPr>
        <w:spacing w:line="276" w:lineRule="auto"/>
        <w:rPr>
          <w:rFonts w:eastAsia="Arial"/>
          <w:bCs/>
          <w:i/>
          <w:iCs/>
          <w:kern w:val="2"/>
          <w14:ligatures w14:val="standardContextual"/>
        </w:rPr>
      </w:pPr>
      <w:r w:rsidRPr="006D6D67">
        <w:rPr>
          <w:rFonts w:eastAsia="Arial"/>
          <w:bCs/>
          <w:i/>
          <w:iCs/>
          <w:kern w:val="2"/>
          <w14:ligatures w14:val="standardContextual"/>
        </w:rPr>
        <w:t xml:space="preserve">2.2 </w:t>
      </w:r>
      <w:r w:rsidRPr="006D6D67" w:rsidR="008D096B">
        <w:rPr>
          <w:rFonts w:eastAsia="Arial"/>
          <w:bCs/>
          <w:i/>
          <w:iCs/>
          <w:kern w:val="2"/>
          <w14:ligatures w14:val="standardContextual"/>
        </w:rPr>
        <w:t xml:space="preserve">Toetsingskader: </w:t>
      </w:r>
      <w:r w:rsidRPr="006D6D67" w:rsidR="00DE33FB">
        <w:rPr>
          <w:rFonts w:eastAsia="Arial"/>
          <w:bCs/>
          <w:i/>
          <w:iCs/>
          <w:kern w:val="2"/>
          <w14:ligatures w14:val="standardContextual"/>
        </w:rPr>
        <w:t>algemene rechtsbeginselen</w:t>
      </w:r>
    </w:p>
    <w:p w:rsidRPr="006D6D67" w:rsidR="00F84C05" w:rsidP="007472AA" w:rsidRDefault="00F84C05" w14:paraId="053B6E0F" w14:textId="5FF5D403">
      <w:pPr>
        <w:spacing w:line="276" w:lineRule="auto"/>
        <w:rPr>
          <w:rFonts w:eastAsia="Times New Roman"/>
        </w:rPr>
      </w:pPr>
    </w:p>
    <w:p w:rsidRPr="006D6D67" w:rsidR="00F84C05" w:rsidP="007472AA" w:rsidRDefault="00536C0C" w14:paraId="1C059577" w14:textId="6E8A0E18">
      <w:pPr>
        <w:pBdr>
          <w:top w:val="single" w:color="auto" w:sz="4" w:space="1"/>
          <w:left w:val="single" w:color="auto" w:sz="4" w:space="4"/>
          <w:bottom w:val="single" w:color="auto" w:sz="4" w:space="1"/>
          <w:right w:val="single" w:color="auto" w:sz="4" w:space="4"/>
        </w:pBdr>
        <w:spacing w:line="276" w:lineRule="auto"/>
        <w:rPr>
          <w:rFonts w:eastAsia="Times New Roman"/>
        </w:rPr>
      </w:pPr>
      <w:r w:rsidRPr="006D6D67">
        <w:rPr>
          <w:rFonts w:eastAsia="Times New Roman"/>
        </w:rPr>
        <w:t xml:space="preserve">Het </w:t>
      </w:r>
      <w:r w:rsidRPr="006D6D67" w:rsidR="00F84C05">
        <w:rPr>
          <w:rFonts w:eastAsia="Times New Roman"/>
        </w:rPr>
        <w:t xml:space="preserve">kabinet </w:t>
      </w:r>
      <w:r w:rsidRPr="006D6D67" w:rsidR="006440DD">
        <w:rPr>
          <w:rFonts w:eastAsia="Times New Roman"/>
        </w:rPr>
        <w:t xml:space="preserve">kiest niet voor </w:t>
      </w:r>
      <w:r w:rsidRPr="006D6D67" w:rsidR="00316A1C">
        <w:rPr>
          <w:rFonts w:eastAsia="Times New Roman"/>
        </w:rPr>
        <w:t xml:space="preserve">toetsing van wetten aan ongeschreven algemene rechtsbeginselen. </w:t>
      </w:r>
    </w:p>
    <w:p w:rsidRPr="006D6D67" w:rsidR="00F84C05" w:rsidP="007472AA" w:rsidRDefault="00F84C05" w14:paraId="33EE2ED7" w14:textId="3AEFF3BF">
      <w:pPr>
        <w:spacing w:line="276" w:lineRule="auto"/>
        <w:rPr>
          <w:rFonts w:eastAsia="Times New Roman"/>
        </w:rPr>
      </w:pPr>
    </w:p>
    <w:p w:rsidRPr="006D6D67" w:rsidR="008D096B" w:rsidP="007472AA" w:rsidRDefault="008D096B" w14:paraId="3B8DC11E" w14:textId="683D7C07">
      <w:pPr>
        <w:spacing w:line="276" w:lineRule="auto"/>
      </w:pPr>
      <w:bookmarkStart w:name="_Hlk184210533" w:id="2"/>
      <w:r w:rsidRPr="006D6D67">
        <w:t>Tegen de achtergrond van de toeslagenaffaire rijst de vraag in hoeverre toetsing aan algemene rechtsbeginselen, meer specifiek het evenredigheidsbeginsel, mogelijk moet zijn. De huidige stand van de rechtspraak is dat artikel 120 Grondwet mede een toetsingsverbod voor de rechter omvat om een wet te toetsen aan ongeschreven, algemene rechtsbeginselen.</w:t>
      </w:r>
      <w:r w:rsidRPr="006D6D67">
        <w:rPr>
          <w:rStyle w:val="Voetnootmarkering"/>
        </w:rPr>
        <w:footnoteReference w:id="20"/>
      </w:r>
      <w:r w:rsidRPr="006D6D67">
        <w:t xml:space="preserve"> Wel kan een rechter een wettelijke bepaling buiten toepassing laten als sprake is van bijzondere omstandigheden die niet of niet ten volle zijn verdisconteerd in de afweging van de wetgever en die de toepassing van de wettelijke bepaling zozeer in strijd doen zijn met algemene rechtsbeginselen dat die toepassing achterwege moet blijven.</w:t>
      </w:r>
      <w:r w:rsidRPr="006D6D67" w:rsidR="00741A18">
        <w:rPr>
          <w:rStyle w:val="Voetnootmarkering"/>
        </w:rPr>
        <w:footnoteReference w:id="21"/>
      </w:r>
      <w:r w:rsidRPr="006D6D67">
        <w:t xml:space="preserve"> Ook spelen de algemene rechtsbeginselen</w:t>
      </w:r>
      <w:r w:rsidRPr="006D6D67" w:rsidR="00FB32C9">
        <w:t>, waaronder het evenredigheidsbeginsel,</w:t>
      </w:r>
      <w:r w:rsidRPr="006D6D67">
        <w:t xml:space="preserve"> een rol als rechters bij de beoordeling van een geschil een wettelijke bepaling uitleggen. Bij deze uitleg is volgens vaste rechtspraak niet alleen de tekst van de bepaling van belang, maar spelen ook andere factoren een rol, waaronder de totstandkomingsgeschiedenis van de bepaling, het systeem van de wet en de (praktische en maatschappelijke) gevolgen van de toepassing van de bepaling.</w:t>
      </w:r>
      <w:r w:rsidRPr="006D6D67">
        <w:rPr>
          <w:rStyle w:val="Voetnootmarkering"/>
        </w:rPr>
        <w:footnoteReference w:id="22"/>
      </w:r>
      <w:r w:rsidRPr="006D6D67">
        <w:t xml:space="preserve"> </w:t>
      </w:r>
    </w:p>
    <w:p w:rsidRPr="006D6D67" w:rsidR="00C174E4" w:rsidP="007472AA" w:rsidRDefault="00C174E4" w14:paraId="1702E795" w14:textId="22557206">
      <w:pPr>
        <w:spacing w:line="276" w:lineRule="auto"/>
      </w:pPr>
    </w:p>
    <w:p w:rsidRPr="006D6D67" w:rsidR="004F4EFA" w:rsidP="007472AA" w:rsidRDefault="008D096B" w14:paraId="3744E23C" w14:textId="7EE0C275">
      <w:pPr>
        <w:spacing w:line="276" w:lineRule="auto"/>
        <w:rPr>
          <w:shd w:val="clear" w:color="auto" w:fill="FFFFFF"/>
        </w:rPr>
      </w:pPr>
      <w:r w:rsidRPr="006D6D67">
        <w:rPr>
          <w:rStyle w:val="normaltextrun"/>
          <w:shd w:val="clear" w:color="auto" w:fill="FFFFFF"/>
        </w:rPr>
        <w:t xml:space="preserve">Het kabinet </w:t>
      </w:r>
      <w:r w:rsidRPr="006D6D67" w:rsidR="004230EC">
        <w:rPr>
          <w:rStyle w:val="normaltextrun"/>
          <w:shd w:val="clear" w:color="auto" w:fill="FFFFFF"/>
        </w:rPr>
        <w:t xml:space="preserve">is geen voorstander van verdergaande rechterlijke </w:t>
      </w:r>
      <w:r w:rsidRPr="006D6D67" w:rsidR="004230EC">
        <w:rPr>
          <w:shd w:val="clear" w:color="auto" w:fill="FFFFFF"/>
        </w:rPr>
        <w:t xml:space="preserve">toetsing van wetten aan ongeschreven algemene rechtsbeginselen. In de kern gaat het er bij toetsing aan deze beginselen om dat de rechter de inhoud hiervan </w:t>
      </w:r>
      <w:r w:rsidRPr="006D6D67" w:rsidR="00E4698A">
        <w:rPr>
          <w:shd w:val="clear" w:color="auto" w:fill="FFFFFF"/>
        </w:rPr>
        <w:t>vaststelt</w:t>
      </w:r>
      <w:r w:rsidRPr="006D6D67" w:rsidR="004230EC">
        <w:rPr>
          <w:shd w:val="clear" w:color="auto" w:fill="FFFFFF"/>
        </w:rPr>
        <w:t xml:space="preserve">. Bij de formulering van deze beginselen, de beperkingen daarop en de onderlinge rangorde ervan ontbreekt de dialoog tussen de rechter en de wetgever. De rechter bepaalt eigenstandig aan welke </w:t>
      </w:r>
      <w:r w:rsidRPr="006D6D67" w:rsidR="009378CD">
        <w:rPr>
          <w:shd w:val="clear" w:color="auto" w:fill="FFFFFF"/>
        </w:rPr>
        <w:t xml:space="preserve">ongeschreven </w:t>
      </w:r>
      <w:r w:rsidRPr="006D6D67" w:rsidR="004230EC">
        <w:rPr>
          <w:shd w:val="clear" w:color="auto" w:fill="FFFFFF"/>
        </w:rPr>
        <w:t xml:space="preserve">rechtsbeginselen wordt getoetst en welke normen daaruit kunnen worden afgeleid. De (grond)wetgever komt daar niet aan te pas: als zijn opvatting afwijkt van de door de rechter gegeven uitleg is het lastig om bij te sturen, aangezien het ongeschreven recht betreft. Bij toetsing van door de democratisch gelegitimeerde wetgever aangenomen wetten is het </w:t>
      </w:r>
      <w:r w:rsidRPr="006D6D67" w:rsidR="004230EC">
        <w:rPr>
          <w:shd w:val="clear" w:color="auto" w:fill="FFFFFF"/>
        </w:rPr>
        <w:lastRenderedPageBreak/>
        <w:t>ontbreken van de dialoog met de (grond)wetgever naar het oordeel van het kabinet moeilijk te rechtvaardigen.</w:t>
      </w:r>
      <w:r w:rsidRPr="006D6D67" w:rsidR="001C4EAF">
        <w:rPr>
          <w:shd w:val="clear" w:color="auto" w:fill="FFFFFF"/>
        </w:rPr>
        <w:t xml:space="preserve"> </w:t>
      </w:r>
    </w:p>
    <w:p w:rsidRPr="006D6D67" w:rsidR="00536C0C" w:rsidP="007472AA" w:rsidRDefault="00536C0C" w14:paraId="2DA05C04" w14:textId="77777777">
      <w:pPr>
        <w:spacing w:line="276" w:lineRule="auto"/>
        <w:rPr>
          <w:shd w:val="clear" w:color="auto" w:fill="FFFFFF"/>
        </w:rPr>
      </w:pPr>
    </w:p>
    <w:p w:rsidRPr="006D6D67" w:rsidR="00D06A1C" w:rsidP="007472AA" w:rsidRDefault="00E24C65" w14:paraId="4ABDA8D9" w14:textId="2B05471A">
      <w:pPr>
        <w:spacing w:line="276" w:lineRule="auto"/>
        <w:rPr>
          <w:rStyle w:val="normaltextrun"/>
          <w:shd w:val="clear" w:color="auto" w:fill="FFFFFF"/>
        </w:rPr>
      </w:pPr>
      <w:r w:rsidRPr="006D6D67">
        <w:rPr>
          <w:shd w:val="clear" w:color="auto" w:fill="FFFFFF"/>
        </w:rPr>
        <w:t xml:space="preserve">Specifiek met betrekking tot het evenredigheidsbeginsel onderkent het kabinet </w:t>
      </w:r>
      <w:r w:rsidRPr="006D6D67" w:rsidR="00AD24DF">
        <w:rPr>
          <w:shd w:val="clear" w:color="auto" w:fill="FFFFFF"/>
        </w:rPr>
        <w:t xml:space="preserve">dat toetsing </w:t>
      </w:r>
      <w:r w:rsidRPr="006D6D67" w:rsidR="00536C0C">
        <w:rPr>
          <w:shd w:val="clear" w:color="auto" w:fill="FFFFFF"/>
        </w:rPr>
        <w:t xml:space="preserve">van wetten </w:t>
      </w:r>
      <w:r w:rsidRPr="006D6D67">
        <w:rPr>
          <w:shd w:val="clear" w:color="auto" w:fill="FFFFFF"/>
        </w:rPr>
        <w:t>aan dat beginsel</w:t>
      </w:r>
      <w:r w:rsidRPr="006D6D67" w:rsidR="00536C0C">
        <w:rPr>
          <w:shd w:val="clear" w:color="auto" w:fill="FFFFFF"/>
        </w:rPr>
        <w:t xml:space="preserve"> meerwaarde kan hebben, met name daar waar de </w:t>
      </w:r>
      <w:r w:rsidRPr="006D6D67" w:rsidR="00536C0C">
        <w:rPr>
          <w:rStyle w:val="normaltextrun"/>
          <w:shd w:val="clear" w:color="auto" w:fill="FFFFFF"/>
        </w:rPr>
        <w:t>toepassing van de wet niet onder de reikwijdte van een (toekomstig beoogd) toetsbaar grondrecht valt</w:t>
      </w:r>
      <w:r w:rsidRPr="006D6D67" w:rsidR="00AD24DF">
        <w:rPr>
          <w:rStyle w:val="normaltextrun"/>
          <w:shd w:val="clear" w:color="auto" w:fill="FFFFFF"/>
        </w:rPr>
        <w:t xml:space="preserve">. In die gevallen kan toetsing aan het evenredigheidsbeginsel ervoor zorgen dat schrijnende situaties waarbij de toepassing van het wettelijk voorschrift onevenredig uitpakt, zoveel mogelijk worden </w:t>
      </w:r>
      <w:r w:rsidRPr="006D6D67" w:rsidR="003A5AB1">
        <w:rPr>
          <w:rStyle w:val="normaltextrun"/>
          <w:shd w:val="clear" w:color="auto" w:fill="FFFFFF"/>
        </w:rPr>
        <w:t>voor</w:t>
      </w:r>
      <w:r w:rsidRPr="006D6D67" w:rsidR="00AD24DF">
        <w:rPr>
          <w:rStyle w:val="normaltextrun"/>
          <w:shd w:val="clear" w:color="auto" w:fill="FFFFFF"/>
        </w:rPr>
        <w:t xml:space="preserve">komen. </w:t>
      </w:r>
      <w:r w:rsidRPr="006D6D67" w:rsidR="00C051FA">
        <w:rPr>
          <w:rStyle w:val="normaltextrun"/>
          <w:shd w:val="clear" w:color="auto" w:fill="FFFFFF"/>
        </w:rPr>
        <w:t>Daar</w:t>
      </w:r>
      <w:r w:rsidRPr="006D6D67" w:rsidR="00AD24DF">
        <w:rPr>
          <w:rStyle w:val="normaltextrun"/>
          <w:shd w:val="clear" w:color="auto" w:fill="FFFFFF"/>
        </w:rPr>
        <w:t xml:space="preserve"> staat tegenover</w:t>
      </w:r>
      <w:r w:rsidRPr="006D6D67" w:rsidR="0051668D">
        <w:rPr>
          <w:rStyle w:val="normaltextrun"/>
          <w:shd w:val="clear" w:color="auto" w:fill="FFFFFF"/>
        </w:rPr>
        <w:t xml:space="preserve"> </w:t>
      </w:r>
      <w:r w:rsidRPr="006D6D67" w:rsidR="00AD24DF">
        <w:rPr>
          <w:rStyle w:val="normaltextrun"/>
          <w:shd w:val="clear" w:color="auto" w:fill="FFFFFF"/>
        </w:rPr>
        <w:t xml:space="preserve">dat </w:t>
      </w:r>
      <w:r w:rsidRPr="006D6D67" w:rsidR="00CA767C">
        <w:rPr>
          <w:rStyle w:val="normaltextrun"/>
          <w:shd w:val="clear" w:color="auto" w:fill="FFFFFF"/>
        </w:rPr>
        <w:t xml:space="preserve">de rechtsprekende macht in dat geval ook expliciet verdisconteerde omstandigheden waar de wetgever rekening mee heeft gehouden, terzijde kan stellen. Hiermee verschuift het machtsevenwicht tussen de staatsmachten. Bovendien is </w:t>
      </w:r>
      <w:r w:rsidRPr="006D6D67" w:rsidR="00AD24DF">
        <w:rPr>
          <w:rStyle w:val="normaltextrun"/>
          <w:shd w:val="clear" w:color="auto" w:fill="FFFFFF"/>
        </w:rPr>
        <w:t>het denken over het rechtstreeks toetsen van wetten aan het evenredigheidsbeginsel minder ver ontwikkeld</w:t>
      </w:r>
      <w:r w:rsidRPr="006D6D67" w:rsidR="00686BB3">
        <w:rPr>
          <w:rStyle w:val="normaltextrun"/>
          <w:shd w:val="clear" w:color="auto" w:fill="FFFFFF"/>
        </w:rPr>
        <w:t xml:space="preserve"> </w:t>
      </w:r>
      <w:r w:rsidRPr="006D6D67" w:rsidR="00AD24DF">
        <w:rPr>
          <w:rStyle w:val="normaltextrun"/>
          <w:shd w:val="clear" w:color="auto" w:fill="FFFFFF"/>
        </w:rPr>
        <w:t xml:space="preserve">dan het toetsen van besluiten aan dit beginsel en </w:t>
      </w:r>
      <w:r w:rsidRPr="006D6D67" w:rsidR="008F1118">
        <w:rPr>
          <w:rStyle w:val="normaltextrun"/>
          <w:shd w:val="clear" w:color="auto" w:fill="FFFFFF"/>
        </w:rPr>
        <w:t>roept</w:t>
      </w:r>
      <w:r w:rsidRPr="006D6D67" w:rsidR="00AD24DF">
        <w:rPr>
          <w:rStyle w:val="normaltextrun"/>
          <w:shd w:val="clear" w:color="auto" w:fill="FFFFFF"/>
        </w:rPr>
        <w:t xml:space="preserve"> de werking van het evenredigheidsbeginsel buiten het bestuursrecht (opname in de Grondwet zou het toepassingsbereik immers verbreden tot het strafrecht en het privaatrecht) mogelijkerwijs nieuwe vragen op. </w:t>
      </w:r>
    </w:p>
    <w:p w:rsidRPr="006D6D67" w:rsidR="00D06A1C" w:rsidP="007472AA" w:rsidRDefault="00D06A1C" w14:paraId="24EF3406" w14:textId="77777777">
      <w:pPr>
        <w:spacing w:line="276" w:lineRule="auto"/>
        <w:rPr>
          <w:rStyle w:val="normaltextrun"/>
          <w:shd w:val="clear" w:color="auto" w:fill="FFFFFF"/>
        </w:rPr>
      </w:pPr>
    </w:p>
    <w:p w:rsidRPr="006D6D67" w:rsidR="004F4EFA" w:rsidP="007472AA" w:rsidRDefault="00D06A1C" w14:paraId="569D3DCA" w14:textId="7D03D533">
      <w:pPr>
        <w:spacing w:line="276" w:lineRule="auto"/>
        <w:rPr>
          <w:shd w:val="clear" w:color="auto" w:fill="FFFFFF"/>
        </w:rPr>
      </w:pPr>
      <w:r w:rsidRPr="006D6D67">
        <w:rPr>
          <w:rStyle w:val="normaltextrun"/>
          <w:shd w:val="clear" w:color="auto" w:fill="FFFFFF"/>
        </w:rPr>
        <w:t xml:space="preserve">In het </w:t>
      </w:r>
      <w:r w:rsidRPr="006D6D67" w:rsidR="001956E6">
        <w:rPr>
          <w:rStyle w:val="normaltextrun"/>
          <w:shd w:val="clear" w:color="auto" w:fill="FFFFFF"/>
        </w:rPr>
        <w:t>hoofdlijnenakkoord</w:t>
      </w:r>
      <w:r w:rsidRPr="006D6D67">
        <w:rPr>
          <w:rStyle w:val="normaltextrun"/>
          <w:shd w:val="clear" w:color="auto" w:fill="FFFFFF"/>
        </w:rPr>
        <w:t xml:space="preserve"> en </w:t>
      </w:r>
      <w:r w:rsidRPr="006D6D67" w:rsidR="001956E6">
        <w:rPr>
          <w:rStyle w:val="normaltextrun"/>
          <w:shd w:val="clear" w:color="auto" w:fill="FFFFFF"/>
        </w:rPr>
        <w:t>het regeerprogramma</w:t>
      </w:r>
      <w:r w:rsidRPr="006D6D67">
        <w:rPr>
          <w:rStyle w:val="normaltextrun"/>
          <w:shd w:val="clear" w:color="auto" w:fill="FFFFFF"/>
        </w:rPr>
        <w:t xml:space="preserve"> wordt het belang </w:t>
      </w:r>
      <w:r w:rsidRPr="006D6D67" w:rsidR="00561FAF">
        <w:rPr>
          <w:rStyle w:val="normaltextrun"/>
          <w:shd w:val="clear" w:color="auto" w:fill="FFFFFF"/>
        </w:rPr>
        <w:t>van rechtsbeginselen</w:t>
      </w:r>
      <w:r w:rsidRPr="006D6D67">
        <w:rPr>
          <w:rStyle w:val="normaltextrun"/>
          <w:shd w:val="clear" w:color="auto" w:fill="FFFFFF"/>
        </w:rPr>
        <w:t xml:space="preserve"> on</w:t>
      </w:r>
      <w:r w:rsidRPr="006D6D67" w:rsidR="001956E6">
        <w:rPr>
          <w:rStyle w:val="normaltextrun"/>
          <w:shd w:val="clear" w:color="auto" w:fill="FFFFFF"/>
        </w:rPr>
        <w:t>derkend</w:t>
      </w:r>
      <w:r w:rsidRPr="006D6D67">
        <w:rPr>
          <w:rStyle w:val="normaltextrun"/>
          <w:shd w:val="clear" w:color="auto" w:fill="FFFFFF"/>
        </w:rPr>
        <w:t>, maar word</w:t>
      </w:r>
      <w:r w:rsidRPr="006D6D67" w:rsidR="001956E6">
        <w:rPr>
          <w:rStyle w:val="normaltextrun"/>
          <w:shd w:val="clear" w:color="auto" w:fill="FFFFFF"/>
        </w:rPr>
        <w:t>en rechtsbeginselen</w:t>
      </w:r>
      <w:r w:rsidRPr="006D6D67">
        <w:rPr>
          <w:rStyle w:val="normaltextrun"/>
          <w:shd w:val="clear" w:color="auto" w:fill="FFFFFF"/>
        </w:rPr>
        <w:t xml:space="preserve"> niet in verband gebracht </w:t>
      </w:r>
      <w:r w:rsidRPr="006D6D67" w:rsidR="001956E6">
        <w:rPr>
          <w:rStyle w:val="normaltextrun"/>
          <w:shd w:val="clear" w:color="auto" w:fill="FFFFFF"/>
        </w:rPr>
        <w:t xml:space="preserve">met de invoering van constitutionele toetsing en de instelling van een </w:t>
      </w:r>
      <w:r w:rsidRPr="006D6D67" w:rsidR="008620C6">
        <w:rPr>
          <w:rStyle w:val="normaltextrun"/>
          <w:shd w:val="clear" w:color="auto" w:fill="FFFFFF"/>
        </w:rPr>
        <w:t>grondwettelijk</w:t>
      </w:r>
      <w:r w:rsidRPr="006D6D67" w:rsidR="001956E6">
        <w:rPr>
          <w:rStyle w:val="normaltextrun"/>
          <w:shd w:val="clear" w:color="auto" w:fill="FFFFFF"/>
        </w:rPr>
        <w:t xml:space="preserve"> hof. </w:t>
      </w:r>
      <w:r w:rsidRPr="006D6D67">
        <w:rPr>
          <w:rStyle w:val="normaltextrun"/>
          <w:shd w:val="clear" w:color="auto" w:fill="FFFFFF"/>
        </w:rPr>
        <w:t xml:space="preserve">Het </w:t>
      </w:r>
      <w:r w:rsidRPr="006D6D67" w:rsidR="00AD24DF">
        <w:rPr>
          <w:rStyle w:val="normaltextrun"/>
          <w:shd w:val="clear" w:color="auto" w:fill="FFFFFF"/>
        </w:rPr>
        <w:t xml:space="preserve">kabinet </w:t>
      </w:r>
      <w:r w:rsidRPr="006D6D67">
        <w:rPr>
          <w:rStyle w:val="normaltextrun"/>
          <w:shd w:val="clear" w:color="auto" w:fill="FFFFFF"/>
        </w:rPr>
        <w:t>kiest er</w:t>
      </w:r>
      <w:r w:rsidRPr="006D6D67" w:rsidR="00561FAF">
        <w:rPr>
          <w:rStyle w:val="normaltextrun"/>
          <w:shd w:val="clear" w:color="auto" w:fill="FFFFFF"/>
        </w:rPr>
        <w:t>,</w:t>
      </w:r>
      <w:r w:rsidRPr="006D6D67">
        <w:rPr>
          <w:rStyle w:val="normaltextrun"/>
          <w:shd w:val="clear" w:color="auto" w:fill="FFFFFF"/>
        </w:rPr>
        <w:t xml:space="preserve"> mede gelet </w:t>
      </w:r>
      <w:r w:rsidRPr="006D6D67" w:rsidR="00AD24DF">
        <w:rPr>
          <w:rStyle w:val="normaltextrun"/>
          <w:shd w:val="clear" w:color="auto" w:fill="FFFFFF"/>
        </w:rPr>
        <w:t xml:space="preserve">op </w:t>
      </w:r>
      <w:r w:rsidRPr="006D6D67">
        <w:rPr>
          <w:rStyle w:val="normaltextrun"/>
          <w:shd w:val="clear" w:color="auto" w:fill="FFFFFF"/>
        </w:rPr>
        <w:t>bovengenoemde afwegingen</w:t>
      </w:r>
      <w:r w:rsidRPr="006D6D67" w:rsidR="00561FAF">
        <w:rPr>
          <w:rStyle w:val="normaltextrun"/>
          <w:shd w:val="clear" w:color="auto" w:fill="FFFFFF"/>
        </w:rPr>
        <w:t>,</w:t>
      </w:r>
      <w:r w:rsidRPr="006D6D67">
        <w:rPr>
          <w:rStyle w:val="normaltextrun"/>
          <w:shd w:val="clear" w:color="auto" w:fill="FFFFFF"/>
        </w:rPr>
        <w:t xml:space="preserve"> niet voor</w:t>
      </w:r>
      <w:r w:rsidRPr="006D6D67" w:rsidR="001956E6">
        <w:rPr>
          <w:rStyle w:val="normaltextrun"/>
          <w:shd w:val="clear" w:color="auto" w:fill="FFFFFF"/>
        </w:rPr>
        <w:t xml:space="preserve"> om in de Grondwet te expliciteren dat het toetsingsverbod ten aanzien van het evenredigheidsbeginsel komt te vervallen.</w:t>
      </w:r>
    </w:p>
    <w:bookmarkEnd w:id="2"/>
    <w:p w:rsidRPr="006D6D67" w:rsidR="008D096B" w:rsidP="007472AA" w:rsidRDefault="008D096B" w14:paraId="70596FF2" w14:textId="77777777">
      <w:pPr>
        <w:spacing w:line="276" w:lineRule="auto"/>
        <w:rPr>
          <w:rFonts w:eastAsiaTheme="minorEastAsia"/>
          <w:kern w:val="2"/>
          <w14:ligatures w14:val="standardContextual"/>
        </w:rPr>
      </w:pPr>
    </w:p>
    <w:p w:rsidRPr="006D6D67" w:rsidR="008D096B" w:rsidP="007472AA" w:rsidRDefault="00912AE9" w14:paraId="1621A351" w14:textId="39E289DA">
      <w:pPr>
        <w:spacing w:line="276" w:lineRule="auto"/>
        <w:rPr>
          <w:rFonts w:eastAsia="Arial"/>
          <w:bCs/>
          <w:i/>
          <w:iCs/>
          <w:kern w:val="2"/>
          <w14:ligatures w14:val="standardContextual"/>
        </w:rPr>
      </w:pPr>
      <w:r w:rsidRPr="006D6D67">
        <w:rPr>
          <w:rFonts w:eastAsia="Arial"/>
          <w:bCs/>
          <w:i/>
          <w:iCs/>
          <w:kern w:val="2"/>
          <w14:ligatures w14:val="standardContextual"/>
        </w:rPr>
        <w:t xml:space="preserve">2.3 </w:t>
      </w:r>
      <w:r w:rsidRPr="006D6D67" w:rsidR="008D096B">
        <w:rPr>
          <w:rFonts w:eastAsia="Arial"/>
          <w:bCs/>
          <w:i/>
          <w:iCs/>
          <w:kern w:val="2"/>
          <w14:ligatures w14:val="standardContextual"/>
        </w:rPr>
        <w:t>De grondwettelijke beperkingssystematiek</w:t>
      </w:r>
    </w:p>
    <w:p w:rsidRPr="006D6D67" w:rsidR="00CC1232" w:rsidP="007472AA" w:rsidRDefault="00CC1232" w14:paraId="0DC4C200" w14:textId="77777777">
      <w:pPr>
        <w:spacing w:line="276" w:lineRule="auto"/>
        <w:rPr>
          <w:rFonts w:eastAsia="Times New Roman"/>
        </w:rPr>
      </w:pPr>
    </w:p>
    <w:p w:rsidRPr="006D6D67" w:rsidR="00CC1232" w:rsidP="007472AA" w:rsidRDefault="00A760E2" w14:paraId="2D2D2FD5" w14:textId="703AC826">
      <w:pPr>
        <w:pBdr>
          <w:top w:val="single" w:color="auto" w:sz="4" w:space="1"/>
          <w:left w:val="single" w:color="auto" w:sz="4" w:space="4"/>
          <w:bottom w:val="single" w:color="auto" w:sz="4" w:space="1"/>
          <w:right w:val="single" w:color="auto" w:sz="4" w:space="4"/>
        </w:pBdr>
        <w:spacing w:line="276" w:lineRule="auto"/>
        <w:rPr>
          <w:rFonts w:eastAsia="Times New Roman"/>
        </w:rPr>
      </w:pPr>
      <w:r w:rsidRPr="008B32A2">
        <w:rPr>
          <w:rFonts w:eastAsia="Times New Roman"/>
        </w:rPr>
        <w:t xml:space="preserve">Toetsing van wetten aan de Grondwet betekent dat wordt beoordeeld of een wettelijke beperking op een grondrecht daarop geen te grote inbreuk maakt. Het kabinet beziet of per grondrecht afzonderlijk wordt geformuleerd welke </w:t>
      </w:r>
      <w:r w:rsidRPr="008B32A2" w:rsidR="00A72E2F">
        <w:rPr>
          <w:rFonts w:eastAsia="Times New Roman"/>
        </w:rPr>
        <w:t>beperking</w:t>
      </w:r>
      <w:r w:rsidRPr="008B32A2">
        <w:rPr>
          <w:rFonts w:eastAsia="Times New Roman"/>
        </w:rPr>
        <w:t xml:space="preserve"> daarop wordt toegestaan, of door middel van één algemene beperkingenclausule. In het laatste geval kan worden volstaan met de in de Grondwet op te nemen norm dat een wettelijke beperking op een grondrecht moet voldoen aan de criteria van noodzaak, proportionaliteit en subsidiariteit.</w:t>
      </w:r>
      <w:r>
        <w:rPr>
          <w:rFonts w:eastAsia="Times New Roman"/>
        </w:rPr>
        <w:t xml:space="preserve"> </w:t>
      </w:r>
      <w:bookmarkStart w:name="_Hlk182319097" w:id="3"/>
    </w:p>
    <w:bookmarkEnd w:id="3"/>
    <w:p w:rsidRPr="006D6D67" w:rsidR="00CC1232" w:rsidP="007472AA" w:rsidRDefault="00CC1232" w14:paraId="23D61E0B" w14:textId="77777777">
      <w:pPr>
        <w:spacing w:line="276" w:lineRule="auto"/>
        <w:rPr>
          <w:rFonts w:eastAsia="Times New Roman"/>
        </w:rPr>
      </w:pPr>
    </w:p>
    <w:p w:rsidRPr="006D6D67" w:rsidR="008E38AB" w:rsidP="007472AA" w:rsidRDefault="00C674FA" w14:paraId="1BC6731F" w14:textId="3B3DD68B">
      <w:pPr>
        <w:spacing w:line="276" w:lineRule="auto"/>
        <w:rPr>
          <w:rFonts w:eastAsia="Times New Roman"/>
        </w:rPr>
      </w:pPr>
      <w:r w:rsidRPr="006D6D67">
        <w:rPr>
          <w:rFonts w:eastAsia="Times New Roman"/>
        </w:rPr>
        <w:t xml:space="preserve">Het vraagstuk </w:t>
      </w:r>
      <w:r w:rsidRPr="008B32A2">
        <w:rPr>
          <w:rFonts w:eastAsia="Times New Roman"/>
        </w:rPr>
        <w:t xml:space="preserve">van </w:t>
      </w:r>
      <w:r w:rsidRPr="008B32A2" w:rsidR="00A760E2">
        <w:rPr>
          <w:rFonts w:eastAsia="Times New Roman"/>
        </w:rPr>
        <w:t xml:space="preserve">proportioneel </w:t>
      </w:r>
      <w:r w:rsidRPr="008B32A2">
        <w:rPr>
          <w:rFonts w:eastAsia="Times New Roman"/>
        </w:rPr>
        <w:t>overheidsoptreden</w:t>
      </w:r>
      <w:r w:rsidRPr="006D6D67">
        <w:rPr>
          <w:rFonts w:eastAsia="Times New Roman"/>
        </w:rPr>
        <w:t xml:space="preserve"> speelt ook in relatie tot de </w:t>
      </w:r>
      <w:r w:rsidRPr="006D6D67" w:rsidR="008D096B">
        <w:rPr>
          <w:rFonts w:eastAsia="Times New Roman"/>
        </w:rPr>
        <w:t>grondwettelijke beperkingssystematiek</w:t>
      </w:r>
      <w:r w:rsidRPr="006D6D67">
        <w:rPr>
          <w:rFonts w:eastAsia="Times New Roman"/>
        </w:rPr>
        <w:t xml:space="preserve"> van grondrechten. Deze systematiek is in haar huidige vorm</w:t>
      </w:r>
      <w:r w:rsidRPr="006D6D67" w:rsidR="008D096B">
        <w:rPr>
          <w:rFonts w:eastAsia="Times New Roman"/>
        </w:rPr>
        <w:t xml:space="preserve"> vrij procedureel ingestoken: er wordt in de </w:t>
      </w:r>
      <w:r w:rsidRPr="006D6D67" w:rsidR="0023270D">
        <w:rPr>
          <w:rFonts w:eastAsia="Times New Roman"/>
        </w:rPr>
        <w:t xml:space="preserve">beperkingsclausules van de verschillende grondrechtelijke bepalingen van de </w:t>
      </w:r>
      <w:r w:rsidRPr="006D6D67" w:rsidR="008D096B">
        <w:rPr>
          <w:rFonts w:eastAsia="Times New Roman"/>
        </w:rPr>
        <w:t xml:space="preserve">Grondwet vooral aandacht besteed aan de vraag </w:t>
      </w:r>
      <w:r w:rsidRPr="006D6D67" w:rsidR="008D096B">
        <w:rPr>
          <w:rFonts w:eastAsia="Times New Roman"/>
          <w:i/>
        </w:rPr>
        <w:t xml:space="preserve">wie </w:t>
      </w:r>
      <w:r w:rsidRPr="006D6D67" w:rsidR="008D096B">
        <w:rPr>
          <w:rFonts w:eastAsia="Times New Roman"/>
        </w:rPr>
        <w:t>een grondrecht mag beperken.</w:t>
      </w:r>
      <w:r w:rsidRPr="006D6D67" w:rsidR="004E1CF0">
        <w:rPr>
          <w:rStyle w:val="Voetnootmarkering"/>
          <w:rFonts w:eastAsia="Times New Roman"/>
        </w:rPr>
        <w:footnoteReference w:id="23"/>
      </w:r>
      <w:r w:rsidRPr="006D6D67" w:rsidR="008D096B">
        <w:rPr>
          <w:rFonts w:eastAsia="Times New Roman"/>
        </w:rPr>
        <w:t xml:space="preserve"> Naast competentievoorschriften komen in de beperkingsclausules ook doelcriteria en </w:t>
      </w:r>
      <w:r w:rsidRPr="006D6D67" w:rsidR="008D096B">
        <w:rPr>
          <w:rFonts w:eastAsia="Times New Roman"/>
        </w:rPr>
        <w:lastRenderedPageBreak/>
        <w:t xml:space="preserve">procedure- en vormvoorschriften voor. </w:t>
      </w:r>
      <w:r w:rsidRPr="006D6D67" w:rsidR="005327DD">
        <w:rPr>
          <w:rFonts w:eastAsia="Times New Roman"/>
        </w:rPr>
        <w:t>De</w:t>
      </w:r>
      <w:r w:rsidR="00A760E2">
        <w:rPr>
          <w:rFonts w:eastAsia="Times New Roman"/>
        </w:rPr>
        <w:t xml:space="preserve"> </w:t>
      </w:r>
      <w:r w:rsidRPr="008B32A2" w:rsidR="00A760E2">
        <w:rPr>
          <w:rFonts w:eastAsia="Times New Roman"/>
        </w:rPr>
        <w:t>criteria van noodzaak, proportionaliteit</w:t>
      </w:r>
      <w:r w:rsidRPr="008B32A2" w:rsidR="008D096B">
        <w:rPr>
          <w:rFonts w:eastAsia="Times New Roman"/>
        </w:rPr>
        <w:t xml:space="preserve"> en subsidiariteit zijn </w:t>
      </w:r>
      <w:r w:rsidRPr="008B32A2" w:rsidR="005327DD">
        <w:rPr>
          <w:rFonts w:eastAsia="Times New Roman"/>
        </w:rPr>
        <w:t xml:space="preserve">daarentegen </w:t>
      </w:r>
      <w:r w:rsidRPr="008B32A2" w:rsidR="008D096B">
        <w:rPr>
          <w:rFonts w:eastAsia="Times New Roman"/>
        </w:rPr>
        <w:t>niet expl</w:t>
      </w:r>
      <w:r w:rsidRPr="006D6D67" w:rsidR="008D096B">
        <w:rPr>
          <w:rFonts w:eastAsia="Times New Roman"/>
        </w:rPr>
        <w:t xml:space="preserve">iciet in de Grondwet verankerd. Dit </w:t>
      </w:r>
      <w:r w:rsidRPr="006D6D67" w:rsidR="005327DD">
        <w:rPr>
          <w:rFonts w:eastAsia="Times New Roman"/>
        </w:rPr>
        <w:t xml:space="preserve">kan ertoe leiden </w:t>
      </w:r>
      <w:r w:rsidRPr="006D6D67" w:rsidR="008D096B">
        <w:rPr>
          <w:rFonts w:eastAsia="Times New Roman"/>
        </w:rPr>
        <w:t>dat de rechter</w:t>
      </w:r>
      <w:r w:rsidRPr="006D6D67" w:rsidR="005327DD">
        <w:rPr>
          <w:rFonts w:eastAsia="Times New Roman"/>
        </w:rPr>
        <w:t>, en meer in het bijzonder het grondwettelijk hof, na de gedeeltelijke opheffing van het toetsingsverbod</w:t>
      </w:r>
      <w:r w:rsidRPr="006D6D67" w:rsidR="008D096B">
        <w:rPr>
          <w:rFonts w:eastAsia="Times New Roman"/>
        </w:rPr>
        <w:t xml:space="preserve"> </w:t>
      </w:r>
      <w:r w:rsidRPr="006D6D67" w:rsidR="005327DD">
        <w:rPr>
          <w:rFonts w:eastAsia="Times New Roman"/>
        </w:rPr>
        <w:t xml:space="preserve">niet goed uit de voeten kan met zijn </w:t>
      </w:r>
      <w:r w:rsidRPr="006D6D67" w:rsidR="0089570C">
        <w:rPr>
          <w:rFonts w:eastAsia="Times New Roman"/>
        </w:rPr>
        <w:t>nieuwverworven</w:t>
      </w:r>
      <w:r w:rsidRPr="006D6D67" w:rsidR="005327DD">
        <w:rPr>
          <w:rFonts w:eastAsia="Times New Roman"/>
        </w:rPr>
        <w:t xml:space="preserve"> bevoegdheid om wetten aan de Grondwet te toetsen</w:t>
      </w:r>
      <w:r w:rsidRPr="006D6D67" w:rsidR="006F12C3">
        <w:rPr>
          <w:rFonts w:eastAsia="Times New Roman"/>
        </w:rPr>
        <w:t>, omdat daarin nauwelijks inhoudelijke vereisten zijn opgenomen waaraan hij een grondrechtenbeperking kan toetsen</w:t>
      </w:r>
      <w:r w:rsidRPr="006D6D67" w:rsidR="005327DD">
        <w:rPr>
          <w:rFonts w:eastAsia="Times New Roman"/>
        </w:rPr>
        <w:t xml:space="preserve">. </w:t>
      </w:r>
      <w:r w:rsidRPr="006D6D67" w:rsidR="00F63649">
        <w:rPr>
          <w:rFonts w:eastAsia="Times New Roman"/>
        </w:rPr>
        <w:t xml:space="preserve">Als bijvoorbeeld de vrijheid van vereniging </w:t>
      </w:r>
      <w:r w:rsidRPr="006D6D67" w:rsidR="00871133">
        <w:rPr>
          <w:rFonts w:eastAsia="Times New Roman"/>
        </w:rPr>
        <w:t>(</w:t>
      </w:r>
      <w:r w:rsidRPr="006D6D67" w:rsidR="003E241B">
        <w:rPr>
          <w:rFonts w:eastAsia="Times New Roman"/>
        </w:rPr>
        <w:t>als bedoeld in artikel 8 Grondwet</w:t>
      </w:r>
      <w:r w:rsidRPr="006D6D67" w:rsidR="00871133">
        <w:rPr>
          <w:rFonts w:eastAsia="Times New Roman"/>
        </w:rPr>
        <w:t>)</w:t>
      </w:r>
      <w:r w:rsidRPr="006D6D67" w:rsidR="003E241B">
        <w:rPr>
          <w:rFonts w:eastAsia="Times New Roman"/>
        </w:rPr>
        <w:t xml:space="preserve"> </w:t>
      </w:r>
      <w:r w:rsidRPr="006D6D67" w:rsidR="00F63649">
        <w:rPr>
          <w:rFonts w:eastAsia="Times New Roman"/>
        </w:rPr>
        <w:t xml:space="preserve">wordt beperkt, kan de rechter </w:t>
      </w:r>
      <w:r w:rsidRPr="006D6D67" w:rsidR="00CB68F9">
        <w:rPr>
          <w:rFonts w:eastAsia="Times New Roman"/>
        </w:rPr>
        <w:t>uitgaande van</w:t>
      </w:r>
      <w:r w:rsidRPr="006D6D67" w:rsidR="00530C2C">
        <w:rPr>
          <w:rFonts w:eastAsia="Times New Roman"/>
        </w:rPr>
        <w:t xml:space="preserve"> </w:t>
      </w:r>
      <w:r w:rsidRPr="006D6D67" w:rsidR="003E241B">
        <w:rPr>
          <w:rFonts w:eastAsia="Times New Roman"/>
        </w:rPr>
        <w:t>de tekst van</w:t>
      </w:r>
      <w:r w:rsidRPr="006D6D67" w:rsidR="00F63649">
        <w:rPr>
          <w:rFonts w:eastAsia="Times New Roman"/>
        </w:rPr>
        <w:t xml:space="preserve"> </w:t>
      </w:r>
      <w:r w:rsidRPr="006D6D67" w:rsidR="003E241B">
        <w:rPr>
          <w:rFonts w:eastAsia="Times New Roman"/>
        </w:rPr>
        <w:t>deze bepaling</w:t>
      </w:r>
      <w:r w:rsidRPr="006D6D67" w:rsidR="00F63649">
        <w:rPr>
          <w:rFonts w:eastAsia="Times New Roman"/>
        </w:rPr>
        <w:t xml:space="preserve"> alleen toetsen of de beperking is neergelegd in een wet in formele zin en</w:t>
      </w:r>
      <w:r w:rsidRPr="006D6D67" w:rsidR="00E571F9">
        <w:rPr>
          <w:rFonts w:eastAsia="Times New Roman"/>
        </w:rPr>
        <w:t xml:space="preserve"> of</w:t>
      </w:r>
      <w:r w:rsidRPr="006D6D67" w:rsidR="00E16FF6">
        <w:rPr>
          <w:rFonts w:eastAsia="Times New Roman"/>
        </w:rPr>
        <w:t xml:space="preserve"> </w:t>
      </w:r>
      <w:r w:rsidRPr="006D6D67" w:rsidR="00C3348E">
        <w:rPr>
          <w:rFonts w:eastAsia="Times New Roman"/>
        </w:rPr>
        <w:t>de beperking</w:t>
      </w:r>
      <w:r w:rsidRPr="006D6D67" w:rsidR="00F84F5E">
        <w:rPr>
          <w:rFonts w:eastAsia="Times New Roman"/>
        </w:rPr>
        <w:t xml:space="preserve"> in het belang van de openbare orde </w:t>
      </w:r>
      <w:r w:rsidRPr="006D6D67" w:rsidR="00C3348E">
        <w:rPr>
          <w:rFonts w:eastAsia="Times New Roman"/>
        </w:rPr>
        <w:t>plaatsvindt</w:t>
      </w:r>
      <w:r w:rsidRPr="006D6D67" w:rsidR="00F63649">
        <w:rPr>
          <w:rFonts w:eastAsia="Times New Roman"/>
        </w:rPr>
        <w:t xml:space="preserve">. </w:t>
      </w:r>
      <w:r w:rsidR="00A760E2">
        <w:rPr>
          <w:rFonts w:eastAsia="Times New Roman"/>
        </w:rPr>
        <w:t>Omdat i</w:t>
      </w:r>
      <w:r w:rsidRPr="006D6D67" w:rsidR="0082521E">
        <w:rPr>
          <w:rFonts w:eastAsia="Times New Roman"/>
        </w:rPr>
        <w:t>n</w:t>
      </w:r>
      <w:r w:rsidRPr="006D6D67" w:rsidR="00530C2C">
        <w:rPr>
          <w:rFonts w:eastAsia="Times New Roman"/>
        </w:rPr>
        <w:t xml:space="preserve"> de tekst van deze bepaling </w:t>
      </w:r>
      <w:r w:rsidRPr="006D6D67" w:rsidR="0082521E">
        <w:rPr>
          <w:rFonts w:eastAsia="Times New Roman"/>
        </w:rPr>
        <w:t xml:space="preserve">geen eis </w:t>
      </w:r>
      <w:r w:rsidR="00A760E2">
        <w:rPr>
          <w:rFonts w:eastAsia="Times New Roman"/>
        </w:rPr>
        <w:t xml:space="preserve">is </w:t>
      </w:r>
      <w:r w:rsidRPr="006D6D67" w:rsidR="0082521E">
        <w:rPr>
          <w:rFonts w:eastAsia="Times New Roman"/>
        </w:rPr>
        <w:t>opgenomen op grond waarvan</w:t>
      </w:r>
      <w:r w:rsidRPr="006D6D67" w:rsidR="00530C2C">
        <w:rPr>
          <w:rFonts w:eastAsia="Times New Roman"/>
        </w:rPr>
        <w:t xml:space="preserve"> de rechter</w:t>
      </w:r>
      <w:r w:rsidRPr="006D6D67" w:rsidR="00B92F54">
        <w:rPr>
          <w:rFonts w:eastAsia="Times New Roman"/>
        </w:rPr>
        <w:t xml:space="preserve"> </w:t>
      </w:r>
      <w:r w:rsidRPr="006D6D67" w:rsidR="0082521E">
        <w:rPr>
          <w:rFonts w:eastAsia="Times New Roman"/>
        </w:rPr>
        <w:t>kan</w:t>
      </w:r>
      <w:r w:rsidRPr="006D6D67" w:rsidR="00530C2C">
        <w:rPr>
          <w:rFonts w:eastAsia="Times New Roman"/>
        </w:rPr>
        <w:t xml:space="preserve"> toetsen of de beperking geschikt en noodzakelijk is ter bereiking van het gestelde doel en of er </w:t>
      </w:r>
      <w:r w:rsidR="00A760E2">
        <w:rPr>
          <w:rFonts w:eastAsia="Times New Roman"/>
        </w:rPr>
        <w:t>g</w:t>
      </w:r>
      <w:r w:rsidRPr="006D6D67" w:rsidR="00530C2C">
        <w:rPr>
          <w:rFonts w:eastAsia="Times New Roman"/>
        </w:rPr>
        <w:t xml:space="preserve">een </w:t>
      </w:r>
      <w:r w:rsidRPr="008B32A2" w:rsidR="0095699A">
        <w:rPr>
          <w:rFonts w:eastAsia="Times New Roman"/>
        </w:rPr>
        <w:t>disproportionele</w:t>
      </w:r>
      <w:r w:rsidRPr="006D6D67" w:rsidR="00530C2C">
        <w:rPr>
          <w:rFonts w:eastAsia="Times New Roman"/>
        </w:rPr>
        <w:t xml:space="preserve"> verhouding bestaat tussen het doel van de bepaling en de aantasting van het grondrecht</w:t>
      </w:r>
      <w:r w:rsidR="00A760E2">
        <w:rPr>
          <w:rFonts w:eastAsia="Times New Roman"/>
        </w:rPr>
        <w:t>, is de rechter v</w:t>
      </w:r>
      <w:r w:rsidRPr="006D6D67" w:rsidR="004B1E41">
        <w:rPr>
          <w:rFonts w:eastAsia="Times New Roman"/>
        </w:rPr>
        <w:t xml:space="preserve">oor het bieden van rechtsbescherming </w:t>
      </w:r>
      <w:r w:rsidRPr="006D6D67" w:rsidR="00C95FD6">
        <w:rPr>
          <w:rFonts w:eastAsia="Times New Roman"/>
        </w:rPr>
        <w:t>dan</w:t>
      </w:r>
      <w:r w:rsidRPr="006D6D67" w:rsidR="004B1E41">
        <w:rPr>
          <w:rFonts w:eastAsia="Times New Roman"/>
        </w:rPr>
        <w:t xml:space="preserve"> alsnog aangewezen op de bepalingen van het EVRM en het EU-Handvest, omdat daarin wel een expliciete </w:t>
      </w:r>
      <w:r w:rsidRPr="008B32A2" w:rsidR="00A760E2">
        <w:rPr>
          <w:rFonts w:eastAsia="Times New Roman"/>
        </w:rPr>
        <w:t>toetsingsmaatstaf</w:t>
      </w:r>
      <w:r w:rsidRPr="006D6D67" w:rsidR="004B1E41">
        <w:rPr>
          <w:rFonts w:eastAsia="Times New Roman"/>
        </w:rPr>
        <w:t xml:space="preserve"> is opgenomen. </w:t>
      </w:r>
      <w:r w:rsidRPr="006D6D67" w:rsidR="00681A98">
        <w:rPr>
          <w:rFonts w:eastAsia="Times New Roman"/>
        </w:rPr>
        <w:t xml:space="preserve">Dit </w:t>
      </w:r>
      <w:r w:rsidRPr="006D6D67" w:rsidR="002528D8">
        <w:rPr>
          <w:rFonts w:eastAsia="Times New Roman"/>
        </w:rPr>
        <w:t>kan een belemmering vormen voor</w:t>
      </w:r>
      <w:r w:rsidRPr="006D6D67" w:rsidR="00681A98">
        <w:rPr>
          <w:rFonts w:eastAsia="Times New Roman"/>
        </w:rPr>
        <w:t xml:space="preserve"> de ontwikkeling van een eigen, nationale invulling van grondrechten en zorgt er</w:t>
      </w:r>
      <w:r w:rsidRPr="006D6D67" w:rsidR="002528D8">
        <w:rPr>
          <w:rFonts w:eastAsia="Times New Roman"/>
        </w:rPr>
        <w:t xml:space="preserve"> daardoor </w:t>
      </w:r>
      <w:r w:rsidRPr="006D6D67" w:rsidR="00681A98">
        <w:rPr>
          <w:rFonts w:eastAsia="Times New Roman"/>
        </w:rPr>
        <w:t>voor dat</w:t>
      </w:r>
      <w:r w:rsidRPr="006D6D67" w:rsidR="008D096B">
        <w:rPr>
          <w:rFonts w:eastAsia="Times New Roman"/>
        </w:rPr>
        <w:t xml:space="preserve"> de meerwaarde van toetsing aan de grondwettelijk verankerde grondrechten van geringe betekenis </w:t>
      </w:r>
      <w:r w:rsidRPr="006D6D67" w:rsidR="00681A98">
        <w:rPr>
          <w:rFonts w:eastAsia="Times New Roman"/>
        </w:rPr>
        <w:t xml:space="preserve">is </w:t>
      </w:r>
      <w:r w:rsidRPr="006D6D67" w:rsidR="008D096B">
        <w:rPr>
          <w:rFonts w:eastAsia="Times New Roman"/>
        </w:rPr>
        <w:t>ten opzichte van het huidige systeem</w:t>
      </w:r>
      <w:r w:rsidRPr="006D6D67" w:rsidR="005327DD">
        <w:rPr>
          <w:rFonts w:eastAsia="Times New Roman"/>
        </w:rPr>
        <w:t xml:space="preserve">, waarin wetten alleen aan </w:t>
      </w:r>
      <w:r w:rsidRPr="006D6D67" w:rsidR="006E5E23">
        <w:rPr>
          <w:rFonts w:eastAsia="Times New Roman"/>
        </w:rPr>
        <w:t>een ieder verbindende verdragsbepalingen</w:t>
      </w:r>
      <w:r w:rsidRPr="006D6D67" w:rsidR="005327DD">
        <w:rPr>
          <w:rFonts w:eastAsia="Times New Roman"/>
        </w:rPr>
        <w:t xml:space="preserve"> en het Unierecht kunnen worden getoetst</w:t>
      </w:r>
      <w:r w:rsidRPr="006D6D67" w:rsidR="008D096B">
        <w:rPr>
          <w:rFonts w:eastAsia="Times New Roman"/>
        </w:rPr>
        <w:t>.</w:t>
      </w:r>
    </w:p>
    <w:p w:rsidRPr="006D6D67" w:rsidR="00CB10DA" w:rsidP="007472AA" w:rsidRDefault="00CB10DA" w14:paraId="55A84034" w14:textId="77777777">
      <w:pPr>
        <w:spacing w:line="276" w:lineRule="auto"/>
        <w:rPr>
          <w:rFonts w:eastAsia="Times New Roman"/>
        </w:rPr>
      </w:pPr>
    </w:p>
    <w:p w:rsidRPr="008B32A2" w:rsidR="008D096B" w:rsidP="007472AA" w:rsidRDefault="008D096B" w14:paraId="086BBFE5" w14:textId="236E2556">
      <w:pPr>
        <w:spacing w:line="276" w:lineRule="auto"/>
        <w:rPr>
          <w:rFonts w:eastAsia="Times New Roman"/>
        </w:rPr>
      </w:pPr>
      <w:r w:rsidRPr="006D6D67">
        <w:rPr>
          <w:rFonts w:eastAsia="Times New Roman"/>
        </w:rPr>
        <w:t xml:space="preserve">Om dit probleem te </w:t>
      </w:r>
      <w:r w:rsidRPr="008B32A2">
        <w:rPr>
          <w:rFonts w:eastAsia="Times New Roman"/>
        </w:rPr>
        <w:t>ondervangen,</w:t>
      </w:r>
      <w:r w:rsidRPr="008B32A2" w:rsidR="00A760E2">
        <w:rPr>
          <w:rFonts w:eastAsia="Times New Roman"/>
        </w:rPr>
        <w:t xml:space="preserve"> stelt het kabinet voor</w:t>
      </w:r>
      <w:r w:rsidRPr="008B32A2">
        <w:rPr>
          <w:rFonts w:eastAsia="Times New Roman"/>
        </w:rPr>
        <w:t xml:space="preserve"> </w:t>
      </w:r>
      <w:r w:rsidRPr="008B32A2" w:rsidR="00A760E2">
        <w:rPr>
          <w:rFonts w:eastAsia="Times New Roman"/>
        </w:rPr>
        <w:t>om</w:t>
      </w:r>
      <w:r w:rsidRPr="008B32A2">
        <w:rPr>
          <w:rFonts w:eastAsia="Times New Roman"/>
        </w:rPr>
        <w:t xml:space="preserve"> de grondwettelijke beperkingssystematiek aan te vullen met </w:t>
      </w:r>
      <w:r w:rsidRPr="008B32A2" w:rsidR="00A760E2">
        <w:rPr>
          <w:rFonts w:eastAsia="Times New Roman"/>
        </w:rPr>
        <w:t>de toetsingscriteria van noodzaak, proportionaliteit en subsidiariteit</w:t>
      </w:r>
      <w:r w:rsidRPr="008B32A2">
        <w:rPr>
          <w:rFonts w:eastAsia="Times New Roman"/>
        </w:rPr>
        <w:t>. Onderzoekers van de Universiteit Maastricht schetsen</w:t>
      </w:r>
      <w:r w:rsidRPr="008B32A2" w:rsidR="00B3634A">
        <w:rPr>
          <w:rFonts w:eastAsia="Times New Roman"/>
        </w:rPr>
        <w:t xml:space="preserve"> hiervoor</w:t>
      </w:r>
      <w:r w:rsidRPr="008B32A2">
        <w:rPr>
          <w:rFonts w:eastAsia="Times New Roman"/>
        </w:rPr>
        <w:t xml:space="preserve"> twee mogelijkheden: ofwel in de toelichting op het grondwetsvoorstel wordt vermeld dat van de rechter wordt verwacht dat hij bij toetsing van de wetten aan de Grondwet ook de</w:t>
      </w:r>
      <w:r w:rsidRPr="008B32A2" w:rsidR="00A760E2">
        <w:rPr>
          <w:rFonts w:eastAsia="Times New Roman"/>
        </w:rPr>
        <w:t>ze criteria</w:t>
      </w:r>
      <w:r w:rsidRPr="008B32A2">
        <w:rPr>
          <w:rFonts w:eastAsia="Times New Roman"/>
        </w:rPr>
        <w:t xml:space="preserve"> in zijn oordeel zal betrekken, ofwel de grondwettelijke beperkingssystematiek wordt in de Grondwet zelf aangepast.</w:t>
      </w:r>
      <w:r w:rsidRPr="008B32A2">
        <w:rPr>
          <w:rFonts w:eastAsia="Times New Roman"/>
          <w:vertAlign w:val="superscript"/>
        </w:rPr>
        <w:footnoteReference w:id="24"/>
      </w:r>
    </w:p>
    <w:p w:rsidRPr="008B32A2" w:rsidR="008D096B" w:rsidP="007472AA" w:rsidRDefault="008D096B" w14:paraId="28AD602D" w14:textId="77777777">
      <w:pPr>
        <w:spacing w:line="276" w:lineRule="auto"/>
        <w:rPr>
          <w:rFonts w:eastAsia="Times New Roman" w:cstheme="minorHAnsi"/>
        </w:rPr>
      </w:pPr>
    </w:p>
    <w:p w:rsidRPr="006D6D67" w:rsidR="00095AE4" w:rsidP="003576D2" w:rsidRDefault="008D096B" w14:paraId="25A89A04" w14:textId="04FDBCE2">
      <w:pPr>
        <w:spacing w:line="276" w:lineRule="auto"/>
        <w:rPr>
          <w:rFonts w:eastAsia="Times New Roman"/>
        </w:rPr>
      </w:pPr>
      <w:r w:rsidRPr="008B32A2">
        <w:rPr>
          <w:rFonts w:eastAsia="Times New Roman"/>
        </w:rPr>
        <w:t xml:space="preserve">Het kabinet voelt voor een aanpassing van de grondwettelijke beperkingssystematiek </w:t>
      </w:r>
      <w:r w:rsidRPr="008B32A2" w:rsidR="00B3634A">
        <w:rPr>
          <w:rFonts w:eastAsia="Times New Roman"/>
        </w:rPr>
        <w:t>via</w:t>
      </w:r>
      <w:r w:rsidRPr="008B32A2" w:rsidR="00587E29">
        <w:rPr>
          <w:rFonts w:eastAsia="Times New Roman"/>
        </w:rPr>
        <w:t xml:space="preserve"> </w:t>
      </w:r>
      <w:r w:rsidRPr="008B32A2">
        <w:rPr>
          <w:rFonts w:eastAsia="Times New Roman"/>
        </w:rPr>
        <w:t xml:space="preserve">een wijziging van de Grondwet. </w:t>
      </w:r>
      <w:r w:rsidRPr="008B32A2" w:rsidR="00183AD4">
        <w:rPr>
          <w:rFonts w:eastAsia="Times New Roman"/>
        </w:rPr>
        <w:t>Het kabinet beziet of per grondrecht afzonderlijk wordt geformuleerd welke beperking daarop wordt toegestaan, of door middel van één algemene beperkingenclausule.</w:t>
      </w:r>
      <w:r w:rsidRPr="008B32A2" w:rsidR="00D4391B">
        <w:rPr>
          <w:rFonts w:eastAsia="Times New Roman"/>
        </w:rPr>
        <w:t xml:space="preserve"> Als, </w:t>
      </w:r>
      <w:r w:rsidRPr="008B32A2" w:rsidR="00AF4448">
        <w:rPr>
          <w:rFonts w:eastAsia="Times New Roman"/>
        </w:rPr>
        <w:t xml:space="preserve">naar analogie van bijvoorbeeld het </w:t>
      </w:r>
      <w:r w:rsidRPr="008B32A2" w:rsidR="00AA16BE">
        <w:rPr>
          <w:rFonts w:eastAsia="Times New Roman"/>
        </w:rPr>
        <w:t>EU-Handvest</w:t>
      </w:r>
      <w:r w:rsidRPr="008B32A2" w:rsidR="00AF4448">
        <w:rPr>
          <w:rFonts w:eastAsia="Times New Roman"/>
        </w:rPr>
        <w:t>,</w:t>
      </w:r>
      <w:r w:rsidRPr="008B32A2" w:rsidR="00AF4448">
        <w:rPr>
          <w:rStyle w:val="Voetnootmarkering"/>
          <w:rFonts w:eastAsia="Times New Roman"/>
        </w:rPr>
        <w:footnoteReference w:id="25"/>
      </w:r>
      <w:r w:rsidRPr="008B32A2">
        <w:rPr>
          <w:rFonts w:eastAsia="Times New Roman"/>
        </w:rPr>
        <w:t xml:space="preserve"> </w:t>
      </w:r>
      <w:r w:rsidRPr="008B32A2" w:rsidR="00D4391B">
        <w:rPr>
          <w:rFonts w:eastAsia="Times New Roman"/>
        </w:rPr>
        <w:t xml:space="preserve">wordt gekozen voor </w:t>
      </w:r>
      <w:r w:rsidRPr="008B32A2">
        <w:rPr>
          <w:rFonts w:eastAsia="Times New Roman"/>
        </w:rPr>
        <w:t>één algemene, aanvullende beperkingsclausule</w:t>
      </w:r>
      <w:r w:rsidRPr="008B32A2" w:rsidR="00D4391B">
        <w:rPr>
          <w:rFonts w:eastAsia="Times New Roman"/>
        </w:rPr>
        <w:t>, kan daarin</w:t>
      </w:r>
      <w:r w:rsidRPr="008B32A2">
        <w:rPr>
          <w:rFonts w:eastAsia="Times New Roman"/>
        </w:rPr>
        <w:t xml:space="preserve"> </w:t>
      </w:r>
      <w:r w:rsidRPr="008B32A2" w:rsidR="00D4391B">
        <w:rPr>
          <w:rFonts w:eastAsia="Times New Roman"/>
        </w:rPr>
        <w:t xml:space="preserve">worden bepaald dat de beperking van het grondrecht geschikt en noodzakelijk is om het gestelde doel te bereiken en dat </w:t>
      </w:r>
      <w:r w:rsidRPr="008B32A2" w:rsidR="00D4391B">
        <w:rPr>
          <w:rFonts w:eastAsia="Times New Roman"/>
        </w:rPr>
        <w:lastRenderedPageBreak/>
        <w:t>er een proportionele verhouding bestaat tussen het doel van de beperking en de aantasting van het grondrecht</w:t>
      </w:r>
      <w:r w:rsidRPr="008B32A2">
        <w:rPr>
          <w:rFonts w:eastAsia="Times New Roman"/>
        </w:rPr>
        <w:t>.</w:t>
      </w:r>
      <w:r w:rsidRPr="008B32A2" w:rsidR="008A26A8">
        <w:rPr>
          <w:rStyle w:val="Voetnootmarkering"/>
          <w:rFonts w:eastAsia="Times New Roman"/>
        </w:rPr>
        <w:footnoteReference w:id="26"/>
      </w:r>
      <w:r w:rsidRPr="008B32A2">
        <w:rPr>
          <w:rFonts w:eastAsia="Times New Roman"/>
        </w:rPr>
        <w:t xml:space="preserve"> </w:t>
      </w:r>
      <w:r w:rsidRPr="008B32A2" w:rsidR="009378CD">
        <w:rPr>
          <w:rFonts w:eastAsia="Times New Roman"/>
        </w:rPr>
        <w:t>Die algemene norm richt</w:t>
      </w:r>
      <w:r w:rsidRPr="006D6D67" w:rsidR="009378CD">
        <w:rPr>
          <w:rFonts w:eastAsia="Times New Roman"/>
        </w:rPr>
        <w:t xml:space="preserve"> zich tot wetgever, bestuur en rechter. </w:t>
      </w:r>
      <w:r w:rsidRPr="006D6D67">
        <w:rPr>
          <w:rFonts w:eastAsia="Times New Roman"/>
        </w:rPr>
        <w:t xml:space="preserve">Op die manier is de rechter niet meer </w:t>
      </w:r>
      <w:r w:rsidRPr="006D6D67" w:rsidR="00E920AD">
        <w:rPr>
          <w:rFonts w:eastAsia="Times New Roman"/>
        </w:rPr>
        <w:t>aangewezen op bepalingen in verdragen</w:t>
      </w:r>
      <w:r w:rsidRPr="006D6D67">
        <w:rPr>
          <w:rFonts w:eastAsia="Times New Roman"/>
        </w:rPr>
        <w:t xml:space="preserve">, maar kan eigenstandig aan de Grondwet worden getoetst. </w:t>
      </w:r>
      <w:bookmarkEnd w:id="0"/>
    </w:p>
    <w:p w:rsidRPr="006D6D67" w:rsidR="00852F60" w:rsidP="007472AA" w:rsidRDefault="00852F60" w14:paraId="75D36A74" w14:textId="77777777">
      <w:pPr>
        <w:autoSpaceDN/>
        <w:spacing w:line="276" w:lineRule="auto"/>
        <w:textAlignment w:val="auto"/>
        <w:rPr>
          <w:rFonts w:eastAsiaTheme="minorEastAsia" w:cstheme="minorBidi"/>
          <w:b/>
          <w:bCs/>
          <w:color w:val="auto"/>
          <w:kern w:val="2"/>
          <w:lang w:eastAsia="en-US"/>
          <w14:ligatures w14:val="standardContextual"/>
        </w:rPr>
      </w:pPr>
    </w:p>
    <w:p w:rsidRPr="006D6D67" w:rsidR="00D90A1B" w:rsidP="007472AA" w:rsidRDefault="00320668" w14:paraId="1CA6B019" w14:textId="19458670">
      <w:pPr>
        <w:pStyle w:val="Lijstalinea"/>
        <w:numPr>
          <w:ilvl w:val="0"/>
          <w:numId w:val="5"/>
        </w:numPr>
        <w:spacing w:line="276" w:lineRule="auto"/>
        <w:rPr>
          <w:rFonts w:eastAsia="Calibri" w:cs="Times New Roman"/>
          <w:b/>
          <w:bCs/>
        </w:rPr>
      </w:pPr>
      <w:r w:rsidRPr="006D6D67">
        <w:rPr>
          <w:b/>
          <w:bCs/>
        </w:rPr>
        <w:t>Rechtsbescherming door een</w:t>
      </w:r>
      <w:r w:rsidRPr="006D6D67" w:rsidR="00C22F95">
        <w:rPr>
          <w:b/>
          <w:bCs/>
        </w:rPr>
        <w:t xml:space="preserve"> grondwettelijk hof</w:t>
      </w:r>
    </w:p>
    <w:p w:rsidRPr="006D6D67" w:rsidR="00AA512F" w:rsidP="007472AA" w:rsidRDefault="00AA512F" w14:paraId="046EE16B" w14:textId="2DC920BF">
      <w:pPr>
        <w:spacing w:line="276" w:lineRule="auto"/>
        <w:rPr>
          <w:rFonts w:eastAsia="Calibri" w:cs="Times New Roman"/>
          <w:color w:val="auto"/>
          <w:lang w:eastAsia="en-US"/>
        </w:rPr>
      </w:pPr>
    </w:p>
    <w:tbl>
      <w:tblPr>
        <w:tblStyle w:val="Tabelraster"/>
        <w:tblW w:w="0" w:type="auto"/>
        <w:tblInd w:w="0" w:type="dxa"/>
        <w:tblLook w:val="04A0" w:firstRow="1" w:lastRow="0" w:firstColumn="1" w:lastColumn="0" w:noHBand="0" w:noVBand="1"/>
      </w:tblPr>
      <w:tblGrid>
        <w:gridCol w:w="7531"/>
      </w:tblGrid>
      <w:tr w:rsidRPr="006D6D67" w:rsidR="00D90A1B" w:rsidTr="002E3E1A" w14:paraId="75618336" w14:textId="77777777">
        <w:trPr>
          <w:trHeight w:val="841"/>
        </w:trPr>
        <w:tc>
          <w:tcPr>
            <w:tcW w:w="7531" w:type="dxa"/>
          </w:tcPr>
          <w:p w:rsidRPr="006D6D67" w:rsidR="00AC43B3" w:rsidP="007472AA" w:rsidRDefault="00C72BE0" w14:paraId="12704238" w14:textId="7DD1DEEE">
            <w:pPr>
              <w:spacing w:line="276" w:lineRule="auto"/>
              <w:rPr>
                <w:rFonts w:eastAsia="Calibri" w:cs="Times New Roman"/>
              </w:rPr>
            </w:pPr>
            <w:r w:rsidRPr="006D6D67">
              <w:rPr>
                <w:rFonts w:eastAsia="Calibri" w:cs="Times New Roman"/>
              </w:rPr>
              <w:t>Een grondwettelijk hof biedt een sterke waarborg voor onze democratische rechtsstaat en belichaamt op tastbare wijze de belangrijke positie van de Grondwet in ons staatsbestel en de rechtsbescherming die burgers aan de Grondwet kunnen ontlenen.</w:t>
            </w:r>
            <w:r w:rsidRPr="006D6D67" w:rsidR="00F40556">
              <w:rPr>
                <w:rFonts w:eastAsia="Calibri" w:cs="Times New Roman"/>
              </w:rPr>
              <w:t xml:space="preserve"> Door snel een beslissend oordeel te geven over de grondwettigheid van wetgeving</w:t>
            </w:r>
            <w:r w:rsidRPr="006D6D67" w:rsidR="00C92981">
              <w:rPr>
                <w:rFonts w:eastAsia="Calibri" w:cs="Times New Roman"/>
              </w:rPr>
              <w:t>, lagere regelgeving en besluiten</w:t>
            </w:r>
            <w:r w:rsidRPr="006D6D67" w:rsidR="00F40556">
              <w:rPr>
                <w:rFonts w:eastAsia="Calibri" w:cs="Times New Roman"/>
              </w:rPr>
              <w:t xml:space="preserve">, kan </w:t>
            </w:r>
            <w:r w:rsidRPr="006D6D67" w:rsidR="00B25427">
              <w:rPr>
                <w:rFonts w:eastAsia="Calibri" w:cs="Times New Roman"/>
              </w:rPr>
              <w:t xml:space="preserve">het hof </w:t>
            </w:r>
            <w:r w:rsidRPr="006D6D67" w:rsidR="00F40556">
              <w:rPr>
                <w:rFonts w:eastAsia="Calibri" w:cs="Times New Roman"/>
              </w:rPr>
              <w:t>bijdragen aan de effectieve rechtsbescherming van burgers in grondrechtelijke geschillen</w:t>
            </w:r>
            <w:r w:rsidRPr="006D6D67" w:rsidR="003C040B">
              <w:rPr>
                <w:rFonts w:eastAsia="Calibri" w:cs="Times New Roman"/>
              </w:rPr>
              <w:t xml:space="preserve"> en aan de totstandkoming van een constitutionele cultuur</w:t>
            </w:r>
            <w:r w:rsidRPr="006D6D67" w:rsidR="00F40556">
              <w:rPr>
                <w:rFonts w:eastAsia="Calibri" w:cs="Times New Roman"/>
              </w:rPr>
              <w:t>.</w:t>
            </w:r>
            <w:r w:rsidRPr="006D6D67" w:rsidR="00040633">
              <w:rPr>
                <w:rFonts w:eastAsia="Calibri" w:cs="Times New Roman"/>
              </w:rPr>
              <w:t xml:space="preserve"> Naast het buiten toepassing laten</w:t>
            </w:r>
            <w:r w:rsidRPr="006D6D67" w:rsidR="00406F99">
              <w:rPr>
                <w:rFonts w:eastAsia="Calibri" w:cs="Times New Roman"/>
              </w:rPr>
              <w:t xml:space="preserve"> </w:t>
            </w:r>
            <w:r w:rsidRPr="006D6D67" w:rsidR="00040633">
              <w:rPr>
                <w:rFonts w:eastAsia="Calibri" w:cs="Times New Roman"/>
              </w:rPr>
              <w:t xml:space="preserve">in een concreet geval is </w:t>
            </w:r>
            <w:r w:rsidRPr="006D6D67" w:rsidR="003757EF">
              <w:rPr>
                <w:rFonts w:eastAsia="Calibri" w:cs="Times New Roman"/>
              </w:rPr>
              <w:t xml:space="preserve">het </w:t>
            </w:r>
            <w:r w:rsidRPr="006D6D67" w:rsidR="00040633">
              <w:rPr>
                <w:rFonts w:eastAsia="Calibri" w:cs="Times New Roman"/>
              </w:rPr>
              <w:t>e</w:t>
            </w:r>
            <w:r w:rsidRPr="006D6D67" w:rsidR="00D61658">
              <w:rPr>
                <w:rFonts w:eastAsia="Calibri" w:cs="Times New Roman"/>
              </w:rPr>
              <w:t xml:space="preserve">en optie </w:t>
            </w:r>
            <w:r w:rsidRPr="006D6D67" w:rsidR="009F7615">
              <w:rPr>
                <w:rFonts w:eastAsia="Calibri" w:cs="Times New Roman"/>
              </w:rPr>
              <w:t xml:space="preserve">om aan </w:t>
            </w:r>
            <w:r w:rsidRPr="006D6D67" w:rsidR="006E29D5">
              <w:rPr>
                <w:rFonts w:eastAsia="Calibri" w:cs="Times New Roman"/>
              </w:rPr>
              <w:t xml:space="preserve">het hof </w:t>
            </w:r>
            <w:r w:rsidRPr="006D6D67" w:rsidR="00A80833">
              <w:rPr>
                <w:rFonts w:eastAsia="Calibri" w:cs="Times New Roman"/>
              </w:rPr>
              <w:t>de bevoegdheid toe te kennen om een norm die</w:t>
            </w:r>
            <w:r w:rsidRPr="006D6D67" w:rsidR="006E29D5">
              <w:rPr>
                <w:rFonts w:eastAsia="Calibri" w:cs="Times New Roman"/>
              </w:rPr>
              <w:t xml:space="preserve"> strijd</w:t>
            </w:r>
            <w:r w:rsidRPr="006D6D67" w:rsidR="00A80833">
              <w:rPr>
                <w:rFonts w:eastAsia="Calibri" w:cs="Times New Roman"/>
              </w:rPr>
              <w:t>ig is bevonden</w:t>
            </w:r>
            <w:r w:rsidRPr="006D6D67" w:rsidR="006E29D5">
              <w:rPr>
                <w:rFonts w:eastAsia="Calibri" w:cs="Times New Roman"/>
              </w:rPr>
              <w:t xml:space="preserve"> met de Grondwet</w:t>
            </w:r>
            <w:r w:rsidRPr="006D6D67" w:rsidR="00A80833">
              <w:rPr>
                <w:rFonts w:eastAsia="Calibri" w:cs="Times New Roman"/>
              </w:rPr>
              <w:t>,</w:t>
            </w:r>
            <w:r w:rsidRPr="006D6D67" w:rsidR="006E29D5">
              <w:rPr>
                <w:rFonts w:eastAsia="Calibri" w:cs="Times New Roman"/>
              </w:rPr>
              <w:t xml:space="preserve"> te </w:t>
            </w:r>
            <w:r w:rsidRPr="006D6D67" w:rsidR="00B25427">
              <w:rPr>
                <w:rFonts w:eastAsia="Calibri" w:cs="Times New Roman"/>
              </w:rPr>
              <w:t>vernietig</w:t>
            </w:r>
            <w:r w:rsidRPr="006D6D67" w:rsidR="006E29D5">
              <w:rPr>
                <w:rFonts w:eastAsia="Calibri" w:cs="Times New Roman"/>
              </w:rPr>
              <w:t>en</w:t>
            </w:r>
            <w:r w:rsidRPr="006D6D67" w:rsidR="00B25427">
              <w:rPr>
                <w:rFonts w:eastAsia="Calibri" w:cs="Times New Roman"/>
              </w:rPr>
              <w:t xml:space="preserve">. </w:t>
            </w:r>
            <w:r w:rsidRPr="006D6D67" w:rsidR="006E29D5">
              <w:rPr>
                <w:rFonts w:eastAsia="Calibri" w:cs="Times New Roman"/>
              </w:rPr>
              <w:t xml:space="preserve">Vernietiging is een vergaande consequentie die </w:t>
            </w:r>
            <w:r w:rsidRPr="006D6D67" w:rsidR="00B25427">
              <w:rPr>
                <w:rFonts w:eastAsia="Calibri" w:cs="Times New Roman"/>
              </w:rPr>
              <w:t>diep ingrijpt in de bestaande verhouding tussen de wetgevende en de rechtsprekende macht.</w:t>
            </w:r>
            <w:r w:rsidRPr="006D6D67" w:rsidR="006E29D5">
              <w:rPr>
                <w:rFonts w:eastAsia="Calibri" w:cs="Times New Roman"/>
              </w:rPr>
              <w:t xml:space="preserve"> </w:t>
            </w:r>
            <w:r w:rsidRPr="006D6D67" w:rsidR="003757EF">
              <w:rPr>
                <w:rFonts w:eastAsia="Calibri" w:cs="Times New Roman"/>
              </w:rPr>
              <w:t>In de lidstaten van de Europese Unie die een grondwettelijk hof hebben, he</w:t>
            </w:r>
            <w:r w:rsidRPr="006D6D67" w:rsidR="00E7494A">
              <w:rPr>
                <w:rFonts w:eastAsia="Calibri" w:cs="Times New Roman"/>
              </w:rPr>
              <w:t>bben hoven</w:t>
            </w:r>
            <w:r w:rsidRPr="006D6D67" w:rsidR="003757EF">
              <w:rPr>
                <w:rFonts w:eastAsia="Calibri" w:cs="Times New Roman"/>
              </w:rPr>
              <w:t xml:space="preserve"> de mogelijkheid van vernietiging in het arsenaal van bevoegdheden. </w:t>
            </w:r>
            <w:r w:rsidRPr="006D6D67" w:rsidR="007A329D">
              <w:rPr>
                <w:rFonts w:eastAsia="Calibri" w:cs="Times New Roman"/>
              </w:rPr>
              <w:t xml:space="preserve">Bezien moet </w:t>
            </w:r>
            <w:r w:rsidRPr="006D6D67" w:rsidR="00D61658">
              <w:rPr>
                <w:rFonts w:eastAsia="Calibri" w:cs="Times New Roman"/>
              </w:rPr>
              <w:t xml:space="preserve">worden of deze </w:t>
            </w:r>
            <w:r w:rsidRPr="006D6D67" w:rsidR="0050664B">
              <w:rPr>
                <w:rFonts w:eastAsia="Calibri" w:cs="Times New Roman"/>
              </w:rPr>
              <w:t>bevoegdheid</w:t>
            </w:r>
            <w:r w:rsidRPr="006D6D67" w:rsidR="00D61658">
              <w:rPr>
                <w:rFonts w:eastAsia="Calibri" w:cs="Times New Roman"/>
              </w:rPr>
              <w:t xml:space="preserve"> past bij het Nederlandse systeem. </w:t>
            </w:r>
            <w:r w:rsidRPr="006D6D67" w:rsidR="00DE447B">
              <w:rPr>
                <w:rFonts w:eastAsia="Calibri" w:cs="Times New Roman"/>
              </w:rPr>
              <w:t xml:space="preserve">Zo bestaat het risico op een te grote verschuiving in de checks </w:t>
            </w:r>
            <w:proofErr w:type="spellStart"/>
            <w:r w:rsidRPr="006D6D67" w:rsidR="00DE447B">
              <w:rPr>
                <w:rFonts w:eastAsia="Calibri" w:cs="Times New Roman"/>
              </w:rPr>
              <w:t>and</w:t>
            </w:r>
            <w:proofErr w:type="spellEnd"/>
            <w:r w:rsidRPr="006D6D67" w:rsidR="00DE447B">
              <w:rPr>
                <w:rFonts w:eastAsia="Calibri" w:cs="Times New Roman"/>
              </w:rPr>
              <w:t xml:space="preserve"> </w:t>
            </w:r>
            <w:proofErr w:type="spellStart"/>
            <w:r w:rsidRPr="006D6D67" w:rsidR="00DE447B">
              <w:rPr>
                <w:rFonts w:eastAsia="Calibri" w:cs="Times New Roman"/>
              </w:rPr>
              <w:t>balances</w:t>
            </w:r>
            <w:proofErr w:type="spellEnd"/>
            <w:r w:rsidRPr="006D6D67" w:rsidR="00DE447B">
              <w:rPr>
                <w:rFonts w:eastAsia="Calibri" w:cs="Times New Roman"/>
              </w:rPr>
              <w:t xml:space="preserve"> tussen de staatsmachten, terwijl minder vergaande bevoegdheden voor het hof ook </w:t>
            </w:r>
            <w:r w:rsidRPr="006D6D67" w:rsidR="007A329D">
              <w:rPr>
                <w:rFonts w:eastAsia="Calibri" w:cs="Times New Roman"/>
              </w:rPr>
              <w:t>een signaalfunctie hebben</w:t>
            </w:r>
            <w:r w:rsidRPr="006D6D67" w:rsidR="00DE447B">
              <w:rPr>
                <w:rFonts w:eastAsia="Calibri" w:cs="Times New Roman"/>
              </w:rPr>
              <w:t xml:space="preserve">. </w:t>
            </w:r>
            <w:r w:rsidRPr="006D6D67" w:rsidR="00D61658">
              <w:rPr>
                <w:rFonts w:eastAsia="Calibri" w:cs="Times New Roman"/>
              </w:rPr>
              <w:t xml:space="preserve">Ook moet gewezen worden op de verhouding tussen het </w:t>
            </w:r>
            <w:r w:rsidRPr="006D6D67" w:rsidR="003757EF">
              <w:rPr>
                <w:rFonts w:eastAsia="Calibri" w:cs="Times New Roman"/>
              </w:rPr>
              <w:t>grondwettelijk</w:t>
            </w:r>
            <w:r w:rsidRPr="006D6D67" w:rsidR="00D61658">
              <w:rPr>
                <w:rFonts w:eastAsia="Calibri" w:cs="Times New Roman"/>
              </w:rPr>
              <w:t xml:space="preserve"> hof en andere hoge rechterlijke colleges, zoals de Hoge Raad. </w:t>
            </w:r>
            <w:r w:rsidRPr="006D6D67" w:rsidR="00A60BC7">
              <w:rPr>
                <w:rFonts w:eastAsia="Calibri" w:cs="Times New Roman"/>
              </w:rPr>
              <w:t>Als gekozen wordt voor vernietiging, zou h</w:t>
            </w:r>
            <w:r w:rsidRPr="006D6D67" w:rsidR="00B25427">
              <w:rPr>
                <w:rFonts w:eastAsia="Calibri" w:cs="Times New Roman"/>
              </w:rPr>
              <w:t xml:space="preserve">et kabinet het daarom gepast </w:t>
            </w:r>
            <w:r w:rsidRPr="006D6D67" w:rsidR="009F7615">
              <w:rPr>
                <w:rFonts w:eastAsia="Calibri" w:cs="Times New Roman"/>
              </w:rPr>
              <w:t xml:space="preserve">vinden </w:t>
            </w:r>
            <w:r w:rsidRPr="006D6D67" w:rsidR="00B25427">
              <w:rPr>
                <w:rFonts w:eastAsia="Calibri" w:cs="Times New Roman"/>
              </w:rPr>
              <w:t xml:space="preserve">deze bevoegdheid uitsluitend </w:t>
            </w:r>
            <w:r w:rsidRPr="006D6D67" w:rsidR="006E29D5">
              <w:rPr>
                <w:rFonts w:eastAsia="Calibri" w:cs="Times New Roman"/>
              </w:rPr>
              <w:t xml:space="preserve">aan het grondwettelijk hof </w:t>
            </w:r>
            <w:r w:rsidRPr="006D6D67" w:rsidR="00B25427">
              <w:rPr>
                <w:rFonts w:eastAsia="Calibri" w:cs="Times New Roman"/>
              </w:rPr>
              <w:t xml:space="preserve">toe te kennen. </w:t>
            </w:r>
          </w:p>
          <w:p w:rsidRPr="006D6D67" w:rsidR="002E3E1A" w:rsidP="002E3E1A" w:rsidRDefault="00AC43B3" w14:paraId="56E39F42" w14:textId="2B307231">
            <w:pPr>
              <w:spacing w:line="276" w:lineRule="auto"/>
            </w:pPr>
            <w:r w:rsidRPr="006D6D67">
              <w:t>De keuzes die het kabinet maakt ten aanzien van de toegang tot en de bevoegdheden van het grondwettelijk hof hebben gevolgen voor de taken en bevoegdheden van de bestaande rechterlijke instanties. Het kabinet zal de rechterlijke instanties betrekken bij de verdere uitwerking van deze keuzes.</w:t>
            </w:r>
            <w:r w:rsidRPr="006D6D67" w:rsidR="005B7261">
              <w:rPr>
                <w:i/>
                <w:iCs/>
                <w:sz w:val="20"/>
                <w:szCs w:val="20"/>
              </w:rPr>
              <w:t xml:space="preserve"> </w:t>
            </w:r>
          </w:p>
        </w:tc>
      </w:tr>
    </w:tbl>
    <w:p w:rsidRPr="006D6D67" w:rsidR="00D90A1B" w:rsidP="007472AA" w:rsidRDefault="00D90A1B" w14:paraId="32B3FFEE" w14:textId="77777777">
      <w:pPr>
        <w:spacing w:line="276" w:lineRule="auto"/>
        <w:rPr>
          <w:rFonts w:eastAsia="Calibri" w:cs="Times New Roman"/>
        </w:rPr>
      </w:pPr>
    </w:p>
    <w:p w:rsidRPr="006D6D67" w:rsidR="007A329D" w:rsidP="007472AA" w:rsidRDefault="00320668" w14:paraId="316115B8" w14:textId="1D0419CE">
      <w:pPr>
        <w:spacing w:line="276" w:lineRule="auto"/>
        <w:rPr>
          <w:rFonts w:eastAsia="Calibri" w:cs="Times New Roman"/>
        </w:rPr>
      </w:pPr>
      <w:r w:rsidRPr="006D6D67">
        <w:rPr>
          <w:rFonts w:eastAsia="Calibri" w:cs="Times New Roman"/>
        </w:rPr>
        <w:t>Toetsing aan grondrechten kan op verschillende manieren institutioneel worden vormgegeven. Speerpunt van dit kabinet is om in verband met deze toetsing een voorname rol toe te bedelen aan een grondwettelijk hof.</w:t>
      </w:r>
      <w:r w:rsidRPr="006D6D67" w:rsidR="00BE1B02">
        <w:rPr>
          <w:rStyle w:val="Voetnootmarkering"/>
          <w:rFonts w:eastAsia="Calibri" w:cs="Times New Roman"/>
        </w:rPr>
        <w:footnoteReference w:id="27"/>
      </w:r>
      <w:r w:rsidRPr="006D6D67">
        <w:rPr>
          <w:rFonts w:eastAsia="Calibri" w:cs="Times New Roman"/>
        </w:rPr>
        <w:t xml:space="preserve"> </w:t>
      </w:r>
      <w:r w:rsidRPr="006D6D67" w:rsidR="00AF5F22">
        <w:rPr>
          <w:rFonts w:eastAsia="Calibri" w:cs="Times New Roman"/>
        </w:rPr>
        <w:t>De eerste</w:t>
      </w:r>
      <w:r w:rsidRPr="006D6D67" w:rsidR="002F14B1">
        <w:rPr>
          <w:rFonts w:eastAsia="Calibri" w:cs="Times New Roman"/>
        </w:rPr>
        <w:t xml:space="preserve"> </w:t>
      </w:r>
      <w:r w:rsidRPr="006D6D67" w:rsidR="006A6D34">
        <w:rPr>
          <w:rFonts w:eastAsia="Calibri" w:cs="Times New Roman"/>
        </w:rPr>
        <w:t xml:space="preserve">overweging </w:t>
      </w:r>
      <w:r w:rsidRPr="006D6D67" w:rsidR="006A6D34">
        <w:rPr>
          <w:rFonts w:eastAsia="Calibri" w:cs="Times New Roman"/>
        </w:rPr>
        <w:lastRenderedPageBreak/>
        <w:t xml:space="preserve">hierbij is dat zo’n speciale grondwettelijke instantie </w:t>
      </w:r>
      <w:r w:rsidRPr="006D6D67" w:rsidR="00FF0EC0">
        <w:rPr>
          <w:rFonts w:eastAsia="Calibri" w:cs="Times New Roman"/>
        </w:rPr>
        <w:t xml:space="preserve">relatief snel een </w:t>
      </w:r>
      <w:r w:rsidRPr="006D6D67" w:rsidR="001021BD">
        <w:rPr>
          <w:rFonts w:eastAsia="Calibri" w:cs="Times New Roman"/>
        </w:rPr>
        <w:t xml:space="preserve">beslissend </w:t>
      </w:r>
      <w:r w:rsidRPr="006D6D67" w:rsidR="00FF0EC0">
        <w:rPr>
          <w:rFonts w:eastAsia="Calibri" w:cs="Times New Roman"/>
        </w:rPr>
        <w:t xml:space="preserve">oordeel </w:t>
      </w:r>
      <w:r w:rsidRPr="006D6D67" w:rsidR="006A6D34">
        <w:rPr>
          <w:rFonts w:eastAsia="Calibri" w:cs="Times New Roman"/>
        </w:rPr>
        <w:t xml:space="preserve">kan vellen </w:t>
      </w:r>
      <w:r w:rsidRPr="006D6D67" w:rsidR="00FF0EC0">
        <w:rPr>
          <w:rFonts w:eastAsia="Calibri" w:cs="Times New Roman"/>
        </w:rPr>
        <w:t>over de grondwettigheid van wet</w:t>
      </w:r>
      <w:r w:rsidRPr="006D6D67" w:rsidR="00807BD5">
        <w:rPr>
          <w:rFonts w:eastAsia="Calibri" w:cs="Times New Roman"/>
        </w:rPr>
        <w:t>geving</w:t>
      </w:r>
      <w:r w:rsidRPr="006D6D67" w:rsidR="00FF0EC0">
        <w:rPr>
          <w:rFonts w:eastAsia="Calibri" w:cs="Times New Roman"/>
        </w:rPr>
        <w:t xml:space="preserve">. Het Nederlandse rechtsbestel kent verschillende waarborgen en instrumenten voor een effectieve rechtsbescherming van burgers en andere rechtzoekenden. Als gevolg van de wijze waarop het stelsel is ingericht, is het verkrijgen van effectieve rechtsbescherming soms wel een zaak van lange adem. Het kan jaren duren voordat een zaak de hoogste rechter bereikt. Waar zoiets fundamenteels als de grondwettigheid van </w:t>
      </w:r>
      <w:r w:rsidRPr="006D6D67" w:rsidR="00807BD5">
        <w:rPr>
          <w:rFonts w:eastAsia="Calibri" w:cs="Times New Roman"/>
        </w:rPr>
        <w:t>een wet</w:t>
      </w:r>
      <w:r w:rsidRPr="006D6D67" w:rsidR="00FF0EC0">
        <w:rPr>
          <w:rFonts w:eastAsia="Calibri" w:cs="Times New Roman"/>
        </w:rPr>
        <w:t xml:space="preserve"> ter discussie staat, is dat geen wenselijke situatie. </w:t>
      </w:r>
    </w:p>
    <w:p w:rsidRPr="006D6D67" w:rsidR="007A329D" w:rsidP="007472AA" w:rsidRDefault="007A329D" w14:paraId="0238CD26" w14:textId="77777777">
      <w:pPr>
        <w:spacing w:line="276" w:lineRule="auto"/>
        <w:rPr>
          <w:rFonts w:eastAsia="Calibri" w:cs="Times New Roman"/>
        </w:rPr>
      </w:pPr>
    </w:p>
    <w:p w:rsidRPr="006D6D67" w:rsidR="002F08DA" w:rsidP="007472AA" w:rsidRDefault="0022418F" w14:paraId="60A9DA50" w14:textId="47414AB2">
      <w:pPr>
        <w:spacing w:line="276" w:lineRule="auto"/>
        <w:rPr>
          <w:rFonts w:eastAsia="Calibri" w:cs="Times New Roman"/>
        </w:rPr>
      </w:pPr>
      <w:r w:rsidRPr="006D6D67">
        <w:rPr>
          <w:rFonts w:eastAsia="Calibri" w:cs="Times New Roman"/>
        </w:rPr>
        <w:t xml:space="preserve">Een </w:t>
      </w:r>
      <w:r w:rsidRPr="006D6D67" w:rsidR="00C246C1">
        <w:rPr>
          <w:rFonts w:eastAsia="Calibri" w:cs="Times New Roman"/>
        </w:rPr>
        <w:t>tweede</w:t>
      </w:r>
      <w:r w:rsidRPr="006D6D67" w:rsidR="002F14B1">
        <w:rPr>
          <w:rFonts w:eastAsia="Calibri" w:cs="Times New Roman"/>
        </w:rPr>
        <w:t xml:space="preserve"> overweging bij</w:t>
      </w:r>
      <w:r w:rsidRPr="006D6D67" w:rsidR="00FF0EC0">
        <w:rPr>
          <w:rFonts w:eastAsia="Calibri" w:cs="Times New Roman"/>
        </w:rPr>
        <w:t xml:space="preserve"> de instelling van een grondwettelijk hof </w:t>
      </w:r>
      <w:r w:rsidRPr="006D6D67">
        <w:rPr>
          <w:rFonts w:eastAsia="Calibri" w:cs="Times New Roman"/>
        </w:rPr>
        <w:t>is dat een dergelijke instantie kan bijdragen</w:t>
      </w:r>
      <w:r w:rsidRPr="006D6D67" w:rsidR="00FF0EC0">
        <w:rPr>
          <w:rFonts w:eastAsia="Calibri" w:cs="Times New Roman"/>
        </w:rPr>
        <w:t xml:space="preserve"> aan de ontwikkeling van een constitutionele cultuur in Nederland.</w:t>
      </w:r>
      <w:r w:rsidRPr="006D6D67">
        <w:rPr>
          <w:rFonts w:eastAsia="Calibri" w:cs="Times New Roman"/>
        </w:rPr>
        <w:t xml:space="preserve"> </w:t>
      </w:r>
      <w:r w:rsidRPr="006D6D67" w:rsidR="00336C10">
        <w:rPr>
          <w:rFonts w:eastAsia="Calibri" w:cs="Times New Roman"/>
        </w:rPr>
        <w:t xml:space="preserve">De Grondwet, de democratische rechtsstaat en grondrechten zijn fenomenen die naar de opvatting van </w:t>
      </w:r>
      <w:r w:rsidRPr="006D6D67" w:rsidR="002F14B1">
        <w:rPr>
          <w:rFonts w:eastAsia="Calibri" w:cs="Times New Roman"/>
        </w:rPr>
        <w:t>het kabinet</w:t>
      </w:r>
      <w:r w:rsidRPr="006D6D67" w:rsidR="00336C10">
        <w:rPr>
          <w:rFonts w:eastAsia="Calibri" w:cs="Times New Roman"/>
        </w:rPr>
        <w:t xml:space="preserve"> maatschappelijk op dit moment onvoldoende weerklank vinden. Alleen de invoering van rechterlijke constitutionele toetsing van wetgeving</w:t>
      </w:r>
      <w:r w:rsidRPr="006D6D67" w:rsidR="00ED6085">
        <w:rPr>
          <w:rFonts w:eastAsia="Calibri" w:cs="Times New Roman"/>
        </w:rPr>
        <w:t xml:space="preserve"> is </w:t>
      </w:r>
      <w:r w:rsidRPr="006D6D67" w:rsidR="00C974E1">
        <w:rPr>
          <w:rFonts w:eastAsia="Calibri" w:cs="Times New Roman"/>
        </w:rPr>
        <w:t xml:space="preserve">naar het oordeel van het kabinet </w:t>
      </w:r>
      <w:r w:rsidRPr="006D6D67" w:rsidR="00ED6085">
        <w:rPr>
          <w:rFonts w:eastAsia="Calibri" w:cs="Times New Roman"/>
        </w:rPr>
        <w:t>niet genoeg om hier verandering in te brengen. De genoemde fenomenen hebben ook een gezicht nodig. Met een gezaghebbend grondwettelijk hof kan dat gezicht volgens het kabinet worden gegeven.</w:t>
      </w:r>
    </w:p>
    <w:p w:rsidRPr="006D6D67" w:rsidR="002F08DA" w:rsidP="007472AA" w:rsidRDefault="002F08DA" w14:paraId="46AB1C76" w14:textId="77777777">
      <w:pPr>
        <w:spacing w:line="276" w:lineRule="auto"/>
        <w:rPr>
          <w:rFonts w:eastAsia="Calibri" w:cs="Times New Roman"/>
        </w:rPr>
      </w:pPr>
    </w:p>
    <w:p w:rsidRPr="006D6D67" w:rsidR="00FB2ED3" w:rsidP="007472AA" w:rsidRDefault="00AA79E7" w14:paraId="26E32582" w14:textId="77777777">
      <w:pPr>
        <w:spacing w:line="276" w:lineRule="auto"/>
        <w:rPr>
          <w:rFonts w:eastAsia="Calibri" w:cs="Times New Roman"/>
        </w:rPr>
      </w:pPr>
      <w:r w:rsidRPr="006D6D67">
        <w:rPr>
          <w:rFonts w:eastAsia="Calibri" w:cs="Times New Roman"/>
        </w:rPr>
        <w:t>Met d</w:t>
      </w:r>
      <w:r w:rsidRPr="006D6D67" w:rsidR="002F08DA">
        <w:rPr>
          <w:rFonts w:eastAsia="Calibri" w:cs="Times New Roman"/>
        </w:rPr>
        <w:t xml:space="preserve">e oprichting van een grondwettelijk hof zal </w:t>
      </w:r>
      <w:r w:rsidRPr="006D6D67">
        <w:rPr>
          <w:rFonts w:eastAsia="Calibri" w:cs="Times New Roman"/>
        </w:rPr>
        <w:t xml:space="preserve">ook </w:t>
      </w:r>
      <w:r w:rsidRPr="006D6D67" w:rsidR="002F08DA">
        <w:rPr>
          <w:rFonts w:eastAsia="Calibri" w:cs="Times New Roman"/>
        </w:rPr>
        <w:t xml:space="preserve">het belang </w:t>
      </w:r>
      <w:r w:rsidRPr="006D6D67">
        <w:rPr>
          <w:rFonts w:eastAsia="Calibri" w:cs="Times New Roman"/>
        </w:rPr>
        <w:t>toenemen</w:t>
      </w:r>
      <w:r w:rsidRPr="006D6D67" w:rsidR="002F08DA">
        <w:rPr>
          <w:rFonts w:eastAsia="Calibri" w:cs="Times New Roman"/>
        </w:rPr>
        <w:t xml:space="preserve"> van de aandacht die nu </w:t>
      </w:r>
      <w:r w:rsidRPr="006D6D67">
        <w:rPr>
          <w:rFonts w:eastAsia="Calibri" w:cs="Times New Roman"/>
        </w:rPr>
        <w:t>reeds</w:t>
      </w:r>
      <w:r w:rsidRPr="006D6D67" w:rsidR="002F08DA">
        <w:rPr>
          <w:rFonts w:eastAsia="Calibri" w:cs="Times New Roman"/>
        </w:rPr>
        <w:t xml:space="preserve"> door de bestaande instanties wordt gegeven aan deze onderwerpen. Het gaat dan niet </w:t>
      </w:r>
      <w:r w:rsidRPr="006D6D67">
        <w:rPr>
          <w:rFonts w:eastAsia="Calibri" w:cs="Times New Roman"/>
        </w:rPr>
        <w:t>alleen</w:t>
      </w:r>
      <w:r w:rsidRPr="006D6D67" w:rsidR="002F08DA">
        <w:rPr>
          <w:rFonts w:eastAsia="Calibri" w:cs="Times New Roman"/>
        </w:rPr>
        <w:t xml:space="preserve"> om de Eerste Kamer en de Afdeling advisering van de Raad van State, die in het kader van het wetgevingsproces structureel aandacht besteden aan de grondwettigheid en rechtsstatelijkheid van voorstellen. </w:t>
      </w:r>
      <w:r w:rsidRPr="006D6D67">
        <w:rPr>
          <w:rFonts w:eastAsia="Calibri" w:cs="Times New Roman"/>
        </w:rPr>
        <w:t xml:space="preserve">Ook de Tweede Kamer en het kabinet werken aan een verdere versterking van de bestaande toetsing van wetsvoorstellen aan de Grondwet. Naar aanleiding van een motie van het lid Omtzigt heeft de Tweede Kamer hiervoor een tijdelijke commissie grondrechten en constitutionele toetsing ingesteld. </w:t>
      </w:r>
    </w:p>
    <w:p w:rsidRPr="006D6D67" w:rsidR="007254B6" w:rsidP="007472AA" w:rsidRDefault="00AA79E7" w14:paraId="02DF0372" w14:textId="418CF924">
      <w:pPr>
        <w:spacing w:line="276" w:lineRule="auto"/>
        <w:rPr>
          <w:rFonts w:eastAsia="Calibri" w:cs="Times New Roman"/>
        </w:rPr>
      </w:pPr>
      <w:r w:rsidRPr="006D6D67">
        <w:rPr>
          <w:rFonts w:eastAsia="Calibri" w:cs="Times New Roman"/>
        </w:rPr>
        <w:t xml:space="preserve">Vanuit het ministerie van Binnenlandse Zaken en Koninkrijksrelaties worden verschillende stappen gezet om de constitutionele toets </w:t>
      </w:r>
      <w:r w:rsidRPr="006D6D67" w:rsidR="00FA23F9">
        <w:rPr>
          <w:rFonts w:eastAsia="Calibri" w:cs="Times New Roman"/>
        </w:rPr>
        <w:t>(</w:t>
      </w:r>
      <w:r w:rsidRPr="006D6D67">
        <w:rPr>
          <w:rFonts w:eastAsia="Calibri" w:cs="Times New Roman"/>
          <w:i/>
          <w:iCs/>
        </w:rPr>
        <w:t>ex ante</w:t>
      </w:r>
      <w:r w:rsidRPr="006D6D67" w:rsidR="00FA23F9">
        <w:rPr>
          <w:rFonts w:eastAsia="Calibri" w:cs="Times New Roman"/>
        </w:rPr>
        <w:t>)</w:t>
      </w:r>
      <w:r w:rsidRPr="006D6D67">
        <w:rPr>
          <w:rFonts w:eastAsia="Calibri" w:cs="Times New Roman"/>
        </w:rPr>
        <w:t xml:space="preserve"> steviger in het wetgevingsproces te verankeren, naast de verplichting dat in elk wetsvoorstel en elke algemene maatregel van bestuur in een aparte paragraaf aandacht wordt besteed aan de verenigbaarheid van het voorstel met de Grondwet, de grondrechten, het Europese en internationale recht en de beginselen van de rechtsstaat.</w:t>
      </w:r>
    </w:p>
    <w:p w:rsidRPr="006D6D67" w:rsidR="006F20C2" w:rsidP="007472AA" w:rsidRDefault="006F20C2" w14:paraId="1CB8CE09" w14:textId="77777777">
      <w:pPr>
        <w:spacing w:line="276" w:lineRule="auto"/>
        <w:rPr>
          <w:rFonts w:eastAsia="Calibri" w:cs="Times New Roman"/>
        </w:rPr>
      </w:pPr>
    </w:p>
    <w:p w:rsidRPr="006D6D67" w:rsidR="00D90A1B" w:rsidP="006F20C2" w:rsidRDefault="007254B6" w14:paraId="6B02F135" w14:textId="09C68883">
      <w:pPr>
        <w:rPr>
          <w:rStyle w:val="cf01"/>
          <w:rFonts w:ascii="Verdana" w:hAnsi="Verdana"/>
        </w:rPr>
      </w:pPr>
      <w:r w:rsidRPr="006D6D67">
        <w:rPr>
          <w:rStyle w:val="cf01"/>
          <w:rFonts w:ascii="Verdana" w:hAnsi="Verdana"/>
        </w:rPr>
        <w:t xml:space="preserve">Een laatste overweging bij de keuze voor een grondwettelijk hof is de vraag of aan een oordeel van ongrondwettigheid </w:t>
      </w:r>
      <w:proofErr w:type="spellStart"/>
      <w:r w:rsidRPr="006D6D67">
        <w:rPr>
          <w:rStyle w:val="cf01"/>
          <w:rFonts w:ascii="Verdana" w:hAnsi="Verdana"/>
        </w:rPr>
        <w:t>derdenwerking</w:t>
      </w:r>
      <w:proofErr w:type="spellEnd"/>
      <w:r w:rsidRPr="006D6D67">
        <w:rPr>
          <w:rStyle w:val="cf01"/>
          <w:rFonts w:ascii="Verdana" w:hAnsi="Verdana"/>
        </w:rPr>
        <w:t xml:space="preserve"> (dat wil zeggen: werking ook voor anderen dan de procespartijen in de concrete zaak) moet worden toegekend. Indien het kabinet voor een rechtsgevolg kiest dat </w:t>
      </w:r>
      <w:proofErr w:type="spellStart"/>
      <w:r w:rsidRPr="006D6D67">
        <w:rPr>
          <w:rStyle w:val="cf01"/>
          <w:rFonts w:ascii="Verdana" w:hAnsi="Verdana"/>
        </w:rPr>
        <w:t>derdenwerking</w:t>
      </w:r>
      <w:proofErr w:type="spellEnd"/>
      <w:r w:rsidRPr="006D6D67">
        <w:rPr>
          <w:rStyle w:val="cf01"/>
          <w:rFonts w:ascii="Verdana" w:hAnsi="Verdana"/>
        </w:rPr>
        <w:t xml:space="preserve"> heeft (zoals buitenwerking stellen of vernietiging), </w:t>
      </w:r>
      <w:r w:rsidRPr="001574E0" w:rsidR="00364461">
        <w:rPr>
          <w:rStyle w:val="cf01"/>
          <w:rFonts w:ascii="Verdana" w:hAnsi="Verdana"/>
        </w:rPr>
        <w:t>ligt het in de rede dat</w:t>
      </w:r>
      <w:r w:rsidRPr="006D6D67">
        <w:rPr>
          <w:rStyle w:val="cf01"/>
          <w:rFonts w:ascii="Verdana" w:hAnsi="Verdana"/>
        </w:rPr>
        <w:t xml:space="preserve"> deze wordt geconcentreerd bij één gespecialiseerde instantie: een grondwettelijk hof. </w:t>
      </w:r>
    </w:p>
    <w:p w:rsidRPr="006D6D67" w:rsidR="006F20C2" w:rsidP="006A494C" w:rsidRDefault="006F20C2" w14:paraId="3FE69656" w14:textId="77777777">
      <w:pPr>
        <w:rPr>
          <w:rFonts w:eastAsia="Calibri"/>
        </w:rPr>
      </w:pPr>
    </w:p>
    <w:p w:rsidRPr="006D6D67" w:rsidR="00CB7450" w:rsidP="009853D6" w:rsidRDefault="00CB7450" w14:paraId="1EBD7F10" w14:textId="42FA4794">
      <w:pPr>
        <w:autoSpaceDN/>
        <w:spacing w:line="276" w:lineRule="auto"/>
        <w:textAlignment w:val="auto"/>
        <w:rPr>
          <w:rFonts w:eastAsia="Calibri" w:cs="Times New Roman"/>
          <w:i/>
          <w:color w:val="auto"/>
          <w:lang w:eastAsia="en-US"/>
        </w:rPr>
      </w:pPr>
      <w:bookmarkStart w:name="_Hlk179624372" w:id="4"/>
      <w:r w:rsidRPr="006D6D67">
        <w:rPr>
          <w:rFonts w:eastAsia="Calibri" w:cs="Times New Roman"/>
          <w:i/>
          <w:iCs/>
          <w:color w:val="auto"/>
          <w:lang w:eastAsia="en-US"/>
        </w:rPr>
        <w:t xml:space="preserve">3.1 </w:t>
      </w:r>
      <w:r w:rsidRPr="006D6D67" w:rsidR="00D3292D">
        <w:rPr>
          <w:rFonts w:eastAsia="Calibri" w:cs="Times New Roman"/>
          <w:i/>
          <w:iCs/>
          <w:color w:val="auto"/>
          <w:lang w:eastAsia="en-US"/>
        </w:rPr>
        <w:t xml:space="preserve">Toegang tot </w:t>
      </w:r>
      <w:r w:rsidRPr="006D6D67" w:rsidR="00F407E7">
        <w:rPr>
          <w:rFonts w:eastAsia="Calibri" w:cs="Times New Roman"/>
          <w:i/>
          <w:iCs/>
          <w:color w:val="auto"/>
          <w:lang w:eastAsia="en-US"/>
        </w:rPr>
        <w:t>grondwettelijke rechtsbescherming en het grondwettelijk</w:t>
      </w:r>
      <w:r w:rsidRPr="006D6D67" w:rsidR="00F421FF">
        <w:rPr>
          <w:rFonts w:eastAsia="Calibri" w:cs="Times New Roman"/>
          <w:i/>
          <w:iCs/>
          <w:color w:val="auto"/>
          <w:lang w:eastAsia="en-US"/>
        </w:rPr>
        <w:t xml:space="preserve"> hof</w:t>
      </w:r>
      <w:r w:rsidRPr="006D6D67" w:rsidR="001B1C98">
        <w:rPr>
          <w:rFonts w:eastAsia="Calibri" w:cs="Times New Roman"/>
          <w:i/>
          <w:iCs/>
          <w:color w:val="auto"/>
          <w:lang w:eastAsia="en-US"/>
        </w:rPr>
        <w:t xml:space="preserve"> </w:t>
      </w:r>
    </w:p>
    <w:p w:rsidRPr="006D6D67" w:rsidR="00CB7450" w:rsidP="007472AA" w:rsidRDefault="00CB7450" w14:paraId="66C054DD" w14:textId="77777777">
      <w:pPr>
        <w:autoSpaceDN/>
        <w:spacing w:line="276" w:lineRule="auto"/>
        <w:textAlignment w:val="auto"/>
        <w:rPr>
          <w:rFonts w:eastAsia="Calibri" w:cs="Times New Roman"/>
          <w:i/>
          <w:iCs/>
          <w:color w:val="auto"/>
          <w:lang w:eastAsia="en-US"/>
        </w:rPr>
      </w:pPr>
    </w:p>
    <w:p w:rsidRPr="006D6D67" w:rsidR="00CB7450" w:rsidP="007472AA" w:rsidRDefault="00871130" w14:paraId="7B848A22" w14:textId="7EE2E0D7">
      <w:pPr>
        <w:pBdr>
          <w:top w:val="single" w:color="auto" w:sz="4" w:space="1"/>
          <w:left w:val="single" w:color="auto" w:sz="4" w:space="4"/>
          <w:bottom w:val="single" w:color="auto" w:sz="4" w:space="1"/>
          <w:right w:val="single" w:color="auto" w:sz="4" w:space="4"/>
        </w:pBd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Hoewel alle rechters straks de bevoegdheid </w:t>
      </w:r>
      <w:r w:rsidRPr="006D6D67" w:rsidR="00ED6085">
        <w:rPr>
          <w:rFonts w:eastAsia="Calibri" w:cs="Times New Roman"/>
          <w:color w:val="auto"/>
          <w:lang w:eastAsia="en-US"/>
        </w:rPr>
        <w:t>krijg</w:t>
      </w:r>
      <w:r w:rsidRPr="006D6D67">
        <w:rPr>
          <w:rFonts w:eastAsia="Calibri" w:cs="Times New Roman"/>
          <w:color w:val="auto"/>
          <w:lang w:eastAsia="en-US"/>
        </w:rPr>
        <w:t xml:space="preserve">en wetten aan </w:t>
      </w:r>
      <w:r w:rsidRPr="006D6D67" w:rsidR="00EB0374">
        <w:rPr>
          <w:rFonts w:eastAsia="Calibri" w:cs="Times New Roman"/>
          <w:color w:val="auto"/>
          <w:lang w:eastAsia="en-US"/>
        </w:rPr>
        <w:t>een deel van</w:t>
      </w:r>
      <w:r w:rsidRPr="006D6D67">
        <w:rPr>
          <w:rFonts w:eastAsia="Calibri" w:cs="Times New Roman"/>
          <w:color w:val="auto"/>
          <w:lang w:eastAsia="en-US"/>
        </w:rPr>
        <w:t xml:space="preserve"> de Grondwet te toetsen, ziet het kabinet het </w:t>
      </w:r>
      <w:r w:rsidRPr="006D6D67" w:rsidR="00ED6085">
        <w:rPr>
          <w:rFonts w:eastAsia="Calibri" w:cs="Times New Roman"/>
          <w:color w:val="auto"/>
          <w:lang w:eastAsia="en-US"/>
        </w:rPr>
        <w:t xml:space="preserve">grondwettelijk </w:t>
      </w:r>
      <w:r w:rsidRPr="006D6D67">
        <w:rPr>
          <w:rFonts w:eastAsia="Calibri" w:cs="Times New Roman"/>
          <w:color w:val="auto"/>
          <w:lang w:eastAsia="en-US"/>
        </w:rPr>
        <w:t xml:space="preserve">hof als de centrale </w:t>
      </w:r>
      <w:r w:rsidRPr="006D6D67" w:rsidR="00251CDA">
        <w:rPr>
          <w:rFonts w:eastAsia="Calibri" w:cs="Times New Roman"/>
          <w:color w:val="auto"/>
          <w:lang w:eastAsia="en-US"/>
        </w:rPr>
        <w:lastRenderedPageBreak/>
        <w:t xml:space="preserve">instantie </w:t>
      </w:r>
      <w:r w:rsidRPr="006D6D67">
        <w:rPr>
          <w:rFonts w:eastAsia="Calibri" w:cs="Times New Roman"/>
          <w:color w:val="auto"/>
          <w:lang w:eastAsia="en-US"/>
        </w:rPr>
        <w:t xml:space="preserve">voor het bevorderen van de constitutionele cultuur en het bewaken van de rechtseenheid. </w:t>
      </w:r>
      <w:r w:rsidRPr="006D6D67" w:rsidR="00CB7450">
        <w:rPr>
          <w:rFonts w:eastAsia="Calibri" w:cs="Times New Roman"/>
          <w:color w:val="auto"/>
          <w:lang w:eastAsia="en-US"/>
        </w:rPr>
        <w:t xml:space="preserve">Het kabinet stelt voor </w:t>
      </w:r>
      <w:r w:rsidRPr="006D6D67" w:rsidR="009D1ABF">
        <w:rPr>
          <w:rFonts w:eastAsia="Calibri" w:cs="Times New Roman"/>
          <w:color w:val="auto"/>
          <w:lang w:eastAsia="en-US"/>
        </w:rPr>
        <w:t xml:space="preserve">om </w:t>
      </w:r>
      <w:r w:rsidRPr="006D6D67" w:rsidR="009771B5">
        <w:rPr>
          <w:rFonts w:eastAsia="Calibri" w:cs="Times New Roman"/>
          <w:color w:val="auto"/>
          <w:lang w:eastAsia="en-US"/>
        </w:rPr>
        <w:t xml:space="preserve">rechtszoekenden toegang tot </w:t>
      </w:r>
      <w:r w:rsidRPr="006D6D67" w:rsidR="00CB7450">
        <w:rPr>
          <w:rFonts w:eastAsia="Calibri" w:cs="Times New Roman"/>
          <w:color w:val="auto"/>
          <w:lang w:eastAsia="en-US"/>
        </w:rPr>
        <w:t xml:space="preserve">het grondwettelijk hof </w:t>
      </w:r>
      <w:r w:rsidRPr="006D6D67" w:rsidR="009771B5">
        <w:rPr>
          <w:rFonts w:eastAsia="Calibri" w:cs="Times New Roman"/>
          <w:color w:val="auto"/>
          <w:lang w:eastAsia="en-US"/>
        </w:rPr>
        <w:t xml:space="preserve">te verlenen via een prejudiciële procedure. </w:t>
      </w:r>
      <w:r w:rsidRPr="006D6D67" w:rsidR="001707CF">
        <w:rPr>
          <w:rFonts w:eastAsia="Calibri" w:cs="Times New Roman"/>
          <w:color w:val="auto"/>
          <w:lang w:eastAsia="en-US"/>
        </w:rPr>
        <w:t>Een dergelijke procedure geeft de mogelijkheid om in zaken met een grote maatschappelijke relevantie relatief snel een deelbeslissing te krijgen over de grondwettigheid van een wet of een deel van een wet.</w:t>
      </w:r>
      <w:r w:rsidRPr="006D6D67" w:rsidR="001B1C98">
        <w:rPr>
          <w:rFonts w:eastAsia="Calibri" w:cs="Times New Roman"/>
          <w:color w:val="auto"/>
          <w:lang w:eastAsia="en-US"/>
        </w:rPr>
        <w:t xml:space="preserve"> </w:t>
      </w:r>
    </w:p>
    <w:p w:rsidRPr="006D6D67" w:rsidR="00CB7450" w:rsidP="007472AA" w:rsidRDefault="00CB7450" w14:paraId="26B4311D" w14:textId="77777777">
      <w:pPr>
        <w:autoSpaceDN/>
        <w:spacing w:line="276" w:lineRule="auto"/>
        <w:textAlignment w:val="auto"/>
        <w:rPr>
          <w:rFonts w:eastAsia="Calibri" w:cs="Times New Roman"/>
          <w:i/>
          <w:iCs/>
          <w:color w:val="auto"/>
          <w:lang w:eastAsia="en-US"/>
        </w:rPr>
      </w:pPr>
    </w:p>
    <w:p w:rsidRPr="006D6D67" w:rsidR="000436CD" w:rsidP="007472AA" w:rsidRDefault="0094007C" w14:paraId="778085A6" w14:textId="6F091D1C">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Met de </w:t>
      </w:r>
      <w:r w:rsidRPr="006D6D67" w:rsidR="00164BFA">
        <w:rPr>
          <w:rFonts w:eastAsia="Calibri" w:cs="Times New Roman"/>
          <w:color w:val="auto"/>
          <w:lang w:eastAsia="en-US"/>
        </w:rPr>
        <w:t>wijziging van artikel 120 Grondwet</w:t>
      </w:r>
      <w:r w:rsidRPr="006D6D67">
        <w:rPr>
          <w:rFonts w:eastAsia="Calibri" w:cs="Times New Roman"/>
          <w:color w:val="auto"/>
          <w:lang w:eastAsia="en-US"/>
        </w:rPr>
        <w:t xml:space="preserve"> </w:t>
      </w:r>
      <w:r w:rsidRPr="006D6D67" w:rsidR="00164BFA">
        <w:rPr>
          <w:rFonts w:eastAsia="Calibri" w:cs="Times New Roman"/>
          <w:color w:val="auto"/>
          <w:lang w:eastAsia="en-US"/>
        </w:rPr>
        <w:t>die het kabinet voor ogen heeft</w:t>
      </w:r>
      <w:r w:rsidRPr="006D6D67" w:rsidR="00C974E1">
        <w:rPr>
          <w:rFonts w:eastAsia="Calibri" w:cs="Times New Roman"/>
          <w:color w:val="auto"/>
          <w:lang w:eastAsia="en-US"/>
        </w:rPr>
        <w:t>,</w:t>
      </w:r>
      <w:r w:rsidRPr="006D6D67" w:rsidR="00164BFA">
        <w:rPr>
          <w:rFonts w:eastAsia="Calibri" w:cs="Times New Roman"/>
          <w:color w:val="auto"/>
          <w:lang w:eastAsia="en-US"/>
        </w:rPr>
        <w:t xml:space="preserve"> </w:t>
      </w:r>
      <w:r w:rsidRPr="006D6D67">
        <w:rPr>
          <w:rFonts w:eastAsia="Calibri" w:cs="Times New Roman"/>
          <w:color w:val="auto"/>
          <w:lang w:eastAsia="en-US"/>
        </w:rPr>
        <w:t xml:space="preserve">wordt het </w:t>
      </w:r>
      <w:r w:rsidRPr="006D6D67" w:rsidR="00164BFA">
        <w:rPr>
          <w:rFonts w:eastAsia="Calibri" w:cs="Times New Roman"/>
          <w:color w:val="auto"/>
          <w:lang w:eastAsia="en-US"/>
        </w:rPr>
        <w:t xml:space="preserve">verbod </w:t>
      </w:r>
      <w:r w:rsidRPr="006D6D67">
        <w:rPr>
          <w:rFonts w:eastAsia="Calibri" w:cs="Times New Roman"/>
          <w:color w:val="auto"/>
          <w:lang w:eastAsia="en-US"/>
        </w:rPr>
        <w:t xml:space="preserve">voor rechters </w:t>
      </w:r>
      <w:r w:rsidRPr="006D6D67" w:rsidR="00164BFA">
        <w:rPr>
          <w:rFonts w:eastAsia="Calibri" w:cs="Times New Roman"/>
          <w:color w:val="auto"/>
          <w:lang w:eastAsia="en-US"/>
        </w:rPr>
        <w:t>om</w:t>
      </w:r>
      <w:r w:rsidRPr="006D6D67">
        <w:rPr>
          <w:rFonts w:eastAsia="Calibri" w:cs="Times New Roman"/>
          <w:color w:val="auto"/>
          <w:lang w:eastAsia="en-US"/>
        </w:rPr>
        <w:t xml:space="preserve"> wetten te toetsen aan de Grondwet</w:t>
      </w:r>
      <w:r w:rsidRPr="006D6D67" w:rsidR="00164BFA">
        <w:rPr>
          <w:rFonts w:eastAsia="Calibri" w:cs="Times New Roman"/>
          <w:color w:val="auto"/>
          <w:lang w:eastAsia="en-US"/>
        </w:rPr>
        <w:t xml:space="preserve"> gedeeltelijk opgeheven</w:t>
      </w:r>
      <w:r w:rsidRPr="006D6D67">
        <w:rPr>
          <w:rFonts w:eastAsia="Calibri" w:cs="Times New Roman"/>
          <w:color w:val="auto"/>
          <w:lang w:eastAsia="en-US"/>
        </w:rPr>
        <w:t xml:space="preserve">. Dit betekent dat burgers straks </w:t>
      </w:r>
      <w:r w:rsidRPr="006D6D67" w:rsidR="00164BFA">
        <w:rPr>
          <w:rFonts w:eastAsia="Calibri" w:cs="Times New Roman"/>
          <w:color w:val="auto"/>
          <w:lang w:eastAsia="en-US"/>
        </w:rPr>
        <w:t xml:space="preserve">niet alleen </w:t>
      </w:r>
      <w:r w:rsidRPr="006D6D67">
        <w:rPr>
          <w:rFonts w:eastAsia="Calibri" w:cs="Times New Roman"/>
          <w:color w:val="auto"/>
          <w:lang w:eastAsia="en-US"/>
        </w:rPr>
        <w:t xml:space="preserve">bij alle rechters terecht kunnen voor een beoordeling van de grondwettigheid van </w:t>
      </w:r>
      <w:r w:rsidRPr="006D6D67" w:rsidR="00164BFA">
        <w:rPr>
          <w:rFonts w:eastAsia="Calibri" w:cs="Times New Roman"/>
          <w:color w:val="auto"/>
          <w:lang w:eastAsia="en-US"/>
        </w:rPr>
        <w:t xml:space="preserve">lagere regelgeving en andere handelingen, maar ook voor een beoordeling van de grondwettigheid van wetgeving; althans wanneer </w:t>
      </w:r>
      <w:r w:rsidRPr="001574E0" w:rsidR="00164BFA">
        <w:rPr>
          <w:rFonts w:eastAsia="Calibri" w:cs="Times New Roman"/>
          <w:color w:val="auto"/>
          <w:lang w:eastAsia="en-US"/>
        </w:rPr>
        <w:t>klassieke grondrechten</w:t>
      </w:r>
      <w:r w:rsidRPr="006D6D67" w:rsidR="00164BFA">
        <w:rPr>
          <w:rFonts w:eastAsia="Calibri" w:cs="Times New Roman"/>
          <w:color w:val="auto"/>
          <w:lang w:eastAsia="en-US"/>
        </w:rPr>
        <w:t xml:space="preserve"> in het geding zijn</w:t>
      </w:r>
      <w:r w:rsidRPr="006D6D67">
        <w:rPr>
          <w:rFonts w:eastAsia="Calibri" w:cs="Times New Roman"/>
          <w:color w:val="auto"/>
          <w:lang w:eastAsia="en-US"/>
        </w:rPr>
        <w:t>.</w:t>
      </w:r>
      <w:r w:rsidRPr="006D6D67" w:rsidR="00B958D4">
        <w:rPr>
          <w:rFonts w:eastAsia="Calibri" w:cs="Times New Roman"/>
          <w:color w:val="auto"/>
          <w:lang w:eastAsia="en-US"/>
        </w:rPr>
        <w:t xml:space="preserve"> Komt een rechter tot de conclusie dat een wettelijke bepaling in een concreet geval </w:t>
      </w:r>
      <w:r w:rsidRPr="006D6D67" w:rsidR="00C974E1">
        <w:rPr>
          <w:rFonts w:eastAsia="Calibri" w:cs="Times New Roman"/>
          <w:color w:val="auto"/>
          <w:lang w:eastAsia="en-US"/>
        </w:rPr>
        <w:t>in strijd is met de Grondwet</w:t>
      </w:r>
      <w:r w:rsidRPr="006D6D67" w:rsidR="00B958D4">
        <w:rPr>
          <w:rFonts w:eastAsia="Calibri" w:cs="Times New Roman"/>
          <w:color w:val="auto"/>
          <w:lang w:eastAsia="en-US"/>
        </w:rPr>
        <w:t xml:space="preserve">, dan is deze bepaling onverbindend en zal hij deze buiten toepassing kunnen laten, </w:t>
      </w:r>
      <w:r w:rsidRPr="006D6D67">
        <w:rPr>
          <w:rFonts w:eastAsia="Calibri" w:cs="Times New Roman"/>
          <w:color w:val="auto"/>
          <w:lang w:eastAsia="en-US"/>
        </w:rPr>
        <w:t xml:space="preserve">zoals nu reeds </w:t>
      </w:r>
      <w:r w:rsidRPr="006D6D67" w:rsidR="00B958D4">
        <w:rPr>
          <w:rFonts w:eastAsia="Calibri" w:cs="Times New Roman"/>
          <w:color w:val="auto"/>
          <w:lang w:eastAsia="en-US"/>
        </w:rPr>
        <w:t>mogelijk</w:t>
      </w:r>
      <w:r w:rsidRPr="006D6D67">
        <w:rPr>
          <w:rFonts w:eastAsia="Calibri" w:cs="Times New Roman"/>
          <w:color w:val="auto"/>
          <w:lang w:eastAsia="en-US"/>
        </w:rPr>
        <w:t xml:space="preserve"> is</w:t>
      </w:r>
      <w:r w:rsidRPr="006D6D67" w:rsidR="00251CDA">
        <w:rPr>
          <w:rFonts w:eastAsia="Calibri" w:cs="Times New Roman"/>
          <w:color w:val="auto"/>
          <w:lang w:eastAsia="en-US"/>
        </w:rPr>
        <w:t xml:space="preserve"> bij toetsing van wetten aan bijvoorbeeld het EVRM</w:t>
      </w:r>
      <w:r w:rsidRPr="006D6D67">
        <w:rPr>
          <w:rFonts w:eastAsia="Calibri" w:cs="Times New Roman"/>
          <w:color w:val="auto"/>
          <w:lang w:eastAsia="en-US"/>
        </w:rPr>
        <w:t xml:space="preserve">. </w:t>
      </w:r>
      <w:r w:rsidRPr="006D6D67" w:rsidR="000436CD">
        <w:rPr>
          <w:rFonts w:eastAsia="Calibri" w:cs="Times New Roman"/>
          <w:color w:val="auto"/>
          <w:lang w:eastAsia="en-US"/>
        </w:rPr>
        <w:t xml:space="preserve">Indien de rechter oordeelt dat aan een wettelijke bepaling echt een intrinsiek defect kleeft, zal van een uitspraak een belangrijk signaal naar de wetgever uitgaan en kan het ertoe leiden dat de bepaling </w:t>
      </w:r>
      <w:r w:rsidRPr="006D6D67" w:rsidR="006E6D09">
        <w:rPr>
          <w:rFonts w:eastAsia="Calibri" w:cs="Times New Roman"/>
          <w:color w:val="auto"/>
          <w:lang w:eastAsia="en-US"/>
        </w:rPr>
        <w:t>ook in andere gevallen buiten toepassing wordt gelaten</w:t>
      </w:r>
      <w:r w:rsidRPr="006D6D67" w:rsidR="000436CD">
        <w:rPr>
          <w:rFonts w:eastAsia="Calibri" w:cs="Times New Roman"/>
          <w:color w:val="auto"/>
          <w:lang w:eastAsia="en-US"/>
        </w:rPr>
        <w:t xml:space="preserve">. Van formele </w:t>
      </w:r>
      <w:proofErr w:type="spellStart"/>
      <w:r w:rsidRPr="006D6D67" w:rsidR="000436CD">
        <w:rPr>
          <w:rFonts w:eastAsia="Calibri" w:cs="Times New Roman"/>
          <w:color w:val="auto"/>
          <w:lang w:eastAsia="en-US"/>
        </w:rPr>
        <w:t>derdenwerking</w:t>
      </w:r>
      <w:proofErr w:type="spellEnd"/>
      <w:r w:rsidRPr="006D6D67" w:rsidR="000436CD">
        <w:rPr>
          <w:rFonts w:eastAsia="Calibri" w:cs="Times New Roman"/>
          <w:color w:val="auto"/>
          <w:lang w:eastAsia="en-US"/>
        </w:rPr>
        <w:t xml:space="preserve"> is bij de huidige stand van het recht geen sprake; een </w:t>
      </w:r>
      <w:proofErr w:type="spellStart"/>
      <w:r w:rsidRPr="006D6D67" w:rsidR="000436CD">
        <w:rPr>
          <w:rFonts w:eastAsia="Calibri" w:cs="Times New Roman"/>
          <w:color w:val="auto"/>
          <w:lang w:eastAsia="en-US"/>
        </w:rPr>
        <w:t>onverbindendverklaring</w:t>
      </w:r>
      <w:proofErr w:type="spellEnd"/>
      <w:r w:rsidRPr="006D6D67" w:rsidR="000436CD">
        <w:rPr>
          <w:rFonts w:eastAsia="Calibri" w:cs="Times New Roman"/>
          <w:color w:val="auto"/>
          <w:lang w:eastAsia="en-US"/>
        </w:rPr>
        <w:t xml:space="preserve"> geldt alleen tussen partijen bij een geding. </w:t>
      </w:r>
    </w:p>
    <w:p w:rsidRPr="006D6D67" w:rsidR="00AA6868" w:rsidP="007472AA" w:rsidRDefault="00AA6868" w14:paraId="10A78EB6" w14:textId="44A993AF">
      <w:pPr>
        <w:autoSpaceDN/>
        <w:spacing w:line="276" w:lineRule="auto"/>
        <w:textAlignment w:val="auto"/>
        <w:rPr>
          <w:rFonts w:eastAsia="Calibri" w:cs="Times New Roman"/>
          <w:color w:val="auto"/>
          <w:lang w:eastAsia="en-US"/>
        </w:rPr>
      </w:pPr>
    </w:p>
    <w:p w:rsidRPr="006D6D67" w:rsidR="006070AF" w:rsidP="007472AA" w:rsidRDefault="00E878A0" w14:paraId="26779E88" w14:textId="6D4AB917">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Er zijn verschillende manieren om de toegang tot het grondwettelijk hof vorm te geven. </w:t>
      </w:r>
      <w:r w:rsidRPr="006D6D67" w:rsidR="00AA6868">
        <w:rPr>
          <w:rFonts w:eastAsia="Calibri" w:cs="Times New Roman"/>
          <w:color w:val="auto"/>
          <w:lang w:eastAsia="en-US"/>
        </w:rPr>
        <w:t xml:space="preserve">Het kabinet meent dat </w:t>
      </w:r>
      <w:r w:rsidRPr="006D6D67" w:rsidR="008A55BF">
        <w:rPr>
          <w:rFonts w:eastAsia="Calibri" w:cs="Times New Roman"/>
          <w:color w:val="auto"/>
          <w:lang w:eastAsia="en-US"/>
        </w:rPr>
        <w:t xml:space="preserve">het </w:t>
      </w:r>
      <w:r w:rsidRPr="006D6D67" w:rsidR="00AA6868">
        <w:rPr>
          <w:rFonts w:eastAsia="Calibri" w:cs="Times New Roman"/>
          <w:color w:val="auto"/>
          <w:lang w:eastAsia="en-US"/>
        </w:rPr>
        <w:t xml:space="preserve">de rechtsbescherming van burgers </w:t>
      </w:r>
      <w:r w:rsidRPr="006D6D67" w:rsidR="008A55BF">
        <w:rPr>
          <w:rFonts w:eastAsia="Calibri" w:cs="Times New Roman"/>
          <w:color w:val="auto"/>
          <w:lang w:eastAsia="en-US"/>
        </w:rPr>
        <w:t>ten goede komt wanneer het hof, in lopende procedures</w:t>
      </w:r>
      <w:r w:rsidRPr="006D6D67" w:rsidR="00701091">
        <w:rPr>
          <w:rFonts w:eastAsia="Calibri" w:cs="Times New Roman"/>
          <w:color w:val="auto"/>
          <w:lang w:eastAsia="en-US"/>
        </w:rPr>
        <w:t xml:space="preserve"> bij de rechter</w:t>
      </w:r>
      <w:r w:rsidRPr="006D6D67" w:rsidR="008A55BF">
        <w:rPr>
          <w:rFonts w:eastAsia="Calibri" w:cs="Times New Roman"/>
          <w:color w:val="auto"/>
          <w:lang w:eastAsia="en-US"/>
        </w:rPr>
        <w:t xml:space="preserve">, snel om een deelbeslissing gevraagd kan worden over de grondwettigheid van een wet. Grondwettigheidsvragen kunnen immers in elk rechtsgeding en op elk rechtsgebied naar voren komen. </w:t>
      </w:r>
      <w:r w:rsidRPr="006D6D67" w:rsidR="003F5823">
        <w:rPr>
          <w:rFonts w:eastAsia="Calibri" w:cs="Times New Roman"/>
          <w:color w:val="auto"/>
          <w:lang w:eastAsia="en-US"/>
        </w:rPr>
        <w:t xml:space="preserve">Rechters kunnen deze zaken, ook waar het gaat om toetsing van wetten aan de Grondwet, veelal zelf afdoen, bijvoorbeeld als </w:t>
      </w:r>
      <w:r w:rsidRPr="006D6D67" w:rsidR="00AA766C">
        <w:rPr>
          <w:rFonts w:eastAsia="Calibri" w:cs="Times New Roman"/>
          <w:color w:val="auto"/>
          <w:lang w:eastAsia="en-US"/>
        </w:rPr>
        <w:t xml:space="preserve">er al een eerdere richtinggevende uitspraak is geweest </w:t>
      </w:r>
      <w:r w:rsidRPr="006D6D67" w:rsidR="003F5823">
        <w:rPr>
          <w:rFonts w:eastAsia="Calibri" w:cs="Times New Roman"/>
          <w:color w:val="auto"/>
          <w:lang w:eastAsia="en-US"/>
        </w:rPr>
        <w:t xml:space="preserve">of als er over de toetsing geen </w:t>
      </w:r>
      <w:r w:rsidRPr="006D6D67" w:rsidR="00AA766C">
        <w:rPr>
          <w:rFonts w:eastAsia="Calibri" w:cs="Times New Roman"/>
          <w:color w:val="auto"/>
          <w:lang w:eastAsia="en-US"/>
        </w:rPr>
        <w:t xml:space="preserve">redelijke twijfel </w:t>
      </w:r>
      <w:r w:rsidRPr="006D6D67" w:rsidR="003F5823">
        <w:rPr>
          <w:rFonts w:eastAsia="Calibri" w:cs="Times New Roman"/>
          <w:color w:val="auto"/>
          <w:lang w:eastAsia="en-US"/>
        </w:rPr>
        <w:t>kan bestaan.</w:t>
      </w:r>
      <w:r w:rsidRPr="006D6D67" w:rsidR="004E6F05">
        <w:rPr>
          <w:rFonts w:eastAsia="Calibri" w:cs="Times New Roman"/>
          <w:color w:val="auto"/>
          <w:lang w:eastAsia="en-US"/>
        </w:rPr>
        <w:t xml:space="preserve"> In zaken met een duidelijk </w:t>
      </w:r>
      <w:proofErr w:type="spellStart"/>
      <w:r w:rsidRPr="006D6D67" w:rsidR="004E6F05">
        <w:rPr>
          <w:rFonts w:eastAsia="Calibri" w:cs="Times New Roman"/>
          <w:color w:val="auto"/>
          <w:lang w:eastAsia="en-US"/>
        </w:rPr>
        <w:t>zaaksoverstijgend</w:t>
      </w:r>
      <w:proofErr w:type="spellEnd"/>
      <w:r w:rsidRPr="006D6D67" w:rsidR="004E6F05">
        <w:rPr>
          <w:rFonts w:eastAsia="Calibri" w:cs="Times New Roman"/>
          <w:color w:val="auto"/>
          <w:lang w:eastAsia="en-US"/>
        </w:rPr>
        <w:t xml:space="preserve"> belang ligt </w:t>
      </w:r>
      <w:r w:rsidRPr="006D6D67" w:rsidR="001F005D">
        <w:rPr>
          <w:rFonts w:eastAsia="Calibri" w:cs="Times New Roman"/>
          <w:color w:val="auto"/>
          <w:lang w:eastAsia="en-US"/>
        </w:rPr>
        <w:t xml:space="preserve">naar het oordeel van het kabinet </w:t>
      </w:r>
      <w:r w:rsidRPr="006D6D67" w:rsidR="004E6F05">
        <w:rPr>
          <w:rFonts w:eastAsia="Calibri" w:cs="Times New Roman"/>
          <w:color w:val="auto"/>
          <w:lang w:eastAsia="en-US"/>
        </w:rPr>
        <w:t xml:space="preserve">een rol van het hof </w:t>
      </w:r>
      <w:r w:rsidRPr="006D6D67" w:rsidR="0023503C">
        <w:rPr>
          <w:rFonts w:eastAsia="Calibri" w:cs="Times New Roman"/>
          <w:color w:val="auto"/>
          <w:lang w:eastAsia="en-US"/>
        </w:rPr>
        <w:t>in</w:t>
      </w:r>
      <w:r w:rsidRPr="006D6D67" w:rsidR="004E6F05">
        <w:rPr>
          <w:rFonts w:eastAsia="Calibri" w:cs="Times New Roman"/>
          <w:color w:val="auto"/>
          <w:lang w:eastAsia="en-US"/>
        </w:rPr>
        <w:t xml:space="preserve"> de </w:t>
      </w:r>
      <w:r w:rsidRPr="006D6D67" w:rsidR="0023503C">
        <w:rPr>
          <w:rFonts w:eastAsia="Calibri" w:cs="Times New Roman"/>
          <w:color w:val="auto"/>
          <w:lang w:eastAsia="en-US"/>
        </w:rPr>
        <w:t>rede</w:t>
      </w:r>
      <w:r w:rsidRPr="006D6D67" w:rsidR="004E6F05">
        <w:rPr>
          <w:rFonts w:eastAsia="Calibri" w:cs="Times New Roman"/>
          <w:color w:val="auto"/>
          <w:lang w:eastAsia="en-US"/>
        </w:rPr>
        <w:t xml:space="preserve">. </w:t>
      </w:r>
    </w:p>
    <w:p w:rsidRPr="006D6D67" w:rsidR="006070AF" w:rsidP="007472AA" w:rsidRDefault="006070AF" w14:paraId="35B7D781" w14:textId="77777777">
      <w:pPr>
        <w:autoSpaceDN/>
        <w:spacing w:line="276" w:lineRule="auto"/>
        <w:textAlignment w:val="auto"/>
        <w:rPr>
          <w:rFonts w:eastAsia="Calibri" w:cs="Times New Roman"/>
          <w:color w:val="auto"/>
          <w:lang w:eastAsia="en-US"/>
        </w:rPr>
      </w:pPr>
    </w:p>
    <w:p w:rsidRPr="006D6D67" w:rsidR="00251CDA" w:rsidP="007472AA" w:rsidRDefault="005A51C6" w14:paraId="1EA4A7AC" w14:textId="16CB9243">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Een prejudiciële procedure voorziet in de mogelijkheid van het verkrijgen van een snelle deelbeslissing</w:t>
      </w:r>
      <w:r w:rsidRPr="006D6D67" w:rsidR="009461DD">
        <w:rPr>
          <w:rFonts w:eastAsia="Calibri" w:cs="Times New Roman"/>
          <w:color w:val="auto"/>
          <w:lang w:eastAsia="en-US"/>
        </w:rPr>
        <w:t xml:space="preserve"> over de grondwettigheid van een wet.</w:t>
      </w:r>
      <w:r w:rsidRPr="006D6D67" w:rsidR="00D25D5F">
        <w:rPr>
          <w:rFonts w:eastAsia="Calibri" w:cs="Times New Roman"/>
          <w:color w:val="auto"/>
          <w:lang w:eastAsia="en-US"/>
        </w:rPr>
        <w:t xml:space="preserve"> </w:t>
      </w:r>
      <w:r w:rsidRPr="006D6D67" w:rsidR="00F028BB">
        <w:rPr>
          <w:rFonts w:eastAsia="Calibri" w:cs="Times New Roman"/>
          <w:color w:val="auto"/>
          <w:lang w:eastAsia="en-US"/>
        </w:rPr>
        <w:t xml:space="preserve">Bij een dergelijke procedure geeft </w:t>
      </w:r>
      <w:r w:rsidRPr="006D6D67" w:rsidR="009461DD">
        <w:rPr>
          <w:rFonts w:eastAsia="Calibri" w:cs="Times New Roman"/>
          <w:color w:val="auto"/>
          <w:lang w:eastAsia="en-US"/>
        </w:rPr>
        <w:t>het hof</w:t>
      </w:r>
      <w:r w:rsidRPr="006D6D67" w:rsidR="00F028BB">
        <w:rPr>
          <w:rFonts w:eastAsia="Calibri" w:cs="Times New Roman"/>
          <w:color w:val="auto"/>
          <w:lang w:eastAsia="en-US"/>
        </w:rPr>
        <w:t xml:space="preserve"> </w:t>
      </w:r>
      <w:r w:rsidRPr="006D6D67" w:rsidR="009E36C0">
        <w:rPr>
          <w:rFonts w:eastAsia="Calibri" w:cs="Times New Roman"/>
          <w:color w:val="auto"/>
          <w:lang w:eastAsia="en-US"/>
        </w:rPr>
        <w:t xml:space="preserve">bindende antwoorden en oordelen over rechtsvragen die worden voorgelegd door een andere rechterlijke instantie, in het kader van een concreet geschil. </w:t>
      </w:r>
      <w:r w:rsidRPr="006D6D67" w:rsidR="00F028BB">
        <w:rPr>
          <w:rFonts w:eastAsia="Calibri" w:cs="Times New Roman"/>
          <w:color w:val="auto"/>
          <w:lang w:eastAsia="en-US"/>
        </w:rPr>
        <w:t xml:space="preserve">Volgens het kabinet </w:t>
      </w:r>
      <w:r w:rsidRPr="006D6D67" w:rsidR="009E36C0">
        <w:rPr>
          <w:rFonts w:eastAsia="Calibri" w:cs="Times New Roman"/>
          <w:color w:val="auto"/>
          <w:lang w:eastAsia="en-US"/>
        </w:rPr>
        <w:t xml:space="preserve">is </w:t>
      </w:r>
      <w:r w:rsidRPr="006D6D67" w:rsidR="00F028BB">
        <w:rPr>
          <w:rFonts w:eastAsia="Calibri" w:cs="Times New Roman"/>
          <w:color w:val="auto"/>
          <w:lang w:eastAsia="en-US"/>
        </w:rPr>
        <w:t>een prejudiciële procedure zeer geschikt om</w:t>
      </w:r>
      <w:r w:rsidRPr="006D6D67" w:rsidR="009E36C0">
        <w:rPr>
          <w:rFonts w:eastAsia="Calibri" w:cs="Times New Roman"/>
          <w:color w:val="auto"/>
          <w:lang w:eastAsia="en-US"/>
        </w:rPr>
        <w:t xml:space="preserve"> de doelstellingen van rechtszekerheid, snelheid en rechtseenheid te verwezenlijken. </w:t>
      </w:r>
      <w:r w:rsidRPr="006D6D67" w:rsidR="00251CDA">
        <w:rPr>
          <w:rFonts w:eastAsia="Calibri" w:cs="Times New Roman"/>
          <w:color w:val="auto"/>
          <w:lang w:eastAsia="en-US"/>
        </w:rPr>
        <w:t xml:space="preserve">Het draagt bovendien bij aan een optimale vervulling van de rechtsvormende taak van het hof in constitutionele zaken die van grote maatschappelijke betekenis </w:t>
      </w:r>
      <w:r w:rsidRPr="006D6D67" w:rsidR="00E878A0">
        <w:rPr>
          <w:rFonts w:eastAsia="Calibri" w:cs="Times New Roman"/>
          <w:color w:val="auto"/>
          <w:lang w:eastAsia="en-US"/>
        </w:rPr>
        <w:t>zijn</w:t>
      </w:r>
      <w:r w:rsidRPr="006D6D67" w:rsidR="00251CDA">
        <w:rPr>
          <w:rFonts w:eastAsia="Calibri" w:cs="Times New Roman"/>
          <w:color w:val="auto"/>
          <w:lang w:eastAsia="en-US"/>
        </w:rPr>
        <w:t xml:space="preserve">. </w:t>
      </w:r>
    </w:p>
    <w:p w:rsidRPr="006D6D67" w:rsidR="00D25D5F" w:rsidP="007472AA" w:rsidRDefault="00D25D5F" w14:paraId="357324EF" w14:textId="77777777">
      <w:pPr>
        <w:autoSpaceDN/>
        <w:spacing w:line="276" w:lineRule="auto"/>
        <w:textAlignment w:val="auto"/>
        <w:rPr>
          <w:rFonts w:eastAsia="Calibri" w:cs="Times New Roman"/>
          <w:color w:val="auto"/>
          <w:lang w:eastAsia="en-US"/>
        </w:rPr>
      </w:pPr>
    </w:p>
    <w:p w:rsidRPr="006D6D67" w:rsidR="000B4F11" w:rsidP="000B4F11" w:rsidRDefault="009E36C0" w14:paraId="68635A06" w14:textId="3F2F50FE">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Alternatieven voor een prejudiciële procedure </w:t>
      </w:r>
      <w:r w:rsidRPr="006D6D67" w:rsidR="00516A95">
        <w:rPr>
          <w:rFonts w:eastAsia="Calibri" w:cs="Times New Roman"/>
          <w:color w:val="auto"/>
          <w:lang w:eastAsia="en-US"/>
        </w:rPr>
        <w:t xml:space="preserve">zijn </w:t>
      </w:r>
      <w:r w:rsidRPr="006D6D67">
        <w:rPr>
          <w:rFonts w:eastAsia="Calibri" w:cs="Times New Roman"/>
          <w:color w:val="auto"/>
          <w:lang w:eastAsia="en-US"/>
        </w:rPr>
        <w:t>een rechtstreekse procedure bij het grondwettelijk hof of een combinatie van zo</w:t>
      </w:r>
      <w:r w:rsidRPr="006D6D67" w:rsidR="00D54FED">
        <w:rPr>
          <w:rFonts w:eastAsia="Calibri" w:cs="Times New Roman"/>
          <w:color w:val="auto"/>
          <w:lang w:eastAsia="en-US"/>
        </w:rPr>
        <w:t>’</w:t>
      </w:r>
      <w:r w:rsidRPr="006D6D67">
        <w:rPr>
          <w:rFonts w:eastAsia="Calibri" w:cs="Times New Roman"/>
          <w:color w:val="auto"/>
          <w:lang w:eastAsia="en-US"/>
        </w:rPr>
        <w:t xml:space="preserve">n rechtstreekse procedure met een prejudiciële procedure. </w:t>
      </w:r>
      <w:r w:rsidRPr="006D6D67" w:rsidR="00251CDA">
        <w:rPr>
          <w:rFonts w:eastAsia="Calibri" w:cs="Times New Roman"/>
          <w:color w:val="auto"/>
          <w:lang w:eastAsia="en-US"/>
        </w:rPr>
        <w:t>Deze alte</w:t>
      </w:r>
      <w:r w:rsidRPr="006D6D67" w:rsidR="000B4F11">
        <w:rPr>
          <w:rFonts w:eastAsia="Calibri" w:cs="Times New Roman"/>
          <w:color w:val="auto"/>
          <w:lang w:eastAsia="en-US"/>
        </w:rPr>
        <w:t>r</w:t>
      </w:r>
      <w:r w:rsidRPr="006D6D67" w:rsidR="00251CDA">
        <w:rPr>
          <w:rFonts w:eastAsia="Calibri" w:cs="Times New Roman"/>
          <w:color w:val="auto"/>
          <w:lang w:eastAsia="en-US"/>
        </w:rPr>
        <w:t xml:space="preserve">natieven hebben niet de voorkeur van het </w:t>
      </w:r>
      <w:r w:rsidRPr="006D6D67" w:rsidR="00251CDA">
        <w:rPr>
          <w:rFonts w:eastAsia="Calibri" w:cs="Times New Roman"/>
          <w:color w:val="auto"/>
          <w:lang w:eastAsia="en-US"/>
        </w:rPr>
        <w:lastRenderedPageBreak/>
        <w:t xml:space="preserve">kabinet. </w:t>
      </w:r>
      <w:r w:rsidRPr="006D6D67">
        <w:rPr>
          <w:rFonts w:eastAsia="Calibri" w:cs="Times New Roman"/>
          <w:color w:val="auto"/>
          <w:lang w:eastAsia="en-US"/>
        </w:rPr>
        <w:t>Het inrichten van twee procedures naast elkaar is een complexe operatie en roept tevens vanuit het oogpunt van proceseconomie vragen op. Belangrijk is verder dat de indirecte toegang voor de burger in een prejudiciële procedure niet ten koste hoeft te gaan van de mogelijkheid om</w:t>
      </w:r>
      <w:r w:rsidRPr="006D6D67" w:rsidR="00863234">
        <w:rPr>
          <w:rFonts w:eastAsia="Calibri" w:cs="Times New Roman"/>
          <w:color w:val="auto"/>
          <w:lang w:eastAsia="en-US"/>
        </w:rPr>
        <w:t xml:space="preserve">, via de rechter, inbreng te leveren </w:t>
      </w:r>
      <w:r w:rsidRPr="006D6D67" w:rsidR="00FA23F9">
        <w:rPr>
          <w:rFonts w:eastAsia="Calibri" w:cs="Times New Roman"/>
          <w:color w:val="auto"/>
          <w:lang w:eastAsia="en-US"/>
        </w:rPr>
        <w:t>voor</w:t>
      </w:r>
      <w:r w:rsidRPr="006D6D67" w:rsidR="00863234">
        <w:rPr>
          <w:rFonts w:eastAsia="Calibri" w:cs="Times New Roman"/>
          <w:color w:val="auto"/>
          <w:lang w:eastAsia="en-US"/>
        </w:rPr>
        <w:t xml:space="preserve"> de aan het hof te stellen rechtsvraag. </w:t>
      </w:r>
      <w:r w:rsidRPr="006D6D67">
        <w:rPr>
          <w:rFonts w:eastAsia="Calibri" w:cs="Times New Roman"/>
          <w:color w:val="auto"/>
          <w:lang w:eastAsia="en-US"/>
        </w:rPr>
        <w:t xml:space="preserve">Een prejudiciële procedure </w:t>
      </w:r>
      <w:r w:rsidRPr="006D6D67" w:rsidR="00863234">
        <w:rPr>
          <w:rFonts w:eastAsia="Calibri" w:cs="Times New Roman"/>
          <w:color w:val="auto"/>
          <w:lang w:eastAsia="en-US"/>
        </w:rPr>
        <w:t xml:space="preserve">is </w:t>
      </w:r>
      <w:r w:rsidRPr="006D6D67" w:rsidR="000B4F11">
        <w:rPr>
          <w:rFonts w:eastAsia="Calibri" w:cs="Times New Roman"/>
          <w:color w:val="auto"/>
          <w:lang w:eastAsia="en-US"/>
        </w:rPr>
        <w:t xml:space="preserve">bovendien een procedure waarmee </w:t>
      </w:r>
      <w:r w:rsidRPr="006D6D67" w:rsidR="00863234">
        <w:rPr>
          <w:rFonts w:eastAsia="Calibri" w:cs="Times New Roman"/>
          <w:color w:val="auto"/>
          <w:lang w:eastAsia="en-US"/>
        </w:rPr>
        <w:t>ook nationaal inmiddels</w:t>
      </w:r>
      <w:r w:rsidRPr="006D6D67" w:rsidR="000B4F11">
        <w:rPr>
          <w:rFonts w:eastAsia="Calibri" w:cs="Times New Roman"/>
          <w:color w:val="auto"/>
          <w:lang w:eastAsia="en-US"/>
        </w:rPr>
        <w:t xml:space="preserve"> ruimschoots ervaring is opgedaan. Sinds enige tijd is het mogelijk prejudiciële vragen te stellen bij de Hoge Raad in </w:t>
      </w:r>
      <w:r w:rsidRPr="006D6D67" w:rsidR="00251CDA">
        <w:rPr>
          <w:rFonts w:eastAsia="Calibri" w:cs="Times New Roman"/>
          <w:color w:val="auto"/>
          <w:lang w:eastAsia="en-US"/>
        </w:rPr>
        <w:t xml:space="preserve">civiele zaken, strafzaken en fiscale zaken. </w:t>
      </w:r>
      <w:r w:rsidRPr="006D6D67" w:rsidR="000B4F11">
        <w:rPr>
          <w:rFonts w:eastAsia="Calibri" w:cs="Times New Roman"/>
          <w:color w:val="auto"/>
          <w:lang w:eastAsia="en-US"/>
        </w:rPr>
        <w:t xml:space="preserve">Het kabinet stelt voor bij de inrichting van de prejudiciële vragen aan het hof </w:t>
      </w:r>
      <w:r w:rsidRPr="006D6D67" w:rsidR="001F005D">
        <w:rPr>
          <w:rFonts w:eastAsia="Calibri" w:cs="Times New Roman"/>
          <w:color w:val="auto"/>
          <w:lang w:eastAsia="en-US"/>
        </w:rPr>
        <w:t xml:space="preserve">waar </w:t>
      </w:r>
      <w:r w:rsidRPr="006D6D67" w:rsidR="000B4F11">
        <w:rPr>
          <w:rFonts w:eastAsia="Calibri" w:cs="Times New Roman"/>
          <w:color w:val="auto"/>
          <w:lang w:eastAsia="en-US"/>
        </w:rPr>
        <w:t>mogelijk aan te sluiten bij de reeds bestaande regelgeving inzake deze prejudiciële vragen bij de Hoge Raad.</w:t>
      </w:r>
      <w:r w:rsidRPr="006D6D67" w:rsidR="000B4F11">
        <w:rPr>
          <w:rStyle w:val="Voetnootmarkering"/>
          <w:rFonts w:eastAsia="Calibri" w:cs="Times New Roman"/>
          <w:color w:val="auto"/>
          <w:lang w:eastAsia="en-US"/>
        </w:rPr>
        <w:footnoteReference w:id="28"/>
      </w:r>
      <w:r w:rsidRPr="006D6D67" w:rsidR="001F005D">
        <w:rPr>
          <w:rFonts w:eastAsia="Calibri" w:cs="Times New Roman"/>
          <w:color w:val="auto"/>
          <w:lang w:eastAsia="en-US"/>
        </w:rPr>
        <w:t xml:space="preserve"> </w:t>
      </w:r>
    </w:p>
    <w:p w:rsidRPr="006D6D67" w:rsidR="000B4F11" w:rsidP="000B4F11" w:rsidRDefault="000B4F11" w14:paraId="0AFBA3F0" w14:textId="77777777">
      <w:pPr>
        <w:autoSpaceDN/>
        <w:spacing w:line="276" w:lineRule="auto"/>
        <w:textAlignment w:val="auto"/>
        <w:rPr>
          <w:rFonts w:eastAsia="Calibri" w:cs="Times New Roman"/>
          <w:color w:val="auto"/>
          <w:lang w:eastAsia="en-US"/>
        </w:rPr>
      </w:pPr>
    </w:p>
    <w:p w:rsidRPr="006D6D67" w:rsidR="000B5E7B" w:rsidP="000B5E7B" w:rsidRDefault="000B5E7B" w14:paraId="4F7F1889" w14:textId="03C0FFAC">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Concreet betekent dit dat de rechter ambtshalve of op vordering van partijen aan het hof een rechtsvraag stelt ter beantwoording bij wijze van prejudiciële beslissing, indien een antwoord op deze vraag nodig is om te beslissen en aan de beantwoording van deze vraag bijzonder gewicht kan worden toegekend, gelet op het met de vraag gemoeide </w:t>
      </w:r>
      <w:proofErr w:type="spellStart"/>
      <w:r w:rsidRPr="006D6D67">
        <w:rPr>
          <w:rFonts w:eastAsia="Calibri" w:cs="Times New Roman"/>
          <w:color w:val="auto"/>
          <w:lang w:eastAsia="en-US"/>
        </w:rPr>
        <w:t>zaaksoverstijgend</w:t>
      </w:r>
      <w:proofErr w:type="spellEnd"/>
      <w:r w:rsidRPr="006D6D67">
        <w:rPr>
          <w:rFonts w:eastAsia="Calibri" w:cs="Times New Roman"/>
          <w:color w:val="auto"/>
          <w:lang w:eastAsia="en-US"/>
        </w:rPr>
        <w:t xml:space="preserve"> belang. Het gaat hier om een rechtsvraag</w:t>
      </w:r>
      <w:r w:rsidRPr="006D6D67" w:rsidR="00592BC2">
        <w:rPr>
          <w:rFonts w:eastAsia="Calibri" w:cs="Times New Roman"/>
          <w:color w:val="auto"/>
          <w:lang w:eastAsia="en-US"/>
        </w:rPr>
        <w:t>, niet om een vraag die louter vraagt om een beoordeling van feiten. In lijn met de reeds bestaande prejudiciële procedures bij de Hoge Raad kan het</w:t>
      </w:r>
      <w:r w:rsidRPr="006D6D67" w:rsidR="001B1C98">
        <w:rPr>
          <w:rFonts w:eastAsia="Calibri" w:cs="Times New Roman"/>
          <w:color w:val="auto"/>
          <w:lang w:eastAsia="en-US"/>
        </w:rPr>
        <w:t xml:space="preserve"> </w:t>
      </w:r>
      <w:r w:rsidRPr="006D6D67" w:rsidR="00592BC2">
        <w:rPr>
          <w:rFonts w:eastAsia="Calibri" w:cs="Times New Roman"/>
          <w:color w:val="auto"/>
          <w:lang w:eastAsia="en-US"/>
        </w:rPr>
        <w:t>hof afzien van de</w:t>
      </w:r>
      <w:r w:rsidRPr="006D6D67">
        <w:rPr>
          <w:rFonts w:eastAsia="Calibri" w:cs="Times New Roman"/>
          <w:color w:val="auto"/>
          <w:lang w:eastAsia="en-US"/>
        </w:rPr>
        <w:t xml:space="preserve"> beantwoording indien hij oordeelt dat de vraag zich niet voor beantwoording bij wijze van prejudiciële beslissing leent of de vraag van onvoldoende gewicht is om beantwoording te rechtvaardigen. </w:t>
      </w:r>
      <w:r w:rsidRPr="006D6D67" w:rsidR="00592BC2">
        <w:rPr>
          <w:rFonts w:eastAsia="Calibri" w:cs="Times New Roman"/>
          <w:color w:val="auto"/>
          <w:lang w:eastAsia="en-US"/>
        </w:rPr>
        <w:t xml:space="preserve">Als er wel een inhoudelijke beantwoording volgt, beslist de verwijzende rechter </w:t>
      </w:r>
      <w:r w:rsidRPr="006D6D67">
        <w:rPr>
          <w:rFonts w:eastAsia="Calibri" w:cs="Times New Roman"/>
          <w:color w:val="auto"/>
          <w:lang w:eastAsia="en-US"/>
        </w:rPr>
        <w:t>met inachtneming van de uitspraak</w:t>
      </w:r>
      <w:r w:rsidRPr="006D6D67" w:rsidR="00592BC2">
        <w:rPr>
          <w:rFonts w:eastAsia="Calibri" w:cs="Times New Roman"/>
          <w:color w:val="auto"/>
          <w:lang w:eastAsia="en-US"/>
        </w:rPr>
        <w:t xml:space="preserve"> </w:t>
      </w:r>
      <w:r w:rsidRPr="006D6D67" w:rsidR="00ED6B13">
        <w:rPr>
          <w:rFonts w:eastAsia="Calibri" w:cs="Times New Roman"/>
          <w:color w:val="auto"/>
          <w:lang w:eastAsia="en-US"/>
        </w:rPr>
        <w:t xml:space="preserve">van </w:t>
      </w:r>
      <w:r w:rsidRPr="006D6D67" w:rsidR="00592BC2">
        <w:rPr>
          <w:rFonts w:eastAsia="Calibri" w:cs="Times New Roman"/>
          <w:color w:val="auto"/>
          <w:lang w:eastAsia="en-US"/>
        </w:rPr>
        <w:t>het hof</w:t>
      </w:r>
      <w:r w:rsidRPr="006D6D67">
        <w:rPr>
          <w:rFonts w:eastAsia="Calibri" w:cs="Times New Roman"/>
          <w:color w:val="auto"/>
          <w:lang w:eastAsia="en-US"/>
        </w:rPr>
        <w:t>.</w:t>
      </w:r>
    </w:p>
    <w:p w:rsidRPr="006D6D67" w:rsidR="000B5E7B" w:rsidP="000B4F11" w:rsidRDefault="000B5E7B" w14:paraId="773EDDC1" w14:textId="77777777">
      <w:pPr>
        <w:autoSpaceDN/>
        <w:spacing w:line="276" w:lineRule="auto"/>
        <w:textAlignment w:val="auto"/>
        <w:rPr>
          <w:rFonts w:eastAsia="Calibri" w:cs="Times New Roman"/>
          <w:color w:val="auto"/>
          <w:lang w:eastAsia="en-US"/>
        </w:rPr>
      </w:pPr>
    </w:p>
    <w:p w:rsidRPr="006D6D67" w:rsidR="00863234" w:rsidP="007472AA" w:rsidRDefault="00E42521" w14:paraId="2A4EB695" w14:textId="1542FC23">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Eventueel kan, in aanvulling op de prejudiciële procedure, overwogen worden aan </w:t>
      </w:r>
      <w:r w:rsidRPr="006D6D67" w:rsidR="00D919E2">
        <w:rPr>
          <w:rFonts w:eastAsia="Calibri" w:cs="Times New Roman"/>
          <w:color w:val="auto"/>
          <w:lang w:eastAsia="en-US"/>
        </w:rPr>
        <w:t>een aan te stellen procureur-generaal bij het grondwettelijk hof</w:t>
      </w:r>
      <w:r w:rsidRPr="006D6D67">
        <w:rPr>
          <w:rFonts w:eastAsia="Calibri" w:cs="Times New Roman"/>
          <w:color w:val="auto"/>
          <w:lang w:eastAsia="en-US"/>
        </w:rPr>
        <w:t xml:space="preserve">, de bevoegdheid toe te kennen ‘grondwettigheidstoetsing in het belang der wet’ </w:t>
      </w:r>
      <w:r w:rsidRPr="006D6D67" w:rsidR="00FA23F9">
        <w:rPr>
          <w:rFonts w:eastAsia="Calibri" w:cs="Times New Roman"/>
          <w:color w:val="auto"/>
          <w:lang w:eastAsia="en-US"/>
        </w:rPr>
        <w:t>in te stellen</w:t>
      </w:r>
      <w:r w:rsidRPr="006D6D67">
        <w:rPr>
          <w:rFonts w:eastAsia="Calibri" w:cs="Times New Roman"/>
          <w:color w:val="auto"/>
          <w:lang w:eastAsia="en-US"/>
        </w:rPr>
        <w:t>, geïnspireerd op de reeds bestaande mogelijkheid van het instellen van ‘cassatie in het belang der wet’ bij de Hoge Raad.</w:t>
      </w:r>
      <w:r w:rsidRPr="006D6D67">
        <w:rPr>
          <w:rStyle w:val="Voetnootmarkering"/>
          <w:rFonts w:eastAsia="Calibri" w:cs="Times New Roman"/>
          <w:color w:val="auto"/>
          <w:lang w:eastAsia="en-US"/>
        </w:rPr>
        <w:footnoteReference w:id="29"/>
      </w:r>
      <w:r w:rsidRPr="006D6D67">
        <w:rPr>
          <w:rFonts w:eastAsia="Calibri" w:cs="Times New Roman"/>
          <w:color w:val="auto"/>
          <w:lang w:eastAsia="en-US"/>
        </w:rPr>
        <w:t xml:space="preserve"> Ook deze procedure zou bijdragen aan een optimale vervulling van de rechtsvormende taak van het hof in constitutionele zaken die van grote maatschappelijke betekenis zijn.</w:t>
      </w:r>
    </w:p>
    <w:p w:rsidRPr="006D6D67" w:rsidR="00863234" w:rsidP="007472AA" w:rsidRDefault="00863234" w14:paraId="2553CFF9" w14:textId="77777777">
      <w:pPr>
        <w:autoSpaceDN/>
        <w:spacing w:line="276" w:lineRule="auto"/>
        <w:textAlignment w:val="auto"/>
        <w:rPr>
          <w:rFonts w:eastAsia="Calibri" w:cs="Times New Roman"/>
          <w:color w:val="auto"/>
          <w:lang w:eastAsia="en-US"/>
        </w:rPr>
      </w:pPr>
    </w:p>
    <w:p w:rsidRPr="006D6D67" w:rsidR="00F407E7" w:rsidP="007472AA" w:rsidRDefault="00F407E7" w14:paraId="7FCF7B91" w14:textId="7E85F11E">
      <w:pPr>
        <w:autoSpaceDN/>
        <w:spacing w:line="276" w:lineRule="auto"/>
        <w:textAlignment w:val="auto"/>
        <w:rPr>
          <w:rFonts w:eastAsia="Calibri" w:cs="Times New Roman"/>
          <w:i/>
          <w:color w:val="auto"/>
          <w:lang w:eastAsia="en-US"/>
        </w:rPr>
      </w:pPr>
      <w:r w:rsidRPr="006D6D67">
        <w:rPr>
          <w:rFonts w:eastAsia="Calibri" w:cs="Times New Roman"/>
          <w:i/>
          <w:color w:val="auto"/>
          <w:lang w:eastAsia="en-US"/>
        </w:rPr>
        <w:t>3.2 Rechtsmacht</w:t>
      </w:r>
    </w:p>
    <w:p w:rsidRPr="006D6D67" w:rsidR="009E36C0" w:rsidP="007472AA" w:rsidRDefault="009E36C0" w14:paraId="1AE0A6A7" w14:textId="77777777">
      <w:pPr>
        <w:autoSpaceDN/>
        <w:spacing w:line="276" w:lineRule="auto"/>
        <w:textAlignment w:val="auto"/>
        <w:rPr>
          <w:rFonts w:eastAsia="Calibri" w:cs="Times New Roman"/>
          <w:color w:val="auto"/>
          <w:lang w:eastAsia="en-US"/>
        </w:rPr>
      </w:pPr>
    </w:p>
    <w:tbl>
      <w:tblPr>
        <w:tblStyle w:val="Tabelraster"/>
        <w:tblW w:w="0" w:type="auto"/>
        <w:tblInd w:w="0" w:type="dxa"/>
        <w:tblLook w:val="04A0" w:firstRow="1" w:lastRow="0" w:firstColumn="1" w:lastColumn="0" w:noHBand="0" w:noVBand="1"/>
      </w:tblPr>
      <w:tblGrid>
        <w:gridCol w:w="7531"/>
      </w:tblGrid>
      <w:tr w:rsidRPr="006D6D67" w:rsidR="00A556F3" w:rsidTr="00A556F3" w14:paraId="38755899" w14:textId="77777777">
        <w:tc>
          <w:tcPr>
            <w:tcW w:w="7531" w:type="dxa"/>
          </w:tcPr>
          <w:p w:rsidRPr="006D6D67" w:rsidR="00A556F3" w:rsidP="000D3870" w:rsidRDefault="000A7309" w14:paraId="750E162B" w14:textId="63828BF8">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In de opvatting van het kabinet wordt het grondwettelijk hof in de prejudiciële procedure niet alleen bevoegd om zich uit te spreken over de grondwettigheid van wetten maar ook over de grondwettigheid van lagere regelgeving en besluiten.</w:t>
            </w:r>
          </w:p>
        </w:tc>
      </w:tr>
    </w:tbl>
    <w:p w:rsidRPr="006D6D67" w:rsidR="00A556F3" w:rsidP="000D3870" w:rsidRDefault="00A556F3" w14:paraId="04B3C3E6" w14:textId="77777777">
      <w:pPr>
        <w:autoSpaceDN/>
        <w:spacing w:line="276" w:lineRule="auto"/>
        <w:textAlignment w:val="auto"/>
        <w:rPr>
          <w:rFonts w:eastAsia="Calibri" w:cs="Times New Roman"/>
          <w:color w:val="auto"/>
          <w:lang w:eastAsia="en-US"/>
        </w:rPr>
      </w:pPr>
    </w:p>
    <w:p w:rsidRPr="006D6D67" w:rsidR="00A73718" w:rsidP="007472AA" w:rsidRDefault="006070AF" w14:paraId="16609D95" w14:textId="29007AA3">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W</w:t>
      </w:r>
      <w:r w:rsidRPr="006D6D67" w:rsidR="00CB7450">
        <w:rPr>
          <w:rFonts w:eastAsia="Calibri" w:cs="Times New Roman"/>
          <w:color w:val="auto"/>
          <w:lang w:eastAsia="en-US"/>
        </w:rPr>
        <w:t xml:space="preserve">aarover </w:t>
      </w:r>
      <w:r w:rsidRPr="006D6D67">
        <w:rPr>
          <w:rFonts w:eastAsia="Calibri" w:cs="Times New Roman"/>
          <w:color w:val="auto"/>
          <w:lang w:eastAsia="en-US"/>
        </w:rPr>
        <w:t xml:space="preserve">wordt </w:t>
      </w:r>
      <w:r w:rsidRPr="006D6D67" w:rsidR="00CB7450">
        <w:rPr>
          <w:rFonts w:eastAsia="Calibri" w:cs="Times New Roman"/>
          <w:color w:val="auto"/>
          <w:lang w:eastAsia="en-US"/>
        </w:rPr>
        <w:t>het grondwettelijk hof bevoegd zich uit te spreken</w:t>
      </w:r>
      <w:r w:rsidRPr="006D6D67" w:rsidR="00CE2F24">
        <w:rPr>
          <w:rFonts w:eastAsia="Calibri" w:cs="Times New Roman"/>
          <w:color w:val="auto"/>
          <w:lang w:eastAsia="en-US"/>
        </w:rPr>
        <w:t xml:space="preserve"> in het kader van een prejudiciële procedure</w:t>
      </w:r>
      <w:r w:rsidRPr="006D6D67">
        <w:rPr>
          <w:rFonts w:eastAsia="Calibri" w:cs="Times New Roman"/>
          <w:color w:val="auto"/>
          <w:lang w:eastAsia="en-US"/>
        </w:rPr>
        <w:t>?</w:t>
      </w:r>
      <w:r w:rsidRPr="006D6D67" w:rsidR="00CB7450">
        <w:rPr>
          <w:rFonts w:eastAsia="Calibri" w:cs="Times New Roman"/>
          <w:color w:val="auto"/>
          <w:lang w:eastAsia="en-US"/>
        </w:rPr>
        <w:t xml:space="preserve"> </w:t>
      </w:r>
      <w:r w:rsidRPr="006D6D67" w:rsidR="001336FC">
        <w:rPr>
          <w:rFonts w:eastAsia="Calibri" w:cs="Times New Roman"/>
          <w:color w:val="auto"/>
          <w:lang w:eastAsia="en-US"/>
        </w:rPr>
        <w:t>Uit</w:t>
      </w:r>
      <w:r w:rsidRPr="006D6D67" w:rsidR="00CB7450">
        <w:rPr>
          <w:rFonts w:eastAsia="Calibri" w:cs="Times New Roman"/>
          <w:color w:val="auto"/>
          <w:lang w:eastAsia="en-US"/>
        </w:rPr>
        <w:t xml:space="preserve"> het regeerprogramma </w:t>
      </w:r>
      <w:r w:rsidRPr="006D6D67" w:rsidR="001336FC">
        <w:rPr>
          <w:rFonts w:eastAsia="Calibri" w:cs="Times New Roman"/>
          <w:color w:val="auto"/>
          <w:lang w:eastAsia="en-US"/>
        </w:rPr>
        <w:t>volgt</w:t>
      </w:r>
      <w:r w:rsidRPr="006D6D67" w:rsidR="00CB7450">
        <w:rPr>
          <w:rFonts w:eastAsia="Calibri" w:cs="Times New Roman"/>
          <w:color w:val="auto"/>
          <w:lang w:eastAsia="en-US"/>
        </w:rPr>
        <w:t xml:space="preserve"> dat </w:t>
      </w:r>
      <w:r w:rsidRPr="006D6D67" w:rsidR="001336FC">
        <w:rPr>
          <w:rFonts w:eastAsia="Calibri" w:cs="Times New Roman"/>
          <w:color w:val="auto"/>
          <w:lang w:eastAsia="en-US"/>
        </w:rPr>
        <w:t>het de bedoeling is de rechtsmacht van het hof niet te beperken</w:t>
      </w:r>
      <w:r w:rsidRPr="006D6D67" w:rsidDel="001336FC" w:rsidR="00CB7450">
        <w:rPr>
          <w:rFonts w:eastAsia="Calibri" w:cs="Times New Roman"/>
          <w:color w:val="auto"/>
          <w:lang w:eastAsia="en-US"/>
        </w:rPr>
        <w:t xml:space="preserve"> </w:t>
      </w:r>
      <w:r w:rsidRPr="006D6D67" w:rsidR="001336FC">
        <w:rPr>
          <w:rFonts w:eastAsia="Calibri" w:cs="Times New Roman"/>
          <w:color w:val="auto"/>
          <w:lang w:eastAsia="en-US"/>
        </w:rPr>
        <w:t>tot</w:t>
      </w:r>
      <w:r w:rsidRPr="006D6D67" w:rsidR="00CB7450">
        <w:rPr>
          <w:rFonts w:eastAsia="Calibri" w:cs="Times New Roman"/>
          <w:color w:val="auto"/>
          <w:lang w:eastAsia="en-US"/>
        </w:rPr>
        <w:t xml:space="preserve"> wetten, </w:t>
      </w:r>
      <w:r w:rsidRPr="006D6D67" w:rsidR="001336FC">
        <w:rPr>
          <w:rFonts w:eastAsia="Calibri" w:cs="Times New Roman"/>
          <w:color w:val="auto"/>
          <w:lang w:eastAsia="en-US"/>
        </w:rPr>
        <w:t xml:space="preserve">maar </w:t>
      </w:r>
      <w:r w:rsidRPr="006D6D67" w:rsidR="009613B8">
        <w:rPr>
          <w:rFonts w:eastAsia="Calibri" w:cs="Times New Roman"/>
          <w:color w:val="auto"/>
          <w:lang w:eastAsia="en-US"/>
        </w:rPr>
        <w:t xml:space="preserve">zich </w:t>
      </w:r>
      <w:r w:rsidRPr="006D6D67" w:rsidR="001336FC">
        <w:rPr>
          <w:rFonts w:eastAsia="Calibri" w:cs="Times New Roman"/>
          <w:color w:val="auto"/>
          <w:lang w:eastAsia="en-US"/>
        </w:rPr>
        <w:lastRenderedPageBreak/>
        <w:t xml:space="preserve">ook te laten uitstrekken tot </w:t>
      </w:r>
      <w:r w:rsidRPr="006D6D67" w:rsidR="00CB7450">
        <w:rPr>
          <w:rFonts w:eastAsia="Calibri" w:cs="Times New Roman"/>
          <w:color w:val="auto"/>
          <w:lang w:eastAsia="en-US"/>
        </w:rPr>
        <w:t xml:space="preserve">regels en besluiten. </w:t>
      </w:r>
      <w:r w:rsidRPr="006D6D67" w:rsidR="00A73718">
        <w:rPr>
          <w:rFonts w:eastAsia="Calibri" w:cs="Times New Roman"/>
          <w:color w:val="auto"/>
          <w:lang w:eastAsia="en-US"/>
        </w:rPr>
        <w:t>Bij regels kan worden gedacht aan</w:t>
      </w:r>
      <w:r w:rsidRPr="006D6D67" w:rsidR="00CB7450">
        <w:rPr>
          <w:rFonts w:eastAsia="Calibri" w:cs="Times New Roman"/>
          <w:color w:val="auto"/>
          <w:lang w:eastAsia="en-US"/>
        </w:rPr>
        <w:t xml:space="preserve"> </w:t>
      </w:r>
      <w:r w:rsidRPr="006D6D67" w:rsidR="001A7C01">
        <w:rPr>
          <w:rFonts w:eastAsia="Calibri" w:cs="Times New Roman"/>
          <w:color w:val="auto"/>
          <w:lang w:eastAsia="en-US"/>
        </w:rPr>
        <w:t>lagere regelgeving</w:t>
      </w:r>
      <w:r w:rsidRPr="006D6D67" w:rsidR="00E239BE">
        <w:rPr>
          <w:rFonts w:eastAsia="Calibri" w:cs="Times New Roman"/>
          <w:color w:val="auto"/>
          <w:lang w:eastAsia="en-US"/>
        </w:rPr>
        <w:t xml:space="preserve">, </w:t>
      </w:r>
      <w:r w:rsidRPr="006D6D67" w:rsidR="00CB7450">
        <w:rPr>
          <w:rFonts w:eastAsia="Calibri" w:cs="Times New Roman"/>
          <w:color w:val="auto"/>
          <w:lang w:eastAsia="en-US"/>
        </w:rPr>
        <w:t>zoals algemene maatregelen van bestuur</w:t>
      </w:r>
      <w:r w:rsidRPr="006D6D67" w:rsidR="00A73718">
        <w:rPr>
          <w:rFonts w:eastAsia="Calibri" w:cs="Times New Roman"/>
          <w:color w:val="auto"/>
          <w:lang w:eastAsia="en-US"/>
        </w:rPr>
        <w:t xml:space="preserve"> en gemeentelijke verordeningen;</w:t>
      </w:r>
      <w:r w:rsidRPr="006D6D67" w:rsidR="00CB7450">
        <w:rPr>
          <w:rFonts w:eastAsia="Calibri" w:cs="Times New Roman"/>
          <w:color w:val="auto"/>
          <w:lang w:eastAsia="en-US"/>
        </w:rPr>
        <w:t xml:space="preserve"> </w:t>
      </w:r>
      <w:r w:rsidRPr="006D6D67" w:rsidR="00A73718">
        <w:rPr>
          <w:rFonts w:eastAsia="Calibri" w:cs="Times New Roman"/>
          <w:color w:val="auto"/>
          <w:lang w:eastAsia="en-US"/>
        </w:rPr>
        <w:t>bij</w:t>
      </w:r>
      <w:r w:rsidRPr="006D6D67" w:rsidR="00CB7450">
        <w:rPr>
          <w:rFonts w:eastAsia="Calibri" w:cs="Times New Roman"/>
          <w:color w:val="auto"/>
          <w:lang w:eastAsia="en-US"/>
        </w:rPr>
        <w:t xml:space="preserve"> besluiten </w:t>
      </w:r>
      <w:r w:rsidRPr="006D6D67" w:rsidR="00A73718">
        <w:rPr>
          <w:rFonts w:eastAsia="Calibri" w:cs="Times New Roman"/>
          <w:color w:val="auto"/>
          <w:lang w:eastAsia="en-US"/>
        </w:rPr>
        <w:t xml:space="preserve">aan bepaalde beschikkingen van </w:t>
      </w:r>
      <w:r w:rsidRPr="006D6D67" w:rsidR="00CB7450">
        <w:rPr>
          <w:rFonts w:eastAsia="Calibri" w:cs="Times New Roman"/>
          <w:color w:val="auto"/>
          <w:lang w:eastAsia="en-US"/>
        </w:rPr>
        <w:t>bestuursorganen.</w:t>
      </w:r>
      <w:r w:rsidRPr="006D6D67" w:rsidR="001B1C98">
        <w:rPr>
          <w:rFonts w:eastAsia="Calibri" w:cs="Times New Roman"/>
          <w:color w:val="auto"/>
          <w:lang w:eastAsia="en-US"/>
        </w:rPr>
        <w:t xml:space="preserve"> </w:t>
      </w:r>
      <w:r w:rsidRPr="006D6D67" w:rsidR="000D3870">
        <w:rPr>
          <w:rFonts w:eastAsia="Calibri" w:cs="Times New Roman"/>
          <w:color w:val="auto"/>
          <w:lang w:eastAsia="en-US"/>
        </w:rPr>
        <w:t xml:space="preserve">De Grondwet staat de rechter nu niet toe om de grondwettigheid van wetten en verdragen te beoordelen, maar bevat geen beperkingen met betrekking tot andere categorieën van (rechts)handelingen. Rechters zijn dus al bevoegd lagere regelgeving te toetsen aan de Grondwet. Ze kunnen hierbij toetsen aan de gehele Grondwet. Het toetsingskader is dus niet beperkt tot klassieke grondrechten. Met betrekking tot het grondwettelijk hof komt het kabinet tot een andere afweging. Bescherming van </w:t>
      </w:r>
      <w:r w:rsidRPr="006D6D67" w:rsidR="00BD0600">
        <w:rPr>
          <w:rFonts w:eastAsia="Calibri" w:cs="Times New Roman"/>
          <w:color w:val="auto"/>
          <w:lang w:eastAsia="en-US"/>
        </w:rPr>
        <w:t xml:space="preserve">klassieke </w:t>
      </w:r>
      <w:r w:rsidRPr="006D6D67" w:rsidR="000D3870">
        <w:rPr>
          <w:rFonts w:eastAsia="Calibri" w:cs="Times New Roman"/>
          <w:color w:val="auto"/>
          <w:lang w:eastAsia="en-US"/>
        </w:rPr>
        <w:t xml:space="preserve">grondrechten is hier het primaire doel, ook waar het de beoordeling van lagere regelgeving en besluiten betreft. Het kabinet stelt daarom voor om voor de toetsing van </w:t>
      </w:r>
      <w:r w:rsidRPr="006D6D67" w:rsidR="00F421FF">
        <w:rPr>
          <w:rFonts w:eastAsia="Calibri" w:cs="Times New Roman"/>
          <w:color w:val="auto"/>
          <w:lang w:eastAsia="en-US"/>
        </w:rPr>
        <w:t>lagere regelgeving en besluiten</w:t>
      </w:r>
      <w:r w:rsidRPr="006D6D67" w:rsidR="000D3870">
        <w:rPr>
          <w:rFonts w:eastAsia="Calibri" w:cs="Times New Roman"/>
          <w:color w:val="auto"/>
          <w:lang w:eastAsia="en-US"/>
        </w:rPr>
        <w:t xml:space="preserve"> door het hof in de prejudiciële procedure hetzelfde toetsingskader te hanteren als voor de toetsing van wetten.</w:t>
      </w:r>
      <w:r w:rsidRPr="006D6D67" w:rsidR="001B1C98">
        <w:rPr>
          <w:rFonts w:eastAsia="Calibri" w:cs="Times New Roman"/>
          <w:color w:val="auto"/>
          <w:lang w:eastAsia="en-US"/>
        </w:rPr>
        <w:t xml:space="preserve"> </w:t>
      </w:r>
      <w:r w:rsidRPr="006D6D67" w:rsidR="000D3870">
        <w:rPr>
          <w:rFonts w:eastAsia="Calibri" w:cs="Times New Roman"/>
          <w:color w:val="auto"/>
          <w:lang w:eastAsia="en-US"/>
        </w:rPr>
        <w:t xml:space="preserve">Verder ligt het </w:t>
      </w:r>
      <w:r w:rsidRPr="006D6D67" w:rsidR="00A73718">
        <w:rPr>
          <w:rFonts w:eastAsia="Calibri" w:cs="Times New Roman"/>
          <w:color w:val="auto"/>
          <w:lang w:eastAsia="en-US"/>
        </w:rPr>
        <w:t>blijkens het regeerprogramma niet in de rede om alle</w:t>
      </w:r>
      <w:r w:rsidRPr="006D6D67" w:rsidDel="00A73718" w:rsidR="00CB7450">
        <w:rPr>
          <w:rFonts w:eastAsia="Calibri" w:cs="Times New Roman"/>
          <w:color w:val="auto"/>
          <w:lang w:eastAsia="en-US"/>
        </w:rPr>
        <w:t xml:space="preserve"> </w:t>
      </w:r>
      <w:r w:rsidRPr="006D6D67" w:rsidR="009B796A">
        <w:rPr>
          <w:rFonts w:eastAsia="Calibri" w:cs="Times New Roman"/>
          <w:color w:val="auto"/>
          <w:lang w:eastAsia="en-US"/>
        </w:rPr>
        <w:t xml:space="preserve">overige </w:t>
      </w:r>
      <w:r w:rsidRPr="006D6D67" w:rsidR="001336FC">
        <w:rPr>
          <w:rFonts w:eastAsia="Calibri" w:cs="Times New Roman"/>
          <w:color w:val="auto"/>
          <w:lang w:eastAsia="en-US"/>
        </w:rPr>
        <w:t xml:space="preserve">handelingen van de overheid, juridisch dan wel feitelijk, </w:t>
      </w:r>
      <w:r w:rsidRPr="006D6D67" w:rsidR="00A73718">
        <w:rPr>
          <w:rFonts w:eastAsia="Calibri" w:cs="Times New Roman"/>
          <w:color w:val="auto"/>
          <w:lang w:eastAsia="en-US"/>
        </w:rPr>
        <w:t xml:space="preserve">onder de rechtsmacht van het grondwettelijk hof te brengen. </w:t>
      </w:r>
    </w:p>
    <w:p w:rsidRPr="006D6D67" w:rsidR="00CB7450" w:rsidP="007472AA" w:rsidRDefault="00CB7450" w14:paraId="77DE1E03" w14:textId="2EC44373">
      <w:pPr>
        <w:autoSpaceDN/>
        <w:spacing w:line="276" w:lineRule="auto"/>
        <w:textAlignment w:val="auto"/>
        <w:rPr>
          <w:rFonts w:eastAsia="Calibri" w:cs="Times New Roman"/>
          <w:color w:val="auto"/>
          <w:lang w:eastAsia="en-US"/>
        </w:rPr>
      </w:pPr>
    </w:p>
    <w:p w:rsidRPr="006D6D67" w:rsidR="00CB7450" w:rsidP="009810A8" w:rsidRDefault="00CB7450" w14:paraId="1F3240B8" w14:textId="45B6A415">
      <w:pPr>
        <w:pStyle w:val="Lijstalinea"/>
        <w:numPr>
          <w:ilvl w:val="1"/>
          <w:numId w:val="9"/>
        </w:numPr>
        <w:autoSpaceDN/>
        <w:spacing w:line="276" w:lineRule="auto"/>
        <w:textAlignment w:val="auto"/>
        <w:rPr>
          <w:rFonts w:eastAsia="Calibri" w:cs="Times New Roman"/>
          <w:i/>
          <w:color w:val="auto"/>
          <w:lang w:eastAsia="en-US"/>
        </w:rPr>
      </w:pPr>
      <w:r w:rsidRPr="006D6D67">
        <w:rPr>
          <w:rFonts w:eastAsia="Calibri" w:cs="Times New Roman"/>
          <w:i/>
          <w:color w:val="auto"/>
          <w:lang w:eastAsia="en-US"/>
        </w:rPr>
        <w:t>Bevoegdheden</w:t>
      </w:r>
    </w:p>
    <w:p w:rsidRPr="006D6D67" w:rsidR="00707ECB" w:rsidP="007472AA" w:rsidRDefault="00707ECB" w14:paraId="55B984DB" w14:textId="77777777">
      <w:pPr>
        <w:autoSpaceDN/>
        <w:spacing w:line="276" w:lineRule="auto"/>
        <w:textAlignment w:val="auto"/>
        <w:rPr>
          <w:rFonts w:eastAsia="Calibri" w:cs="Times New Roman"/>
          <w:color w:val="auto"/>
          <w:lang w:eastAsia="en-US"/>
        </w:rPr>
      </w:pPr>
    </w:p>
    <w:p w:rsidRPr="006D6D67" w:rsidR="00052697" w:rsidP="00D5411B" w:rsidRDefault="00510612" w14:paraId="0874FC1E" w14:textId="23FBFDEE">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Wanneer een wet</w:t>
      </w:r>
      <w:r w:rsidRPr="006D6D67" w:rsidR="0011114F">
        <w:rPr>
          <w:rFonts w:eastAsia="Calibri" w:cs="Times New Roman"/>
          <w:color w:val="auto"/>
          <w:lang w:eastAsia="en-US"/>
        </w:rPr>
        <w:t xml:space="preserve">, een ander algemeen verbindend voorschrift of een besluit </w:t>
      </w:r>
      <w:r w:rsidRPr="006D6D67">
        <w:rPr>
          <w:rFonts w:eastAsia="Calibri" w:cs="Times New Roman"/>
          <w:color w:val="auto"/>
          <w:lang w:eastAsia="en-US"/>
        </w:rPr>
        <w:t xml:space="preserve">strijdig </w:t>
      </w:r>
      <w:r w:rsidRPr="006D6D67" w:rsidR="0011114F">
        <w:rPr>
          <w:rFonts w:eastAsia="Calibri" w:cs="Times New Roman"/>
          <w:color w:val="auto"/>
          <w:lang w:eastAsia="en-US"/>
        </w:rPr>
        <w:t xml:space="preserve">wordt bevonden </w:t>
      </w:r>
      <w:r w:rsidRPr="006D6D67">
        <w:rPr>
          <w:rFonts w:eastAsia="Calibri" w:cs="Times New Roman"/>
          <w:color w:val="auto"/>
          <w:lang w:eastAsia="en-US"/>
        </w:rPr>
        <w:t>met de Grondwet,</w:t>
      </w:r>
      <w:r w:rsidRPr="006D6D67" w:rsidR="0035748D">
        <w:rPr>
          <w:rFonts w:eastAsia="Calibri" w:cs="Times New Roman"/>
          <w:color w:val="auto"/>
          <w:lang w:eastAsia="en-US"/>
        </w:rPr>
        <w:t xml:space="preserve"> moet het grondwettelijk hof daar, in de opvatting van het kabinet, een passend rechtsgevolg aan kunnen verbinden. </w:t>
      </w:r>
      <w:r w:rsidRPr="006D6D67" w:rsidR="00E36CDA">
        <w:rPr>
          <w:rFonts w:eastAsia="Calibri" w:cs="Times New Roman"/>
          <w:color w:val="auto"/>
          <w:lang w:eastAsia="en-US"/>
        </w:rPr>
        <w:t xml:space="preserve">Daarbij zijn meerdere opties denkbaar. De rechter </w:t>
      </w:r>
      <w:r w:rsidRPr="006D6D67" w:rsidR="00B65247">
        <w:rPr>
          <w:rFonts w:eastAsia="Calibri" w:cs="Times New Roman"/>
          <w:color w:val="auto"/>
          <w:lang w:eastAsia="en-US"/>
        </w:rPr>
        <w:t xml:space="preserve">heeft </w:t>
      </w:r>
      <w:r w:rsidRPr="006D6D67" w:rsidR="00E36CDA">
        <w:rPr>
          <w:rFonts w:eastAsia="Calibri" w:cs="Times New Roman"/>
          <w:color w:val="auto"/>
          <w:lang w:eastAsia="en-US"/>
        </w:rPr>
        <w:t xml:space="preserve">bij de huidige stand van </w:t>
      </w:r>
      <w:r w:rsidRPr="006D6D67" w:rsidR="00A61821">
        <w:rPr>
          <w:rFonts w:eastAsia="Calibri" w:cs="Times New Roman"/>
          <w:color w:val="auto"/>
          <w:lang w:eastAsia="en-US"/>
        </w:rPr>
        <w:t>het recht</w:t>
      </w:r>
      <w:r w:rsidRPr="006D6D67" w:rsidR="00E36CDA">
        <w:rPr>
          <w:rFonts w:eastAsia="Calibri" w:cs="Times New Roman"/>
          <w:color w:val="auto"/>
          <w:lang w:eastAsia="en-US"/>
        </w:rPr>
        <w:t xml:space="preserve"> </w:t>
      </w:r>
      <w:r w:rsidRPr="006D6D67" w:rsidR="00A61821">
        <w:rPr>
          <w:rFonts w:eastAsia="Calibri" w:cs="Times New Roman"/>
          <w:color w:val="auto"/>
          <w:lang w:eastAsia="en-US"/>
        </w:rPr>
        <w:t xml:space="preserve">na de gedeeltelijke opheffing van het toetsingsverbod </w:t>
      </w:r>
      <w:r w:rsidRPr="006D6D67" w:rsidR="00E36CDA">
        <w:rPr>
          <w:rFonts w:eastAsia="Calibri" w:cs="Times New Roman"/>
          <w:color w:val="auto"/>
          <w:lang w:eastAsia="en-US"/>
        </w:rPr>
        <w:t xml:space="preserve">de bevoegdheid een bepaling buiten toepassing te laten. Indien de rechter oordeelt dat aan een wettelijke bepaling echt een intrinsiek defect kleeft, zal van </w:t>
      </w:r>
      <w:r w:rsidRPr="006D6D67" w:rsidR="00A61821">
        <w:rPr>
          <w:rFonts w:eastAsia="Calibri" w:cs="Times New Roman"/>
          <w:color w:val="auto"/>
          <w:lang w:eastAsia="en-US"/>
        </w:rPr>
        <w:t>zo’n</w:t>
      </w:r>
      <w:r w:rsidRPr="006D6D67" w:rsidR="00E36CDA">
        <w:rPr>
          <w:rFonts w:eastAsia="Calibri" w:cs="Times New Roman"/>
          <w:color w:val="auto"/>
          <w:lang w:eastAsia="en-US"/>
        </w:rPr>
        <w:t xml:space="preserve"> uitspraak een belangrijk signaal naar de wetgever uitgaan en kan </w:t>
      </w:r>
      <w:r w:rsidRPr="006D6D67" w:rsidR="00A61821">
        <w:rPr>
          <w:rFonts w:eastAsia="Calibri" w:cs="Times New Roman"/>
          <w:color w:val="auto"/>
          <w:lang w:eastAsia="en-US"/>
        </w:rPr>
        <w:t>da</w:t>
      </w:r>
      <w:r w:rsidRPr="006D6D67" w:rsidR="00E36CDA">
        <w:rPr>
          <w:rFonts w:eastAsia="Calibri" w:cs="Times New Roman"/>
          <w:color w:val="auto"/>
          <w:lang w:eastAsia="en-US"/>
        </w:rPr>
        <w:t xml:space="preserve">t ertoe leiden dat de bepaling ook in andere gevallen buiten toepassing wordt gelaten. </w:t>
      </w:r>
      <w:r w:rsidRPr="006D6D67" w:rsidR="0011114F">
        <w:rPr>
          <w:rFonts w:eastAsia="Calibri" w:cs="Times New Roman"/>
          <w:color w:val="auto"/>
          <w:lang w:eastAsia="en-US"/>
        </w:rPr>
        <w:t xml:space="preserve">Zoals eerder al </w:t>
      </w:r>
      <w:r w:rsidRPr="006D6D67" w:rsidR="00052697">
        <w:rPr>
          <w:rFonts w:eastAsia="Calibri" w:cs="Times New Roman"/>
          <w:color w:val="auto"/>
          <w:lang w:eastAsia="en-US"/>
        </w:rPr>
        <w:t>geopperd</w:t>
      </w:r>
      <w:r w:rsidRPr="006D6D67" w:rsidR="00E36CDA">
        <w:rPr>
          <w:rFonts w:eastAsia="Calibri" w:cs="Times New Roman"/>
          <w:color w:val="auto"/>
          <w:lang w:eastAsia="en-US"/>
        </w:rPr>
        <w:t>,</w:t>
      </w:r>
      <w:r w:rsidRPr="006D6D67" w:rsidR="00052697">
        <w:rPr>
          <w:rFonts w:eastAsia="Calibri" w:cs="Times New Roman"/>
          <w:color w:val="auto"/>
          <w:lang w:eastAsia="en-US"/>
        </w:rPr>
        <w:t xml:space="preserve"> </w:t>
      </w:r>
      <w:r w:rsidRPr="006D6D67" w:rsidR="00040633">
        <w:rPr>
          <w:rFonts w:eastAsia="Calibri" w:cs="Times New Roman"/>
          <w:color w:val="auto"/>
          <w:lang w:eastAsia="en-US"/>
        </w:rPr>
        <w:t xml:space="preserve">is naast buiten toepassing laten in een concreet geval </w:t>
      </w:r>
      <w:r w:rsidRPr="006D6D67" w:rsidR="00ED6B13">
        <w:rPr>
          <w:rFonts w:eastAsia="Calibri" w:cs="Times New Roman"/>
          <w:color w:val="auto"/>
          <w:lang w:eastAsia="en-US"/>
        </w:rPr>
        <w:t xml:space="preserve">het ook </w:t>
      </w:r>
      <w:r w:rsidRPr="006D6D67" w:rsidR="00040633">
        <w:rPr>
          <w:rFonts w:eastAsia="Calibri" w:cs="Times New Roman"/>
          <w:color w:val="auto"/>
          <w:lang w:eastAsia="en-US"/>
        </w:rPr>
        <w:t xml:space="preserve">een optie </w:t>
      </w:r>
      <w:r w:rsidRPr="006D6D67" w:rsidR="00052697">
        <w:rPr>
          <w:rFonts w:eastAsia="Calibri" w:cs="Times New Roman"/>
          <w:color w:val="auto"/>
          <w:lang w:eastAsia="en-US"/>
        </w:rPr>
        <w:t>om het hof de bevoegdheid te geven van vernietiging als rechtsgevolg.</w:t>
      </w:r>
      <w:r w:rsidRPr="006D6D67" w:rsidR="00E36CDA">
        <w:rPr>
          <w:rStyle w:val="Voetnootmarkering"/>
          <w:rFonts w:eastAsia="Calibri" w:cs="Times New Roman"/>
          <w:color w:val="auto"/>
          <w:lang w:eastAsia="en-US"/>
        </w:rPr>
        <w:footnoteReference w:id="30"/>
      </w:r>
      <w:r w:rsidRPr="006D6D67" w:rsidR="00052697">
        <w:rPr>
          <w:rFonts w:eastAsia="Calibri" w:cs="Times New Roman"/>
          <w:color w:val="auto"/>
          <w:lang w:eastAsia="en-US"/>
        </w:rPr>
        <w:t xml:space="preserve"> </w:t>
      </w:r>
      <w:r w:rsidRPr="006D6D67" w:rsidR="00CB7450">
        <w:rPr>
          <w:rFonts w:eastAsia="Calibri" w:cs="Times New Roman"/>
          <w:color w:val="auto"/>
          <w:lang w:eastAsia="en-US"/>
        </w:rPr>
        <w:t xml:space="preserve">Bij vernietiging verdwijnt een voorschrift uit de rechtsorde, in beginsel per ommegaande, en is ook voor derden duidelijk dat zij niet door de ongrondwettige norm kunnen worden getroffen. </w:t>
      </w:r>
      <w:r w:rsidRPr="006D6D67" w:rsidR="003A39AC">
        <w:rPr>
          <w:rFonts w:eastAsia="Calibri" w:cs="Times New Roman"/>
          <w:color w:val="auto"/>
          <w:lang w:eastAsia="en-US"/>
        </w:rPr>
        <w:t xml:space="preserve">Gelet op de ingrijpende consequenties hiervan voor de rechtsorde </w:t>
      </w:r>
      <w:r w:rsidRPr="006D6D67" w:rsidR="00CB7450">
        <w:rPr>
          <w:rFonts w:eastAsia="Calibri" w:cs="Times New Roman"/>
          <w:color w:val="auto"/>
          <w:lang w:eastAsia="en-US"/>
        </w:rPr>
        <w:t>vindt het kabinet</w:t>
      </w:r>
      <w:r w:rsidRPr="006D6D67" w:rsidR="00052697">
        <w:rPr>
          <w:rFonts w:eastAsia="Calibri" w:cs="Times New Roman"/>
          <w:color w:val="auto"/>
          <w:lang w:eastAsia="en-US"/>
        </w:rPr>
        <w:t>, als gekozen wordt voor deze bevoegdheid,</w:t>
      </w:r>
      <w:r w:rsidRPr="006D6D67" w:rsidR="00CB7450">
        <w:rPr>
          <w:rFonts w:eastAsia="Calibri" w:cs="Times New Roman"/>
          <w:color w:val="auto"/>
          <w:lang w:eastAsia="en-US"/>
        </w:rPr>
        <w:t xml:space="preserve"> het belangrijk dat deze bevoegdheid in één hand blijft en exclusief is voorbehouden aan het grondwettelijk hof. </w:t>
      </w:r>
      <w:r w:rsidRPr="006D6D67" w:rsidR="001865BB">
        <w:rPr>
          <w:rFonts w:eastAsia="Calibri" w:cs="Times New Roman"/>
          <w:color w:val="auto"/>
          <w:lang w:eastAsia="en-US"/>
        </w:rPr>
        <w:t>In de lidstaten van de Europese Unie die een grondwettelijk hof hebben, he</w:t>
      </w:r>
      <w:r w:rsidRPr="006D6D67" w:rsidR="00E7494A">
        <w:rPr>
          <w:rFonts w:eastAsia="Calibri" w:cs="Times New Roman"/>
          <w:color w:val="auto"/>
          <w:lang w:eastAsia="en-US"/>
        </w:rPr>
        <w:t>bben hoven d</w:t>
      </w:r>
      <w:r w:rsidRPr="006D6D67" w:rsidR="001865BB">
        <w:rPr>
          <w:rFonts w:eastAsia="Calibri" w:cs="Times New Roman"/>
          <w:color w:val="auto"/>
          <w:lang w:eastAsia="en-US"/>
        </w:rPr>
        <w:t>e mogelijkheid van vernietiging in het arsenaal van bevoegdheden.</w:t>
      </w:r>
      <w:r w:rsidRPr="006D6D67" w:rsidR="001865BB">
        <w:rPr>
          <w:rStyle w:val="Voetnootmarkering"/>
          <w:rFonts w:eastAsia="Calibri" w:cs="Times New Roman"/>
          <w:color w:val="auto"/>
          <w:lang w:eastAsia="en-US"/>
        </w:rPr>
        <w:footnoteReference w:id="31"/>
      </w:r>
      <w:r w:rsidRPr="006D6D67" w:rsidR="001865BB">
        <w:rPr>
          <w:rFonts w:eastAsia="Calibri" w:cs="Times New Roman"/>
          <w:color w:val="auto"/>
          <w:lang w:eastAsia="en-US"/>
        </w:rPr>
        <w:t xml:space="preserve"> </w:t>
      </w:r>
      <w:r w:rsidRPr="006D6D67" w:rsidR="00C17363">
        <w:rPr>
          <w:rFonts w:eastAsia="Calibri" w:cs="Times New Roman"/>
          <w:color w:val="auto"/>
          <w:lang w:eastAsia="en-US"/>
        </w:rPr>
        <w:t>Men kan zich afvragen of deze bevoegdheid</w:t>
      </w:r>
      <w:r w:rsidRPr="006D6D67" w:rsidR="00C17363">
        <w:rPr>
          <w:rFonts w:eastAsia="Calibri" w:cs="Times New Roman"/>
        </w:rPr>
        <w:t xml:space="preserve"> past bij het Nederlandse systeem. </w:t>
      </w:r>
      <w:r w:rsidRPr="006D6D67" w:rsidR="00DE447B">
        <w:rPr>
          <w:rFonts w:eastAsia="Calibri" w:cs="Times New Roman"/>
        </w:rPr>
        <w:t xml:space="preserve">Zo bestaat het risico op een te grote verschuiving in de checks </w:t>
      </w:r>
      <w:proofErr w:type="spellStart"/>
      <w:r w:rsidRPr="006D6D67" w:rsidR="00DE447B">
        <w:rPr>
          <w:rFonts w:eastAsia="Calibri" w:cs="Times New Roman"/>
        </w:rPr>
        <w:t>and</w:t>
      </w:r>
      <w:proofErr w:type="spellEnd"/>
      <w:r w:rsidRPr="006D6D67" w:rsidR="00DE447B">
        <w:rPr>
          <w:rFonts w:eastAsia="Calibri" w:cs="Times New Roman"/>
        </w:rPr>
        <w:t xml:space="preserve"> </w:t>
      </w:r>
      <w:proofErr w:type="spellStart"/>
      <w:r w:rsidRPr="006D6D67" w:rsidR="00DE447B">
        <w:rPr>
          <w:rFonts w:eastAsia="Calibri" w:cs="Times New Roman"/>
        </w:rPr>
        <w:t>balances</w:t>
      </w:r>
      <w:proofErr w:type="spellEnd"/>
      <w:r w:rsidRPr="006D6D67" w:rsidR="00DE447B">
        <w:rPr>
          <w:rFonts w:eastAsia="Calibri" w:cs="Times New Roman"/>
        </w:rPr>
        <w:t xml:space="preserve"> tussen de staatsmachten, terwijl van minder vergaande bevoegdheden voor het hof ook sterke signalen uitgaan. </w:t>
      </w:r>
      <w:r w:rsidRPr="006D6D67" w:rsidR="00C17363">
        <w:rPr>
          <w:rFonts w:eastAsia="Calibri" w:cs="Times New Roman"/>
        </w:rPr>
        <w:t xml:space="preserve">Ook </w:t>
      </w:r>
      <w:r w:rsidRPr="006D6D67" w:rsidR="00C17363">
        <w:rPr>
          <w:rFonts w:eastAsia="Calibri" w:cs="Times New Roman"/>
        </w:rPr>
        <w:lastRenderedPageBreak/>
        <w:t xml:space="preserve">moet gewezen worden op de verhouding tussen het </w:t>
      </w:r>
      <w:r w:rsidRPr="006D6D67" w:rsidR="001865BB">
        <w:rPr>
          <w:rFonts w:eastAsia="Calibri" w:cs="Times New Roman"/>
        </w:rPr>
        <w:t>grondwettelijk</w:t>
      </w:r>
      <w:r w:rsidRPr="006D6D67" w:rsidR="00C17363">
        <w:rPr>
          <w:rFonts w:eastAsia="Calibri" w:cs="Times New Roman"/>
        </w:rPr>
        <w:t xml:space="preserve"> hof en andere hoge rechterlijke colleges, zoals de Hoge Raad</w:t>
      </w:r>
      <w:r w:rsidRPr="006D6D67" w:rsidR="00DE447B">
        <w:rPr>
          <w:rFonts w:eastAsia="Calibri" w:cs="Times New Roman"/>
        </w:rPr>
        <w:t xml:space="preserve">. </w:t>
      </w:r>
      <w:r w:rsidRPr="006D6D67" w:rsidR="00DE447B">
        <w:t xml:space="preserve">Als wordt gekozen om de bevoegdheid vernietiging toe te kennen aan het hof, zoekt het kabinet naar een binnen het Nederlandse systeem passende invulling van die bevoegdheid. </w:t>
      </w:r>
    </w:p>
    <w:p w:rsidRPr="006D6D67" w:rsidR="0010689C" w:rsidP="00D5411B" w:rsidRDefault="00143EEB" w14:paraId="5387AF98" w14:textId="293D48C8">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br/>
        <w:t xml:space="preserve">Overigens wil het eventueel toekennen van de bevoegdheid om te vernietigen niet zeggen dat het hof daar ook altijd gebruik van zal maken indien het tot het oordeel komt dat sprake is van ongrondwettige wetgeving of andere regelgeving. Denkbaar is dat het hof wel tot het oordeel komt dat een aan hem voorgelegde norm ongrondwettig is, maar dat deze voorlopig in stand kan blijven en alleen tussen partijen bij het geschil geen werking heeft. Een ander scenario is dat het grondwettelijk hof weliswaar een bestreden norm vernietigt, maar dat het omwille van de rechtszekerheid de gevolgen hiervan verzacht, bijvoorbeeld door geen terugwerkende kracht aan de vernietiging te verbinden. </w:t>
      </w:r>
    </w:p>
    <w:p w:rsidRPr="006D6D67" w:rsidR="00143EEB" w:rsidP="00D5411B" w:rsidRDefault="00143EEB" w14:paraId="6CF3EBBD" w14:textId="77777777">
      <w:pPr>
        <w:autoSpaceDN/>
        <w:spacing w:line="276" w:lineRule="auto"/>
        <w:textAlignment w:val="auto"/>
        <w:rPr>
          <w:rFonts w:eastAsia="Calibri" w:cs="Times New Roman"/>
          <w:color w:val="auto"/>
          <w:lang w:eastAsia="en-US"/>
        </w:rPr>
      </w:pPr>
    </w:p>
    <w:p w:rsidRPr="006D6D67" w:rsidR="00FA3EE4" w:rsidP="00D5411B" w:rsidRDefault="003A39AC" w14:paraId="365ED92C" w14:textId="1E62A2AA">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Dit laat onverl</w:t>
      </w:r>
      <w:r w:rsidRPr="006D6D67" w:rsidR="0010689C">
        <w:rPr>
          <w:rFonts w:eastAsia="Calibri" w:cs="Times New Roman"/>
          <w:color w:val="auto"/>
          <w:lang w:eastAsia="en-US"/>
        </w:rPr>
        <w:t>e</w:t>
      </w:r>
      <w:r w:rsidRPr="006D6D67">
        <w:rPr>
          <w:rFonts w:eastAsia="Calibri" w:cs="Times New Roman"/>
          <w:color w:val="auto"/>
          <w:lang w:eastAsia="en-US"/>
        </w:rPr>
        <w:t xml:space="preserve">t dat rechters, zoals eveneens hierboven is toegelicht, ook zelf </w:t>
      </w:r>
      <w:r w:rsidRPr="006D6D67" w:rsidR="00D5411B">
        <w:rPr>
          <w:rFonts w:eastAsia="Calibri" w:cs="Times New Roman"/>
          <w:color w:val="auto"/>
          <w:lang w:eastAsia="en-US"/>
        </w:rPr>
        <w:t xml:space="preserve">kunnen toetsen aan de Grondwet en zaken kunnen </w:t>
      </w:r>
      <w:r w:rsidRPr="006D6D67" w:rsidR="00F7621E">
        <w:rPr>
          <w:rFonts w:eastAsia="Calibri" w:cs="Times New Roman"/>
          <w:color w:val="auto"/>
          <w:lang w:eastAsia="en-US"/>
        </w:rPr>
        <w:t>afdoen, bijvoorbeeld als er al een eerdere richtinggevende uitspraak is geweest of als er over de toetsing geen redelijke twijfel kan bestaan.</w:t>
      </w:r>
      <w:r w:rsidRPr="006D6D67" w:rsidR="00707ECB">
        <w:rPr>
          <w:rFonts w:eastAsia="Calibri" w:cs="Times New Roman"/>
          <w:color w:val="auto"/>
          <w:lang w:eastAsia="en-US"/>
        </w:rPr>
        <w:t xml:space="preserve"> </w:t>
      </w:r>
      <w:r w:rsidRPr="006D6D67" w:rsidR="00F7621E">
        <w:rPr>
          <w:rFonts w:eastAsia="Calibri" w:cs="Times New Roman"/>
          <w:color w:val="auto"/>
          <w:lang w:eastAsia="en-US"/>
        </w:rPr>
        <w:t xml:space="preserve">Eventueel kan een wet (of een deel van de wet) buiten toepassing worden gelaten, zoals nu reeds het geval is bij toetsing van wetten aan verdragen. </w:t>
      </w:r>
      <w:r w:rsidRPr="006D6D67" w:rsidR="00D5411B">
        <w:rPr>
          <w:rFonts w:eastAsia="Calibri" w:cs="Times New Roman"/>
          <w:color w:val="auto"/>
          <w:lang w:eastAsia="en-US"/>
        </w:rPr>
        <w:t>Zodra een rechter echter besluit om een prejudiciële vraag te stellen over de grondwettigheid van een maatregel die binnen de rechtsmacht van het grondwettelijk hof valt, is hij gehouden het oordeel van het hof hierover te volgen wanneer de behandeling van het geschil hervat wordt.</w:t>
      </w:r>
      <w:r w:rsidRPr="006D6D67" w:rsidR="00FA3EE4">
        <w:rPr>
          <w:rFonts w:eastAsia="Calibri" w:cs="Times New Roman"/>
          <w:color w:val="auto"/>
          <w:lang w:eastAsia="en-US"/>
        </w:rPr>
        <w:t xml:space="preserve"> </w:t>
      </w:r>
    </w:p>
    <w:p w:rsidRPr="006D6D67" w:rsidR="00FA3EE4" w:rsidP="00D5411B" w:rsidRDefault="00FA3EE4" w14:paraId="2EABD971" w14:textId="77777777">
      <w:pPr>
        <w:autoSpaceDN/>
        <w:spacing w:line="276" w:lineRule="auto"/>
        <w:textAlignment w:val="auto"/>
        <w:rPr>
          <w:rFonts w:eastAsia="Calibri" w:cs="Times New Roman"/>
          <w:color w:val="auto"/>
          <w:lang w:eastAsia="en-US"/>
        </w:rPr>
      </w:pPr>
    </w:p>
    <w:p w:rsidRPr="006D6D67" w:rsidR="007254B6" w:rsidP="007472AA" w:rsidRDefault="00FA3EE4" w14:paraId="6B0163DB" w14:textId="21A175D2">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Welke consequentie dit oordeel heeft voor het vervolg van het geschil, zal onder meer afhangen van de aard van dit geschil. Vindt de verwijzing van een prejudiciële vraag bijvoorbeeld plaats in een strafzaak, dan </w:t>
      </w:r>
      <w:r w:rsidRPr="006D6D67" w:rsidR="00F312C1">
        <w:rPr>
          <w:rFonts w:eastAsia="Calibri" w:cs="Times New Roman"/>
          <w:color w:val="auto"/>
          <w:lang w:eastAsia="en-US"/>
        </w:rPr>
        <w:t>kan</w:t>
      </w:r>
      <w:r w:rsidRPr="006D6D67">
        <w:rPr>
          <w:rFonts w:eastAsia="Calibri" w:cs="Times New Roman"/>
          <w:color w:val="auto"/>
          <w:lang w:eastAsia="en-US"/>
        </w:rPr>
        <w:t xml:space="preserve"> de</w:t>
      </w:r>
      <w:r w:rsidRPr="006D6D67" w:rsidR="00A61821">
        <w:rPr>
          <w:rFonts w:eastAsia="Calibri" w:cs="Times New Roman"/>
          <w:color w:val="auto"/>
          <w:lang w:eastAsia="en-US"/>
        </w:rPr>
        <w:t xml:space="preserve"> ongrondwettigheidsverklaring </w:t>
      </w:r>
      <w:r w:rsidRPr="006D6D67">
        <w:rPr>
          <w:rFonts w:eastAsia="Calibri" w:cs="Times New Roman"/>
          <w:color w:val="auto"/>
          <w:lang w:eastAsia="en-US"/>
        </w:rPr>
        <w:t xml:space="preserve">van een voorschrift ertoe leiden dat de strafrechter een verdachte ontslaat van rechtsvervolging of vrijspreekt. Is sprake van een onrechtmatige daadsactie tegen het bestreden voorschrift bij de burgerlijke rechter, dan kan een </w:t>
      </w:r>
      <w:r w:rsidRPr="006D6D67" w:rsidR="00A61821">
        <w:rPr>
          <w:rFonts w:eastAsia="Calibri" w:cs="Times New Roman"/>
          <w:color w:val="auto"/>
          <w:lang w:eastAsia="en-US"/>
        </w:rPr>
        <w:t>dergelijke verklaring</w:t>
      </w:r>
      <w:r w:rsidRPr="006D6D67">
        <w:rPr>
          <w:rFonts w:eastAsia="Calibri" w:cs="Times New Roman"/>
          <w:color w:val="auto"/>
          <w:lang w:eastAsia="en-US"/>
        </w:rPr>
        <w:t xml:space="preserve"> ertoe leiden dat de rechter een gedupeerde een schadevergoeding toekent. </w:t>
      </w:r>
      <w:r w:rsidRPr="006D6D67" w:rsidR="00602560">
        <w:rPr>
          <w:rFonts w:eastAsia="Calibri" w:cs="Times New Roman"/>
          <w:color w:val="auto"/>
          <w:lang w:eastAsia="en-US"/>
        </w:rPr>
        <w:t xml:space="preserve">Wordt de grondwettigheid tot slot opgeworpen in een bestuursrechtelijk geschil, dan </w:t>
      </w:r>
      <w:r w:rsidRPr="006D6D67" w:rsidR="002D304B">
        <w:rPr>
          <w:rFonts w:eastAsia="Calibri" w:cs="Times New Roman"/>
          <w:color w:val="auto"/>
          <w:lang w:eastAsia="en-US"/>
        </w:rPr>
        <w:t xml:space="preserve">zal de </w:t>
      </w:r>
      <w:r w:rsidRPr="006D6D67" w:rsidR="00A61821">
        <w:rPr>
          <w:rFonts w:eastAsia="Calibri" w:cs="Times New Roman"/>
          <w:color w:val="auto"/>
          <w:lang w:eastAsia="en-US"/>
        </w:rPr>
        <w:t>ongrondwettigheidsverklaring</w:t>
      </w:r>
      <w:r w:rsidRPr="006D6D67" w:rsidR="002D304B">
        <w:rPr>
          <w:rFonts w:eastAsia="Calibri" w:cs="Times New Roman"/>
          <w:color w:val="auto"/>
          <w:lang w:eastAsia="en-US"/>
        </w:rPr>
        <w:t xml:space="preserve"> vermoedelijk in de regel betrekking hebben op </w:t>
      </w:r>
      <w:r w:rsidRPr="006D6D67" w:rsidR="00602560">
        <w:rPr>
          <w:rFonts w:eastAsia="Calibri" w:cs="Times New Roman"/>
          <w:color w:val="auto"/>
          <w:lang w:eastAsia="en-US"/>
        </w:rPr>
        <w:t xml:space="preserve">een algemeen verbindend voorschrift </w:t>
      </w:r>
      <w:r w:rsidRPr="006D6D67" w:rsidR="002D304B">
        <w:rPr>
          <w:rFonts w:eastAsia="Calibri" w:cs="Times New Roman"/>
          <w:color w:val="auto"/>
          <w:lang w:eastAsia="en-US"/>
        </w:rPr>
        <w:t>dat de grondslag vormt van een bestuursrechtelijk besluit. Het is vervolgens aan de bestuursrechter om te bezien wat er precies moet gebeuren met het bestreden besluit.</w:t>
      </w:r>
    </w:p>
    <w:p w:rsidRPr="006D6D67" w:rsidR="007254B6" w:rsidP="007472AA" w:rsidRDefault="007254B6" w14:paraId="078C229A" w14:textId="77777777">
      <w:pPr>
        <w:autoSpaceDN/>
        <w:spacing w:line="276" w:lineRule="auto"/>
        <w:textAlignment w:val="auto"/>
        <w:rPr>
          <w:rFonts w:eastAsia="Calibri" w:cs="Times New Roman"/>
          <w:color w:val="auto"/>
          <w:lang w:eastAsia="en-US"/>
        </w:rPr>
      </w:pPr>
    </w:p>
    <w:p w:rsidR="00B32F84" w:rsidP="007472AA" w:rsidRDefault="00B32F84" w14:paraId="00B7CE19" w14:textId="5F784BE6">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Soms zal een rechtszoekende </w:t>
      </w:r>
      <w:r w:rsidRPr="006D6D67" w:rsidR="0052575E">
        <w:rPr>
          <w:rFonts w:eastAsia="Calibri" w:cs="Times New Roman"/>
          <w:color w:val="auto"/>
          <w:lang w:eastAsia="en-US"/>
        </w:rPr>
        <w:t xml:space="preserve">burger </w:t>
      </w:r>
      <w:r w:rsidRPr="006D6D67">
        <w:rPr>
          <w:rFonts w:eastAsia="Calibri" w:cs="Times New Roman"/>
          <w:color w:val="auto"/>
          <w:lang w:eastAsia="en-US"/>
        </w:rPr>
        <w:t>niet geholpen zijn met de enkele vaststelling dat een wet of regel een grondrecht schendt</w:t>
      </w:r>
      <w:r w:rsidRPr="006D6D67" w:rsidR="00A93C10">
        <w:rPr>
          <w:rFonts w:eastAsia="Calibri" w:cs="Times New Roman"/>
          <w:color w:val="auto"/>
          <w:lang w:eastAsia="en-US"/>
        </w:rPr>
        <w:t xml:space="preserve">. Het kan namelijk voorkomen dat hierdoor een leemte in het recht ontstaat die, wil er sprake zijn van effectieve rechtsbescherming, opgevuld dient te worden door nieuwe rechtsvorming. Over </w:t>
      </w:r>
      <w:r w:rsidRPr="006D6D67" w:rsidR="009F778E">
        <w:rPr>
          <w:rFonts w:eastAsia="Calibri" w:cs="Times New Roman"/>
          <w:color w:val="auto"/>
          <w:lang w:eastAsia="en-US"/>
        </w:rPr>
        <w:t>het</w:t>
      </w:r>
      <w:r w:rsidRPr="006D6D67" w:rsidR="00A93C10">
        <w:rPr>
          <w:rFonts w:eastAsia="Calibri" w:cs="Times New Roman"/>
          <w:color w:val="auto"/>
          <w:lang w:eastAsia="en-US"/>
        </w:rPr>
        <w:t xml:space="preserve"> leerstuk van rechtsvorming </w:t>
      </w:r>
      <w:r w:rsidRPr="006D6D67" w:rsidR="0052575E">
        <w:rPr>
          <w:rFonts w:eastAsia="Calibri" w:cs="Times New Roman"/>
          <w:color w:val="auto"/>
          <w:lang w:eastAsia="en-US"/>
        </w:rPr>
        <w:t>bij schending van verdragsrechtelijk gewaarborgde rechten</w:t>
      </w:r>
      <w:r w:rsidRPr="006D6D67" w:rsidR="009F778E">
        <w:rPr>
          <w:rFonts w:eastAsia="Calibri" w:cs="Times New Roman"/>
          <w:color w:val="auto"/>
          <w:lang w:eastAsia="en-US"/>
        </w:rPr>
        <w:t xml:space="preserve"> bestaat veel jurisprudentie</w:t>
      </w:r>
      <w:r w:rsidRPr="006D6D67" w:rsidR="0052575E">
        <w:rPr>
          <w:rFonts w:eastAsia="Calibri" w:cs="Times New Roman"/>
          <w:color w:val="auto"/>
          <w:lang w:eastAsia="en-US"/>
        </w:rPr>
        <w:t xml:space="preserve">. Volgens de Hoge Raad dient de rechter in een dergelijke situatie in het algemeen </w:t>
      </w:r>
      <w:r w:rsidRPr="006D6D67" w:rsidR="00A93C10">
        <w:rPr>
          <w:rFonts w:eastAsia="Calibri" w:cs="Times New Roman"/>
          <w:color w:val="auto"/>
          <w:lang w:eastAsia="en-US"/>
        </w:rPr>
        <w:t>zelf in het rechtstekort te voorzien</w:t>
      </w:r>
      <w:r w:rsidRPr="006D6D67" w:rsidR="006E09B2">
        <w:rPr>
          <w:rFonts w:eastAsia="Calibri" w:cs="Times New Roman"/>
          <w:color w:val="auto"/>
          <w:lang w:eastAsia="en-US"/>
        </w:rPr>
        <w:t>,</w:t>
      </w:r>
      <w:r w:rsidRPr="006D6D67" w:rsidR="00A93C10">
        <w:rPr>
          <w:rFonts w:eastAsia="Calibri" w:cs="Times New Roman"/>
          <w:color w:val="auto"/>
          <w:lang w:eastAsia="en-US"/>
        </w:rPr>
        <w:t xml:space="preserve"> indien zich uit het stelsel van de wet, de daarin geregelde gevallen en de daaraan ten </w:t>
      </w:r>
      <w:r w:rsidRPr="006D6D67" w:rsidR="00A93C10">
        <w:rPr>
          <w:rFonts w:eastAsia="Calibri" w:cs="Times New Roman"/>
          <w:color w:val="auto"/>
          <w:lang w:eastAsia="en-US"/>
        </w:rPr>
        <w:lastRenderedPageBreak/>
        <w:t>grondslag liggende beginselen, of de wetsgeschiedenis, voldoende duidelijk laat afleiden hoe dit dient te geschieden.</w:t>
      </w:r>
      <w:r w:rsidRPr="006D6D67" w:rsidR="006E09B2">
        <w:rPr>
          <w:rStyle w:val="Voetnootmarkering"/>
          <w:rFonts w:eastAsia="Calibri" w:cs="Times New Roman"/>
          <w:color w:val="auto"/>
          <w:lang w:eastAsia="en-US"/>
        </w:rPr>
        <w:footnoteReference w:id="32"/>
      </w:r>
      <w:r w:rsidRPr="006D6D67" w:rsidR="006E09B2">
        <w:rPr>
          <w:rFonts w:eastAsia="Calibri" w:cs="Times New Roman"/>
          <w:color w:val="auto"/>
          <w:lang w:eastAsia="en-US"/>
        </w:rPr>
        <w:t xml:space="preserve"> Is dat niet het geval, dan kan de rechter geen rechtsbescherming bieden en is het aan de wetgever om een oplossing te vinden. </w:t>
      </w:r>
      <w:r w:rsidRPr="006D6D67" w:rsidR="0087036C">
        <w:rPr>
          <w:rFonts w:eastAsia="Calibri" w:cs="Times New Roman"/>
          <w:color w:val="auto"/>
          <w:lang w:eastAsia="en-US"/>
        </w:rPr>
        <w:t>Ook bij de toetsing van wetten aan de Grondwet zal deze problematiek een rol gaan spelen.</w:t>
      </w:r>
      <w:r w:rsidRPr="006D6D67" w:rsidR="001B1C98">
        <w:rPr>
          <w:rFonts w:eastAsia="Calibri" w:cs="Times New Roman"/>
          <w:color w:val="auto"/>
          <w:lang w:eastAsia="en-US"/>
        </w:rPr>
        <w:t xml:space="preserve"> </w:t>
      </w:r>
    </w:p>
    <w:p w:rsidRPr="006D6D67" w:rsidR="006D6D67" w:rsidP="007472AA" w:rsidRDefault="006D6D67" w14:paraId="7DB0AE9E" w14:textId="77777777">
      <w:pPr>
        <w:autoSpaceDN/>
        <w:spacing w:line="276" w:lineRule="auto"/>
        <w:textAlignment w:val="auto"/>
        <w:rPr>
          <w:rFonts w:eastAsia="Calibri" w:cs="Times New Roman"/>
          <w:color w:val="auto"/>
          <w:lang w:eastAsia="en-US"/>
        </w:rPr>
      </w:pPr>
    </w:p>
    <w:p w:rsidRPr="006D6D67" w:rsidR="00921850" w:rsidP="007472AA" w:rsidRDefault="00921850" w14:paraId="48BCF3DD" w14:textId="77777777">
      <w:pPr>
        <w:autoSpaceDN/>
        <w:spacing w:line="276" w:lineRule="auto"/>
        <w:textAlignment w:val="auto"/>
        <w:rPr>
          <w:rFonts w:eastAsia="Calibri" w:cs="Times New Roman"/>
          <w:color w:val="auto"/>
          <w:lang w:eastAsia="en-US"/>
        </w:rPr>
      </w:pPr>
    </w:p>
    <w:tbl>
      <w:tblPr>
        <w:tblStyle w:val="Tabelraster"/>
        <w:tblW w:w="0" w:type="auto"/>
        <w:tblInd w:w="0" w:type="dxa"/>
        <w:tblLook w:val="04A0" w:firstRow="1" w:lastRow="0" w:firstColumn="1" w:lastColumn="0" w:noHBand="0" w:noVBand="1"/>
      </w:tblPr>
      <w:tblGrid>
        <w:gridCol w:w="7531"/>
      </w:tblGrid>
      <w:tr w:rsidRPr="006D6D67" w:rsidR="00921850" w:rsidTr="00B956C5" w14:paraId="26C7BAAA" w14:textId="77777777">
        <w:tc>
          <w:tcPr>
            <w:tcW w:w="7531" w:type="dxa"/>
            <w:shd w:val="clear" w:color="auto" w:fill="FFFFFF" w:themeFill="background1"/>
          </w:tcPr>
          <w:p w:rsidRPr="006D6D67" w:rsidR="00921850" w:rsidP="007472AA" w:rsidRDefault="00921850" w14:paraId="78ABCD35" w14:textId="77777777">
            <w:pPr>
              <w:autoSpaceDN/>
              <w:spacing w:line="276" w:lineRule="auto"/>
              <w:textAlignment w:val="auto"/>
              <w:rPr>
                <w:rFonts w:eastAsia="Calibri" w:cs="Times New Roman"/>
                <w:color w:val="auto"/>
                <w:u w:val="single"/>
                <w:lang w:eastAsia="en-US"/>
              </w:rPr>
            </w:pPr>
            <w:r w:rsidRPr="006D6D67">
              <w:rPr>
                <w:rFonts w:eastAsia="Calibri" w:cs="Times New Roman"/>
                <w:color w:val="auto"/>
                <w:u w:val="single"/>
                <w:lang w:eastAsia="en-US"/>
              </w:rPr>
              <w:t>Toetsing van en aan rijkswetten</w:t>
            </w:r>
          </w:p>
          <w:p w:rsidRPr="006D6D67" w:rsidR="001C620D" w:rsidP="007472AA" w:rsidRDefault="00921850" w14:paraId="04AC48AF" w14:textId="699D96DC">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De door het kabinet beoogde gedeeltelijke opheffing van het in artikel 120 van de Grondwet opgenomen toetsingsverbod maakt de weg vrij voor een rechterlijke beoordeling van de grondwettigheid van ‘wetten’. </w:t>
            </w:r>
            <w:r w:rsidRPr="006D6D67" w:rsidR="00BD0600">
              <w:rPr>
                <w:rFonts w:eastAsia="Calibri" w:cs="Times New Roman"/>
                <w:color w:val="auto"/>
                <w:lang w:eastAsia="en-US"/>
              </w:rPr>
              <w:t>Het verdient opmerking</w:t>
            </w:r>
            <w:r w:rsidRPr="006D6D67">
              <w:rPr>
                <w:rFonts w:eastAsia="Calibri" w:cs="Times New Roman"/>
                <w:color w:val="auto"/>
                <w:lang w:eastAsia="en-US"/>
              </w:rPr>
              <w:t xml:space="preserve"> dat dit uitsluitend Nederlandse wetten betreft. Toetsing van rijkswetten aan de Grondwet ligt niet in de rede; het past immers niet binnen de structuur van het Koninkrijk dat wetgeving van het hiërarchisch hoger gelegen Koninkrijksniveau door de rechter wordt getoetst aan de wetgeving van de landen, inclusief de delen van de Grondwet die de constitutie van het land Nederland betreffen. </w:t>
            </w:r>
          </w:p>
          <w:p w:rsidRPr="006D6D67" w:rsidR="001C620D" w:rsidP="007472AA" w:rsidRDefault="001C620D" w14:paraId="5299C6E9" w14:textId="77777777">
            <w:pPr>
              <w:autoSpaceDN/>
              <w:spacing w:line="276" w:lineRule="auto"/>
              <w:textAlignment w:val="auto"/>
              <w:rPr>
                <w:rFonts w:eastAsia="Calibri" w:cs="Times New Roman"/>
                <w:color w:val="auto"/>
                <w:lang w:eastAsia="en-US"/>
              </w:rPr>
            </w:pPr>
          </w:p>
          <w:p w:rsidRPr="006D6D67" w:rsidR="00921850" w:rsidP="007472AA" w:rsidRDefault="001C620D" w14:paraId="17636951" w14:textId="2E6E799B">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Dit heeft mede als consequentie dat het rechterlijke toetsingsrecht niet zal zien op de goedkeuring van verdragen, omdat d</w:t>
            </w:r>
            <w:r w:rsidRPr="006D6D67" w:rsidR="00453146">
              <w:rPr>
                <w:rFonts w:eastAsia="Calibri" w:cs="Times New Roman"/>
                <w:color w:val="auto"/>
                <w:lang w:eastAsia="en-US"/>
              </w:rPr>
              <w:t>eze goedkeuring</w:t>
            </w:r>
            <w:r w:rsidRPr="006D6D67">
              <w:rPr>
                <w:rFonts w:eastAsia="Calibri" w:cs="Times New Roman"/>
                <w:color w:val="auto"/>
                <w:lang w:eastAsia="en-US"/>
              </w:rPr>
              <w:t xml:space="preserve"> bij rijkswet </w:t>
            </w:r>
            <w:r w:rsidRPr="006D6D67" w:rsidR="00BD0600">
              <w:rPr>
                <w:rFonts w:eastAsia="Calibri" w:cs="Times New Roman"/>
                <w:color w:val="auto"/>
                <w:lang w:eastAsia="en-US"/>
              </w:rPr>
              <w:t xml:space="preserve">kan </w:t>
            </w:r>
            <w:r w:rsidRPr="006D6D67" w:rsidR="00453146">
              <w:rPr>
                <w:rFonts w:eastAsia="Calibri" w:cs="Times New Roman"/>
                <w:color w:val="auto"/>
                <w:lang w:eastAsia="en-US"/>
              </w:rPr>
              <w:t>plaatsvind</w:t>
            </w:r>
            <w:r w:rsidRPr="006D6D67" w:rsidR="00BD0600">
              <w:rPr>
                <w:rFonts w:eastAsia="Calibri" w:cs="Times New Roman"/>
                <w:color w:val="auto"/>
                <w:lang w:eastAsia="en-US"/>
              </w:rPr>
              <w:t>en</w:t>
            </w:r>
            <w:r w:rsidRPr="006D6D67">
              <w:rPr>
                <w:rFonts w:eastAsia="Calibri" w:cs="Times New Roman"/>
                <w:color w:val="auto"/>
                <w:lang w:eastAsia="en-US"/>
              </w:rPr>
              <w:t xml:space="preserve">. </w:t>
            </w:r>
            <w:r w:rsidRPr="006D6D67" w:rsidR="00453146">
              <w:rPr>
                <w:rFonts w:eastAsia="Calibri" w:cs="Times New Roman"/>
                <w:color w:val="auto"/>
                <w:lang w:eastAsia="en-US"/>
              </w:rPr>
              <w:t>Ook om andere redenen stelt het kabinet</w:t>
            </w:r>
            <w:r w:rsidRPr="006D6D67" w:rsidR="000969D7">
              <w:rPr>
                <w:rFonts w:eastAsia="Calibri" w:cs="Times New Roman"/>
                <w:color w:val="auto"/>
                <w:lang w:eastAsia="en-US"/>
              </w:rPr>
              <w:t xml:space="preserve"> niet</w:t>
            </w:r>
            <w:r w:rsidRPr="006D6D67" w:rsidR="00453146">
              <w:rPr>
                <w:rFonts w:eastAsia="Calibri" w:cs="Times New Roman"/>
                <w:color w:val="auto"/>
                <w:lang w:eastAsia="en-US"/>
              </w:rPr>
              <w:t xml:space="preserve"> voor om het toetsingsverbod voor wat betreft verdragen op te heffen. </w:t>
            </w:r>
            <w:r w:rsidRPr="006D6D67" w:rsidR="000969D7">
              <w:rPr>
                <w:rFonts w:eastAsia="Calibri" w:cs="Times New Roman"/>
                <w:color w:val="auto"/>
                <w:lang w:eastAsia="en-US"/>
              </w:rPr>
              <w:t>Invoering van r</w:t>
            </w:r>
            <w:r w:rsidRPr="006D6D67" w:rsidR="00453146">
              <w:rPr>
                <w:rFonts w:eastAsia="Calibri" w:cs="Times New Roman"/>
                <w:color w:val="auto"/>
                <w:lang w:eastAsia="en-US"/>
              </w:rPr>
              <w:t>echterlijke toetsing van geldend</w:t>
            </w:r>
            <w:r w:rsidRPr="006D6D67" w:rsidR="000969D7">
              <w:rPr>
                <w:rFonts w:eastAsia="Calibri" w:cs="Times New Roman"/>
                <w:color w:val="auto"/>
                <w:lang w:eastAsia="en-US"/>
              </w:rPr>
              <w:t>e</w:t>
            </w:r>
            <w:r w:rsidRPr="006D6D67" w:rsidR="00453146">
              <w:rPr>
                <w:rFonts w:eastAsia="Calibri" w:cs="Times New Roman"/>
                <w:color w:val="auto"/>
                <w:lang w:eastAsia="en-US"/>
              </w:rPr>
              <w:t xml:space="preserve"> verdrag</w:t>
            </w:r>
            <w:r w:rsidRPr="006D6D67" w:rsidR="000969D7">
              <w:rPr>
                <w:rFonts w:eastAsia="Calibri" w:cs="Times New Roman"/>
                <w:color w:val="auto"/>
                <w:lang w:eastAsia="en-US"/>
              </w:rPr>
              <w:t>en</w:t>
            </w:r>
            <w:r w:rsidRPr="006D6D67" w:rsidR="00453146">
              <w:rPr>
                <w:rFonts w:eastAsia="Calibri" w:cs="Times New Roman"/>
                <w:color w:val="auto"/>
                <w:lang w:eastAsia="en-US"/>
              </w:rPr>
              <w:t xml:space="preserve"> aan de Grondwet </w:t>
            </w:r>
            <w:r w:rsidRPr="006D6D67" w:rsidR="000969D7">
              <w:rPr>
                <w:rFonts w:eastAsia="Calibri" w:cs="Times New Roman"/>
                <w:color w:val="auto"/>
                <w:lang w:eastAsia="en-US"/>
              </w:rPr>
              <w:t xml:space="preserve">zou onder andere raken aan onderwerpen als de voorrang en doorwerking van internationaal recht in het Koninkrijk – onderwerpen die buiten het bestek van deze contourennota vallen. </w:t>
            </w:r>
            <w:r w:rsidRPr="006D6D67" w:rsidR="008924A6">
              <w:rPr>
                <w:rFonts w:eastAsia="Calibri" w:cs="Times New Roman"/>
                <w:color w:val="auto"/>
                <w:lang w:eastAsia="en-US"/>
              </w:rPr>
              <w:t xml:space="preserve">Verder zou een dergelijke uitbreiding van het toetsingsrecht leiden tot de ongerijmdheid dat de rechter verdragen aan de gehele Grondwet zou moeten toetsen, terwijl het toetsingsrecht voor wat betreft wetten beperkt blijft tot een aantal onderdelen van de Grondwet. </w:t>
            </w:r>
            <w:r w:rsidRPr="006D6D67">
              <w:rPr>
                <w:rFonts w:eastAsia="Calibri" w:cs="Times New Roman"/>
                <w:color w:val="auto"/>
                <w:lang w:eastAsia="en-US"/>
              </w:rPr>
              <w:t xml:space="preserve">In de memorie van toelichting bij de grondwetswijziging zal nader op </w:t>
            </w:r>
            <w:r w:rsidRPr="006D6D67" w:rsidR="008924A6">
              <w:rPr>
                <w:rFonts w:eastAsia="Calibri" w:cs="Times New Roman"/>
                <w:color w:val="auto"/>
                <w:lang w:eastAsia="en-US"/>
              </w:rPr>
              <w:t xml:space="preserve">deze aspecten </w:t>
            </w:r>
            <w:r w:rsidRPr="006D6D67" w:rsidR="000969D7">
              <w:rPr>
                <w:rFonts w:eastAsia="Calibri" w:cs="Times New Roman"/>
                <w:color w:val="auto"/>
                <w:lang w:eastAsia="en-US"/>
              </w:rPr>
              <w:t xml:space="preserve">worden </w:t>
            </w:r>
            <w:r w:rsidRPr="006D6D67">
              <w:rPr>
                <w:rFonts w:eastAsia="Calibri" w:cs="Times New Roman"/>
                <w:color w:val="auto"/>
                <w:lang w:eastAsia="en-US"/>
              </w:rPr>
              <w:t xml:space="preserve">ingegaan. </w:t>
            </w:r>
          </w:p>
          <w:p w:rsidRPr="006D6D67" w:rsidR="00921850" w:rsidP="007472AA" w:rsidRDefault="00921850" w14:paraId="5BCC117B" w14:textId="7066EE1D">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Wat betreft de vraag in hoeverre Nederlandse wetten kunnen worden getoetst aan de Grondwet wijst het kabinet op het volgende. De Grondwet is een amfibiewet, met een hybride karakter: de Grondwet is deels bij Nederlandse wet en deels bij rijkswet vastgesteld. Uit artikel 49 van het Statuut en de rechtspraak van de Hoge Raad daarover volgt dat rechters wettelijke maatregelen van de landen – waaronder Nederlandse wetten – niet mogen toetsen aan wettelijke regelingen van het Koninkrijk.</w:t>
            </w:r>
            <w:r w:rsidRPr="006D6D67" w:rsidR="005B7261">
              <w:rPr>
                <w:rFonts w:eastAsia="Calibri" w:cs="Times New Roman"/>
                <w:color w:val="auto"/>
                <w:lang w:eastAsia="en-US"/>
              </w:rPr>
              <w:t xml:space="preserve"> </w:t>
            </w:r>
            <w:r w:rsidRPr="006D6D67">
              <w:rPr>
                <w:rFonts w:eastAsia="Calibri" w:cs="Times New Roman"/>
                <w:color w:val="auto"/>
                <w:lang w:eastAsia="en-US"/>
              </w:rPr>
              <w:t xml:space="preserve">In deze mogelijkheid kan alleen bij rijkswet worden voorzien. Dat betekent dat een grondwettelijke regeling die rechterlijke toetsing mede mogelijk maakt aan onderdelen van de Grondwet die het karakter van rijkswet hebben, bij rijkswet zal moeten worden vastgesteld. </w:t>
            </w:r>
          </w:p>
          <w:p w:rsidRPr="006D6D67" w:rsidR="00921850" w:rsidP="007472AA" w:rsidRDefault="00921850" w14:paraId="3EC77958" w14:textId="77777777">
            <w:pPr>
              <w:autoSpaceDN/>
              <w:spacing w:line="276" w:lineRule="auto"/>
              <w:textAlignment w:val="auto"/>
              <w:rPr>
                <w:rFonts w:eastAsia="Calibri" w:cs="Times New Roman"/>
                <w:color w:val="auto"/>
                <w:lang w:eastAsia="en-US"/>
              </w:rPr>
            </w:pPr>
          </w:p>
          <w:p w:rsidRPr="006D6D67" w:rsidR="00FE3EF9" w:rsidP="007472AA" w:rsidRDefault="00921850" w14:paraId="57B7B89C" w14:textId="311120A9">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Voor de goede orde wijzen wij erop dat het kabinet het niet wenselijk acht om, als wordt gekozen voor een regeling bij rijkswet, van de gelegenheid gebruik te maken om tegelijkertijd invulling te geven aan artikel 12a van het Statuut. Dat bepaalt dat bij rijkswet voorzieningen worden getroffen voor de behandeling van bij rijkswet aangewezen geschillen tussen het Koninkrijk en de landen. Artikel 12a </w:t>
            </w:r>
            <w:r w:rsidRPr="006D6D67">
              <w:rPr>
                <w:rFonts w:eastAsia="Calibri" w:cs="Times New Roman"/>
                <w:color w:val="auto"/>
                <w:lang w:eastAsia="en-US"/>
              </w:rPr>
              <w:lastRenderedPageBreak/>
              <w:t>van het Statuut heeft een andere strekking dan artikel 49 van het Statuut. Dit laatste artikel gaat over conformiteit van het handelen van de landen met de regels van het Koninkrijk, terwijl artikel 12a het handelen van het Koninkrijk zelf betreft.</w:t>
            </w:r>
            <w:r w:rsidRPr="006D6D67" w:rsidR="005B7261">
              <w:rPr>
                <w:rFonts w:eastAsia="Calibri" w:cs="Times New Roman"/>
                <w:color w:val="auto"/>
                <w:lang w:eastAsia="en-US"/>
              </w:rPr>
              <w:t xml:space="preserve"> </w:t>
            </w:r>
            <w:r w:rsidRPr="006D6D67">
              <w:rPr>
                <w:rFonts w:eastAsia="Calibri" w:cs="Times New Roman"/>
                <w:color w:val="auto"/>
                <w:lang w:eastAsia="en-US"/>
              </w:rPr>
              <w:t xml:space="preserve">De uitwerking daarvan moet naar het oordeel van het kabinet op eigen merites worden bezien. Tijdens de meest recente bijeenkomst van het Interparlementair </w:t>
            </w:r>
            <w:proofErr w:type="spellStart"/>
            <w:r w:rsidRPr="006D6D67">
              <w:rPr>
                <w:rFonts w:eastAsia="Calibri" w:cs="Times New Roman"/>
                <w:color w:val="auto"/>
                <w:lang w:eastAsia="en-US"/>
              </w:rPr>
              <w:t>Koninkrijksoverleg</w:t>
            </w:r>
            <w:proofErr w:type="spellEnd"/>
            <w:r w:rsidRPr="006D6D67">
              <w:rPr>
                <w:rFonts w:eastAsia="Calibri" w:cs="Times New Roman"/>
                <w:color w:val="auto"/>
                <w:lang w:eastAsia="en-US"/>
              </w:rPr>
              <w:t xml:space="preserve"> is bovendien afgesproken dat de Staten van de Caribische landen een voorstel ter uitwerking van artikel 12a van het Statuut zullen presenteren. </w:t>
            </w:r>
          </w:p>
          <w:p w:rsidRPr="006D6D67" w:rsidR="00FE3EF9" w:rsidP="007472AA" w:rsidRDefault="00FE3EF9" w14:paraId="15B1CF56" w14:textId="77777777">
            <w:pPr>
              <w:autoSpaceDN/>
              <w:spacing w:line="276" w:lineRule="auto"/>
              <w:textAlignment w:val="auto"/>
              <w:rPr>
                <w:rFonts w:eastAsia="Calibri" w:cs="Times New Roman"/>
                <w:color w:val="auto"/>
                <w:lang w:eastAsia="en-US"/>
              </w:rPr>
            </w:pPr>
          </w:p>
          <w:p w:rsidRPr="006D6D67" w:rsidR="00921850" w:rsidP="007472AA" w:rsidRDefault="00FE3EF9" w14:paraId="514A345D" w14:textId="3DE7648D">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In een beschouwing naar aanleiding van de viering van 70 jaar Statuut voor het Koninkrijk, heeft onlangs ook de Raad van State van het Koninkrijk zich uitgesproken over het vraagstuk van de geschillenregeling.</w:t>
            </w:r>
            <w:r w:rsidRPr="006D6D67">
              <w:rPr>
                <w:rStyle w:val="Voetnootmarkering"/>
                <w:rFonts w:eastAsia="Calibri" w:cs="Times New Roman"/>
                <w:color w:val="auto"/>
                <w:lang w:eastAsia="en-US"/>
              </w:rPr>
              <w:footnoteReference w:id="33"/>
            </w:r>
            <w:r w:rsidRPr="006D6D67">
              <w:rPr>
                <w:rFonts w:eastAsia="Calibri" w:cs="Times New Roman"/>
                <w:color w:val="auto"/>
                <w:lang w:eastAsia="en-US"/>
              </w:rPr>
              <w:t xml:space="preserve"> Het kabinet komt voor de zomer met een reactie op deze beschouwing. Voor zover relevant, zal in deze reactie ook worden ingegaan op de raakvlakken met de onderhavige voorstellen ten aanzien van constitutionele toetsing.</w:t>
            </w:r>
            <w:r w:rsidRPr="006D6D67" w:rsidR="001B1C98">
              <w:rPr>
                <w:rFonts w:eastAsia="Calibri" w:cs="Times New Roman"/>
                <w:color w:val="auto"/>
                <w:lang w:eastAsia="en-US"/>
              </w:rPr>
              <w:t xml:space="preserve"> </w:t>
            </w:r>
          </w:p>
        </w:tc>
      </w:tr>
    </w:tbl>
    <w:p w:rsidRPr="006D6D67" w:rsidR="00CB7450" w:rsidP="007472AA" w:rsidRDefault="00CB7450" w14:paraId="62A86077" w14:textId="2409F59A">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lastRenderedPageBreak/>
        <w:t xml:space="preserve"> </w:t>
      </w:r>
    </w:p>
    <w:p w:rsidRPr="006D6D67" w:rsidR="00BF52D7" w:rsidP="007472AA" w:rsidRDefault="00E3697C" w14:paraId="4CB89090" w14:textId="78D7FE2C">
      <w:pPr>
        <w:autoSpaceDN/>
        <w:spacing w:line="276" w:lineRule="auto"/>
        <w:textAlignment w:val="auto"/>
        <w:rPr>
          <w:rFonts w:eastAsia="Calibri" w:cs="Times New Roman"/>
          <w:i/>
          <w:iCs/>
          <w:color w:val="auto"/>
          <w:lang w:eastAsia="en-US"/>
        </w:rPr>
      </w:pPr>
      <w:r w:rsidRPr="006D6D67">
        <w:rPr>
          <w:rFonts w:eastAsia="Calibri" w:cs="Times New Roman"/>
          <w:i/>
          <w:iCs/>
          <w:color w:val="auto"/>
          <w:lang w:eastAsia="en-US"/>
        </w:rPr>
        <w:t>3</w:t>
      </w:r>
      <w:r w:rsidRPr="006D6D67" w:rsidR="00D944E3">
        <w:rPr>
          <w:rFonts w:eastAsia="Calibri" w:cs="Times New Roman"/>
          <w:i/>
          <w:iCs/>
          <w:color w:val="auto"/>
          <w:lang w:eastAsia="en-US"/>
        </w:rPr>
        <w:t>.</w:t>
      </w:r>
      <w:r w:rsidRPr="006D6D67" w:rsidR="009613B8">
        <w:rPr>
          <w:rFonts w:eastAsia="Calibri" w:cs="Times New Roman"/>
          <w:i/>
          <w:iCs/>
          <w:color w:val="auto"/>
          <w:lang w:eastAsia="en-US"/>
        </w:rPr>
        <w:t>4</w:t>
      </w:r>
      <w:r w:rsidRPr="006D6D67" w:rsidR="00D944E3">
        <w:rPr>
          <w:rFonts w:eastAsia="Calibri" w:cs="Times New Roman"/>
          <w:i/>
          <w:iCs/>
          <w:color w:val="auto"/>
          <w:lang w:eastAsia="en-US"/>
        </w:rPr>
        <w:t xml:space="preserve"> Samenlo</w:t>
      </w:r>
      <w:r w:rsidRPr="006D6D67">
        <w:rPr>
          <w:rFonts w:eastAsia="Calibri" w:cs="Times New Roman"/>
          <w:i/>
          <w:iCs/>
          <w:color w:val="auto"/>
          <w:lang w:eastAsia="en-US"/>
        </w:rPr>
        <w:t>op met internationaal en EU-recht</w:t>
      </w:r>
      <w:r w:rsidRPr="006D6D67" w:rsidR="005B7261">
        <w:rPr>
          <w:rFonts w:eastAsia="Calibri" w:cs="Times New Roman"/>
          <w:i/>
          <w:iCs/>
          <w:color w:val="auto"/>
          <w:lang w:eastAsia="en-US"/>
        </w:rPr>
        <w:t xml:space="preserve"> </w:t>
      </w:r>
    </w:p>
    <w:p w:rsidRPr="006D6D67" w:rsidR="00D944E3" w:rsidP="007472AA" w:rsidRDefault="00D944E3" w14:paraId="00CD66F7" w14:textId="77777777">
      <w:pPr>
        <w:autoSpaceDN/>
        <w:spacing w:line="276" w:lineRule="auto"/>
        <w:textAlignment w:val="auto"/>
        <w:rPr>
          <w:rFonts w:eastAsia="Calibri" w:cs="Times New Roman"/>
          <w:color w:val="auto"/>
          <w:lang w:eastAsia="en-US"/>
        </w:rPr>
      </w:pPr>
    </w:p>
    <w:p w:rsidRPr="006D6D67" w:rsidR="00D944E3" w:rsidP="007472AA" w:rsidRDefault="00D944E3" w14:paraId="399FB96F" w14:textId="52F380F4">
      <w:pPr>
        <w:pBdr>
          <w:top w:val="single" w:color="auto" w:sz="4" w:space="1"/>
          <w:left w:val="single" w:color="auto" w:sz="4" w:space="4"/>
          <w:bottom w:val="single" w:color="auto" w:sz="4" w:space="1"/>
          <w:right w:val="single" w:color="auto" w:sz="4" w:space="4"/>
        </w:pBdr>
        <w:autoSpaceDN/>
        <w:spacing w:line="276" w:lineRule="auto"/>
        <w:textAlignment w:val="auto"/>
        <w:rPr>
          <w:rFonts w:eastAsia="Calibri" w:cs="Times New Roman"/>
          <w:color w:val="auto"/>
          <w:lang w:eastAsia="en-US"/>
        </w:rPr>
      </w:pPr>
      <w:r w:rsidRPr="006D6D67">
        <w:rPr>
          <w:rFonts w:eastAsia="Calibri" w:cs="Times New Roman"/>
          <w:color w:val="auto"/>
          <w:lang w:eastAsia="en-US"/>
        </w:rPr>
        <w:t>In</w:t>
      </w:r>
      <w:r w:rsidRPr="006D6D67" w:rsidR="00BD0600">
        <w:rPr>
          <w:rFonts w:eastAsia="Calibri" w:cs="Times New Roman"/>
          <w:color w:val="auto"/>
          <w:lang w:eastAsia="en-US"/>
        </w:rPr>
        <w:t xml:space="preserve"> </w:t>
      </w:r>
      <w:r w:rsidRPr="006D6D67">
        <w:rPr>
          <w:rFonts w:eastAsia="Calibri" w:cs="Times New Roman"/>
          <w:color w:val="auto"/>
          <w:lang w:eastAsia="en-US"/>
        </w:rPr>
        <w:t xml:space="preserve">geval van samenloop met een beroep op een fundamenteel recht dat internationaalrechtelijk en/of Unierechtelijk wordt geborgd, </w:t>
      </w:r>
      <w:r w:rsidRPr="006D6D67" w:rsidR="00716413">
        <w:rPr>
          <w:rFonts w:eastAsia="Calibri" w:cs="Times New Roman"/>
          <w:color w:val="auto"/>
          <w:lang w:eastAsia="en-US"/>
        </w:rPr>
        <w:t xml:space="preserve">wordt </w:t>
      </w:r>
      <w:r w:rsidRPr="006D6D67" w:rsidR="00CB2002">
        <w:rPr>
          <w:rFonts w:eastAsia="Calibri" w:cs="Times New Roman"/>
          <w:color w:val="auto"/>
          <w:lang w:eastAsia="en-US"/>
        </w:rPr>
        <w:t xml:space="preserve">overwogen </w:t>
      </w:r>
      <w:r w:rsidRPr="006D6D67" w:rsidR="00716413">
        <w:rPr>
          <w:rFonts w:eastAsia="Calibri" w:cs="Times New Roman"/>
          <w:color w:val="auto"/>
          <w:lang w:eastAsia="en-US"/>
        </w:rPr>
        <w:t xml:space="preserve">aan </w:t>
      </w:r>
      <w:r w:rsidRPr="006D6D67">
        <w:rPr>
          <w:rFonts w:eastAsia="Calibri" w:cs="Times New Roman"/>
          <w:color w:val="auto"/>
          <w:lang w:eastAsia="en-US"/>
        </w:rPr>
        <w:t xml:space="preserve">de beoordeling door het grondwettelijk hof van het beroep op de Grondwet </w:t>
      </w:r>
      <w:r w:rsidRPr="006D6D67" w:rsidR="00716413">
        <w:rPr>
          <w:rFonts w:eastAsia="Calibri" w:cs="Times New Roman"/>
          <w:color w:val="auto"/>
          <w:lang w:eastAsia="en-US"/>
        </w:rPr>
        <w:t xml:space="preserve">prioriteit </w:t>
      </w:r>
      <w:r w:rsidRPr="006D6D67" w:rsidR="00CB2002">
        <w:rPr>
          <w:rFonts w:eastAsia="Calibri" w:cs="Times New Roman"/>
          <w:color w:val="auto"/>
          <w:lang w:eastAsia="en-US"/>
        </w:rPr>
        <w:t>te verlenen</w:t>
      </w:r>
      <w:r w:rsidRPr="006D6D67">
        <w:rPr>
          <w:rFonts w:eastAsia="Calibri" w:cs="Times New Roman"/>
          <w:color w:val="auto"/>
          <w:lang w:eastAsia="en-US"/>
        </w:rPr>
        <w:t xml:space="preserve">. Deze </w:t>
      </w:r>
      <w:r w:rsidRPr="006D6D67" w:rsidR="00716413">
        <w:rPr>
          <w:rFonts w:eastAsia="Calibri" w:cs="Times New Roman"/>
          <w:color w:val="auto"/>
          <w:lang w:eastAsia="en-US"/>
        </w:rPr>
        <w:t>priorit</w:t>
      </w:r>
      <w:r w:rsidRPr="006D6D67" w:rsidR="00CB2002">
        <w:rPr>
          <w:rFonts w:eastAsia="Calibri" w:cs="Times New Roman"/>
          <w:color w:val="auto"/>
          <w:lang w:eastAsia="en-US"/>
        </w:rPr>
        <w:t>ering</w:t>
      </w:r>
      <w:r w:rsidRPr="006D6D67" w:rsidR="00716413">
        <w:rPr>
          <w:rFonts w:eastAsia="Calibri" w:cs="Times New Roman"/>
          <w:color w:val="auto"/>
          <w:lang w:eastAsia="en-US"/>
        </w:rPr>
        <w:t xml:space="preserve"> </w:t>
      </w:r>
      <w:r w:rsidRPr="006D6D67">
        <w:rPr>
          <w:rFonts w:eastAsia="Calibri" w:cs="Times New Roman"/>
          <w:color w:val="auto"/>
          <w:lang w:eastAsia="en-US"/>
        </w:rPr>
        <w:t>mag geen afbreuk doen aan de verplichtingen van Nederland onder het internationale en EU-recht.</w:t>
      </w:r>
      <w:r w:rsidRPr="006D6D67" w:rsidR="001B1C98">
        <w:rPr>
          <w:rFonts w:eastAsia="Calibri" w:cs="Times New Roman"/>
          <w:color w:val="auto"/>
          <w:lang w:eastAsia="en-US"/>
        </w:rPr>
        <w:t xml:space="preserve"> </w:t>
      </w:r>
    </w:p>
    <w:p w:rsidRPr="006D6D67" w:rsidR="00D944E3" w:rsidP="007472AA" w:rsidRDefault="001B1C98" w14:paraId="5D6871F0" w14:textId="588FD93C">
      <w:pPr>
        <w:autoSpaceDN/>
        <w:spacing w:line="276" w:lineRule="auto"/>
        <w:textAlignment w:val="auto"/>
        <w:rPr>
          <w:rFonts w:eastAsia="Calibri" w:cs="Times New Roman"/>
          <w:i/>
          <w:iCs/>
          <w:color w:val="auto"/>
          <w:lang w:eastAsia="en-US"/>
        </w:rPr>
      </w:pPr>
      <w:r w:rsidRPr="006D6D67">
        <w:rPr>
          <w:rFonts w:eastAsia="Calibri" w:cs="Times New Roman"/>
          <w:color w:val="auto"/>
          <w:lang w:eastAsia="en-US"/>
        </w:rPr>
        <w:t xml:space="preserve"> </w:t>
      </w:r>
    </w:p>
    <w:p w:rsidRPr="006D6D67" w:rsidR="00BF52D7" w:rsidP="007472AA" w:rsidRDefault="00BF52D7" w14:paraId="5F8EC053" w14:textId="6BF0413F">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Een prejudiciële procedure bij een grondwettelijk hof kan interfereren met de bevoegdheid van rechters om regelgeving te toetsen aan rechtstreeks werkende verdragen en het </w:t>
      </w:r>
      <w:r w:rsidRPr="006D6D67" w:rsidR="00AA16BE">
        <w:rPr>
          <w:rFonts w:eastAsia="Calibri" w:cs="Times New Roman"/>
          <w:color w:val="auto"/>
          <w:lang w:eastAsia="en-US"/>
        </w:rPr>
        <w:t>EU-</w:t>
      </w:r>
      <w:r w:rsidRPr="006D6D67">
        <w:rPr>
          <w:rFonts w:eastAsia="Calibri" w:cs="Times New Roman"/>
          <w:color w:val="auto"/>
          <w:lang w:eastAsia="en-US"/>
        </w:rPr>
        <w:t>recht</w:t>
      </w:r>
      <w:r w:rsidRPr="006D6D67" w:rsidR="00376428">
        <w:rPr>
          <w:rFonts w:eastAsia="Calibri" w:cs="Times New Roman"/>
          <w:color w:val="auto"/>
          <w:lang w:eastAsia="en-US"/>
        </w:rPr>
        <w:t>.</w:t>
      </w:r>
      <w:r w:rsidRPr="006D6D67">
        <w:rPr>
          <w:rFonts w:eastAsia="Calibri" w:cs="Times New Roman"/>
          <w:color w:val="auto"/>
          <w:lang w:eastAsia="en-US"/>
        </w:rPr>
        <w:t xml:space="preserve"> </w:t>
      </w:r>
      <w:r w:rsidRPr="006D6D67" w:rsidR="00376428">
        <w:rPr>
          <w:rFonts w:eastAsia="Calibri" w:cs="Times New Roman"/>
          <w:color w:val="auto"/>
          <w:lang w:eastAsia="en-US"/>
        </w:rPr>
        <w:t>T</w:t>
      </w:r>
      <w:r w:rsidRPr="006D6D67">
        <w:rPr>
          <w:rFonts w:eastAsia="Calibri" w:cs="Times New Roman"/>
          <w:color w:val="auto"/>
          <w:lang w:eastAsia="en-US"/>
        </w:rPr>
        <w:t xml:space="preserve">evens </w:t>
      </w:r>
      <w:r w:rsidRPr="006D6D67" w:rsidR="00376428">
        <w:rPr>
          <w:rFonts w:eastAsia="Calibri" w:cs="Times New Roman"/>
          <w:color w:val="auto"/>
          <w:lang w:eastAsia="en-US"/>
        </w:rPr>
        <w:t xml:space="preserve">kan deze procedure </w:t>
      </w:r>
      <w:r w:rsidRPr="006D6D67" w:rsidR="00716413">
        <w:rPr>
          <w:rFonts w:eastAsia="Calibri" w:cs="Times New Roman"/>
          <w:color w:val="auto"/>
          <w:lang w:eastAsia="en-US"/>
        </w:rPr>
        <w:t>ingrijpen op</w:t>
      </w:r>
      <w:r w:rsidRPr="006D6D67">
        <w:rPr>
          <w:rFonts w:eastAsia="Calibri" w:cs="Times New Roman"/>
          <w:color w:val="auto"/>
          <w:lang w:eastAsia="en-US"/>
        </w:rPr>
        <w:t xml:space="preserve"> hun bevoegdheid en soms zelfs verplichting om </w:t>
      </w:r>
      <w:r w:rsidRPr="006D6D67" w:rsidR="00376428">
        <w:rPr>
          <w:rFonts w:eastAsia="Calibri" w:cs="Times New Roman"/>
          <w:color w:val="auto"/>
          <w:lang w:eastAsia="en-US"/>
        </w:rPr>
        <w:t xml:space="preserve">over regelgeving </w:t>
      </w:r>
      <w:r w:rsidRPr="006D6D67">
        <w:rPr>
          <w:rFonts w:eastAsia="Calibri" w:cs="Times New Roman"/>
          <w:color w:val="auto"/>
          <w:lang w:eastAsia="en-US"/>
        </w:rPr>
        <w:t xml:space="preserve">prejudiciële vragen te stellen in het kader van </w:t>
      </w:r>
      <w:r w:rsidRPr="006D6D67" w:rsidR="00376428">
        <w:rPr>
          <w:rFonts w:eastAsia="Calibri" w:cs="Times New Roman"/>
          <w:color w:val="auto"/>
          <w:lang w:eastAsia="en-US"/>
        </w:rPr>
        <w:t xml:space="preserve">de </w:t>
      </w:r>
      <w:r w:rsidRPr="006D6D67">
        <w:rPr>
          <w:rFonts w:eastAsia="Calibri" w:cs="Times New Roman"/>
          <w:color w:val="auto"/>
          <w:lang w:eastAsia="en-US"/>
        </w:rPr>
        <w:t>bestaande prejudiciële procedure bij het Hof van Justitie van de E</w:t>
      </w:r>
      <w:r w:rsidRPr="006D6D67" w:rsidR="00BD4B32">
        <w:rPr>
          <w:rFonts w:eastAsia="Calibri" w:cs="Times New Roman"/>
          <w:color w:val="auto"/>
          <w:lang w:eastAsia="en-US"/>
        </w:rPr>
        <w:t xml:space="preserve">uropese </w:t>
      </w:r>
      <w:r w:rsidRPr="006D6D67">
        <w:rPr>
          <w:rFonts w:eastAsia="Calibri" w:cs="Times New Roman"/>
          <w:color w:val="auto"/>
          <w:lang w:eastAsia="en-US"/>
        </w:rPr>
        <w:t>U</w:t>
      </w:r>
      <w:r w:rsidRPr="006D6D67" w:rsidR="00BD4B32">
        <w:rPr>
          <w:rFonts w:eastAsia="Calibri" w:cs="Times New Roman"/>
          <w:color w:val="auto"/>
          <w:lang w:eastAsia="en-US"/>
        </w:rPr>
        <w:t>nie (</w:t>
      </w:r>
      <w:proofErr w:type="spellStart"/>
      <w:r w:rsidRPr="006D6D67" w:rsidR="00174E04">
        <w:rPr>
          <w:rFonts w:eastAsia="Calibri" w:cs="Times New Roman"/>
          <w:color w:val="auto"/>
          <w:lang w:eastAsia="en-US"/>
        </w:rPr>
        <w:t>HvJEU</w:t>
      </w:r>
      <w:proofErr w:type="spellEnd"/>
      <w:r w:rsidRPr="006D6D67" w:rsidR="00BD4B32">
        <w:rPr>
          <w:rFonts w:eastAsia="Calibri" w:cs="Times New Roman"/>
          <w:color w:val="auto"/>
          <w:lang w:eastAsia="en-US"/>
        </w:rPr>
        <w:t>)</w:t>
      </w:r>
      <w:r w:rsidRPr="006D6D67" w:rsidR="00376428">
        <w:rPr>
          <w:rFonts w:eastAsia="Calibri" w:cs="Times New Roman"/>
          <w:color w:val="auto"/>
          <w:lang w:eastAsia="en-US"/>
        </w:rPr>
        <w:t xml:space="preserve"> en de adviesprocedure bij het EHRM op grond van Protocol 16 bij het EHRM</w:t>
      </w:r>
      <w:r w:rsidRPr="006D6D67">
        <w:rPr>
          <w:rFonts w:eastAsia="Calibri" w:cs="Times New Roman"/>
          <w:color w:val="auto"/>
          <w:lang w:eastAsia="en-US"/>
        </w:rPr>
        <w:t xml:space="preserve">. Daar is het kabinet zich goed van bewust. Het wil dan ook dat de regeling die wordt vervaardigd om de prejudiciële procedure in te richten, blijk geeft van de grenzen die het internationale en EU-recht aan het nationale recht stelt en daarnaast anticipeert op mogelijke samenloopproblemen. </w:t>
      </w:r>
    </w:p>
    <w:p w:rsidRPr="006D6D67" w:rsidR="00D944E3" w:rsidP="007472AA" w:rsidRDefault="00D944E3" w14:paraId="13CA7F60" w14:textId="77777777">
      <w:pPr>
        <w:autoSpaceDN/>
        <w:spacing w:line="276" w:lineRule="auto"/>
        <w:textAlignment w:val="auto"/>
        <w:rPr>
          <w:rFonts w:eastAsia="Calibri" w:cs="Times New Roman"/>
          <w:color w:val="auto"/>
          <w:lang w:eastAsia="en-US"/>
        </w:rPr>
      </w:pPr>
    </w:p>
    <w:p w:rsidRPr="006D6D67" w:rsidR="00432C1D" w:rsidP="007472AA" w:rsidRDefault="00BF52D7" w14:paraId="7EB9CBD9" w14:textId="7F3BD529">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Samenloop kan zich in de eerste plaats voordoen </w:t>
      </w:r>
      <w:r w:rsidRPr="006D6D67" w:rsidR="004169B5">
        <w:rPr>
          <w:rFonts w:eastAsia="Calibri" w:cs="Times New Roman"/>
          <w:color w:val="auto"/>
          <w:lang w:eastAsia="en-US"/>
        </w:rPr>
        <w:t>bij</w:t>
      </w:r>
      <w:r w:rsidRPr="006D6D67">
        <w:rPr>
          <w:rFonts w:eastAsia="Calibri" w:cs="Times New Roman"/>
          <w:color w:val="auto"/>
          <w:lang w:eastAsia="en-US"/>
        </w:rPr>
        <w:t xml:space="preserve"> de inroeping van materiële constitutionele normen </w:t>
      </w:r>
      <w:r w:rsidRPr="006D6D67" w:rsidR="00DE18A1">
        <w:rPr>
          <w:rFonts w:eastAsia="Calibri" w:cs="Times New Roman"/>
          <w:color w:val="auto"/>
          <w:lang w:eastAsia="en-US"/>
        </w:rPr>
        <w:t xml:space="preserve">die zowel in de Grondwet als in verdragen </w:t>
      </w:r>
      <w:r w:rsidRPr="006D6D67" w:rsidR="00D03CBC">
        <w:rPr>
          <w:rFonts w:eastAsia="Calibri" w:cs="Times New Roman"/>
          <w:color w:val="auto"/>
          <w:lang w:eastAsia="en-US"/>
        </w:rPr>
        <w:t xml:space="preserve">en het Unierecht </w:t>
      </w:r>
      <w:r w:rsidRPr="006D6D67" w:rsidR="00DE18A1">
        <w:rPr>
          <w:rFonts w:eastAsia="Calibri" w:cs="Times New Roman"/>
          <w:color w:val="auto"/>
          <w:lang w:eastAsia="en-US"/>
        </w:rPr>
        <w:t>zijn verankerd</w:t>
      </w:r>
      <w:r w:rsidRPr="006D6D67">
        <w:rPr>
          <w:rFonts w:eastAsia="Calibri" w:cs="Times New Roman"/>
          <w:color w:val="auto"/>
          <w:lang w:eastAsia="en-US"/>
        </w:rPr>
        <w:t>.</w:t>
      </w:r>
      <w:r w:rsidRPr="006D6D67" w:rsidR="005D663A">
        <w:rPr>
          <w:rStyle w:val="Voetnootmarkering"/>
          <w:rFonts w:eastAsia="Calibri" w:cs="Times New Roman"/>
          <w:color w:val="auto"/>
          <w:lang w:eastAsia="en-US"/>
        </w:rPr>
        <w:footnoteReference w:id="34"/>
      </w:r>
      <w:r w:rsidRPr="006D6D67">
        <w:rPr>
          <w:rFonts w:eastAsia="Calibri" w:cs="Times New Roman"/>
          <w:color w:val="auto"/>
          <w:lang w:eastAsia="en-US"/>
        </w:rPr>
        <w:t xml:space="preserve"> Aan samenlopende normen met een vergelijkbare inhoud is op zich niets nieuws. Bij de toetsing van lager recht aan de Grondwet kan nu reeds </w:t>
      </w:r>
      <w:r w:rsidRPr="006D6D67">
        <w:rPr>
          <w:rFonts w:eastAsia="Calibri" w:cs="Times New Roman"/>
          <w:color w:val="auto"/>
          <w:lang w:eastAsia="en-US"/>
        </w:rPr>
        <w:lastRenderedPageBreak/>
        <w:t>tegelijkertijd de verenigbaarheid met bijvoorbeeld het EVRM en het EU-recht bij de rechter worden opgeworpen. De rechter zal dan ofwel de rechtsvragen afzonderlijk beantwoorden ofwel de interpretatie van de ene bepaling meenemen in de interpretatie van de andere bepaling.</w:t>
      </w:r>
      <w:r w:rsidRPr="006D6D67">
        <w:rPr>
          <w:rFonts w:eastAsia="Calibri" w:cs="Times New Roman"/>
          <w:color w:val="auto"/>
          <w:vertAlign w:val="superscript"/>
          <w:lang w:eastAsia="en-US"/>
        </w:rPr>
        <w:footnoteReference w:id="35"/>
      </w:r>
      <w:r w:rsidRPr="006D6D67">
        <w:rPr>
          <w:rFonts w:eastAsia="Calibri" w:cs="Times New Roman"/>
          <w:color w:val="auto"/>
          <w:lang w:eastAsia="en-US"/>
        </w:rPr>
        <w:t xml:space="preserve"> Als de rechter van opvatting is dat er gerede twijfels zijn over de grondwettigheid van </w:t>
      </w:r>
      <w:r w:rsidRPr="006D6D67" w:rsidR="00230B12">
        <w:rPr>
          <w:rFonts w:eastAsia="Calibri" w:cs="Times New Roman"/>
          <w:color w:val="auto"/>
          <w:lang w:eastAsia="en-US"/>
        </w:rPr>
        <w:t xml:space="preserve">een </w:t>
      </w:r>
      <w:r w:rsidRPr="006D6D67">
        <w:rPr>
          <w:rFonts w:eastAsia="Calibri" w:cs="Times New Roman"/>
          <w:color w:val="auto"/>
          <w:lang w:eastAsia="en-US"/>
        </w:rPr>
        <w:t xml:space="preserve">wet, </w:t>
      </w:r>
      <w:r w:rsidRPr="006D6D67" w:rsidR="009F29D2">
        <w:rPr>
          <w:rFonts w:eastAsia="Calibri" w:cs="Times New Roman"/>
          <w:color w:val="auto"/>
          <w:lang w:eastAsia="en-US"/>
        </w:rPr>
        <w:t xml:space="preserve">lagere regelgeving of een besluit, </w:t>
      </w:r>
      <w:r w:rsidRPr="006D6D67">
        <w:rPr>
          <w:rFonts w:eastAsia="Calibri" w:cs="Times New Roman"/>
          <w:color w:val="auto"/>
          <w:lang w:eastAsia="en-US"/>
        </w:rPr>
        <w:t>zal hij hierover</w:t>
      </w:r>
      <w:r w:rsidRPr="006D6D67" w:rsidR="001C260F">
        <w:rPr>
          <w:rFonts w:eastAsia="Calibri" w:cs="Times New Roman"/>
          <w:color w:val="auto"/>
          <w:lang w:eastAsia="en-US"/>
        </w:rPr>
        <w:t>, in de in paragraaf 3.2 beschreven plannen van het kabinet,</w:t>
      </w:r>
      <w:r w:rsidRPr="006D6D67">
        <w:rPr>
          <w:rFonts w:eastAsia="Calibri" w:cs="Times New Roman"/>
          <w:color w:val="auto"/>
          <w:lang w:eastAsia="en-US"/>
        </w:rPr>
        <w:t xml:space="preserve"> aan het grondwettelijk hof een vraag </w:t>
      </w:r>
      <w:r w:rsidRPr="006D6D67" w:rsidR="009F29D2">
        <w:rPr>
          <w:rFonts w:eastAsia="Calibri" w:cs="Times New Roman"/>
          <w:color w:val="auto"/>
          <w:lang w:eastAsia="en-US"/>
        </w:rPr>
        <w:t xml:space="preserve">kunnen </w:t>
      </w:r>
      <w:r w:rsidRPr="006D6D67">
        <w:rPr>
          <w:rFonts w:eastAsia="Calibri" w:cs="Times New Roman"/>
          <w:color w:val="auto"/>
          <w:lang w:eastAsia="en-US"/>
        </w:rPr>
        <w:t xml:space="preserve">voorleggen. </w:t>
      </w:r>
      <w:r w:rsidRPr="006D6D67" w:rsidR="00F377B3">
        <w:rPr>
          <w:rFonts w:eastAsia="Calibri" w:cs="Times New Roman"/>
          <w:color w:val="auto"/>
          <w:lang w:eastAsia="en-US"/>
        </w:rPr>
        <w:t>Het is echter de vraag hoe</w:t>
      </w:r>
      <w:r w:rsidRPr="006D6D67">
        <w:rPr>
          <w:rFonts w:eastAsia="Calibri" w:cs="Times New Roman"/>
          <w:color w:val="auto"/>
          <w:lang w:eastAsia="en-US"/>
        </w:rPr>
        <w:t xml:space="preserve"> deze </w:t>
      </w:r>
      <w:r w:rsidRPr="006D6D67" w:rsidR="009F29D2">
        <w:rPr>
          <w:rFonts w:eastAsia="Calibri" w:cs="Times New Roman"/>
          <w:color w:val="auto"/>
          <w:lang w:eastAsia="en-US"/>
        </w:rPr>
        <w:t xml:space="preserve">bevoegdheid </w:t>
      </w:r>
      <w:r w:rsidRPr="006D6D67">
        <w:rPr>
          <w:rFonts w:eastAsia="Calibri" w:cs="Times New Roman"/>
          <w:color w:val="auto"/>
          <w:lang w:eastAsia="en-US"/>
        </w:rPr>
        <w:t xml:space="preserve">zich op haar beurt </w:t>
      </w:r>
      <w:r w:rsidRPr="006D6D67" w:rsidR="00F377B3">
        <w:rPr>
          <w:rFonts w:eastAsia="Calibri" w:cs="Times New Roman"/>
          <w:color w:val="auto"/>
          <w:lang w:eastAsia="en-US"/>
        </w:rPr>
        <w:t xml:space="preserve">zal </w:t>
      </w:r>
      <w:r w:rsidRPr="006D6D67">
        <w:rPr>
          <w:rFonts w:eastAsia="Calibri" w:cs="Times New Roman"/>
          <w:color w:val="auto"/>
          <w:lang w:eastAsia="en-US"/>
        </w:rPr>
        <w:t xml:space="preserve">verhouden tot de </w:t>
      </w:r>
      <w:r w:rsidRPr="006D6D67" w:rsidR="00F377B3">
        <w:rPr>
          <w:rFonts w:eastAsia="Calibri" w:cs="Times New Roman"/>
          <w:color w:val="auto"/>
          <w:lang w:eastAsia="en-US"/>
        </w:rPr>
        <w:t xml:space="preserve">bestaande </w:t>
      </w:r>
      <w:r w:rsidRPr="006D6D67">
        <w:rPr>
          <w:rFonts w:eastAsia="Calibri" w:cs="Times New Roman"/>
          <w:color w:val="auto"/>
          <w:lang w:eastAsia="en-US"/>
        </w:rPr>
        <w:t xml:space="preserve">bevoegdheid </w:t>
      </w:r>
      <w:r w:rsidRPr="006D6D67" w:rsidR="00F377B3">
        <w:rPr>
          <w:rFonts w:eastAsia="Calibri" w:cs="Times New Roman"/>
          <w:color w:val="auto"/>
          <w:lang w:eastAsia="en-US"/>
        </w:rPr>
        <w:t>van</w:t>
      </w:r>
      <w:r w:rsidRPr="006D6D67">
        <w:rPr>
          <w:rFonts w:eastAsia="Calibri" w:cs="Times New Roman"/>
          <w:color w:val="auto"/>
          <w:lang w:eastAsia="en-US"/>
        </w:rPr>
        <w:t xml:space="preserve"> de rechter</w:t>
      </w:r>
      <w:r w:rsidRPr="006D6D67" w:rsidR="00F377B3">
        <w:rPr>
          <w:rFonts w:eastAsia="Calibri" w:cs="Times New Roman"/>
          <w:color w:val="auto"/>
          <w:lang w:eastAsia="en-US"/>
        </w:rPr>
        <w:t xml:space="preserve"> om</w:t>
      </w:r>
      <w:r w:rsidRPr="006D6D67">
        <w:rPr>
          <w:rFonts w:eastAsia="Calibri" w:cs="Times New Roman"/>
          <w:color w:val="auto"/>
          <w:lang w:eastAsia="en-US"/>
        </w:rPr>
        <w:t xml:space="preserve"> </w:t>
      </w:r>
      <w:r w:rsidRPr="006D6D67" w:rsidR="0097081A">
        <w:rPr>
          <w:rFonts w:eastAsia="Calibri" w:cs="Times New Roman"/>
          <w:color w:val="auto"/>
          <w:lang w:eastAsia="en-US"/>
        </w:rPr>
        <w:t>de wet aan het EVRM en het EU-recht te toetsen.</w:t>
      </w:r>
      <w:r w:rsidR="006D6D67">
        <w:rPr>
          <w:rStyle w:val="Voetnootmarkering"/>
          <w:rFonts w:eastAsia="Calibri" w:cs="Times New Roman"/>
          <w:color w:val="auto"/>
          <w:lang w:eastAsia="en-US"/>
        </w:rPr>
        <w:footnoteReference w:id="36"/>
      </w:r>
    </w:p>
    <w:p w:rsidRPr="006D6D67" w:rsidR="00BF52D7" w:rsidP="007472AA" w:rsidRDefault="00BF52D7" w14:paraId="5F5DA353" w14:textId="208CA28B">
      <w:pPr>
        <w:autoSpaceDN/>
        <w:spacing w:line="276" w:lineRule="auto"/>
        <w:textAlignment w:val="auto"/>
        <w:rPr>
          <w:rFonts w:eastAsia="Calibri" w:cs="Times New Roman"/>
          <w:color w:val="auto"/>
          <w:lang w:eastAsia="en-US"/>
        </w:rPr>
      </w:pPr>
    </w:p>
    <w:p w:rsidRPr="006D6D67" w:rsidR="00BF52D7" w:rsidP="007472AA" w:rsidRDefault="00BF52D7" w14:paraId="264F803F" w14:textId="51A38D1E">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In navolging van andere landen met een grondwettelijk hof en een monistisch stelsel ten aanzien van de doorwerking van internationaal recht, </w:t>
      </w:r>
      <w:r w:rsidRPr="006D6D67" w:rsidR="00C72E94">
        <w:rPr>
          <w:rFonts w:eastAsia="Calibri" w:cs="Times New Roman"/>
          <w:color w:val="auto"/>
          <w:lang w:eastAsia="en-US"/>
        </w:rPr>
        <w:t>is het denkbaar</w:t>
      </w:r>
      <w:r w:rsidRPr="006D6D67">
        <w:rPr>
          <w:rFonts w:eastAsia="Calibri" w:cs="Times New Roman"/>
          <w:color w:val="auto"/>
          <w:lang w:eastAsia="en-US"/>
        </w:rPr>
        <w:t xml:space="preserve"> om </w:t>
      </w:r>
      <w:r w:rsidRPr="006D6D67" w:rsidR="00230B12">
        <w:rPr>
          <w:rFonts w:eastAsia="Calibri" w:cs="Times New Roman"/>
          <w:color w:val="auto"/>
          <w:lang w:eastAsia="en-US"/>
        </w:rPr>
        <w:t>in een dergelijk geval prioriteit te verlenen aan</w:t>
      </w:r>
      <w:r w:rsidRPr="006D6D67">
        <w:rPr>
          <w:rFonts w:eastAsia="Calibri" w:cs="Times New Roman"/>
          <w:color w:val="auto"/>
          <w:lang w:eastAsia="en-US"/>
        </w:rPr>
        <w:t xml:space="preserve"> de toetsing </w:t>
      </w:r>
      <w:r w:rsidRPr="006D6D67" w:rsidR="00230B12">
        <w:rPr>
          <w:rFonts w:eastAsia="Calibri" w:cs="Times New Roman"/>
          <w:color w:val="auto"/>
          <w:lang w:eastAsia="en-US"/>
        </w:rPr>
        <w:t>aan de Grondwet</w:t>
      </w:r>
      <w:r w:rsidRPr="006D6D67">
        <w:rPr>
          <w:rFonts w:eastAsia="Calibri" w:cs="Times New Roman"/>
          <w:color w:val="auto"/>
          <w:lang w:eastAsia="en-US"/>
        </w:rPr>
        <w:t>.</w:t>
      </w:r>
      <w:r w:rsidRPr="006D6D67">
        <w:rPr>
          <w:rFonts w:eastAsia="Calibri" w:cs="Times New Roman"/>
          <w:color w:val="auto"/>
          <w:vertAlign w:val="superscript"/>
          <w:lang w:eastAsia="en-US"/>
        </w:rPr>
        <w:footnoteReference w:id="37"/>
      </w:r>
      <w:r w:rsidRPr="006D6D67">
        <w:rPr>
          <w:rFonts w:eastAsia="Calibri" w:cs="Times New Roman"/>
          <w:color w:val="auto"/>
          <w:lang w:eastAsia="en-US"/>
        </w:rPr>
        <w:t xml:space="preserve"> Dat betekent dat </w:t>
      </w:r>
      <w:r w:rsidRPr="006D6D67" w:rsidR="002564D2">
        <w:rPr>
          <w:rFonts w:eastAsia="Calibri" w:cs="Times New Roman"/>
          <w:color w:val="auto"/>
          <w:lang w:eastAsia="en-US"/>
        </w:rPr>
        <w:t xml:space="preserve">in beginsel </w:t>
      </w:r>
      <w:r w:rsidRPr="006D6D67">
        <w:rPr>
          <w:rFonts w:eastAsia="Calibri" w:cs="Times New Roman"/>
          <w:color w:val="auto"/>
          <w:lang w:eastAsia="en-US"/>
        </w:rPr>
        <w:t>eerst aan het grondwettelijk hof wordt gevraagd om een oordeel te vellen over de grondwettigheid van de wet, alvorens de rechter zelf toekom</w:t>
      </w:r>
      <w:r w:rsidRPr="006D6D67" w:rsidR="002564D2">
        <w:rPr>
          <w:rFonts w:eastAsia="Calibri" w:cs="Times New Roman"/>
          <w:color w:val="auto"/>
          <w:lang w:eastAsia="en-US"/>
        </w:rPr>
        <w:t>t</w:t>
      </w:r>
      <w:r w:rsidRPr="006D6D67">
        <w:rPr>
          <w:rFonts w:eastAsia="Calibri" w:cs="Times New Roman"/>
          <w:color w:val="auto"/>
          <w:lang w:eastAsia="en-US"/>
        </w:rPr>
        <w:t xml:space="preserve"> aan een </w:t>
      </w:r>
      <w:r w:rsidRPr="001574E0">
        <w:rPr>
          <w:rFonts w:eastAsia="Calibri" w:cs="Times New Roman"/>
          <w:color w:val="auto"/>
          <w:lang w:eastAsia="en-US"/>
        </w:rPr>
        <w:t xml:space="preserve">oordeel over de verenigbaarheid van dezelfde wet met het EVRM en het EU-recht. </w:t>
      </w:r>
      <w:r w:rsidRPr="001574E0" w:rsidR="0097081A">
        <w:rPr>
          <w:rFonts w:eastAsia="Calibri" w:cs="Times New Roman"/>
          <w:color w:val="auto"/>
          <w:lang w:eastAsia="en-US"/>
        </w:rPr>
        <w:t xml:space="preserve">Oordeelt het hof dat de wet in kwestie </w:t>
      </w:r>
      <w:r w:rsidRPr="001574E0" w:rsidR="0097081A">
        <w:rPr>
          <w:rFonts w:eastAsia="Calibri" w:cs="Times New Roman"/>
          <w:i/>
          <w:iCs/>
          <w:color w:val="auto"/>
          <w:lang w:eastAsia="en-US"/>
        </w:rPr>
        <w:t>niet</w:t>
      </w:r>
      <w:r w:rsidRPr="001574E0" w:rsidR="0097081A">
        <w:rPr>
          <w:rFonts w:eastAsia="Calibri" w:cs="Times New Roman"/>
          <w:color w:val="auto"/>
          <w:lang w:eastAsia="en-US"/>
        </w:rPr>
        <w:t xml:space="preserve"> ongrondwettig is</w:t>
      </w:r>
      <w:r w:rsidRPr="001574E0">
        <w:rPr>
          <w:rFonts w:eastAsia="Calibri" w:cs="Times New Roman"/>
          <w:color w:val="auto"/>
          <w:lang w:eastAsia="en-US"/>
        </w:rPr>
        <w:t xml:space="preserve">, dan </w:t>
      </w:r>
      <w:r w:rsidRPr="001574E0" w:rsidR="00605B30">
        <w:rPr>
          <w:rFonts w:eastAsia="Calibri" w:cs="Times New Roman"/>
          <w:color w:val="auto"/>
          <w:lang w:eastAsia="en-US"/>
        </w:rPr>
        <w:t>is het nodig om te</w:t>
      </w:r>
      <w:r w:rsidRPr="001574E0">
        <w:rPr>
          <w:rFonts w:eastAsia="Calibri" w:cs="Times New Roman"/>
          <w:color w:val="auto"/>
          <w:lang w:eastAsia="en-US"/>
        </w:rPr>
        <w:t xml:space="preserve"> bezien of op grond van het EVRM of EU-recht door de rechter in het concrete geschil grondrechtenbescherming </w:t>
      </w:r>
      <w:r w:rsidRPr="001574E0" w:rsidR="00BD0600">
        <w:rPr>
          <w:rFonts w:eastAsia="Calibri" w:cs="Times New Roman"/>
          <w:color w:val="auto"/>
          <w:lang w:eastAsia="en-US"/>
        </w:rPr>
        <w:t xml:space="preserve">moet </w:t>
      </w:r>
      <w:r w:rsidRPr="001574E0">
        <w:rPr>
          <w:rFonts w:eastAsia="Calibri" w:cs="Times New Roman"/>
          <w:color w:val="auto"/>
          <w:lang w:eastAsia="en-US"/>
        </w:rPr>
        <w:t xml:space="preserve">worden geboden. Heel waarschijnlijk is </w:t>
      </w:r>
      <w:r w:rsidRPr="001574E0" w:rsidR="00605B30">
        <w:rPr>
          <w:rFonts w:eastAsia="Calibri" w:cs="Times New Roman"/>
          <w:color w:val="auto"/>
          <w:lang w:eastAsia="en-US"/>
        </w:rPr>
        <w:t xml:space="preserve">dat </w:t>
      </w:r>
      <w:r w:rsidRPr="001574E0">
        <w:rPr>
          <w:rFonts w:eastAsia="Calibri" w:cs="Times New Roman"/>
          <w:color w:val="auto"/>
          <w:lang w:eastAsia="en-US"/>
        </w:rPr>
        <w:t xml:space="preserve">overigens niet, ook al omdat het grondwettelijk hof bij zijn eigen uitleg aan de Grondwet vermoedelijk </w:t>
      </w:r>
      <w:r w:rsidRPr="001574E0" w:rsidR="00605B30">
        <w:rPr>
          <w:rFonts w:eastAsia="Calibri" w:cs="Times New Roman"/>
          <w:color w:val="auto"/>
          <w:lang w:eastAsia="en-US"/>
        </w:rPr>
        <w:t>samenlopende normen zoveel mogelijk in samenhang zal interpreteren en een uitleg zal geven die strookt met internationale verdragen, inclusief mensenrechtenverdragen, het EU-recht en de rechtspraak van het EHRM en het EU-Hof</w:t>
      </w:r>
      <w:r w:rsidRPr="001574E0">
        <w:rPr>
          <w:rFonts w:eastAsia="Calibri" w:cs="Times New Roman"/>
          <w:color w:val="auto"/>
          <w:lang w:eastAsia="en-US"/>
        </w:rPr>
        <w:t xml:space="preserve">. </w:t>
      </w:r>
      <w:r w:rsidRPr="001574E0" w:rsidR="00866ACD">
        <w:rPr>
          <w:rFonts w:eastAsia="Calibri" w:cs="Times New Roman"/>
          <w:color w:val="auto"/>
          <w:lang w:eastAsia="en-US"/>
        </w:rPr>
        <w:t>Het kan echter</w:t>
      </w:r>
      <w:r w:rsidRPr="001574E0">
        <w:rPr>
          <w:rFonts w:eastAsia="Calibri" w:cs="Times New Roman"/>
          <w:color w:val="auto"/>
          <w:lang w:eastAsia="en-US"/>
        </w:rPr>
        <w:t xml:space="preserve"> niet</w:t>
      </w:r>
      <w:r w:rsidRPr="006D6D67">
        <w:rPr>
          <w:rFonts w:eastAsia="Calibri" w:cs="Times New Roman"/>
          <w:color w:val="auto"/>
          <w:lang w:eastAsia="en-US"/>
        </w:rPr>
        <w:t xml:space="preserve"> worden uitgesloten. </w:t>
      </w:r>
    </w:p>
    <w:p w:rsidRPr="006D6D67" w:rsidR="00BF52D7" w:rsidP="007472AA" w:rsidRDefault="00BF52D7" w14:paraId="52F7BA3E" w14:textId="77777777">
      <w:pPr>
        <w:autoSpaceDN/>
        <w:spacing w:line="276" w:lineRule="auto"/>
        <w:textAlignment w:val="auto"/>
        <w:rPr>
          <w:rFonts w:eastAsia="Calibri" w:cs="Times New Roman"/>
          <w:color w:val="auto"/>
          <w:lang w:eastAsia="en-US"/>
        </w:rPr>
      </w:pPr>
    </w:p>
    <w:p w:rsidRPr="006D6D67" w:rsidR="00AA1F6F" w:rsidP="007472AA" w:rsidRDefault="004D5FC6" w14:paraId="395DD6C5" w14:textId="4A5511F4">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Het verlenen van prioriteit aan de beoordeling van de grondwettigheid van een we</w:t>
      </w:r>
      <w:r w:rsidRPr="006D6D67" w:rsidR="000502AE">
        <w:rPr>
          <w:rFonts w:eastAsia="Calibri" w:cs="Times New Roman"/>
          <w:color w:val="auto"/>
          <w:lang w:eastAsia="en-US"/>
        </w:rPr>
        <w:t>t</w:t>
      </w:r>
      <w:r w:rsidRPr="006D6D67" w:rsidR="00BF52D7">
        <w:rPr>
          <w:rFonts w:eastAsia="Calibri" w:cs="Times New Roman"/>
          <w:color w:val="auto"/>
          <w:lang w:eastAsia="en-US"/>
        </w:rPr>
        <w:t xml:space="preserve"> is niet in strijd met het internationale </w:t>
      </w:r>
      <w:r w:rsidRPr="006D6D67" w:rsidR="000502AE">
        <w:rPr>
          <w:rFonts w:eastAsia="Calibri" w:cs="Times New Roman"/>
          <w:color w:val="auto"/>
          <w:lang w:eastAsia="en-US"/>
        </w:rPr>
        <w:t xml:space="preserve">recht </w:t>
      </w:r>
      <w:r w:rsidRPr="006D6D67" w:rsidR="00BF52D7">
        <w:rPr>
          <w:rFonts w:eastAsia="Calibri" w:cs="Times New Roman"/>
          <w:color w:val="auto"/>
          <w:lang w:eastAsia="en-US"/>
        </w:rPr>
        <w:t xml:space="preserve">of </w:t>
      </w:r>
      <w:r w:rsidRPr="006D6D67" w:rsidR="000502AE">
        <w:rPr>
          <w:rFonts w:eastAsia="Calibri" w:cs="Times New Roman"/>
          <w:color w:val="auto"/>
          <w:lang w:eastAsia="en-US"/>
        </w:rPr>
        <w:t xml:space="preserve">het </w:t>
      </w:r>
      <w:r w:rsidRPr="006D6D67" w:rsidR="00BF52D7">
        <w:rPr>
          <w:rFonts w:eastAsia="Calibri" w:cs="Times New Roman"/>
          <w:color w:val="auto"/>
          <w:lang w:eastAsia="en-US"/>
        </w:rPr>
        <w:t>Unierecht</w:t>
      </w:r>
      <w:r w:rsidRPr="006D6D67" w:rsidR="000502AE">
        <w:rPr>
          <w:rFonts w:eastAsia="Calibri" w:cs="Times New Roman"/>
          <w:color w:val="auto"/>
          <w:lang w:eastAsia="en-US"/>
        </w:rPr>
        <w:t xml:space="preserve">, maar de regeling en toepassing hiervan is wel aan een aantal </w:t>
      </w:r>
      <w:r w:rsidRPr="006D6D67" w:rsidR="00FB02EF">
        <w:rPr>
          <w:rFonts w:eastAsia="Calibri" w:cs="Times New Roman"/>
          <w:color w:val="auto"/>
          <w:lang w:eastAsia="en-US"/>
        </w:rPr>
        <w:t xml:space="preserve">belangrijke </w:t>
      </w:r>
      <w:r w:rsidRPr="006D6D67" w:rsidR="000502AE">
        <w:rPr>
          <w:rFonts w:eastAsia="Calibri" w:cs="Times New Roman"/>
          <w:color w:val="auto"/>
          <w:lang w:eastAsia="en-US"/>
        </w:rPr>
        <w:t>voorwaarden verbonden, die vooral uit het Unierecht voortvloeien</w:t>
      </w:r>
      <w:r w:rsidRPr="006D6D67" w:rsidR="00BF52D7">
        <w:rPr>
          <w:rFonts w:eastAsia="Calibri" w:cs="Times New Roman"/>
          <w:color w:val="auto"/>
          <w:lang w:eastAsia="en-US"/>
        </w:rPr>
        <w:t xml:space="preserve">. </w:t>
      </w:r>
      <w:r w:rsidRPr="006D6D67" w:rsidR="000502AE">
        <w:rPr>
          <w:rFonts w:eastAsia="Calibri" w:cs="Times New Roman"/>
          <w:color w:val="auto"/>
          <w:lang w:eastAsia="en-US"/>
        </w:rPr>
        <w:t>Vertrekpunt voor een prioriteitsregeling is dat z</w:t>
      </w:r>
      <w:r w:rsidRPr="006D6D67" w:rsidR="00BF52D7">
        <w:rPr>
          <w:rFonts w:eastAsia="Calibri" w:cs="Times New Roman"/>
          <w:color w:val="auto"/>
          <w:lang w:eastAsia="en-US"/>
        </w:rPr>
        <w:t xml:space="preserve">owel het EVRM als het Handvest een bepaling </w:t>
      </w:r>
      <w:r w:rsidRPr="006D6D67" w:rsidR="000502AE">
        <w:rPr>
          <w:rFonts w:eastAsia="Calibri" w:cs="Times New Roman"/>
          <w:color w:val="auto"/>
          <w:lang w:eastAsia="en-US"/>
        </w:rPr>
        <w:t xml:space="preserve">bevat </w:t>
      </w:r>
      <w:r w:rsidRPr="006D6D67" w:rsidR="00BF52D7">
        <w:rPr>
          <w:rFonts w:eastAsia="Calibri" w:cs="Times New Roman"/>
          <w:color w:val="auto"/>
          <w:lang w:eastAsia="en-US"/>
        </w:rPr>
        <w:t xml:space="preserve">die expliciet </w:t>
      </w:r>
      <w:r w:rsidRPr="006D6D67" w:rsidR="00AA1F6F">
        <w:rPr>
          <w:rFonts w:eastAsia="Calibri" w:cs="Times New Roman"/>
          <w:color w:val="auto"/>
          <w:lang w:eastAsia="en-US"/>
        </w:rPr>
        <w:t xml:space="preserve">toelaat </w:t>
      </w:r>
      <w:r w:rsidRPr="006D6D67" w:rsidR="00BF52D7">
        <w:rPr>
          <w:rFonts w:eastAsia="Calibri" w:cs="Times New Roman"/>
          <w:color w:val="auto"/>
          <w:lang w:eastAsia="en-US"/>
        </w:rPr>
        <w:t xml:space="preserve">dat rechters op grond van het eigen nationale constitutionele recht verdergaande grondrechtenbescherming verlenen. </w:t>
      </w:r>
      <w:r w:rsidRPr="006D6D67" w:rsidR="001C260F">
        <w:rPr>
          <w:rFonts w:eastAsia="Calibri" w:cs="Times New Roman"/>
          <w:color w:val="auto"/>
          <w:lang w:eastAsia="en-US"/>
        </w:rPr>
        <w:t xml:space="preserve">Er </w:t>
      </w:r>
      <w:r w:rsidRPr="006D6D67" w:rsidR="00DE1866">
        <w:rPr>
          <w:rFonts w:eastAsia="Calibri" w:cs="Times New Roman"/>
          <w:color w:val="auto"/>
          <w:lang w:eastAsia="en-US"/>
        </w:rPr>
        <w:t>kan</w:t>
      </w:r>
      <w:r w:rsidRPr="006D6D67" w:rsidR="001C260F">
        <w:rPr>
          <w:rFonts w:eastAsia="Calibri" w:cs="Times New Roman"/>
          <w:color w:val="auto"/>
          <w:lang w:eastAsia="en-US"/>
        </w:rPr>
        <w:t xml:space="preserve">, vanuit het oogpunt van rechtsbescherming, dus </w:t>
      </w:r>
      <w:r w:rsidRPr="006D6D67" w:rsidR="008B5D43">
        <w:rPr>
          <w:rFonts w:eastAsia="Calibri" w:cs="Times New Roman"/>
          <w:color w:val="auto"/>
          <w:lang w:eastAsia="en-US"/>
        </w:rPr>
        <w:t>reden</w:t>
      </w:r>
      <w:r w:rsidRPr="006D6D67" w:rsidR="001C260F">
        <w:rPr>
          <w:rFonts w:eastAsia="Calibri" w:cs="Times New Roman"/>
          <w:color w:val="auto"/>
          <w:lang w:eastAsia="en-US"/>
        </w:rPr>
        <w:t xml:space="preserve"> </w:t>
      </w:r>
      <w:r w:rsidRPr="006D6D67" w:rsidR="00DE1866">
        <w:rPr>
          <w:rFonts w:eastAsia="Calibri" w:cs="Times New Roman"/>
          <w:color w:val="auto"/>
          <w:lang w:eastAsia="en-US"/>
        </w:rPr>
        <w:t xml:space="preserve">zijn </w:t>
      </w:r>
      <w:r w:rsidRPr="006D6D67" w:rsidR="001C260F">
        <w:rPr>
          <w:rFonts w:eastAsia="Calibri" w:cs="Times New Roman"/>
          <w:color w:val="auto"/>
          <w:lang w:eastAsia="en-US"/>
        </w:rPr>
        <w:t xml:space="preserve">om eerst vast te stellen hoe een wet zich verhoudt tot grondrechten uit de Grondwet. </w:t>
      </w:r>
      <w:r w:rsidRPr="006D6D67" w:rsidR="009F29D2">
        <w:rPr>
          <w:rFonts w:eastAsia="Calibri" w:cs="Times New Roman"/>
          <w:color w:val="auto"/>
          <w:lang w:eastAsia="en-US"/>
        </w:rPr>
        <w:t xml:space="preserve">Van een </w:t>
      </w:r>
      <w:r w:rsidRPr="006D6D67" w:rsidR="008B5D43">
        <w:rPr>
          <w:rFonts w:eastAsia="Calibri" w:cs="Times New Roman"/>
          <w:color w:val="auto"/>
          <w:lang w:eastAsia="en-US"/>
        </w:rPr>
        <w:t>rechter kan echter niet worden ver</w:t>
      </w:r>
      <w:r w:rsidRPr="006D6D67" w:rsidR="009F29D2">
        <w:rPr>
          <w:rFonts w:eastAsia="Calibri" w:cs="Times New Roman"/>
          <w:color w:val="auto"/>
          <w:lang w:eastAsia="en-US"/>
        </w:rPr>
        <w:t>langd</w:t>
      </w:r>
      <w:r w:rsidRPr="006D6D67" w:rsidR="008B5D43">
        <w:rPr>
          <w:rFonts w:eastAsia="Calibri" w:cs="Times New Roman"/>
          <w:color w:val="auto"/>
          <w:lang w:eastAsia="en-US"/>
        </w:rPr>
        <w:t xml:space="preserve"> om een prejudiciële vraag aan het grondwettelijk hof voor te leggen over de verenigbaarheid van een wet met de Grondwet, wanneer deze </w:t>
      </w:r>
      <w:r w:rsidRPr="006D6D67" w:rsidR="00F00CFD">
        <w:rPr>
          <w:rFonts w:eastAsia="Calibri" w:cs="Times New Roman"/>
          <w:color w:val="auto"/>
          <w:lang w:eastAsia="en-US"/>
        </w:rPr>
        <w:t xml:space="preserve">rechter op hetzelfde moment vragen heeft over de uitleg van het Unierecht en naar </w:t>
      </w:r>
      <w:r w:rsidRPr="006D6D67" w:rsidR="008B5D43">
        <w:rPr>
          <w:rFonts w:eastAsia="Calibri" w:cs="Times New Roman"/>
          <w:color w:val="auto"/>
          <w:lang w:eastAsia="en-US"/>
        </w:rPr>
        <w:t xml:space="preserve">aanleiding </w:t>
      </w:r>
      <w:r w:rsidRPr="006D6D67" w:rsidR="00F00CFD">
        <w:rPr>
          <w:rFonts w:eastAsia="Calibri" w:cs="Times New Roman"/>
          <w:color w:val="auto"/>
          <w:lang w:eastAsia="en-US"/>
        </w:rPr>
        <w:t>hiervan</w:t>
      </w:r>
      <w:r w:rsidRPr="006D6D67" w:rsidR="008B5D43">
        <w:rPr>
          <w:rFonts w:eastAsia="Calibri" w:cs="Times New Roman"/>
          <w:color w:val="auto"/>
          <w:lang w:eastAsia="en-US"/>
        </w:rPr>
        <w:t xml:space="preserve"> een prejudiciële procedure </w:t>
      </w:r>
      <w:r w:rsidRPr="006D6D67" w:rsidR="00F00CFD">
        <w:rPr>
          <w:rFonts w:eastAsia="Calibri" w:cs="Times New Roman"/>
          <w:color w:val="auto"/>
          <w:lang w:eastAsia="en-US"/>
        </w:rPr>
        <w:t>wil</w:t>
      </w:r>
      <w:r w:rsidRPr="006D6D67" w:rsidR="008B5D43">
        <w:rPr>
          <w:rFonts w:eastAsia="Calibri" w:cs="Times New Roman"/>
          <w:color w:val="auto"/>
          <w:lang w:eastAsia="en-US"/>
        </w:rPr>
        <w:t xml:space="preserve"> starten bij het </w:t>
      </w:r>
      <w:proofErr w:type="spellStart"/>
      <w:r w:rsidRPr="006D6D67" w:rsidR="008B5D43">
        <w:rPr>
          <w:rFonts w:eastAsia="Calibri" w:cs="Times New Roman"/>
          <w:color w:val="auto"/>
          <w:lang w:eastAsia="en-US"/>
        </w:rPr>
        <w:t>HvJEU</w:t>
      </w:r>
      <w:proofErr w:type="spellEnd"/>
      <w:r w:rsidRPr="006D6D67" w:rsidR="008B5D43">
        <w:rPr>
          <w:rFonts w:eastAsia="Calibri" w:cs="Times New Roman"/>
          <w:color w:val="auto"/>
          <w:lang w:eastAsia="en-US"/>
        </w:rPr>
        <w:t xml:space="preserve">. </w:t>
      </w:r>
      <w:r w:rsidRPr="006D6D67" w:rsidR="00F00CFD">
        <w:rPr>
          <w:rFonts w:eastAsia="Calibri" w:cs="Times New Roman"/>
          <w:color w:val="auto"/>
          <w:lang w:eastAsia="en-US"/>
        </w:rPr>
        <w:t xml:space="preserve">Het beginsel van voorrang van het Unierecht brengt namelijk mee dat nationaal </w:t>
      </w:r>
      <w:r w:rsidRPr="006D6D67" w:rsidR="00F00CFD">
        <w:rPr>
          <w:rFonts w:eastAsia="Calibri" w:cs="Times New Roman"/>
          <w:color w:val="auto"/>
          <w:lang w:eastAsia="en-US"/>
        </w:rPr>
        <w:lastRenderedPageBreak/>
        <w:t xml:space="preserve">constitutioneel recht geen beperkingen mag opleggen aan de vrijheid van rechters om zich te wenden tot het </w:t>
      </w:r>
      <w:proofErr w:type="spellStart"/>
      <w:r w:rsidRPr="006D6D67" w:rsidR="00F00CFD">
        <w:rPr>
          <w:rFonts w:eastAsia="Calibri" w:cs="Times New Roman"/>
          <w:color w:val="auto"/>
          <w:lang w:eastAsia="en-US"/>
        </w:rPr>
        <w:t>HvJEU</w:t>
      </w:r>
      <w:proofErr w:type="spellEnd"/>
      <w:r w:rsidRPr="006D6D67" w:rsidR="00F00CFD">
        <w:rPr>
          <w:rFonts w:eastAsia="Calibri" w:cs="Times New Roman"/>
          <w:color w:val="auto"/>
          <w:lang w:eastAsia="en-US"/>
        </w:rPr>
        <w:t>.</w:t>
      </w:r>
      <w:r w:rsidRPr="006D6D67" w:rsidR="00F32D62">
        <w:rPr>
          <w:rFonts w:eastAsia="Calibri" w:cs="Times New Roman"/>
          <w:color w:val="auto"/>
          <w:vertAlign w:val="superscript"/>
          <w:lang w:eastAsia="en-US"/>
        </w:rPr>
        <w:footnoteReference w:id="38"/>
      </w:r>
    </w:p>
    <w:p w:rsidRPr="006D6D67" w:rsidR="00AA1F6F" w:rsidP="007472AA" w:rsidRDefault="00AA1F6F" w14:paraId="688C6C7D" w14:textId="77777777">
      <w:pPr>
        <w:autoSpaceDN/>
        <w:spacing w:line="276" w:lineRule="auto"/>
        <w:textAlignment w:val="auto"/>
        <w:rPr>
          <w:rFonts w:eastAsia="Calibri" w:cs="Times New Roman"/>
          <w:color w:val="auto"/>
          <w:lang w:eastAsia="en-US"/>
        </w:rPr>
      </w:pPr>
    </w:p>
    <w:p w:rsidRPr="006D6D67" w:rsidR="00462553" w:rsidP="007472AA" w:rsidRDefault="00AA1F6F" w14:paraId="569E199E" w14:textId="0A698F91">
      <w:pPr>
        <w:autoSpaceDN/>
        <w:spacing w:line="276" w:lineRule="auto"/>
        <w:textAlignment w:val="auto"/>
        <w:rPr>
          <w:rFonts w:eastAsia="Calibri" w:cs="Times New Roman"/>
          <w:color w:val="auto"/>
          <w:lang w:eastAsia="en-US"/>
        </w:rPr>
      </w:pPr>
      <w:r w:rsidRPr="006D6D67">
        <w:rPr>
          <w:rFonts w:eastAsia="Calibri" w:cs="Times New Roman"/>
          <w:color w:val="auto"/>
          <w:lang w:eastAsia="en-US"/>
        </w:rPr>
        <w:t xml:space="preserve">Een andere grens die uit het Unierecht voortvloeit, is dat een rechter – inclusief het grondwettelijk hof – bij het verlenen van grondrechtenbescherming op basis van de Grondwet geen afbreuk mag doen aan de </w:t>
      </w:r>
      <w:r w:rsidRPr="001574E0">
        <w:rPr>
          <w:rFonts w:eastAsia="Calibri" w:cs="Times New Roman"/>
          <w:color w:val="auto"/>
          <w:lang w:eastAsia="en-US"/>
        </w:rPr>
        <w:t>eenheid en effectieve werking van het Unierecht.</w:t>
      </w:r>
      <w:r w:rsidRPr="001574E0">
        <w:rPr>
          <w:rStyle w:val="Voetnootmarkering"/>
          <w:rFonts w:eastAsia="Calibri" w:cs="Times New Roman"/>
          <w:color w:val="auto"/>
          <w:lang w:eastAsia="en-US"/>
        </w:rPr>
        <w:footnoteReference w:id="39"/>
      </w:r>
      <w:r w:rsidRPr="001574E0" w:rsidR="006368BC">
        <w:rPr>
          <w:rFonts w:eastAsia="Calibri" w:cs="Times New Roman"/>
          <w:color w:val="auto"/>
          <w:lang w:eastAsia="en-US"/>
        </w:rPr>
        <w:t xml:space="preserve"> </w:t>
      </w:r>
      <w:r w:rsidRPr="001574E0" w:rsidR="00BD0600">
        <w:rPr>
          <w:rFonts w:eastAsia="Calibri" w:cs="Times New Roman"/>
          <w:color w:val="auto"/>
          <w:lang w:eastAsia="en-US"/>
        </w:rPr>
        <w:t xml:space="preserve">Er kan zich een situatie voordoen waarin het Unierecht </w:t>
      </w:r>
      <w:r w:rsidRPr="001574E0" w:rsidR="00E016A1">
        <w:rPr>
          <w:rFonts w:eastAsia="Calibri" w:cs="Times New Roman"/>
          <w:color w:val="auto"/>
          <w:lang w:eastAsia="en-US"/>
        </w:rPr>
        <w:t>geen ruimte laat om verdergaande nationale grondrechtenbescherming in te roepen, omdat dit afbreuk zou doen aan de werking van de EU-handelingen op het grondgebied van die lidstaat</w:t>
      </w:r>
      <w:r w:rsidRPr="001574E0" w:rsidR="00BD0600">
        <w:rPr>
          <w:rFonts w:eastAsia="Calibri" w:cs="Times New Roman"/>
          <w:color w:val="auto"/>
          <w:lang w:eastAsia="en-US"/>
        </w:rPr>
        <w:t>. Een dergelijke begrenzing voor een ruimere uitleg kan ook aan de orde zijn wanneer</w:t>
      </w:r>
      <w:r w:rsidRPr="001574E0" w:rsidR="006368BC">
        <w:rPr>
          <w:rFonts w:eastAsia="Calibri" w:cs="Times New Roman"/>
          <w:color w:val="auto"/>
          <w:lang w:eastAsia="en-US"/>
        </w:rPr>
        <w:t xml:space="preserve"> een </w:t>
      </w:r>
      <w:r w:rsidRPr="001574E0" w:rsidR="00BD0600">
        <w:rPr>
          <w:rFonts w:eastAsia="Calibri" w:cs="Times New Roman"/>
          <w:color w:val="auto"/>
          <w:lang w:eastAsia="en-US"/>
        </w:rPr>
        <w:t xml:space="preserve">rechterlijke </w:t>
      </w:r>
      <w:r w:rsidRPr="001574E0" w:rsidR="006368BC">
        <w:rPr>
          <w:rFonts w:eastAsia="Calibri" w:cs="Times New Roman"/>
          <w:color w:val="auto"/>
          <w:lang w:eastAsia="en-US"/>
        </w:rPr>
        <w:t>uit</w:t>
      </w:r>
      <w:r w:rsidRPr="006D6D67" w:rsidR="006368BC">
        <w:rPr>
          <w:rFonts w:eastAsia="Calibri" w:cs="Times New Roman"/>
          <w:color w:val="auto"/>
          <w:lang w:eastAsia="en-US"/>
        </w:rPr>
        <w:t xml:space="preserve">spraak inzake een grondwettelijk grondrecht ten koste </w:t>
      </w:r>
      <w:r w:rsidRPr="006D6D67" w:rsidR="00BD0600">
        <w:rPr>
          <w:rFonts w:eastAsia="Calibri" w:cs="Times New Roman"/>
          <w:color w:val="auto"/>
          <w:lang w:eastAsia="en-US"/>
        </w:rPr>
        <w:t xml:space="preserve">dreigt te </w:t>
      </w:r>
      <w:r w:rsidRPr="006D6D67" w:rsidR="006368BC">
        <w:rPr>
          <w:rFonts w:eastAsia="Calibri" w:cs="Times New Roman"/>
          <w:color w:val="auto"/>
          <w:lang w:eastAsia="en-US"/>
        </w:rPr>
        <w:t xml:space="preserve">gaan van de </w:t>
      </w:r>
      <w:r w:rsidRPr="006D6D67" w:rsidR="00BD0600">
        <w:rPr>
          <w:rFonts w:eastAsia="Calibri" w:cs="Times New Roman"/>
          <w:color w:val="auto"/>
          <w:lang w:eastAsia="en-US"/>
        </w:rPr>
        <w:t>bescherming van een ander grondrecht</w:t>
      </w:r>
      <w:r w:rsidRPr="006D6D67" w:rsidR="005D2723">
        <w:rPr>
          <w:rFonts w:eastAsia="Calibri" w:cs="Times New Roman"/>
          <w:color w:val="auto"/>
          <w:lang w:eastAsia="en-US"/>
        </w:rPr>
        <w:t>. Wanneer het grondwettelijk hof met een bepaalde interpretatie van de vrijheid van meningsuiting in artikel 7 Grondwet zou komen, zal het zich ervan moeten vergewissen dat deze interpretatie niet botst met bijvoorbeeld de rechtspraak van het</w:t>
      </w:r>
      <w:r w:rsidRPr="006D6D67" w:rsidR="00BD0600">
        <w:rPr>
          <w:rFonts w:eastAsia="Calibri" w:cs="Times New Roman"/>
          <w:color w:val="auto"/>
          <w:lang w:eastAsia="en-US"/>
        </w:rPr>
        <w:t xml:space="preserve"> </w:t>
      </w:r>
      <w:proofErr w:type="spellStart"/>
      <w:r w:rsidRPr="006D6D67" w:rsidR="00BD0600">
        <w:rPr>
          <w:rFonts w:eastAsia="Calibri" w:cs="Times New Roman"/>
          <w:color w:val="auto"/>
          <w:lang w:eastAsia="en-US"/>
        </w:rPr>
        <w:t>HvJEU</w:t>
      </w:r>
      <w:proofErr w:type="spellEnd"/>
      <w:r w:rsidRPr="006D6D67" w:rsidR="00BD0600">
        <w:rPr>
          <w:rFonts w:eastAsia="Calibri" w:cs="Times New Roman"/>
          <w:color w:val="auto"/>
          <w:lang w:eastAsia="en-US"/>
        </w:rPr>
        <w:t xml:space="preserve"> en</w:t>
      </w:r>
      <w:r w:rsidRPr="006D6D67" w:rsidR="005D2723">
        <w:rPr>
          <w:rFonts w:eastAsia="Calibri" w:cs="Times New Roman"/>
          <w:color w:val="auto"/>
          <w:lang w:eastAsia="en-US"/>
        </w:rPr>
        <w:t xml:space="preserve"> EHRM over het recht op privacy.</w:t>
      </w:r>
      <w:r w:rsidRPr="006D6D67" w:rsidR="00BD0600">
        <w:rPr>
          <w:rFonts w:eastAsia="Calibri" w:cs="Times New Roman"/>
          <w:color w:val="auto"/>
          <w:lang w:eastAsia="en-US"/>
        </w:rPr>
        <w:t xml:space="preserve"> Is dit wel het geval, dan is er in beginsel geen ruimte voor de betreffende interpretatie.</w:t>
      </w:r>
      <w:r w:rsidRPr="006D6D67" w:rsidR="001B1C98">
        <w:rPr>
          <w:rFonts w:eastAsia="Calibri" w:cs="Times New Roman"/>
          <w:color w:val="auto"/>
          <w:lang w:eastAsia="en-US"/>
        </w:rPr>
        <w:t xml:space="preserve">  </w:t>
      </w:r>
      <w:bookmarkEnd w:id="4"/>
    </w:p>
    <w:p w:rsidRPr="006D6D67" w:rsidR="00FE5749" w:rsidP="007472AA" w:rsidRDefault="00FE5749" w14:paraId="483FEF9C" w14:textId="08D76D7C">
      <w:pPr>
        <w:pStyle w:val="Normaalweb"/>
        <w:spacing w:line="276" w:lineRule="auto"/>
        <w:rPr>
          <w:rFonts w:ascii="Verdana" w:hAnsi="Verdana"/>
          <w:b/>
          <w:bCs/>
          <w:color w:val="000000"/>
          <w:sz w:val="18"/>
          <w:szCs w:val="18"/>
        </w:rPr>
      </w:pPr>
      <w:r w:rsidRPr="006D6D67">
        <w:rPr>
          <w:rFonts w:ascii="Verdana" w:hAnsi="Verdana"/>
          <w:b/>
          <w:bCs/>
          <w:color w:val="000000"/>
          <w:sz w:val="18"/>
          <w:szCs w:val="18"/>
        </w:rPr>
        <w:t xml:space="preserve">4. </w:t>
      </w:r>
      <w:r w:rsidRPr="006D6D67" w:rsidR="00FC4794">
        <w:rPr>
          <w:rFonts w:ascii="Verdana" w:hAnsi="Verdana"/>
          <w:b/>
          <w:bCs/>
          <w:color w:val="000000"/>
          <w:sz w:val="18"/>
          <w:szCs w:val="18"/>
        </w:rPr>
        <w:t>Andere taken voor het grondwettelijk hof</w:t>
      </w:r>
    </w:p>
    <w:p w:rsidRPr="006D6D67" w:rsidR="00FE5749" w:rsidP="007472AA" w:rsidRDefault="001A7881" w14:paraId="295C218C" w14:textId="3445F854">
      <w:pPr>
        <w:pStyle w:val="Normaalweb"/>
        <w:pBdr>
          <w:top w:val="single" w:color="auto" w:sz="4" w:space="1"/>
          <w:left w:val="single" w:color="auto" w:sz="4" w:space="4"/>
          <w:bottom w:val="single" w:color="auto" w:sz="4" w:space="1"/>
          <w:right w:val="single" w:color="auto" w:sz="4" w:space="4"/>
        </w:pBdr>
        <w:spacing w:line="276" w:lineRule="auto"/>
        <w:rPr>
          <w:rFonts w:ascii="Verdana" w:hAnsi="Verdana"/>
          <w:color w:val="000000"/>
          <w:sz w:val="18"/>
          <w:szCs w:val="18"/>
        </w:rPr>
      </w:pPr>
      <w:r w:rsidRPr="006D6D67">
        <w:rPr>
          <w:rFonts w:ascii="Verdana" w:hAnsi="Verdana"/>
          <w:color w:val="000000"/>
          <w:sz w:val="18"/>
          <w:szCs w:val="18"/>
        </w:rPr>
        <w:t xml:space="preserve">Onderzocht wordt of de toetsing door het hof zich mede kan uitstrekken tot </w:t>
      </w:r>
      <w:proofErr w:type="spellStart"/>
      <w:r w:rsidRPr="006D6D67" w:rsidR="00C17363">
        <w:rPr>
          <w:rFonts w:ascii="Verdana" w:hAnsi="Verdana"/>
          <w:color w:val="000000"/>
          <w:sz w:val="18"/>
          <w:szCs w:val="18"/>
        </w:rPr>
        <w:t>inter</w:t>
      </w:r>
      <w:r w:rsidRPr="006D6D67" w:rsidR="00FE5749">
        <w:rPr>
          <w:rFonts w:ascii="Verdana" w:hAnsi="Verdana"/>
          <w:color w:val="000000"/>
          <w:sz w:val="18"/>
          <w:szCs w:val="18"/>
        </w:rPr>
        <w:t>institutionele</w:t>
      </w:r>
      <w:proofErr w:type="spellEnd"/>
      <w:r w:rsidRPr="006D6D67" w:rsidR="00FE5749">
        <w:rPr>
          <w:rFonts w:ascii="Verdana" w:hAnsi="Verdana"/>
          <w:color w:val="000000"/>
          <w:sz w:val="18"/>
          <w:szCs w:val="18"/>
        </w:rPr>
        <w:t xml:space="preserve"> grondwetsbepalingen. </w:t>
      </w:r>
    </w:p>
    <w:p w:rsidRPr="006D6D67" w:rsidR="00FE5749" w:rsidP="007472AA" w:rsidRDefault="00FE5749" w14:paraId="41071E93" w14:textId="074B9062">
      <w:pPr>
        <w:pStyle w:val="Normaalweb"/>
        <w:spacing w:line="276" w:lineRule="auto"/>
        <w:rPr>
          <w:rFonts w:ascii="Verdana" w:hAnsi="Verdana"/>
          <w:color w:val="000000"/>
          <w:sz w:val="18"/>
          <w:szCs w:val="18"/>
        </w:rPr>
      </w:pPr>
      <w:r w:rsidRPr="006D6D67">
        <w:rPr>
          <w:rFonts w:ascii="Verdana" w:hAnsi="Verdana"/>
          <w:color w:val="000000"/>
          <w:sz w:val="18"/>
          <w:szCs w:val="18"/>
        </w:rPr>
        <w:t xml:space="preserve">In het regeerprogramma heeft het kabinet aangekondigd te willen bekijken of de rechterlijke toetsing van wetten, regels en besluiten zich mede kan uitstrekken tot de </w:t>
      </w:r>
      <w:proofErr w:type="spellStart"/>
      <w:r w:rsidRPr="006D6D67" w:rsidR="00B47230">
        <w:rPr>
          <w:rFonts w:ascii="Verdana" w:hAnsi="Verdana"/>
          <w:color w:val="000000"/>
          <w:sz w:val="18"/>
          <w:szCs w:val="18"/>
        </w:rPr>
        <w:t>inter</w:t>
      </w:r>
      <w:r w:rsidRPr="006D6D67">
        <w:rPr>
          <w:rFonts w:ascii="Verdana" w:hAnsi="Verdana"/>
          <w:color w:val="000000"/>
          <w:sz w:val="18"/>
          <w:szCs w:val="18"/>
        </w:rPr>
        <w:t>institutionele</w:t>
      </w:r>
      <w:proofErr w:type="spellEnd"/>
      <w:r w:rsidRPr="006D6D67">
        <w:rPr>
          <w:rFonts w:ascii="Verdana" w:hAnsi="Verdana"/>
          <w:color w:val="000000"/>
          <w:sz w:val="18"/>
          <w:szCs w:val="18"/>
        </w:rPr>
        <w:t xml:space="preserve"> bepalingen van de Grondwet. Dit zijn de onderdelen van de Grondwet die niet (direct) rechten of plichten voor burgers creëren maar betrekking hebben op (bevoegdheden van) overheidsorganen, de wetgevingsprocedure of de verhoudingen binnen de </w:t>
      </w:r>
      <w:r w:rsidRPr="006D6D67" w:rsidR="00FC6291">
        <w:rPr>
          <w:rFonts w:ascii="Verdana" w:hAnsi="Verdana"/>
          <w:color w:val="000000"/>
          <w:sz w:val="18"/>
          <w:szCs w:val="18"/>
        </w:rPr>
        <w:t>ge</w:t>
      </w:r>
      <w:r w:rsidRPr="006D6D67">
        <w:rPr>
          <w:rFonts w:ascii="Verdana" w:hAnsi="Verdana"/>
          <w:color w:val="000000"/>
          <w:sz w:val="18"/>
          <w:szCs w:val="18"/>
        </w:rPr>
        <w:t>decentral</w:t>
      </w:r>
      <w:r w:rsidRPr="006D6D67" w:rsidR="00FC6291">
        <w:rPr>
          <w:rFonts w:ascii="Verdana" w:hAnsi="Verdana"/>
          <w:color w:val="000000"/>
          <w:sz w:val="18"/>
          <w:szCs w:val="18"/>
        </w:rPr>
        <w:t>iseerd</w:t>
      </w:r>
      <w:r w:rsidRPr="006D6D67">
        <w:rPr>
          <w:rFonts w:ascii="Verdana" w:hAnsi="Verdana"/>
          <w:color w:val="000000"/>
          <w:sz w:val="18"/>
          <w:szCs w:val="18"/>
        </w:rPr>
        <w:t>e eenheidsstaat.</w:t>
      </w:r>
      <w:r w:rsidRPr="006D6D67" w:rsidDel="00C17363">
        <w:rPr>
          <w:rFonts w:ascii="Verdana" w:hAnsi="Verdana"/>
          <w:color w:val="000000"/>
          <w:sz w:val="18"/>
          <w:szCs w:val="18"/>
        </w:rPr>
        <w:t xml:space="preserve"> </w:t>
      </w:r>
      <w:r w:rsidRPr="006D6D67" w:rsidR="00C17363">
        <w:rPr>
          <w:rFonts w:ascii="Verdana" w:hAnsi="Verdana"/>
          <w:color w:val="000000"/>
          <w:sz w:val="18"/>
          <w:szCs w:val="18"/>
        </w:rPr>
        <w:t xml:space="preserve">Het kabinet zal </w:t>
      </w:r>
      <w:r w:rsidRPr="006D6D67" w:rsidR="00DE447B">
        <w:rPr>
          <w:rFonts w:ascii="Verdana" w:hAnsi="Verdana"/>
          <w:color w:val="000000"/>
          <w:sz w:val="18"/>
          <w:szCs w:val="18"/>
        </w:rPr>
        <w:t xml:space="preserve">laten onderzoeken </w:t>
      </w:r>
      <w:r w:rsidRPr="006D6D67" w:rsidR="00A43E34">
        <w:rPr>
          <w:rFonts w:ascii="Verdana" w:hAnsi="Verdana"/>
          <w:color w:val="000000"/>
          <w:sz w:val="18"/>
          <w:szCs w:val="18"/>
        </w:rPr>
        <w:t xml:space="preserve">of deze </w:t>
      </w:r>
      <w:r w:rsidRPr="006D6D67" w:rsidR="00DB47F9">
        <w:rPr>
          <w:rFonts w:ascii="Verdana" w:hAnsi="Verdana"/>
          <w:color w:val="000000"/>
          <w:sz w:val="18"/>
          <w:szCs w:val="18"/>
        </w:rPr>
        <w:t>taak</w:t>
      </w:r>
      <w:r w:rsidRPr="006D6D67" w:rsidR="00A43E34">
        <w:rPr>
          <w:rFonts w:ascii="Verdana" w:hAnsi="Verdana"/>
          <w:color w:val="000000"/>
          <w:sz w:val="18"/>
          <w:szCs w:val="18"/>
        </w:rPr>
        <w:t xml:space="preserve"> passend </w:t>
      </w:r>
      <w:r w:rsidRPr="006D6D67" w:rsidR="00DB47F9">
        <w:rPr>
          <w:rFonts w:ascii="Verdana" w:hAnsi="Verdana"/>
          <w:color w:val="000000"/>
          <w:sz w:val="18"/>
          <w:szCs w:val="18"/>
        </w:rPr>
        <w:t>is</w:t>
      </w:r>
      <w:r w:rsidRPr="006D6D67" w:rsidR="00A43E34">
        <w:rPr>
          <w:rFonts w:ascii="Verdana" w:hAnsi="Verdana"/>
          <w:color w:val="000000"/>
          <w:sz w:val="18"/>
          <w:szCs w:val="18"/>
        </w:rPr>
        <w:t xml:space="preserve"> bij het </w:t>
      </w:r>
      <w:r w:rsidRPr="006D6D67" w:rsidR="00A21C84">
        <w:rPr>
          <w:rFonts w:ascii="Verdana" w:hAnsi="Verdana"/>
          <w:color w:val="000000"/>
          <w:sz w:val="18"/>
          <w:szCs w:val="18"/>
        </w:rPr>
        <w:t xml:space="preserve">grondwettelijk </w:t>
      </w:r>
      <w:r w:rsidRPr="006D6D67" w:rsidR="00A43E34">
        <w:rPr>
          <w:rFonts w:ascii="Verdana" w:hAnsi="Verdana"/>
          <w:color w:val="000000"/>
          <w:sz w:val="18"/>
          <w:szCs w:val="18"/>
        </w:rPr>
        <w:t xml:space="preserve">hof. Dit onderzoek zal zich richten op vijf onderwerpen: </w:t>
      </w:r>
    </w:p>
    <w:p w:rsidRPr="006D6D67" w:rsidR="002D2DA8" w:rsidP="00C17363" w:rsidRDefault="002D2DA8" w14:paraId="770F4568" w14:textId="70572C5F">
      <w:pPr>
        <w:pStyle w:val="Lijstalinea"/>
        <w:numPr>
          <w:ilvl w:val="0"/>
          <w:numId w:val="7"/>
        </w:numPr>
        <w:spacing w:line="276" w:lineRule="auto"/>
      </w:pPr>
      <w:r w:rsidRPr="006D6D67">
        <w:t>Inlichtingenplicht van bewindspersonen (artikel 68 Grondwet)</w:t>
      </w:r>
      <w:r w:rsidRPr="006D6D67" w:rsidR="00A43E34">
        <w:t>;</w:t>
      </w:r>
    </w:p>
    <w:p w:rsidRPr="006D6D67" w:rsidR="00C17363" w:rsidP="00C17363" w:rsidRDefault="00C17363" w14:paraId="05A058E4" w14:textId="77777777">
      <w:pPr>
        <w:pStyle w:val="Lijstalinea"/>
        <w:numPr>
          <w:ilvl w:val="0"/>
          <w:numId w:val="7"/>
        </w:numPr>
        <w:spacing w:line="276" w:lineRule="auto"/>
      </w:pPr>
      <w:r w:rsidRPr="006D6D67">
        <w:t>Geschillen die kunnen ontstaan naar aanleiding van verkiezingen;</w:t>
      </w:r>
    </w:p>
    <w:p w:rsidRPr="006D6D67" w:rsidR="00C17363" w:rsidP="00C17363" w:rsidRDefault="00C17363" w14:paraId="737ECD29" w14:textId="77777777">
      <w:pPr>
        <w:pStyle w:val="Lijstalinea"/>
        <w:numPr>
          <w:ilvl w:val="0"/>
          <w:numId w:val="7"/>
        </w:numPr>
        <w:spacing w:line="276" w:lineRule="auto"/>
      </w:pPr>
      <w:r w:rsidRPr="006D6D67">
        <w:t>Zuivere bestuursgeschillen;</w:t>
      </w:r>
    </w:p>
    <w:p w:rsidRPr="006D6D67" w:rsidR="00A43E34" w:rsidP="002D2DA8" w:rsidRDefault="00C17363" w14:paraId="11B425A5" w14:textId="583E478E">
      <w:pPr>
        <w:pStyle w:val="Lijstalinea"/>
        <w:numPr>
          <w:ilvl w:val="0"/>
          <w:numId w:val="7"/>
        </w:numPr>
        <w:spacing w:line="276" w:lineRule="auto"/>
      </w:pPr>
      <w:r w:rsidRPr="006D6D67">
        <w:t>Het opleggen van een partijverbod</w:t>
      </w:r>
      <w:r w:rsidRPr="006D6D67" w:rsidR="00A43E34">
        <w:t>;</w:t>
      </w:r>
    </w:p>
    <w:p w:rsidR="00A43E34" w:rsidP="00A43E34" w:rsidRDefault="002D2DA8" w14:paraId="1634E35C" w14:textId="37BB065B">
      <w:pPr>
        <w:pStyle w:val="Lijstalinea"/>
        <w:numPr>
          <w:ilvl w:val="0"/>
          <w:numId w:val="7"/>
        </w:numPr>
        <w:spacing w:line="276" w:lineRule="auto"/>
      </w:pPr>
      <w:r w:rsidRPr="006D6D67">
        <w:t>Mogelijke andere constitutionele geschillen</w:t>
      </w:r>
      <w:r w:rsidRPr="006D6D67" w:rsidR="00A43E34">
        <w:t>.</w:t>
      </w:r>
    </w:p>
    <w:p w:rsidRPr="006D6D67" w:rsidR="00301737" w:rsidP="00301737" w:rsidRDefault="00301737" w14:paraId="2CA0C94E" w14:textId="77777777">
      <w:pPr>
        <w:pStyle w:val="Lijstalinea"/>
        <w:spacing w:line="276" w:lineRule="auto"/>
      </w:pPr>
    </w:p>
    <w:p w:rsidR="00301737" w:rsidP="009810A8" w:rsidRDefault="00B436A4" w14:paraId="49B2AA56" w14:textId="568B8D43">
      <w:pPr>
        <w:autoSpaceDN/>
        <w:spacing w:line="276" w:lineRule="auto"/>
        <w:textAlignment w:val="auto"/>
      </w:pPr>
      <w:r w:rsidRPr="006D6D67">
        <w:lastRenderedPageBreak/>
        <w:t xml:space="preserve">Het kabinet beziet of bij de grondwettelijke regeling van het hof een grondslag wordt opgenomen om op een later moment bij wet andere taken aan het hof te kunnen opdragen. Een dergelijke grondslag om bij wet andere taken op te dragen bestaat ook voor andere instanties die in de Grondwet zijn geregeld, zoals de Hoge Raad, de Raad van State en de Nationale ombudsman. </w:t>
      </w:r>
    </w:p>
    <w:p w:rsidR="00301737" w:rsidP="009810A8" w:rsidRDefault="00301737" w14:paraId="5E35F1D6" w14:textId="77777777">
      <w:pPr>
        <w:autoSpaceDN/>
        <w:spacing w:line="276" w:lineRule="auto"/>
        <w:textAlignment w:val="auto"/>
      </w:pPr>
    </w:p>
    <w:p w:rsidRPr="006D6D67" w:rsidR="00C22F95" w:rsidP="009810A8" w:rsidRDefault="00E01658" w14:paraId="524DBFF0" w14:textId="663D7171">
      <w:pPr>
        <w:autoSpaceDN/>
        <w:spacing w:line="276" w:lineRule="auto"/>
        <w:textAlignment w:val="auto"/>
        <w:rPr>
          <w:b/>
          <w:bCs/>
        </w:rPr>
      </w:pPr>
      <w:r w:rsidRPr="006D6D67">
        <w:rPr>
          <w:b/>
          <w:bCs/>
        </w:rPr>
        <w:t>5.</w:t>
      </w:r>
      <w:r w:rsidRPr="006D6D67" w:rsidR="001B1C98">
        <w:rPr>
          <w:b/>
          <w:bCs/>
        </w:rPr>
        <w:t xml:space="preserve"> </w:t>
      </w:r>
      <w:r w:rsidRPr="006D6D67" w:rsidR="00C22F95">
        <w:rPr>
          <w:b/>
          <w:bCs/>
        </w:rPr>
        <w:t>Inrichting en onafhankelijkheid</w:t>
      </w:r>
    </w:p>
    <w:p w:rsidRPr="006D6D67" w:rsidR="00D13B5C" w:rsidP="007472AA" w:rsidRDefault="00D13B5C" w14:paraId="764DF0AF" w14:textId="2BF50132">
      <w:pPr>
        <w:autoSpaceDN/>
        <w:spacing w:line="276" w:lineRule="auto"/>
        <w:textAlignment w:val="auto"/>
        <w:rPr>
          <w:rFonts w:eastAsia="Times New Roman" w:cstheme="minorBidi"/>
          <w:i/>
        </w:rPr>
      </w:pPr>
    </w:p>
    <w:p w:rsidRPr="006D6D67" w:rsidR="00E552F6" w:rsidP="007472AA" w:rsidRDefault="00E552F6" w14:paraId="2B9289E6" w14:textId="481C5A90">
      <w:pPr>
        <w:autoSpaceDN/>
        <w:spacing w:line="276" w:lineRule="auto"/>
        <w:textAlignment w:val="auto"/>
        <w:rPr>
          <w:rFonts w:eastAsia="Times New Roman" w:cstheme="minorBidi"/>
          <w:iCs/>
        </w:rPr>
      </w:pPr>
      <w:r w:rsidRPr="006D6D67">
        <w:rPr>
          <w:rFonts w:eastAsia="Times New Roman" w:cstheme="minorBidi"/>
          <w:iCs/>
        </w:rPr>
        <w:t xml:space="preserve">Als gezegd heeft het kabinet een voorkeur voor de instelling van een grondwettelijk hof. </w:t>
      </w:r>
      <w:r w:rsidRPr="006D6D67" w:rsidR="009A137A">
        <w:rPr>
          <w:rFonts w:eastAsia="Times New Roman" w:cstheme="minorBidi"/>
          <w:iCs/>
        </w:rPr>
        <w:t>In deze paragraaf staa</w:t>
      </w:r>
      <w:r w:rsidRPr="006D6D67" w:rsidR="005D0967">
        <w:rPr>
          <w:rFonts w:eastAsia="Times New Roman" w:cstheme="minorBidi"/>
          <w:iCs/>
        </w:rPr>
        <w:t>t</w:t>
      </w:r>
      <w:r w:rsidRPr="006D6D67" w:rsidR="009A137A">
        <w:rPr>
          <w:rFonts w:eastAsia="Times New Roman" w:cstheme="minorBidi"/>
          <w:iCs/>
        </w:rPr>
        <w:t xml:space="preserve"> daarom </w:t>
      </w:r>
      <w:r w:rsidRPr="006D6D67" w:rsidR="00EA0CD5">
        <w:rPr>
          <w:rFonts w:eastAsia="Times New Roman" w:cstheme="minorBidi"/>
          <w:iCs/>
        </w:rPr>
        <w:t>de</w:t>
      </w:r>
      <w:r w:rsidRPr="006D6D67" w:rsidR="009A137A">
        <w:rPr>
          <w:rFonts w:eastAsia="Times New Roman" w:cstheme="minorBidi"/>
          <w:iCs/>
        </w:rPr>
        <w:t xml:space="preserve"> inrichting van een dergelijk hof centraal.</w:t>
      </w:r>
    </w:p>
    <w:p w:rsidRPr="006D6D67" w:rsidR="00CA09CD" w:rsidP="007472AA" w:rsidRDefault="00CA09CD" w14:paraId="2A2AC495" w14:textId="77777777">
      <w:pPr>
        <w:autoSpaceDN/>
        <w:spacing w:line="276" w:lineRule="auto"/>
        <w:textAlignment w:val="auto"/>
        <w:rPr>
          <w:rFonts w:eastAsia="Times New Roman" w:cstheme="minorBidi"/>
          <w:i/>
        </w:rPr>
      </w:pPr>
    </w:p>
    <w:p w:rsidRPr="006D6D67" w:rsidR="003008D9" w:rsidP="007472AA" w:rsidRDefault="00E47474" w14:paraId="45FB74F8" w14:textId="4C526F48">
      <w:pPr>
        <w:autoSpaceDN/>
        <w:spacing w:line="276" w:lineRule="auto"/>
        <w:textAlignment w:val="auto"/>
        <w:rPr>
          <w:rFonts w:eastAsiaTheme="minorEastAsia" w:cstheme="minorBidi"/>
          <w:bCs/>
          <w:i/>
          <w:iCs/>
          <w:color w:val="auto"/>
          <w:kern w:val="2"/>
          <w:lang w:eastAsia="en-US"/>
          <w14:ligatures w14:val="standardContextual"/>
        </w:rPr>
      </w:pPr>
      <w:bookmarkStart w:name="_Hlk179272179" w:id="5"/>
      <w:r w:rsidRPr="006D6D67">
        <w:rPr>
          <w:rFonts w:eastAsiaTheme="minorEastAsia" w:cstheme="minorBidi"/>
          <w:bCs/>
          <w:i/>
          <w:iCs/>
          <w:color w:val="auto"/>
          <w:kern w:val="2"/>
          <w:lang w:eastAsia="en-US"/>
          <w14:ligatures w14:val="standardContextual"/>
        </w:rPr>
        <w:t>5</w:t>
      </w:r>
      <w:r w:rsidRPr="006D6D67" w:rsidR="00E552F6">
        <w:rPr>
          <w:rFonts w:eastAsiaTheme="minorEastAsia" w:cstheme="minorBidi"/>
          <w:bCs/>
          <w:i/>
          <w:iCs/>
          <w:color w:val="auto"/>
          <w:kern w:val="2"/>
          <w:lang w:eastAsia="en-US"/>
          <w14:ligatures w14:val="standardContextual"/>
        </w:rPr>
        <w:t xml:space="preserve">.1 </w:t>
      </w:r>
      <w:r w:rsidRPr="006D6D67" w:rsidR="003008D9">
        <w:rPr>
          <w:rFonts w:eastAsiaTheme="minorEastAsia" w:cstheme="minorBidi"/>
          <w:bCs/>
          <w:i/>
          <w:iCs/>
          <w:color w:val="auto"/>
          <w:kern w:val="2"/>
          <w:lang w:eastAsia="en-US"/>
          <w14:ligatures w14:val="standardContextual"/>
        </w:rPr>
        <w:t xml:space="preserve">Positionering en waarborgen voor onafhankelijkheid </w:t>
      </w:r>
    </w:p>
    <w:p w:rsidRPr="006D6D67" w:rsidR="00C7493E" w:rsidP="007472AA" w:rsidRDefault="00C7493E" w14:paraId="5435EA18" w14:textId="77777777">
      <w:pPr>
        <w:autoSpaceDN/>
        <w:spacing w:line="276" w:lineRule="auto"/>
        <w:textAlignment w:val="auto"/>
        <w:rPr>
          <w:rFonts w:eastAsiaTheme="minorEastAsia" w:cstheme="minorBidi"/>
          <w:kern w:val="2"/>
          <w:lang w:eastAsia="en-US"/>
          <w14:ligatures w14:val="standardContextual"/>
        </w:rPr>
      </w:pPr>
    </w:p>
    <w:p w:rsidRPr="006D6D67" w:rsidR="00C7493E" w:rsidP="007472AA" w:rsidRDefault="00C7493E" w14:paraId="4DE9068F" w14:textId="7A311D49">
      <w:pPr>
        <w:pBdr>
          <w:top w:val="single" w:color="auto" w:sz="4" w:space="1"/>
          <w:left w:val="single" w:color="auto" w:sz="4" w:space="4"/>
          <w:bottom w:val="single" w:color="auto" w:sz="4" w:space="1"/>
          <w:right w:val="single" w:color="auto" w:sz="4" w:space="4"/>
        </w:pBdr>
        <w:autoSpaceDN/>
        <w:spacing w:line="276" w:lineRule="auto"/>
        <w:textAlignment w:val="auto"/>
        <w:rPr>
          <w:rFonts w:eastAsiaTheme="minorEastAsia" w:cstheme="minorBidi"/>
          <w:kern w:val="2"/>
          <w:lang w:eastAsia="en-US"/>
          <w14:ligatures w14:val="standardContextual"/>
        </w:rPr>
      </w:pPr>
      <w:r w:rsidRPr="006D6D67">
        <w:rPr>
          <w:rFonts w:eastAsiaTheme="minorEastAsia" w:cstheme="minorBidi"/>
          <w:kern w:val="2"/>
          <w:lang w:eastAsia="en-US"/>
          <w14:ligatures w14:val="standardContextual"/>
        </w:rPr>
        <w:t xml:space="preserve">Om de onafhankelijkheid van het grondwettelijk hof te waarborgen zal deze behoren tot de </w:t>
      </w:r>
      <w:r w:rsidRPr="006D6D67" w:rsidR="00EC6A23">
        <w:rPr>
          <w:rFonts w:eastAsiaTheme="minorEastAsia" w:cstheme="minorBidi"/>
          <w:kern w:val="2"/>
          <w:lang w:eastAsia="en-US"/>
          <w14:ligatures w14:val="standardContextual"/>
        </w:rPr>
        <w:t>rechterlijke macht</w:t>
      </w:r>
      <w:r w:rsidRPr="006D6D67">
        <w:rPr>
          <w:rFonts w:eastAsiaTheme="minorEastAsia" w:cstheme="minorBidi"/>
          <w:kern w:val="2"/>
          <w:lang w:eastAsia="en-US"/>
          <w14:ligatures w14:val="standardContextual"/>
        </w:rPr>
        <w:t xml:space="preserve">, waardoor de waarborgen die gelden voor de </w:t>
      </w:r>
      <w:r w:rsidRPr="006D6D67" w:rsidR="003B3CEB">
        <w:rPr>
          <w:rFonts w:eastAsiaTheme="minorEastAsia" w:cstheme="minorBidi"/>
          <w:kern w:val="2"/>
          <w:lang w:eastAsia="en-US"/>
          <w14:ligatures w14:val="standardContextual"/>
        </w:rPr>
        <w:t>onafhankelijkheid van de leden van de</w:t>
      </w:r>
      <w:r w:rsidRPr="006D6D67">
        <w:rPr>
          <w:rFonts w:eastAsiaTheme="minorEastAsia" w:cstheme="minorBidi"/>
          <w:kern w:val="2"/>
          <w:lang w:eastAsia="en-US"/>
          <w14:ligatures w14:val="standardContextual"/>
        </w:rPr>
        <w:t xml:space="preserve"> rechterlijke macht ook voor </w:t>
      </w:r>
      <w:r w:rsidRPr="006D6D67" w:rsidR="003B3CEB">
        <w:rPr>
          <w:rFonts w:eastAsiaTheme="minorEastAsia" w:cstheme="minorBidi"/>
          <w:kern w:val="2"/>
          <w:lang w:eastAsia="en-US"/>
          <w14:ligatures w14:val="standardContextual"/>
        </w:rPr>
        <w:t xml:space="preserve">de leden van </w:t>
      </w:r>
      <w:r w:rsidRPr="006D6D67">
        <w:rPr>
          <w:rFonts w:eastAsiaTheme="minorEastAsia" w:cstheme="minorBidi"/>
          <w:kern w:val="2"/>
          <w:lang w:eastAsia="en-US"/>
          <w14:ligatures w14:val="standardContextual"/>
        </w:rPr>
        <w:t xml:space="preserve">het hof zullen komen te gelden. </w:t>
      </w:r>
      <w:r w:rsidRPr="006D6D67" w:rsidR="003B3CEB">
        <w:rPr>
          <w:rFonts w:eastAsiaTheme="minorEastAsia" w:cstheme="minorBidi"/>
          <w:kern w:val="2"/>
          <w:lang w:eastAsia="en-US"/>
          <w14:ligatures w14:val="standardContextual"/>
        </w:rPr>
        <w:t>Wel stelt het kabinet voor om de leden</w:t>
      </w:r>
      <w:r w:rsidRPr="006D6D67">
        <w:rPr>
          <w:rFonts w:eastAsiaTheme="minorEastAsia" w:cstheme="minorBidi"/>
          <w:kern w:val="2"/>
          <w:lang w:eastAsia="en-US"/>
          <w14:ligatures w14:val="standardContextual"/>
        </w:rPr>
        <w:t xml:space="preserve"> bij het hof niet voor het leven</w:t>
      </w:r>
      <w:r w:rsidRPr="006D6D67" w:rsidR="000D48F9">
        <w:rPr>
          <w:rFonts w:eastAsiaTheme="minorEastAsia" w:cstheme="minorBidi"/>
          <w:kern w:val="2"/>
          <w:lang w:eastAsia="en-US"/>
          <w14:ligatures w14:val="standardContextual"/>
        </w:rPr>
        <w:t xml:space="preserve"> </w:t>
      </w:r>
      <w:r w:rsidRPr="006D6D67" w:rsidR="003B3CEB">
        <w:rPr>
          <w:rFonts w:eastAsiaTheme="minorEastAsia" w:cstheme="minorBidi"/>
          <w:kern w:val="2"/>
          <w:lang w:eastAsia="en-US"/>
          <w14:ligatures w14:val="standardContextual"/>
        </w:rPr>
        <w:t>te benoemen</w:t>
      </w:r>
      <w:r w:rsidRPr="006D6D67">
        <w:rPr>
          <w:rFonts w:eastAsiaTheme="minorEastAsia" w:cstheme="minorBidi"/>
          <w:kern w:val="2"/>
          <w:lang w:eastAsia="en-US"/>
          <w14:ligatures w14:val="standardContextual"/>
        </w:rPr>
        <w:t>, maar voor maximaal negen jaren, zonder mogelijkheid tot herbenoeming.</w:t>
      </w:r>
      <w:r w:rsidRPr="006D6D67" w:rsidR="003B3CEB">
        <w:rPr>
          <w:rFonts w:eastAsiaTheme="minorEastAsia" w:cstheme="minorBidi"/>
          <w:kern w:val="2"/>
          <w:lang w:eastAsia="en-US"/>
          <w14:ligatures w14:val="standardContextual"/>
        </w:rPr>
        <w:t xml:space="preserve"> </w:t>
      </w:r>
      <w:bookmarkStart w:name="_Hlk182940958" w:id="6"/>
    </w:p>
    <w:bookmarkEnd w:id="6"/>
    <w:p w:rsidRPr="006D6D67" w:rsidR="00C7493E" w:rsidP="007472AA" w:rsidRDefault="00C7493E" w14:paraId="63CADBDC" w14:textId="77777777">
      <w:pPr>
        <w:autoSpaceDN/>
        <w:spacing w:line="276" w:lineRule="auto"/>
        <w:textAlignment w:val="auto"/>
        <w:rPr>
          <w:rFonts w:eastAsiaTheme="minorEastAsia" w:cstheme="minorBidi"/>
          <w:kern w:val="2"/>
          <w:lang w:eastAsia="en-US"/>
          <w14:ligatures w14:val="standardContextual"/>
        </w:rPr>
      </w:pPr>
    </w:p>
    <w:p w:rsidRPr="006D6D67" w:rsidR="003008D9" w:rsidP="007472AA" w:rsidRDefault="003008D9" w14:paraId="09C365D0" w14:textId="62B9F420">
      <w:pPr>
        <w:autoSpaceDN/>
        <w:spacing w:line="276" w:lineRule="auto"/>
        <w:textAlignment w:val="auto"/>
        <w:rPr>
          <w:rFonts w:eastAsiaTheme="minorEastAsia" w:cstheme="minorBidi"/>
          <w:kern w:val="2"/>
          <w:lang w:eastAsia="en-US"/>
          <w14:ligatures w14:val="standardContextual"/>
        </w:rPr>
      </w:pPr>
      <w:r w:rsidRPr="006D6D67">
        <w:rPr>
          <w:rFonts w:eastAsiaTheme="minorEastAsia" w:cstheme="minorBidi"/>
          <w:kern w:val="2"/>
          <w:lang w:eastAsia="en-US"/>
          <w14:ligatures w14:val="standardContextual"/>
        </w:rPr>
        <w:t xml:space="preserve">Het grondwettelijk hof is een rechtsprekende instantie. Voor de leden van het hof geldt dat zij volledig onafhankelijk en onpartijdig recht moeten kunnen spreken. </w:t>
      </w:r>
      <w:r w:rsidRPr="006D6D67">
        <w:t xml:space="preserve">In navolging van de </w:t>
      </w:r>
      <w:r w:rsidRPr="006D6D67" w:rsidR="00EC6A23">
        <w:t>S</w:t>
      </w:r>
      <w:r w:rsidRPr="006D6D67">
        <w:t>taatscommissie parlementair stelsel meent h</w:t>
      </w:r>
      <w:r w:rsidRPr="006D6D67">
        <w:rPr>
          <w:rFonts w:eastAsiaTheme="minorEastAsia" w:cstheme="minorBidi"/>
          <w:kern w:val="2"/>
          <w:lang w:eastAsia="en-US"/>
          <w14:ligatures w14:val="standardContextual"/>
        </w:rPr>
        <w:t>et kabinet dat het verstandig zou zijn het grondwettelijk hof tot de rechterlijke macht te laten behoren.</w:t>
      </w:r>
      <w:r w:rsidRPr="006D6D67" w:rsidR="00EB6A7A">
        <w:rPr>
          <w:rStyle w:val="Voetnootmarkering"/>
          <w:rFonts w:eastAsiaTheme="minorEastAsia" w:cstheme="minorBidi"/>
          <w:kern w:val="2"/>
          <w:lang w:eastAsia="en-US"/>
          <w14:ligatures w14:val="standardContextual"/>
        </w:rPr>
        <w:footnoteReference w:id="40"/>
      </w:r>
      <w:r w:rsidRPr="006D6D67">
        <w:rPr>
          <w:rFonts w:eastAsiaTheme="minorEastAsia" w:cstheme="minorBidi"/>
          <w:kern w:val="2"/>
          <w:lang w:eastAsia="en-US"/>
          <w14:ligatures w14:val="standardContextual"/>
        </w:rPr>
        <w:t xml:space="preserve"> Niet alleen omdat de Grondwet de rechterlijke macht exclusief bevoegd maakt voor beslechting dan wel berechting van civielrechtelijke en strafrechtelijke zaken, maar ook omdat hiermee aan een aantal belangrijke voorwaarden en waarborgen voor de onafhankelijkheid van de leden van het hof ‘als vanzelf’ is voldaan. De Grondwet bevat immers al een aantal belangrijke waarborgen voor de onafhankelijkheid van leden van de rechtelijke macht met rechtspraak belast. Wat het kabinet betreft komen al deze waarborgen </w:t>
      </w:r>
      <w:r w:rsidRPr="006D6D67" w:rsidR="00C7493E">
        <w:rPr>
          <w:rFonts w:eastAsiaTheme="minorEastAsia" w:cstheme="minorBidi"/>
          <w:kern w:val="2"/>
          <w:lang w:eastAsia="en-US"/>
          <w14:ligatures w14:val="standardContextual"/>
        </w:rPr>
        <w:t>–</w:t>
      </w:r>
      <w:r w:rsidRPr="006D6D67">
        <w:rPr>
          <w:rFonts w:eastAsiaTheme="minorEastAsia" w:cstheme="minorBidi"/>
          <w:kern w:val="2"/>
          <w:lang w:eastAsia="en-US"/>
          <w14:ligatures w14:val="standardContextual"/>
        </w:rPr>
        <w:t xml:space="preserve"> m</w:t>
      </w:r>
      <w:r w:rsidRPr="006D6D67" w:rsidR="00C7493E">
        <w:rPr>
          <w:rFonts w:eastAsiaTheme="minorEastAsia" w:cstheme="minorBidi"/>
          <w:kern w:val="2"/>
          <w:lang w:eastAsia="en-US"/>
          <w14:ligatures w14:val="standardContextual"/>
        </w:rPr>
        <w:t>et uitzondering van</w:t>
      </w:r>
      <w:r w:rsidRPr="006D6D67">
        <w:rPr>
          <w:rFonts w:eastAsiaTheme="minorEastAsia" w:cstheme="minorBidi"/>
          <w:kern w:val="2"/>
          <w:lang w:eastAsia="en-US"/>
          <w14:ligatures w14:val="standardContextual"/>
        </w:rPr>
        <w:t xml:space="preserve"> de benoeming voor het leven </w:t>
      </w:r>
      <w:r w:rsidRPr="006D6D67" w:rsidR="00265ABF">
        <w:rPr>
          <w:rFonts w:eastAsiaTheme="minorEastAsia" w:cstheme="minorBidi"/>
          <w:kern w:val="2"/>
          <w:lang w:eastAsia="en-US"/>
          <w14:ligatures w14:val="standardContextual"/>
        </w:rPr>
        <w:t>–</w:t>
      </w:r>
      <w:r w:rsidRPr="006D6D67">
        <w:rPr>
          <w:rFonts w:eastAsiaTheme="minorEastAsia" w:cstheme="minorBidi"/>
          <w:kern w:val="2"/>
          <w:lang w:eastAsia="en-US"/>
          <w14:ligatures w14:val="standardContextual"/>
        </w:rPr>
        <w:t xml:space="preserve"> </w:t>
      </w:r>
      <w:r w:rsidRPr="006D6D67" w:rsidR="00265ABF">
        <w:rPr>
          <w:rFonts w:eastAsiaTheme="minorEastAsia" w:cstheme="minorBidi"/>
          <w:kern w:val="2"/>
          <w:lang w:eastAsia="en-US"/>
          <w14:ligatures w14:val="standardContextual"/>
        </w:rPr>
        <w:t>ten minste</w:t>
      </w:r>
      <w:r w:rsidRPr="006D6D67">
        <w:rPr>
          <w:rFonts w:eastAsiaTheme="minorEastAsia" w:cstheme="minorBidi"/>
          <w:kern w:val="2"/>
          <w:lang w:eastAsia="en-US"/>
          <w14:ligatures w14:val="standardContextual"/>
        </w:rPr>
        <w:t xml:space="preserve"> ook te gelden voor de leden van het hof. Het gaat hierbij om de waarborg dat leden van de rechterlijke macht alleen in de gevallen bij wet bepaald door een, eveneens bij de wet aangewezen, tot de rechterlijke macht behorend gerecht kunnen worden geschorst of ontslagen (artikel 117, derde lid, Grondwet). </w:t>
      </w:r>
      <w:r w:rsidRPr="006D6D67" w:rsidR="00265ABF">
        <w:rPr>
          <w:rFonts w:eastAsiaTheme="minorEastAsia" w:cstheme="minorBidi"/>
          <w:kern w:val="2"/>
          <w:lang w:eastAsia="en-US"/>
          <w14:ligatures w14:val="standardContextual"/>
        </w:rPr>
        <w:t>Te</w:t>
      </w:r>
      <w:r w:rsidRPr="006D6D67" w:rsidR="00A16FFD">
        <w:rPr>
          <w:rFonts w:eastAsiaTheme="minorEastAsia" w:cstheme="minorBidi"/>
          <w:kern w:val="2"/>
          <w:lang w:eastAsia="en-US"/>
          <w14:ligatures w14:val="standardContextual"/>
        </w:rPr>
        <w:t>r</w:t>
      </w:r>
      <w:r w:rsidRPr="006D6D67" w:rsidR="00265ABF">
        <w:rPr>
          <w:rFonts w:eastAsiaTheme="minorEastAsia" w:cstheme="minorBidi"/>
          <w:kern w:val="2"/>
          <w:lang w:eastAsia="en-US"/>
          <w14:ligatures w14:val="standardContextual"/>
        </w:rPr>
        <w:t xml:space="preserve"> verdere versterking van de onafhankelijkheid van de leden van het hof zou ook overwogen kunnen worden in de Grondwet te regelen dat voor de uitwerking van dit onderdeel een wet met een meerderheid van ten minste twee derde van de stemmen vereist is.</w:t>
      </w:r>
      <w:r w:rsidRPr="006D6D67">
        <w:rPr>
          <w:rFonts w:eastAsiaTheme="minorEastAsia" w:cstheme="minorBidi"/>
          <w:kern w:val="2"/>
          <w:lang w:eastAsia="en-US"/>
          <w14:ligatures w14:val="standardContextual"/>
        </w:rPr>
        <w:t xml:space="preserve"> Een ander voorbeeld van een waarborg die ook voor de leden van het hof komt te gelden is de regel dat het toezicht op de ambtsvervulling van de leden van de rechterlijke macht alleen door leden van de rechterlijke macht met rechtspraak belast mag worden uitgeoefend (artikel 116, vierde lid, Grondwet). Net als bij de andere leden van de rechterlijke macht vergen deze, en andere in de Grondwet verankerde </w:t>
      </w:r>
      <w:r w:rsidRPr="006D6D67">
        <w:rPr>
          <w:rFonts w:eastAsiaTheme="minorEastAsia" w:cstheme="minorBidi"/>
          <w:kern w:val="2"/>
          <w:lang w:eastAsia="en-US"/>
          <w14:ligatures w14:val="standardContextual"/>
        </w:rPr>
        <w:lastRenderedPageBreak/>
        <w:t>regels, nadere uitwerking bij of krachtens de wet. Hiervoor zal een afzonderlijk wetstraject worden gestart.</w:t>
      </w:r>
      <w:r w:rsidRPr="006D6D67" w:rsidR="004635CC">
        <w:rPr>
          <w:rFonts w:eastAsiaTheme="minorEastAsia" w:cstheme="minorBidi"/>
          <w:kern w:val="2"/>
          <w:lang w:eastAsia="en-US"/>
          <w14:ligatures w14:val="standardContextual"/>
        </w:rPr>
        <w:t xml:space="preserve"> </w:t>
      </w:r>
    </w:p>
    <w:p w:rsidRPr="006D6D67" w:rsidR="003008D9" w:rsidP="007472AA" w:rsidRDefault="003008D9" w14:paraId="28259715" w14:textId="77777777">
      <w:pPr>
        <w:autoSpaceDN/>
        <w:spacing w:line="276" w:lineRule="auto"/>
        <w:textAlignment w:val="auto"/>
        <w:rPr>
          <w:rFonts w:eastAsiaTheme="minorEastAsia" w:cstheme="minorBidi"/>
          <w:kern w:val="2"/>
          <w:lang w:eastAsia="en-US"/>
          <w14:ligatures w14:val="standardContextual"/>
        </w:rPr>
      </w:pPr>
    </w:p>
    <w:p w:rsidRPr="006D6D67" w:rsidR="003008D9" w:rsidP="007472AA" w:rsidRDefault="003008D9" w14:paraId="3DFAE873" w14:textId="1EDD06F0">
      <w:pPr>
        <w:autoSpaceDN/>
        <w:spacing w:line="276" w:lineRule="auto"/>
        <w:textAlignment w:val="auto"/>
        <w:rPr>
          <w:rFonts w:eastAsiaTheme="minorEastAsia" w:cstheme="minorBidi"/>
          <w:lang w:eastAsia="en-US"/>
        </w:rPr>
      </w:pPr>
      <w:r w:rsidRPr="006D6D67">
        <w:rPr>
          <w:rFonts w:eastAsiaTheme="minorEastAsia" w:cstheme="minorBidi"/>
          <w:color w:val="auto"/>
          <w:kern w:val="2"/>
          <w:lang w:eastAsia="en-US"/>
          <w14:ligatures w14:val="standardContextual"/>
        </w:rPr>
        <w:t xml:space="preserve">Voor de leden van een grondwettelijk hof zijn er, wat het kabinet betreft, goede redenen te kiezen voor een tijdelijke – niet te verlengen – benoemingstermijn. </w:t>
      </w:r>
      <w:r w:rsidRPr="006D6D67">
        <w:rPr>
          <w:rFonts w:eastAsiaTheme="minorEastAsia" w:cstheme="minorBidi"/>
          <w:kern w:val="2"/>
          <w:lang w:eastAsia="en-US"/>
          <w14:ligatures w14:val="standardContextual"/>
        </w:rPr>
        <w:t xml:space="preserve">Het kabinet realiseert zich dat dit een belangrijke uitzondering is op een waarborg die voor de andere leden van de rechterlijke macht nu juist als één van de speerpunten van rechterlijke onafhankelijkheid wordt gezien: de benoeming voor het leven. </w:t>
      </w:r>
      <w:r w:rsidRPr="006D6D67">
        <w:rPr>
          <w:rFonts w:eastAsiaTheme="minorEastAsia" w:cstheme="minorBidi"/>
          <w:color w:val="auto"/>
          <w:kern w:val="2"/>
          <w:lang w:eastAsia="en-US"/>
          <w14:ligatures w14:val="standardContextual"/>
        </w:rPr>
        <w:t>Vanwege de bijzondere aard van de bevoegdheden van een grondwettelijk hof, namelijk het beslissen over de grondwettigheid van democratisch gelegitimeerde wetgeving, en vanwege de overtuiging van het kabinet dat het aantal leden van het hof beperkt dient te blijven</w:t>
      </w:r>
      <w:r w:rsidRPr="006D6D67" w:rsidR="004635CC">
        <w:rPr>
          <w:rFonts w:eastAsiaTheme="minorEastAsia" w:cstheme="minorBidi"/>
          <w:color w:val="auto"/>
          <w:kern w:val="2"/>
          <w:lang w:eastAsia="en-US"/>
          <w14:ligatures w14:val="standardContextual"/>
        </w:rPr>
        <w:t>,</w:t>
      </w:r>
      <w:r w:rsidRPr="006D6D67">
        <w:rPr>
          <w:rFonts w:eastAsiaTheme="minorEastAsia" w:cstheme="minorBidi"/>
          <w:color w:val="auto"/>
          <w:kern w:val="2"/>
          <w:lang w:eastAsia="en-US"/>
          <w14:ligatures w14:val="standardContextual"/>
        </w:rPr>
        <w:t xml:space="preserve"> acht het kabinet het wenselijk dat er voldoende voorzien is in wisseling van de samenstelling van de leden van het hof. </w:t>
      </w:r>
      <w:r w:rsidRPr="006D6D67" w:rsidR="00344539">
        <w:rPr>
          <w:rFonts w:eastAsiaTheme="minorEastAsia" w:cstheme="minorBidi"/>
          <w:color w:val="auto"/>
          <w:kern w:val="2"/>
          <w:lang w:eastAsia="en-US"/>
          <w14:ligatures w14:val="standardContextual"/>
        </w:rPr>
        <w:t>Tevens worden de leden niet allemaal tegelijk benoemd, waardoor er</w:t>
      </w:r>
      <w:r w:rsidRPr="006D6D67" w:rsidR="00286277">
        <w:rPr>
          <w:rFonts w:eastAsiaTheme="minorEastAsia" w:cstheme="minorBidi"/>
          <w:color w:val="auto"/>
          <w:kern w:val="2"/>
          <w:lang w:eastAsia="en-US"/>
          <w14:ligatures w14:val="standardContextual"/>
        </w:rPr>
        <w:t xml:space="preserve"> regelmatig nieuwe benoemingen zijn en </w:t>
      </w:r>
      <w:r w:rsidRPr="006D6D67" w:rsidR="0054175B">
        <w:rPr>
          <w:rFonts w:eastAsiaTheme="minorEastAsia" w:cstheme="minorBidi"/>
          <w:color w:val="auto"/>
          <w:kern w:val="2"/>
          <w:lang w:eastAsia="en-US"/>
          <w14:ligatures w14:val="standardContextual"/>
        </w:rPr>
        <w:t xml:space="preserve">niet alle </w:t>
      </w:r>
      <w:r w:rsidRPr="006D6D67" w:rsidR="00286277">
        <w:rPr>
          <w:rFonts w:eastAsiaTheme="minorEastAsia" w:cstheme="minorBidi"/>
          <w:color w:val="auto"/>
          <w:kern w:val="2"/>
          <w:lang w:eastAsia="en-US"/>
          <w14:ligatures w14:val="standardContextual"/>
        </w:rPr>
        <w:t xml:space="preserve">leden </w:t>
      </w:r>
      <w:r w:rsidRPr="006D6D67" w:rsidR="0054175B">
        <w:rPr>
          <w:rFonts w:eastAsiaTheme="minorEastAsia" w:cstheme="minorBidi"/>
          <w:color w:val="auto"/>
          <w:kern w:val="2"/>
          <w:lang w:eastAsia="en-US"/>
          <w14:ligatures w14:val="standardContextual"/>
        </w:rPr>
        <w:t xml:space="preserve">tegelijk </w:t>
      </w:r>
      <w:r w:rsidRPr="006D6D67" w:rsidR="00286277">
        <w:rPr>
          <w:rFonts w:eastAsiaTheme="minorEastAsia" w:cstheme="minorBidi"/>
          <w:color w:val="auto"/>
          <w:kern w:val="2"/>
          <w:lang w:eastAsia="en-US"/>
          <w14:ligatures w14:val="standardContextual"/>
        </w:rPr>
        <w:t xml:space="preserve">aftreden. </w:t>
      </w:r>
      <w:r w:rsidRPr="006D6D67">
        <w:rPr>
          <w:rFonts w:eastAsiaTheme="minorEastAsia" w:cstheme="minorBidi"/>
          <w:color w:val="auto"/>
          <w:kern w:val="2"/>
          <w:lang w:eastAsia="en-US"/>
          <w14:ligatures w14:val="standardContextual"/>
        </w:rPr>
        <w:t xml:space="preserve">Een zittingsduur van </w:t>
      </w:r>
      <w:r w:rsidRPr="006D6D67" w:rsidR="004B3E6B">
        <w:rPr>
          <w:rFonts w:eastAsiaTheme="minorEastAsia" w:cstheme="minorBidi"/>
          <w:color w:val="auto"/>
          <w:kern w:val="2"/>
          <w:lang w:eastAsia="en-US"/>
          <w14:ligatures w14:val="standardContextual"/>
        </w:rPr>
        <w:t>negen</w:t>
      </w:r>
      <w:r w:rsidRPr="006D6D67">
        <w:rPr>
          <w:rFonts w:eastAsiaTheme="minorEastAsia" w:cstheme="minorBidi"/>
          <w:color w:val="auto"/>
          <w:kern w:val="2"/>
          <w:lang w:eastAsia="en-US"/>
          <w14:ligatures w14:val="standardContextual"/>
        </w:rPr>
        <w:t xml:space="preserve"> jaren verzekert </w:t>
      </w:r>
      <w:r w:rsidRPr="006D6D67">
        <w:rPr>
          <w:rFonts w:eastAsiaTheme="minorEastAsia" w:cstheme="minorBidi"/>
          <w:kern w:val="2"/>
          <w:lang w:eastAsia="en-US"/>
          <w14:ligatures w14:val="standardContextual"/>
        </w:rPr>
        <w:t>enerzijds de benodigde continuïteit en aanwezigheid en opbouw van expertise en voorkomt anderzijds dat één of enkele leden langdurig een te grot</w:t>
      </w:r>
      <w:r w:rsidRPr="006D6D67" w:rsidR="00FA23F9">
        <w:rPr>
          <w:rFonts w:eastAsiaTheme="minorEastAsia" w:cstheme="minorBidi"/>
          <w:kern w:val="2"/>
          <w:lang w:eastAsia="en-US"/>
          <w14:ligatures w14:val="standardContextual"/>
        </w:rPr>
        <w:t>e</w:t>
      </w:r>
      <w:r w:rsidRPr="006D6D67">
        <w:rPr>
          <w:rFonts w:eastAsiaTheme="minorEastAsia" w:cstheme="minorBidi"/>
          <w:kern w:val="2"/>
          <w:lang w:eastAsia="en-US"/>
          <w14:ligatures w14:val="standardContextual"/>
        </w:rPr>
        <w:t xml:space="preserve"> stempel kunnen drukken op de rechterlijke besluitvorming. Het kabinet heeft geen voorkeur voor een herbenoemingsmogelijkheid om oneigenlijke druk of beïnvloeding als een herbenoeming aan de orde is uit te sluiten. Hiermee wordt de onafhankelijkheid en onpartijdigheid van de leden van het hof gedurende de benoemingstermijn gewaarborgd. </w:t>
      </w:r>
    </w:p>
    <w:p w:rsidRPr="006D6D67" w:rsidR="003008D9" w:rsidP="007472AA" w:rsidRDefault="003008D9" w14:paraId="5DB44EDB" w14:textId="77777777">
      <w:pPr>
        <w:autoSpaceDN/>
        <w:spacing w:line="276" w:lineRule="auto"/>
        <w:textAlignment w:val="auto"/>
        <w:rPr>
          <w:rFonts w:eastAsiaTheme="minorEastAsia" w:cstheme="minorBidi"/>
          <w:kern w:val="2"/>
          <w:lang w:eastAsia="en-US"/>
          <w14:ligatures w14:val="standardContextual"/>
        </w:rPr>
      </w:pPr>
    </w:p>
    <w:p w:rsidRPr="006D6D67" w:rsidR="003008D9" w:rsidP="007472AA" w:rsidRDefault="00E47474" w14:paraId="6942018C" w14:textId="22742898">
      <w:pPr>
        <w:autoSpaceDN/>
        <w:spacing w:line="276" w:lineRule="auto"/>
        <w:textAlignment w:val="auto"/>
        <w:rPr>
          <w:rFonts w:eastAsiaTheme="minorEastAsia" w:cstheme="minorBidi"/>
          <w:i/>
          <w:iCs/>
          <w:color w:val="auto"/>
          <w:kern w:val="2"/>
          <w:lang w:eastAsia="en-US"/>
          <w14:ligatures w14:val="standardContextual"/>
        </w:rPr>
      </w:pPr>
      <w:r w:rsidRPr="006D6D67">
        <w:rPr>
          <w:rFonts w:eastAsiaTheme="minorEastAsia" w:cstheme="minorBidi"/>
          <w:i/>
          <w:iCs/>
          <w:color w:val="auto"/>
          <w:kern w:val="2"/>
          <w:lang w:eastAsia="en-US"/>
          <w14:ligatures w14:val="standardContextual"/>
        </w:rPr>
        <w:t>5</w:t>
      </w:r>
      <w:r w:rsidRPr="006D6D67" w:rsidR="004E7B2E">
        <w:rPr>
          <w:rFonts w:eastAsiaTheme="minorEastAsia" w:cstheme="minorBidi"/>
          <w:i/>
          <w:iCs/>
          <w:color w:val="auto"/>
          <w:kern w:val="2"/>
          <w:lang w:eastAsia="en-US"/>
          <w14:ligatures w14:val="standardContextual"/>
        </w:rPr>
        <w:t xml:space="preserve">.2 </w:t>
      </w:r>
      <w:r w:rsidRPr="006D6D67" w:rsidR="003008D9">
        <w:rPr>
          <w:rFonts w:eastAsiaTheme="minorEastAsia" w:cstheme="minorBidi"/>
          <w:i/>
          <w:iCs/>
          <w:color w:val="auto"/>
          <w:kern w:val="2"/>
          <w:lang w:eastAsia="en-US"/>
          <w14:ligatures w14:val="standardContextual"/>
        </w:rPr>
        <w:t>Benoemingsprocedure leden hof</w:t>
      </w:r>
    </w:p>
    <w:p w:rsidRPr="006D6D67" w:rsidR="003008D9" w:rsidP="007472AA" w:rsidRDefault="003008D9" w14:paraId="24423778" w14:textId="77777777">
      <w:pPr>
        <w:autoSpaceDN/>
        <w:spacing w:line="276" w:lineRule="auto"/>
        <w:textAlignment w:val="auto"/>
        <w:rPr>
          <w:rFonts w:eastAsia="Times New Roman" w:cstheme="minorBidi"/>
          <w:u w:val="single"/>
        </w:rPr>
      </w:pPr>
    </w:p>
    <w:p w:rsidRPr="006D6D67" w:rsidR="00CE3400" w:rsidP="009853D6" w:rsidRDefault="00CE3400" w14:paraId="07DFD2C9" w14:textId="5D1C1A2C">
      <w:pPr>
        <w:pBdr>
          <w:top w:val="single" w:color="auto" w:sz="4" w:space="1"/>
          <w:left w:val="single" w:color="auto" w:sz="4" w:space="4"/>
          <w:bottom w:val="single" w:color="auto" w:sz="4" w:space="1"/>
          <w:right w:val="single" w:color="auto" w:sz="4" w:space="4"/>
        </w:pBdr>
        <w:autoSpaceDN/>
        <w:spacing w:line="276" w:lineRule="auto"/>
        <w:textAlignment w:val="auto"/>
        <w:rPr>
          <w:rFonts w:eastAsia="Times New Roman" w:cstheme="minorBidi"/>
        </w:rPr>
      </w:pPr>
      <w:bookmarkStart w:name="_Hlk182941133" w:id="7"/>
      <w:r w:rsidRPr="006D6D67">
        <w:rPr>
          <w:rFonts w:eastAsia="Times New Roman" w:cstheme="minorBidi"/>
        </w:rPr>
        <w:t xml:space="preserve">Het kabinet onderschrijft het belang van een goed doordachte </w:t>
      </w:r>
      <w:r w:rsidRPr="006D6D67" w:rsidR="00BC056F">
        <w:rPr>
          <w:rFonts w:eastAsia="Times New Roman" w:cstheme="minorBidi"/>
        </w:rPr>
        <w:t>en gebalanceerde</w:t>
      </w:r>
      <w:r w:rsidRPr="006D6D67">
        <w:rPr>
          <w:rFonts w:eastAsia="Times New Roman" w:cstheme="minorBidi"/>
        </w:rPr>
        <w:t xml:space="preserve"> benoemingsprocedure voor de leden van het hof</w:t>
      </w:r>
      <w:r w:rsidRPr="006D6D67" w:rsidR="00BC056F">
        <w:rPr>
          <w:rFonts w:eastAsia="Times New Roman" w:cstheme="minorBidi"/>
        </w:rPr>
        <w:t>.</w:t>
      </w:r>
      <w:r w:rsidRPr="006D6D67" w:rsidR="001B1C98">
        <w:rPr>
          <w:rFonts w:eastAsia="Times New Roman" w:cstheme="minorBidi"/>
        </w:rPr>
        <w:t xml:space="preserve"> </w:t>
      </w:r>
      <w:r w:rsidRPr="006D6D67" w:rsidR="007957A2">
        <w:rPr>
          <w:rFonts w:eastAsia="Times New Roman" w:cstheme="minorBidi"/>
        </w:rPr>
        <w:t xml:space="preserve">De vormgeving hiervan vergt nadere uitwerking. </w:t>
      </w:r>
      <w:bookmarkEnd w:id="7"/>
    </w:p>
    <w:p w:rsidRPr="006D6D67" w:rsidR="003008D9" w:rsidP="007472AA" w:rsidRDefault="003008D9" w14:paraId="6B3992FF" w14:textId="77777777">
      <w:pPr>
        <w:autoSpaceDN/>
        <w:spacing w:line="276" w:lineRule="auto"/>
        <w:textAlignment w:val="auto"/>
        <w:rPr>
          <w:rFonts w:eastAsia="Times New Roman" w:cstheme="minorBidi"/>
        </w:rPr>
      </w:pPr>
    </w:p>
    <w:p w:rsidRPr="006D6D67" w:rsidR="008B1E4F" w:rsidP="007472AA" w:rsidRDefault="003008D9" w14:paraId="630545A4" w14:textId="5E6A59A2">
      <w:pPr>
        <w:autoSpaceDN/>
        <w:spacing w:line="276" w:lineRule="auto"/>
        <w:textAlignment w:val="auto"/>
        <w:rPr>
          <w:rFonts w:eastAsia="Times New Roman" w:cstheme="minorBidi"/>
        </w:rPr>
      </w:pPr>
      <w:r w:rsidRPr="006D6D67">
        <w:rPr>
          <w:rFonts w:eastAsia="Times New Roman" w:cstheme="minorBidi"/>
        </w:rPr>
        <w:t xml:space="preserve">Het oprichten en inrichten van een grondwettelijk hof heeft gevolgen voor de onderlinge verhoudingen binnen de trias politica, in het bijzonder tussen de wetgevende en de rechterlijke macht. De bijzondere positie van dit rechtsprekende orgaan dient tot uiting te komen in de inrichting en samenstelling van dit hof en de benoemingsprocedure van haar leden. Er zal </w:t>
      </w:r>
      <w:r w:rsidRPr="006D6D67" w:rsidR="006D5DB6">
        <w:rPr>
          <w:rFonts w:eastAsia="Times New Roman" w:cstheme="minorBidi"/>
        </w:rPr>
        <w:t>naar het oordeel van het kabinet</w:t>
      </w:r>
      <w:r w:rsidRPr="006D6D67">
        <w:rPr>
          <w:rFonts w:eastAsia="Times New Roman" w:cstheme="minorBidi"/>
        </w:rPr>
        <w:t xml:space="preserve"> een balans moeten zijn tussen voldoende waarborgen voor het voorkomen van politieke druk op of politisering van de rechtspraak én tegelijkertijd enige mate van betrokkenheid van de andere staatsmachten met het oog op de democratische legitimatie en het evenwicht tussen de staatsmachten. Aan beide invalshoeken moet recht gedaan worden in de benoemingsprocedure. Er zijn verschillende manieren waarop dit kan worden ingevuld. Bestaande benoemingsprocedures </w:t>
      </w:r>
      <w:r w:rsidRPr="006D6D67" w:rsidR="00BC056F">
        <w:rPr>
          <w:rFonts w:eastAsia="Times New Roman" w:cstheme="minorBidi"/>
        </w:rPr>
        <w:t xml:space="preserve">kunnen </w:t>
      </w:r>
      <w:r w:rsidRPr="006D6D67">
        <w:rPr>
          <w:rFonts w:eastAsia="Times New Roman" w:cstheme="minorBidi"/>
        </w:rPr>
        <w:t>daartoe als inspiratie dienen.</w:t>
      </w:r>
      <w:r w:rsidRPr="006D6D67" w:rsidR="00CA09CD">
        <w:rPr>
          <w:rStyle w:val="Voetnootmarkering"/>
          <w:rFonts w:eastAsia="Times New Roman" w:cstheme="minorBidi"/>
        </w:rPr>
        <w:footnoteReference w:id="41"/>
      </w:r>
      <w:r w:rsidRPr="006D6D67">
        <w:rPr>
          <w:rFonts w:eastAsia="Times New Roman" w:cstheme="minorBidi"/>
        </w:rPr>
        <w:t xml:space="preserve"> </w:t>
      </w:r>
    </w:p>
    <w:p w:rsidRPr="006D6D67" w:rsidR="003008D9" w:rsidP="007472AA" w:rsidRDefault="00E47474" w14:paraId="3A66846C" w14:textId="66D2FF6E">
      <w:pPr>
        <w:autoSpaceDN/>
        <w:spacing w:line="276" w:lineRule="auto"/>
        <w:textAlignment w:val="auto"/>
        <w:rPr>
          <w:rFonts w:eastAsiaTheme="minorEastAsia" w:cstheme="minorBidi"/>
          <w:bCs/>
          <w:i/>
          <w:iCs/>
          <w:kern w:val="2"/>
          <w:lang w:eastAsia="en-US"/>
          <w14:ligatures w14:val="standardContextual"/>
        </w:rPr>
      </w:pPr>
      <w:r w:rsidRPr="006D6D67">
        <w:rPr>
          <w:rFonts w:eastAsiaTheme="minorEastAsia" w:cstheme="minorBidi"/>
          <w:bCs/>
          <w:i/>
          <w:iCs/>
          <w:kern w:val="2"/>
          <w:lang w:eastAsia="en-US"/>
          <w14:ligatures w14:val="standardContextual"/>
        </w:rPr>
        <w:lastRenderedPageBreak/>
        <w:t>5</w:t>
      </w:r>
      <w:r w:rsidRPr="006D6D67" w:rsidR="004E7B2E">
        <w:rPr>
          <w:rFonts w:eastAsiaTheme="minorEastAsia" w:cstheme="minorBidi"/>
          <w:bCs/>
          <w:i/>
          <w:iCs/>
          <w:kern w:val="2"/>
          <w:lang w:eastAsia="en-US"/>
          <w14:ligatures w14:val="standardContextual"/>
        </w:rPr>
        <w:t xml:space="preserve">.3 </w:t>
      </w:r>
      <w:r w:rsidRPr="006D6D67" w:rsidR="003008D9">
        <w:rPr>
          <w:rFonts w:eastAsiaTheme="minorEastAsia" w:cstheme="minorBidi"/>
          <w:bCs/>
          <w:i/>
          <w:iCs/>
          <w:kern w:val="2"/>
          <w:lang w:eastAsia="en-US"/>
          <w14:ligatures w14:val="standardContextual"/>
        </w:rPr>
        <w:t>Samenstelling grondwettelijk hof</w:t>
      </w:r>
    </w:p>
    <w:p w:rsidRPr="006D6D67" w:rsidR="003008D9" w:rsidP="007472AA" w:rsidRDefault="003008D9" w14:paraId="09F2FF15" w14:textId="77777777">
      <w:pPr>
        <w:autoSpaceDN/>
        <w:spacing w:line="276" w:lineRule="auto"/>
        <w:textAlignment w:val="auto"/>
        <w:rPr>
          <w:rFonts w:eastAsiaTheme="minorEastAsia" w:cstheme="minorBidi"/>
          <w:b/>
          <w:kern w:val="2"/>
          <w:lang w:eastAsia="en-US"/>
          <w14:ligatures w14:val="standardContextual"/>
        </w:rPr>
      </w:pPr>
    </w:p>
    <w:p w:rsidRPr="006D6D67" w:rsidR="0059605C" w:rsidP="007472AA" w:rsidRDefault="0059605C" w14:paraId="45EB5A4F" w14:textId="45BEEF5F">
      <w:pPr>
        <w:pBdr>
          <w:top w:val="single" w:color="auto" w:sz="4" w:space="1"/>
          <w:left w:val="single" w:color="auto" w:sz="4" w:space="4"/>
          <w:bottom w:val="single" w:color="auto" w:sz="4" w:space="1"/>
          <w:right w:val="single" w:color="auto" w:sz="4" w:space="4"/>
        </w:pBdr>
        <w:autoSpaceDN/>
        <w:spacing w:line="276" w:lineRule="auto"/>
        <w:textAlignment w:val="auto"/>
        <w:rPr>
          <w:rFonts w:eastAsiaTheme="minorEastAsia" w:cstheme="minorBidi"/>
          <w:kern w:val="2"/>
          <w:lang w:eastAsia="en-US"/>
          <w14:ligatures w14:val="standardContextual"/>
        </w:rPr>
      </w:pPr>
      <w:r w:rsidRPr="006D6D67">
        <w:rPr>
          <w:rFonts w:eastAsiaTheme="minorEastAsia" w:cstheme="minorBidi"/>
          <w:kern w:val="2"/>
          <w:lang w:eastAsia="en-US"/>
          <w14:ligatures w14:val="standardContextual"/>
        </w:rPr>
        <w:t>Het kabinet heeft een voorkeur voor een hof met een beperkt aantal leden (10 tot 12 leden). Het aantal leden dat zitting neemt en uitspraak doet in een concrete zaak zou een oneven aantal moeten zijn (bijvoorbeeld 5 of 7 leden). Daarnaast denkt het kabinet aan het benoemen van plaatsvervangers.</w:t>
      </w:r>
    </w:p>
    <w:p w:rsidRPr="006D6D67" w:rsidR="008B1E4F" w:rsidP="007472AA" w:rsidRDefault="008B1E4F" w14:paraId="0722D3A8" w14:textId="77777777">
      <w:pPr>
        <w:autoSpaceDN/>
        <w:spacing w:line="276" w:lineRule="auto"/>
        <w:textAlignment w:val="auto"/>
        <w:rPr>
          <w:rFonts w:eastAsiaTheme="minorEastAsia" w:cstheme="minorBidi"/>
          <w:color w:val="auto"/>
          <w:lang w:eastAsia="en-US"/>
        </w:rPr>
      </w:pPr>
    </w:p>
    <w:p w:rsidRPr="006D6D67" w:rsidR="003008D9" w:rsidP="007472AA" w:rsidRDefault="003008D9" w14:paraId="407D9056" w14:textId="71B2BA7F">
      <w:pPr>
        <w:autoSpaceDN/>
        <w:spacing w:line="276" w:lineRule="auto"/>
        <w:textAlignment w:val="auto"/>
        <w:rPr>
          <w:rFonts w:eastAsiaTheme="minorEastAsia" w:cstheme="minorBidi"/>
          <w:color w:val="auto"/>
          <w:lang w:eastAsia="en-US"/>
        </w:rPr>
      </w:pPr>
      <w:r w:rsidRPr="006D6D67">
        <w:rPr>
          <w:rFonts w:eastAsiaTheme="minorEastAsia" w:cstheme="minorBidi"/>
          <w:color w:val="auto"/>
          <w:kern w:val="2"/>
          <w:lang w:eastAsia="en-US"/>
          <w14:ligatures w14:val="standardContextual"/>
        </w:rPr>
        <w:t xml:space="preserve">Het aantal leden van het grondwettelijk hof hangt nauw samen met andere inrichtingsvraagstukken, zoals de wijze waarop toegang tot het hof wordt verkregen en welke (andere) bevoegdheden en taken het hof krijgt toebedeeld. </w:t>
      </w:r>
      <w:r w:rsidRPr="006D6D67" w:rsidR="0059605C">
        <w:rPr>
          <w:rFonts w:eastAsiaTheme="minorEastAsia" w:cstheme="minorBidi"/>
          <w:color w:val="auto"/>
          <w:kern w:val="2"/>
          <w:lang w:eastAsia="en-US"/>
          <w14:ligatures w14:val="standardContextual"/>
        </w:rPr>
        <w:t xml:space="preserve">Vooralsnog denkt het kabinet aan een hof dat bestaat uit 10 tot 12 leden. </w:t>
      </w:r>
      <w:r w:rsidRPr="006D6D67">
        <w:rPr>
          <w:rFonts w:eastAsiaTheme="minorEastAsia" w:cstheme="minorBidi"/>
          <w:color w:val="auto"/>
          <w:kern w:val="2"/>
          <w:lang w:eastAsia="en-US"/>
          <w14:ligatures w14:val="standardContextual"/>
        </w:rPr>
        <w:t xml:space="preserve">Voor het aantal leden dat zitting neemt en uitspraak doet in een concrete zaak ligt het – in verband met een doorslaggevende stem – voor de hand om voor een oneven aantal te kiezen. Het kabinet denkt aan </w:t>
      </w:r>
      <w:r w:rsidRPr="006D6D67" w:rsidR="00B04BA7">
        <w:rPr>
          <w:rFonts w:eastAsiaTheme="minorEastAsia" w:cstheme="minorBidi"/>
          <w:color w:val="auto"/>
          <w:kern w:val="2"/>
          <w:lang w:eastAsia="en-US"/>
          <w14:ligatures w14:val="standardContextual"/>
        </w:rPr>
        <w:t>vijf</w:t>
      </w:r>
      <w:r w:rsidRPr="006D6D67">
        <w:rPr>
          <w:rFonts w:eastAsiaTheme="minorEastAsia" w:cstheme="minorBidi"/>
          <w:color w:val="auto"/>
          <w:kern w:val="2"/>
          <w:lang w:eastAsia="en-US"/>
          <w14:ligatures w14:val="standardContextual"/>
        </w:rPr>
        <w:t xml:space="preserve"> tot </w:t>
      </w:r>
      <w:r w:rsidRPr="006D6D67" w:rsidR="00B04BA7">
        <w:rPr>
          <w:rFonts w:eastAsiaTheme="minorEastAsia" w:cstheme="minorBidi"/>
          <w:color w:val="auto"/>
          <w:kern w:val="2"/>
          <w:lang w:eastAsia="en-US"/>
          <w14:ligatures w14:val="standardContextual"/>
        </w:rPr>
        <w:t>zeven</w:t>
      </w:r>
      <w:r w:rsidRPr="006D6D67">
        <w:rPr>
          <w:rFonts w:eastAsiaTheme="minorEastAsia" w:cstheme="minorBidi"/>
          <w:color w:val="auto"/>
          <w:kern w:val="2"/>
          <w:lang w:eastAsia="en-US"/>
          <w14:ligatures w14:val="standardContextual"/>
        </w:rPr>
        <w:t xml:space="preserve"> leden, dat uitspraak doet en zitting neemt in een concrete zaak. Om snelle besluitvorming te kunnen garanderen kan daarnaast gedacht worden aan plaatsvervangers. </w:t>
      </w:r>
      <w:r w:rsidRPr="006D6D67">
        <w:rPr>
          <w:rFonts w:eastAsiaTheme="minorEastAsia" w:cstheme="minorBidi"/>
          <w:kern w:val="2"/>
          <w:lang w:eastAsia="en-US"/>
          <w14:ligatures w14:val="standardContextual"/>
        </w:rPr>
        <w:t xml:space="preserve">De figuur van de plaatsvervanger is voor de Nederlandse rechtspraak een waardevol instrument om capaciteitstekort als gevolg van pieken in het </w:t>
      </w:r>
      <w:r w:rsidRPr="006D6D67" w:rsidR="00B04BA7">
        <w:rPr>
          <w:rFonts w:eastAsiaTheme="minorEastAsia" w:cstheme="minorBidi"/>
          <w:kern w:val="2"/>
          <w:lang w:eastAsia="en-US"/>
          <w14:ligatures w14:val="standardContextual"/>
        </w:rPr>
        <w:t>aanbod van zaken</w:t>
      </w:r>
      <w:r w:rsidRPr="006D6D67">
        <w:rPr>
          <w:rFonts w:eastAsiaTheme="minorEastAsia" w:cstheme="minorBidi"/>
          <w:kern w:val="2"/>
          <w:lang w:eastAsia="en-US"/>
          <w14:ligatures w14:val="standardContextual"/>
        </w:rPr>
        <w:t xml:space="preserve"> op te vangen en om tegemoet te kunnen komen aan de behoefte aan deskundigheid op specifieke onderwerpen. Daarbij kan bijvoorbeeld worden gedacht aan deskundigheid op zich snel ontwikkelende onderwerpen zoals </w:t>
      </w:r>
      <w:r w:rsidRPr="006D6D67" w:rsidR="00B04BA7">
        <w:rPr>
          <w:rFonts w:eastAsiaTheme="minorEastAsia" w:cstheme="minorBidi"/>
          <w:kern w:val="2"/>
          <w:lang w:eastAsia="en-US"/>
          <w14:ligatures w14:val="standardContextual"/>
        </w:rPr>
        <w:t>kunstmatige intelligentie</w:t>
      </w:r>
      <w:r w:rsidRPr="006D6D67">
        <w:rPr>
          <w:rFonts w:eastAsiaTheme="minorEastAsia" w:cstheme="minorBidi"/>
          <w:kern w:val="2"/>
          <w:lang w:eastAsia="en-US"/>
          <w14:ligatures w14:val="standardContextual"/>
        </w:rPr>
        <w:t xml:space="preserve">, en de gevolgen daarvan voor de privacy en gegevensbescherming. Het hebben van plaatsvervangers sluit tevens aan bij de aanbeveling van de </w:t>
      </w:r>
      <w:r w:rsidRPr="006D6D67" w:rsidR="005B0189">
        <w:rPr>
          <w:rFonts w:eastAsiaTheme="minorEastAsia" w:cstheme="minorBidi"/>
          <w:kern w:val="2"/>
          <w:lang w:eastAsia="en-US"/>
          <w14:ligatures w14:val="standardContextual"/>
        </w:rPr>
        <w:t>S</w:t>
      </w:r>
      <w:r w:rsidRPr="006D6D67">
        <w:rPr>
          <w:rFonts w:eastAsiaTheme="minorEastAsia" w:cstheme="minorBidi"/>
          <w:kern w:val="2"/>
          <w:lang w:eastAsia="en-US"/>
          <w14:ligatures w14:val="standardContextual"/>
        </w:rPr>
        <w:t xml:space="preserve">taatscommissie parlementair stelsel om te werken met plaatsvervangers. </w:t>
      </w:r>
      <w:r w:rsidRPr="006D6D67" w:rsidR="004635CC">
        <w:rPr>
          <w:rFonts w:eastAsiaTheme="minorEastAsia" w:cstheme="minorBidi"/>
          <w:kern w:val="2"/>
          <w:lang w:eastAsia="en-US"/>
          <w14:ligatures w14:val="standardContextual"/>
        </w:rPr>
        <w:t xml:space="preserve">Uiteraard geldt ook voor deze plaatsvervangers dat gewaarborgd is dat zij volledig onafhankelijk en onpartijdig recht moeten kunnen spreken. </w:t>
      </w:r>
    </w:p>
    <w:p w:rsidRPr="006D6D67" w:rsidR="003008D9" w:rsidP="007472AA" w:rsidRDefault="003008D9" w14:paraId="2C1700DF" w14:textId="77777777">
      <w:pPr>
        <w:autoSpaceDN/>
        <w:spacing w:line="276" w:lineRule="auto"/>
        <w:textAlignment w:val="auto"/>
        <w:rPr>
          <w:rFonts w:eastAsiaTheme="minorEastAsia" w:cstheme="minorBidi"/>
          <w:b/>
          <w:color w:val="auto"/>
          <w:kern w:val="2"/>
          <w:lang w:eastAsia="en-US"/>
          <w14:ligatures w14:val="standardContextual"/>
        </w:rPr>
      </w:pPr>
    </w:p>
    <w:p w:rsidRPr="006D6D67" w:rsidR="003008D9" w:rsidP="007472AA" w:rsidRDefault="00E47474" w14:paraId="09892562" w14:textId="31D4C6D9">
      <w:pPr>
        <w:autoSpaceDN/>
        <w:spacing w:line="276" w:lineRule="auto"/>
        <w:textAlignment w:val="auto"/>
        <w:rPr>
          <w:rFonts w:eastAsiaTheme="minorEastAsia" w:cstheme="minorBidi"/>
          <w:bCs/>
          <w:i/>
          <w:iCs/>
          <w:color w:val="auto"/>
          <w:kern w:val="2"/>
          <w:lang w:eastAsia="en-US"/>
          <w14:ligatures w14:val="standardContextual"/>
        </w:rPr>
      </w:pPr>
      <w:r w:rsidRPr="006D6D67">
        <w:rPr>
          <w:rFonts w:eastAsiaTheme="minorEastAsia" w:cstheme="minorBidi"/>
          <w:bCs/>
          <w:i/>
          <w:iCs/>
          <w:color w:val="auto"/>
          <w:kern w:val="2"/>
          <w:lang w:eastAsia="en-US"/>
          <w14:ligatures w14:val="standardContextual"/>
        </w:rPr>
        <w:t>5</w:t>
      </w:r>
      <w:r w:rsidRPr="006D6D67" w:rsidR="004E7B2E">
        <w:rPr>
          <w:rFonts w:eastAsiaTheme="minorEastAsia" w:cstheme="minorBidi"/>
          <w:bCs/>
          <w:i/>
          <w:iCs/>
          <w:color w:val="auto"/>
          <w:kern w:val="2"/>
          <w:lang w:eastAsia="en-US"/>
          <w14:ligatures w14:val="standardContextual"/>
        </w:rPr>
        <w:t xml:space="preserve">.4 </w:t>
      </w:r>
      <w:r w:rsidRPr="006D6D67" w:rsidR="003008D9">
        <w:rPr>
          <w:rFonts w:eastAsiaTheme="minorEastAsia" w:cstheme="minorBidi"/>
          <w:bCs/>
          <w:i/>
          <w:iCs/>
          <w:color w:val="auto"/>
          <w:kern w:val="2"/>
          <w:lang w:eastAsia="en-US"/>
          <w14:ligatures w14:val="standardContextual"/>
        </w:rPr>
        <w:t>Functie-eisen</w:t>
      </w:r>
    </w:p>
    <w:p w:rsidRPr="006D6D67" w:rsidR="003008D9" w:rsidP="007472AA" w:rsidRDefault="003008D9" w14:paraId="6D6BE72E" w14:textId="77777777">
      <w:pPr>
        <w:autoSpaceDN/>
        <w:spacing w:line="276" w:lineRule="auto"/>
        <w:textAlignment w:val="auto"/>
        <w:rPr>
          <w:rFonts w:eastAsiaTheme="minorEastAsia" w:cstheme="minorBidi"/>
          <w:b/>
          <w:color w:val="auto"/>
          <w:kern w:val="2"/>
          <w:lang w:eastAsia="en-US"/>
          <w14:ligatures w14:val="standardContextual"/>
        </w:rPr>
      </w:pPr>
    </w:p>
    <w:p w:rsidRPr="006D6D67" w:rsidR="000C73A8" w:rsidP="007472AA" w:rsidRDefault="000C73A8" w14:paraId="35A1F2D1" w14:textId="205FF1FE">
      <w:pPr>
        <w:pBdr>
          <w:top w:val="single" w:color="auto" w:sz="4" w:space="1"/>
          <w:left w:val="single" w:color="auto" w:sz="4" w:space="4"/>
          <w:bottom w:val="single" w:color="auto" w:sz="4" w:space="1"/>
          <w:right w:val="single" w:color="auto" w:sz="4" w:space="4"/>
        </w:pBdr>
        <w:autoSpaceDN/>
        <w:spacing w:line="276" w:lineRule="auto"/>
        <w:textAlignment w:val="auto"/>
        <w:rPr>
          <w:rFonts w:eastAsiaTheme="minorEastAsia" w:cstheme="minorBidi"/>
          <w:color w:val="auto"/>
          <w:lang w:eastAsia="en-US"/>
        </w:rPr>
      </w:pPr>
      <w:r w:rsidRPr="006D6D67">
        <w:rPr>
          <w:rFonts w:eastAsiaTheme="minorEastAsia" w:cstheme="minorBidi"/>
          <w:color w:val="auto"/>
          <w:lang w:eastAsia="en-US"/>
        </w:rPr>
        <w:t>Het kabinet doet een aantal voorstellen voor functie-eisen voor de rechters bij het grondwettelijk hof, die nadere uitwerking en aanvulling vereisen.</w:t>
      </w:r>
    </w:p>
    <w:p w:rsidRPr="006D6D67" w:rsidR="00162A7B" w:rsidP="007472AA" w:rsidRDefault="00162A7B" w14:paraId="37C11707" w14:textId="77777777">
      <w:pPr>
        <w:autoSpaceDN/>
        <w:spacing w:line="276" w:lineRule="auto"/>
        <w:textAlignment w:val="auto"/>
        <w:rPr>
          <w:rFonts w:eastAsiaTheme="minorEastAsia" w:cstheme="minorBidi"/>
          <w:color w:val="auto"/>
          <w:kern w:val="2"/>
          <w:lang w:eastAsia="en-US"/>
          <w14:ligatures w14:val="standardContextual"/>
        </w:rPr>
      </w:pPr>
    </w:p>
    <w:p w:rsidR="003008D9" w:rsidP="007472AA" w:rsidRDefault="003008D9" w14:paraId="52204EC5" w14:textId="1BD357B8">
      <w:pPr>
        <w:autoSpaceDN/>
        <w:spacing w:line="276" w:lineRule="auto"/>
        <w:textAlignment w:val="auto"/>
        <w:rPr>
          <w:rFonts w:eastAsiaTheme="minorEastAsia" w:cstheme="minorBidi"/>
          <w:color w:val="auto"/>
          <w:kern w:val="2"/>
          <w:lang w:eastAsia="en-US"/>
          <w14:ligatures w14:val="standardContextual"/>
        </w:rPr>
      </w:pPr>
      <w:r w:rsidRPr="006D6D67">
        <w:rPr>
          <w:rFonts w:eastAsiaTheme="minorEastAsia" w:cstheme="minorBidi"/>
          <w:color w:val="auto"/>
          <w:kern w:val="2"/>
          <w:lang w:eastAsia="en-US"/>
          <w14:ligatures w14:val="standardContextual"/>
        </w:rPr>
        <w:t xml:space="preserve">Met betrekking tot de rechtsprekende taken van de rechters van het grondwettelijk hof zullen de kandidaten op zijn minst moeten voldoen aan de formele vereisten voor benoeming tot rechter. Deze vereisten kunnen onder andere worden aangevuld met functie eisen die zien op expertise en/of ervaring op het terrein van het constitutioneel recht. </w:t>
      </w:r>
    </w:p>
    <w:p w:rsidRPr="006D6D67" w:rsidR="006D6D67" w:rsidP="007472AA" w:rsidRDefault="006D6D67" w14:paraId="0E82A9BB" w14:textId="77777777">
      <w:pPr>
        <w:autoSpaceDN/>
        <w:spacing w:line="276" w:lineRule="auto"/>
        <w:textAlignment w:val="auto"/>
        <w:rPr>
          <w:rFonts w:eastAsiaTheme="minorEastAsia" w:cstheme="minorBidi"/>
          <w:color w:val="auto"/>
          <w:kern w:val="2"/>
          <w:lang w:eastAsia="en-US"/>
          <w14:ligatures w14:val="standardContextual"/>
        </w:rPr>
      </w:pPr>
    </w:p>
    <w:p w:rsidRPr="006D6D67" w:rsidR="003008D9" w:rsidP="007472AA" w:rsidRDefault="003008D9" w14:paraId="3C7AC391" w14:textId="77777777">
      <w:pPr>
        <w:autoSpaceDN/>
        <w:spacing w:line="276" w:lineRule="auto"/>
        <w:textAlignment w:val="auto"/>
        <w:rPr>
          <w:rFonts w:eastAsiaTheme="minorEastAsia" w:cstheme="minorBidi"/>
          <w:b/>
          <w:color w:val="auto"/>
          <w:kern w:val="2"/>
          <w:lang w:eastAsia="en-US"/>
          <w14:ligatures w14:val="standardContextual"/>
        </w:rPr>
      </w:pPr>
    </w:p>
    <w:p w:rsidRPr="006D6D67" w:rsidR="003008D9" w:rsidP="007472AA" w:rsidRDefault="00E47474" w14:paraId="4CAD7003" w14:textId="237D7A91">
      <w:pPr>
        <w:autoSpaceDN/>
        <w:spacing w:line="276" w:lineRule="auto"/>
        <w:textAlignment w:val="auto"/>
        <w:rPr>
          <w:rFonts w:eastAsiaTheme="minorEastAsia" w:cstheme="minorBidi"/>
          <w:bCs/>
          <w:i/>
          <w:iCs/>
          <w:color w:val="auto"/>
          <w:kern w:val="2"/>
          <w:lang w:eastAsia="en-US"/>
          <w14:ligatures w14:val="standardContextual"/>
        </w:rPr>
      </w:pPr>
      <w:r w:rsidRPr="006D6D67">
        <w:rPr>
          <w:rFonts w:eastAsiaTheme="minorEastAsia" w:cstheme="minorBidi"/>
          <w:bCs/>
          <w:i/>
          <w:iCs/>
          <w:color w:val="auto"/>
          <w:kern w:val="2"/>
          <w:lang w:eastAsia="en-US"/>
          <w14:ligatures w14:val="standardContextual"/>
        </w:rPr>
        <w:lastRenderedPageBreak/>
        <w:t>5</w:t>
      </w:r>
      <w:r w:rsidRPr="006D6D67" w:rsidR="004E7B2E">
        <w:rPr>
          <w:rFonts w:eastAsiaTheme="minorEastAsia" w:cstheme="minorBidi"/>
          <w:bCs/>
          <w:i/>
          <w:iCs/>
          <w:color w:val="auto"/>
          <w:kern w:val="2"/>
          <w:lang w:eastAsia="en-US"/>
          <w14:ligatures w14:val="standardContextual"/>
        </w:rPr>
        <w:t xml:space="preserve">.5 </w:t>
      </w:r>
      <w:r w:rsidRPr="006D6D67" w:rsidR="003008D9">
        <w:rPr>
          <w:rFonts w:eastAsiaTheme="minorEastAsia" w:cstheme="minorBidi"/>
          <w:bCs/>
          <w:i/>
          <w:iCs/>
          <w:color w:val="auto"/>
          <w:kern w:val="2"/>
          <w:lang w:eastAsia="en-US"/>
          <w14:ligatures w14:val="standardContextual"/>
        </w:rPr>
        <w:t xml:space="preserve">Incompatibiliteiten </w:t>
      </w:r>
    </w:p>
    <w:p w:rsidRPr="006D6D67" w:rsidR="003008D9" w:rsidP="007472AA" w:rsidRDefault="003008D9" w14:paraId="34AEF0DE" w14:textId="77777777">
      <w:pPr>
        <w:autoSpaceDN/>
        <w:spacing w:line="276" w:lineRule="auto"/>
        <w:textAlignment w:val="auto"/>
        <w:rPr>
          <w:rFonts w:eastAsiaTheme="minorEastAsia" w:cstheme="minorBidi"/>
          <w:color w:val="auto"/>
          <w:lang w:eastAsia="en-US"/>
        </w:rPr>
      </w:pPr>
    </w:p>
    <w:p w:rsidRPr="006D6D67" w:rsidR="003008D9" w:rsidP="007472AA" w:rsidRDefault="00931B5E" w14:paraId="653E4158" w14:textId="660CCBB4">
      <w:pPr>
        <w:pBdr>
          <w:top w:val="single" w:color="auto" w:sz="4" w:space="1"/>
          <w:left w:val="single" w:color="auto" w:sz="4" w:space="4"/>
          <w:bottom w:val="single" w:color="auto" w:sz="4" w:space="1"/>
          <w:right w:val="single" w:color="auto" w:sz="4" w:space="4"/>
        </w:pBdr>
        <w:autoSpaceDN/>
        <w:spacing w:line="276" w:lineRule="auto"/>
        <w:textAlignment w:val="auto"/>
        <w:rPr>
          <w:rFonts w:eastAsiaTheme="minorEastAsia" w:cstheme="minorBidi"/>
          <w:color w:val="auto"/>
          <w:kern w:val="2"/>
          <w:lang w:eastAsia="en-US"/>
          <w14:ligatures w14:val="standardContextual"/>
        </w:rPr>
      </w:pPr>
      <w:bookmarkStart w:name="_Hlk182941663" w:id="8"/>
      <w:r w:rsidRPr="006D6D67">
        <w:rPr>
          <w:rFonts w:eastAsiaTheme="minorEastAsia" w:cstheme="minorBidi"/>
          <w:color w:val="auto"/>
          <w:kern w:val="2"/>
          <w:lang w:eastAsia="en-US"/>
          <w14:ligatures w14:val="standardContextual"/>
        </w:rPr>
        <w:t>W</w:t>
      </w:r>
      <w:r w:rsidRPr="006D6D67" w:rsidR="003008D9">
        <w:rPr>
          <w:rFonts w:eastAsiaTheme="minorEastAsia" w:cstheme="minorBidi"/>
          <w:color w:val="auto"/>
          <w:kern w:val="2"/>
          <w:lang w:eastAsia="en-US"/>
          <w14:ligatures w14:val="standardContextual"/>
        </w:rPr>
        <w:t xml:space="preserve">at het kabinet betreft </w:t>
      </w:r>
      <w:r w:rsidRPr="006D6D67">
        <w:rPr>
          <w:rFonts w:eastAsiaTheme="minorEastAsia" w:cstheme="minorBidi"/>
          <w:color w:val="auto"/>
          <w:kern w:val="2"/>
          <w:lang w:eastAsia="en-US"/>
          <w14:ligatures w14:val="standardContextual"/>
        </w:rPr>
        <w:t xml:space="preserve">is het </w:t>
      </w:r>
      <w:r w:rsidRPr="006D6D67" w:rsidR="003008D9">
        <w:rPr>
          <w:rFonts w:eastAsiaTheme="minorEastAsia" w:cstheme="minorBidi"/>
          <w:color w:val="auto"/>
          <w:kern w:val="2"/>
          <w:lang w:eastAsia="en-US"/>
          <w14:ligatures w14:val="standardContextual"/>
        </w:rPr>
        <w:t xml:space="preserve">noodzakelijk een aantal incompatibiliteiten (grond)wettelijk vast te leggen. Hetzelfde geldt voor de plaatsvervangers bij het grondwettelijk hof. </w:t>
      </w:r>
      <w:r w:rsidRPr="006D6D67">
        <w:rPr>
          <w:rFonts w:eastAsiaTheme="minorEastAsia" w:cstheme="minorBidi"/>
          <w:color w:val="auto"/>
          <w:kern w:val="2"/>
          <w:lang w:eastAsia="en-US"/>
          <w14:ligatures w14:val="standardContextual"/>
        </w:rPr>
        <w:t xml:space="preserve">Het kabinet is voornemens op een nader te bepalen moment uit te werken welke incompatibiliteiten </w:t>
      </w:r>
      <w:r w:rsidRPr="006D6D67" w:rsidR="00CC1F15">
        <w:rPr>
          <w:rFonts w:eastAsiaTheme="minorEastAsia" w:cstheme="minorBidi"/>
          <w:color w:val="auto"/>
          <w:kern w:val="2"/>
          <w:lang w:eastAsia="en-US"/>
          <w14:ligatures w14:val="standardContextual"/>
        </w:rPr>
        <w:t xml:space="preserve">dit </w:t>
      </w:r>
      <w:r w:rsidRPr="006D6D67">
        <w:rPr>
          <w:rFonts w:eastAsiaTheme="minorEastAsia" w:cstheme="minorBidi"/>
          <w:color w:val="auto"/>
          <w:kern w:val="2"/>
          <w:lang w:eastAsia="en-US"/>
          <w14:ligatures w14:val="standardContextual"/>
        </w:rPr>
        <w:t xml:space="preserve">zijn. </w:t>
      </w:r>
    </w:p>
    <w:bookmarkEnd w:id="8"/>
    <w:p w:rsidRPr="006D6D67" w:rsidR="003008D9" w:rsidP="007472AA" w:rsidRDefault="003008D9" w14:paraId="205DAB9B" w14:textId="77777777">
      <w:pPr>
        <w:autoSpaceDN/>
        <w:spacing w:line="276" w:lineRule="auto"/>
        <w:textAlignment w:val="auto"/>
        <w:rPr>
          <w:rFonts w:eastAsiaTheme="minorEastAsia" w:cstheme="minorBidi"/>
          <w:i/>
          <w:color w:val="auto"/>
          <w:kern w:val="2"/>
          <w:lang w:eastAsia="en-US"/>
          <w14:ligatures w14:val="standardContextual"/>
        </w:rPr>
      </w:pPr>
    </w:p>
    <w:p w:rsidRPr="006D6D67" w:rsidR="00855719" w:rsidP="007472AA" w:rsidRDefault="00855719" w14:paraId="677EAB92" w14:textId="1EA10EBE">
      <w:pPr>
        <w:autoSpaceDN/>
        <w:spacing w:line="276" w:lineRule="auto"/>
        <w:textAlignment w:val="auto"/>
        <w:rPr>
          <w:rFonts w:eastAsiaTheme="minorEastAsia" w:cstheme="minorBidi"/>
          <w:iCs/>
          <w:color w:val="auto"/>
          <w:kern w:val="2"/>
          <w:lang w:eastAsia="en-US"/>
          <w14:ligatures w14:val="standardContextual"/>
        </w:rPr>
      </w:pPr>
      <w:r w:rsidRPr="006D6D67">
        <w:rPr>
          <w:rFonts w:eastAsiaTheme="minorEastAsia" w:cstheme="minorBidi"/>
          <w:color w:val="auto"/>
          <w:kern w:val="2"/>
          <w:lang w:eastAsia="en-US"/>
          <w14:ligatures w14:val="standardContextual"/>
        </w:rPr>
        <w:t xml:space="preserve">Net als bij de andere leden van de rechterlijke macht is het wat het kabinet betreft noodzakelijk een aantal incompatibiliteiten voor de rechters bij het grondwettelijk hof (grond)wettelijk vast te leggen. </w:t>
      </w:r>
      <w:r w:rsidRPr="006D6D67">
        <w:rPr>
          <w:rFonts w:eastAsiaTheme="minorEastAsia" w:cstheme="minorBidi"/>
          <w:iCs/>
          <w:color w:val="auto"/>
          <w:kern w:val="2"/>
          <w:lang w:eastAsia="en-US"/>
          <w14:ligatures w14:val="standardContextual"/>
        </w:rPr>
        <w:t xml:space="preserve">Op grondwetsniveau kan hierbij in ieder geval gedacht worden aan de incompatibiliteit die nu reeds voor de leden van de Hoge Raad geldt op grond van artikel 57 </w:t>
      </w:r>
      <w:r w:rsidRPr="006D6D67" w:rsidR="00CC1F15">
        <w:rPr>
          <w:rFonts w:eastAsiaTheme="minorEastAsia" w:cstheme="minorBidi"/>
          <w:iCs/>
          <w:color w:val="auto"/>
          <w:kern w:val="2"/>
          <w:lang w:eastAsia="en-US"/>
          <w14:ligatures w14:val="standardContextual"/>
        </w:rPr>
        <w:t xml:space="preserve">van de </w:t>
      </w:r>
      <w:r w:rsidRPr="006D6D67">
        <w:rPr>
          <w:rFonts w:eastAsiaTheme="minorEastAsia" w:cstheme="minorBidi"/>
          <w:iCs/>
          <w:color w:val="auto"/>
          <w:kern w:val="2"/>
          <w:lang w:eastAsia="en-US"/>
          <w14:ligatures w14:val="standardContextual"/>
        </w:rPr>
        <w:t xml:space="preserve">Grondwet. Op grond van dit artikel mag een lid van de Staten-Generaal niet tevens lid van de Hoge Raad zijn. Ook andere functiecombinaties, waaronder de functiecombinatie minister of staatssecretaris en lid van het hof, dienen (grond)wettelijk worden uitgesloten. In aanvulling daarop komt er </w:t>
      </w:r>
      <w:r w:rsidRPr="006D6D67" w:rsidR="001E4B61">
        <w:rPr>
          <w:rFonts w:eastAsiaTheme="minorEastAsia" w:cstheme="minorBidi"/>
          <w:iCs/>
          <w:color w:val="auto"/>
          <w:kern w:val="2"/>
          <w:lang w:eastAsia="en-US"/>
          <w14:ligatures w14:val="standardContextual"/>
        </w:rPr>
        <w:t xml:space="preserve">– </w:t>
      </w:r>
      <w:r w:rsidRPr="006D6D67">
        <w:rPr>
          <w:rFonts w:eastAsiaTheme="minorEastAsia" w:cstheme="minorBidi"/>
          <w:iCs/>
          <w:color w:val="auto"/>
          <w:kern w:val="2"/>
          <w:lang w:eastAsia="en-US"/>
          <w14:ligatures w14:val="standardContextual"/>
        </w:rPr>
        <w:t>in lijn met de geldende vereisten voor rechters</w:t>
      </w:r>
      <w:r w:rsidRPr="006D6D67" w:rsidR="001E4B61">
        <w:rPr>
          <w:rFonts w:eastAsiaTheme="minorEastAsia" w:cstheme="minorBidi"/>
          <w:iCs/>
          <w:color w:val="auto"/>
          <w:kern w:val="2"/>
          <w:lang w:eastAsia="en-US"/>
          <w14:ligatures w14:val="standardContextual"/>
        </w:rPr>
        <w:t xml:space="preserve"> </w:t>
      </w:r>
      <w:r w:rsidRPr="006D6D67">
        <w:rPr>
          <w:rFonts w:eastAsiaTheme="minorEastAsia" w:cstheme="minorBidi"/>
          <w:iCs/>
          <w:color w:val="auto"/>
          <w:kern w:val="2"/>
          <w:lang w:eastAsia="en-US"/>
          <w14:ligatures w14:val="standardContextual"/>
        </w:rPr>
        <w:t xml:space="preserve">– een algemene norm op grond waarvan het de leden van het grondwettelijk hof niet is toegestaan nevenfuncties te vervullen waarvan de uitoefening ongewenst is met het oog op het waarborgen van de onafhankelijkheid en onpartijdigheid. Nu het kabinet </w:t>
      </w:r>
      <w:r w:rsidRPr="006D6D67" w:rsidR="00912908">
        <w:rPr>
          <w:rFonts w:eastAsiaTheme="minorEastAsia" w:cstheme="minorBidi"/>
          <w:iCs/>
          <w:color w:val="auto"/>
          <w:kern w:val="2"/>
          <w:lang w:eastAsia="en-US"/>
          <w14:ligatures w14:val="standardContextual"/>
        </w:rPr>
        <w:t xml:space="preserve">voorstelt om </w:t>
      </w:r>
      <w:r w:rsidRPr="006D6D67">
        <w:rPr>
          <w:rFonts w:eastAsiaTheme="minorEastAsia" w:cstheme="minorBidi"/>
          <w:iCs/>
          <w:color w:val="auto"/>
          <w:kern w:val="2"/>
          <w:lang w:eastAsia="en-US"/>
          <w14:ligatures w14:val="standardContextual"/>
        </w:rPr>
        <w:t>het grondwettelijk hof in de rechterlijke macht</w:t>
      </w:r>
      <w:r w:rsidRPr="006D6D67" w:rsidR="00912908">
        <w:rPr>
          <w:rFonts w:eastAsiaTheme="minorEastAsia" w:cstheme="minorBidi"/>
          <w:iCs/>
          <w:color w:val="auto"/>
          <w:kern w:val="2"/>
          <w:lang w:eastAsia="en-US"/>
          <w14:ligatures w14:val="standardContextual"/>
        </w:rPr>
        <w:t xml:space="preserve"> onder te brengen</w:t>
      </w:r>
      <w:r w:rsidRPr="006D6D67">
        <w:rPr>
          <w:rFonts w:eastAsiaTheme="minorEastAsia" w:cstheme="minorBidi"/>
          <w:iCs/>
          <w:color w:val="auto"/>
          <w:kern w:val="2"/>
          <w:lang w:eastAsia="en-US"/>
          <w14:ligatures w14:val="standardContextual"/>
        </w:rPr>
        <w:t xml:space="preserve">, ligt het voor de hand om voor overige incompatibiliteiten van de rechters in het grondwettelijk hof en de plaatsvervangers aan te sluiten bij de regelingen die gelden voor rechterlijke ambtenaren in de Wet op de rechterlijke organisatie en de Wet rechtspositie rechterlijke ambtenaren. </w:t>
      </w:r>
    </w:p>
    <w:p w:rsidRPr="006D6D67" w:rsidR="003008D9" w:rsidP="007472AA" w:rsidRDefault="003008D9" w14:paraId="6BF319EF" w14:textId="77777777">
      <w:pPr>
        <w:autoSpaceDN/>
        <w:spacing w:line="276" w:lineRule="auto"/>
        <w:textAlignment w:val="auto"/>
        <w:rPr>
          <w:rFonts w:eastAsiaTheme="minorEastAsia" w:cstheme="minorBidi"/>
          <w:i/>
          <w:color w:val="auto"/>
          <w:kern w:val="2"/>
          <w:lang w:eastAsia="en-US"/>
          <w14:ligatures w14:val="standardContextual"/>
        </w:rPr>
      </w:pPr>
    </w:p>
    <w:bookmarkEnd w:id="5"/>
    <w:p w:rsidRPr="00080186" w:rsidR="00C22F95" w:rsidP="00080186" w:rsidRDefault="001A735D" w14:paraId="6497149F" w14:textId="24854CD6">
      <w:pPr>
        <w:spacing w:line="276" w:lineRule="auto"/>
        <w:rPr>
          <w:b/>
          <w:bCs/>
        </w:rPr>
      </w:pPr>
      <w:r w:rsidRPr="00080186">
        <w:rPr>
          <w:b/>
          <w:bCs/>
        </w:rPr>
        <w:t xml:space="preserve">6. </w:t>
      </w:r>
      <w:r w:rsidRPr="00080186" w:rsidR="00C22F95">
        <w:rPr>
          <w:b/>
          <w:bCs/>
        </w:rPr>
        <w:t xml:space="preserve">Conclusie </w:t>
      </w:r>
    </w:p>
    <w:p w:rsidRPr="006D6D67" w:rsidR="00C22F95" w:rsidP="007472AA" w:rsidRDefault="00C22F95" w14:paraId="12FF01A3" w14:textId="77777777">
      <w:pPr>
        <w:spacing w:line="276" w:lineRule="auto"/>
        <w:rPr>
          <w:i/>
          <w:iCs/>
        </w:rPr>
      </w:pPr>
    </w:p>
    <w:p w:rsidR="00FB584B" w:rsidP="007472AA" w:rsidRDefault="00B63C26" w14:paraId="4EFE6B6C" w14:textId="77777777">
      <w:pPr>
        <w:spacing w:line="276" w:lineRule="auto"/>
      </w:pPr>
      <w:r w:rsidRPr="006D6D67">
        <w:t>Met deze brief hebben wij uw Kamer</w:t>
      </w:r>
      <w:r w:rsidRPr="006D6D67" w:rsidR="004A6E4E">
        <w:t>s</w:t>
      </w:r>
      <w:r w:rsidRPr="006D6D67">
        <w:t xml:space="preserve"> willen informeren over de contouren van de voornemens van het kabinet met betrekking tot de aanpassing van het toetsingsverbod in artikel 120 Grondwet en de oprichting van een grondwettelijk hof. Over de verschillende keuzes en afwegingen die daarbij voorliggen, gaan wij graag met uw Kamer</w:t>
      </w:r>
      <w:r w:rsidRPr="006D6D67" w:rsidR="009E0796">
        <w:t>s</w:t>
      </w:r>
      <w:r w:rsidRPr="006D6D67">
        <w:t xml:space="preserve"> in gesprek. Daarnaast zullen wij op korte termijn andere betrokken actoren consulteren, waaronder in ieder geval de rechterlijke instanties. </w:t>
      </w:r>
    </w:p>
    <w:p w:rsidR="00FB584B" w:rsidP="007472AA" w:rsidRDefault="00FB584B" w14:paraId="76287640" w14:textId="77777777">
      <w:pPr>
        <w:spacing w:line="276" w:lineRule="auto"/>
      </w:pPr>
    </w:p>
    <w:p w:rsidR="00FB584B" w:rsidP="007472AA" w:rsidRDefault="00FB584B" w14:paraId="78893860" w14:textId="77777777">
      <w:pPr>
        <w:spacing w:line="276" w:lineRule="auto"/>
      </w:pPr>
    </w:p>
    <w:p w:rsidR="00FB584B" w:rsidP="007472AA" w:rsidRDefault="00FB584B" w14:paraId="3C14FF41" w14:textId="77777777">
      <w:pPr>
        <w:spacing w:line="276" w:lineRule="auto"/>
      </w:pPr>
    </w:p>
    <w:p w:rsidR="00FB584B" w:rsidP="007472AA" w:rsidRDefault="00FB584B" w14:paraId="3BDDD5E8" w14:textId="77777777">
      <w:pPr>
        <w:spacing w:line="276" w:lineRule="auto"/>
      </w:pPr>
    </w:p>
    <w:p w:rsidR="00FB584B" w:rsidP="007472AA" w:rsidRDefault="00FB584B" w14:paraId="3DF488CE" w14:textId="77777777">
      <w:pPr>
        <w:spacing w:line="276" w:lineRule="auto"/>
      </w:pPr>
    </w:p>
    <w:p w:rsidR="00FB584B" w:rsidP="007472AA" w:rsidRDefault="00FB584B" w14:paraId="1EB667E4" w14:textId="77777777">
      <w:pPr>
        <w:spacing w:line="276" w:lineRule="auto"/>
      </w:pPr>
    </w:p>
    <w:p w:rsidR="00FB584B" w:rsidP="007472AA" w:rsidRDefault="00FB584B" w14:paraId="116BDA77" w14:textId="77777777">
      <w:pPr>
        <w:spacing w:line="276" w:lineRule="auto"/>
      </w:pPr>
    </w:p>
    <w:p w:rsidR="00FB584B" w:rsidP="007472AA" w:rsidRDefault="00FB584B" w14:paraId="7453FDCA" w14:textId="77777777">
      <w:pPr>
        <w:spacing w:line="276" w:lineRule="auto"/>
      </w:pPr>
    </w:p>
    <w:p w:rsidR="00FB584B" w:rsidP="007472AA" w:rsidRDefault="00FB584B" w14:paraId="7F475415" w14:textId="77777777">
      <w:pPr>
        <w:spacing w:line="276" w:lineRule="auto"/>
      </w:pPr>
    </w:p>
    <w:p w:rsidR="00FB584B" w:rsidP="007472AA" w:rsidRDefault="00FB584B" w14:paraId="19848271" w14:textId="77777777">
      <w:pPr>
        <w:spacing w:line="276" w:lineRule="auto"/>
      </w:pPr>
    </w:p>
    <w:p w:rsidR="00FB584B" w:rsidP="007472AA" w:rsidRDefault="00FB584B" w14:paraId="37C0E406" w14:textId="77777777">
      <w:pPr>
        <w:spacing w:line="276" w:lineRule="auto"/>
      </w:pPr>
    </w:p>
    <w:p w:rsidR="00FB584B" w:rsidP="007472AA" w:rsidRDefault="00FB584B" w14:paraId="432E22AE" w14:textId="77777777">
      <w:pPr>
        <w:spacing w:line="276" w:lineRule="auto"/>
      </w:pPr>
    </w:p>
    <w:p w:rsidR="00FB584B" w:rsidP="007472AA" w:rsidRDefault="00FB584B" w14:paraId="6B631303" w14:textId="77777777">
      <w:pPr>
        <w:spacing w:line="276" w:lineRule="auto"/>
      </w:pPr>
    </w:p>
    <w:p w:rsidRPr="006D6D67" w:rsidR="00B63C26" w:rsidP="007472AA" w:rsidRDefault="00B63C26" w14:paraId="39E3CD77" w14:textId="5BF544F3">
      <w:pPr>
        <w:spacing w:line="276" w:lineRule="auto"/>
      </w:pPr>
      <w:r w:rsidRPr="006D6D67">
        <w:lastRenderedPageBreak/>
        <w:t>Voor de planning van de verschillende stappen die</w:t>
      </w:r>
      <w:r w:rsidRPr="006D6D67" w:rsidR="00170480">
        <w:t xml:space="preserve"> nog moeten worden gezet, waaronder de indiening van </w:t>
      </w:r>
      <w:r w:rsidRPr="006D6D67" w:rsidR="006E67A7">
        <w:t>de</w:t>
      </w:r>
      <w:r w:rsidRPr="006D6D67" w:rsidR="00170480">
        <w:t xml:space="preserve"> grondwetswijzigingsvoorstel</w:t>
      </w:r>
      <w:r w:rsidRPr="006D6D67" w:rsidR="006E67A7">
        <w:t>len</w:t>
      </w:r>
      <w:r w:rsidRPr="006D6D67" w:rsidR="00170480">
        <w:t xml:space="preserve"> bij </w:t>
      </w:r>
      <w:r w:rsidRPr="006D6D67" w:rsidR="004A6E4E">
        <w:t>de Tweede Kamer, verwijzen wij naar de brieven die eerder hierover naar het parlement zijn gestuurd.</w:t>
      </w:r>
      <w:r w:rsidRPr="006D6D67" w:rsidR="004A6E4E">
        <w:rPr>
          <w:rStyle w:val="Voetnootmarkering"/>
        </w:rPr>
        <w:footnoteReference w:id="42"/>
      </w:r>
      <w:r w:rsidRPr="006D6D67" w:rsidR="001B1C98">
        <w:t xml:space="preserve"> </w:t>
      </w:r>
    </w:p>
    <w:p w:rsidRPr="006D6D67" w:rsidR="00C22F95" w:rsidP="007472AA" w:rsidRDefault="00C22F95" w14:paraId="6B217563" w14:textId="77777777">
      <w:pPr>
        <w:spacing w:line="276" w:lineRule="auto"/>
      </w:pPr>
    </w:p>
    <w:p w:rsidRPr="006D6D67" w:rsidR="00D9552A" w:rsidP="007472AA" w:rsidRDefault="00D9552A" w14:paraId="29CD3017" w14:textId="77777777">
      <w:pPr>
        <w:spacing w:line="276" w:lineRule="auto"/>
      </w:pPr>
    </w:p>
    <w:p w:rsidRPr="006D6D67" w:rsidR="00D9552A" w:rsidP="00D9552A" w:rsidRDefault="00D9552A" w14:paraId="3FBAA7F7" w14:textId="77777777">
      <w:pPr>
        <w:spacing w:line="276" w:lineRule="auto"/>
      </w:pPr>
      <w:r w:rsidRPr="006D6D67">
        <w:t>De minister van Binnenlandse Zaken en Koninkrijksrelaties,</w:t>
      </w:r>
    </w:p>
    <w:p w:rsidRPr="006D6D67" w:rsidR="00D9552A" w:rsidP="00D9552A" w:rsidRDefault="00D9552A" w14:paraId="76CA7EC0" w14:textId="77777777">
      <w:pPr>
        <w:spacing w:line="276" w:lineRule="auto"/>
      </w:pPr>
    </w:p>
    <w:p w:rsidRPr="006D6D67" w:rsidR="00D9552A" w:rsidP="00D9552A" w:rsidRDefault="00D9552A" w14:paraId="516D8BA7" w14:textId="77777777">
      <w:pPr>
        <w:spacing w:line="276" w:lineRule="auto"/>
      </w:pPr>
    </w:p>
    <w:p w:rsidRPr="006D6D67" w:rsidR="00D9552A" w:rsidP="00D9552A" w:rsidRDefault="00D9552A" w14:paraId="729361E7" w14:textId="77777777">
      <w:pPr>
        <w:spacing w:line="276" w:lineRule="auto"/>
      </w:pPr>
    </w:p>
    <w:p w:rsidRPr="006D6D67" w:rsidR="00432C1D" w:rsidP="00D9552A" w:rsidRDefault="00432C1D" w14:paraId="38AEAF6A" w14:textId="77777777">
      <w:pPr>
        <w:spacing w:line="276" w:lineRule="auto"/>
      </w:pPr>
    </w:p>
    <w:p w:rsidRPr="006D6D67" w:rsidR="00D9552A" w:rsidP="00D9552A" w:rsidRDefault="00D9552A" w14:paraId="1B1FCBC3" w14:textId="77777777">
      <w:pPr>
        <w:spacing w:line="276" w:lineRule="auto"/>
      </w:pPr>
      <w:r w:rsidRPr="006D6D67">
        <w:t>J.J.M. Uitermark</w:t>
      </w:r>
    </w:p>
    <w:p w:rsidR="00D9552A" w:rsidP="00D9552A" w:rsidRDefault="00D9552A" w14:paraId="29ABD5D8" w14:textId="410963CC">
      <w:pPr>
        <w:spacing w:line="276" w:lineRule="auto"/>
      </w:pPr>
    </w:p>
    <w:p w:rsidR="006D6D67" w:rsidP="00D9552A" w:rsidRDefault="006D6D67" w14:paraId="78548152" w14:textId="77777777">
      <w:pPr>
        <w:spacing w:line="276" w:lineRule="auto"/>
      </w:pPr>
    </w:p>
    <w:p w:rsidRPr="006D6D67" w:rsidR="006D6D67" w:rsidP="00D9552A" w:rsidRDefault="006D6D67" w14:paraId="4EA9A8A5" w14:textId="77777777">
      <w:pPr>
        <w:spacing w:line="276" w:lineRule="auto"/>
      </w:pPr>
    </w:p>
    <w:p w:rsidRPr="006D6D67" w:rsidR="00D9552A" w:rsidP="00D9552A" w:rsidRDefault="00D9552A" w14:paraId="40378F7E" w14:textId="77777777">
      <w:pPr>
        <w:spacing w:line="276" w:lineRule="auto"/>
      </w:pPr>
    </w:p>
    <w:p w:rsidRPr="006D6D67" w:rsidR="00D9552A" w:rsidP="00D9552A" w:rsidRDefault="00D9552A" w14:paraId="2E88AE50" w14:textId="382DFC9F">
      <w:pPr>
        <w:spacing w:line="276" w:lineRule="auto"/>
      </w:pPr>
      <w:r w:rsidRPr="006D6D67">
        <w:t xml:space="preserve">De Staatssecretaris </w:t>
      </w:r>
      <w:r w:rsidRPr="006D6D67" w:rsidR="00516D6A">
        <w:t>Rechtsbescherming,</w:t>
      </w:r>
    </w:p>
    <w:p w:rsidRPr="006D6D67" w:rsidR="00D9552A" w:rsidP="00D9552A" w:rsidRDefault="00D9552A" w14:paraId="4C940F39" w14:textId="77777777">
      <w:pPr>
        <w:spacing w:line="276" w:lineRule="auto"/>
      </w:pPr>
    </w:p>
    <w:p w:rsidRPr="006D6D67" w:rsidR="00D9552A" w:rsidP="00D9552A" w:rsidRDefault="00D9552A" w14:paraId="6718E794" w14:textId="77777777">
      <w:pPr>
        <w:spacing w:line="276" w:lineRule="auto"/>
      </w:pPr>
    </w:p>
    <w:p w:rsidRPr="006D6D67" w:rsidR="00D9552A" w:rsidP="00D9552A" w:rsidRDefault="00D9552A" w14:paraId="41790BDB" w14:textId="77777777">
      <w:pPr>
        <w:spacing w:line="276" w:lineRule="auto"/>
      </w:pPr>
    </w:p>
    <w:p w:rsidRPr="006D6D67" w:rsidR="00D9552A" w:rsidP="00D9552A" w:rsidRDefault="00D9552A" w14:paraId="5BC8AA65" w14:textId="77777777">
      <w:pPr>
        <w:spacing w:line="276" w:lineRule="auto"/>
      </w:pPr>
    </w:p>
    <w:p w:rsidRPr="006D6D67" w:rsidR="00432C1D" w:rsidP="00D9552A" w:rsidRDefault="00432C1D" w14:paraId="48FE028D" w14:textId="77777777">
      <w:pPr>
        <w:spacing w:line="276" w:lineRule="auto"/>
      </w:pPr>
    </w:p>
    <w:p w:rsidRPr="00BE3108" w:rsidR="003E0760" w:rsidP="007472AA" w:rsidRDefault="00D9552A" w14:paraId="7DA14EFF" w14:textId="0B0D71CD">
      <w:pPr>
        <w:spacing w:line="276" w:lineRule="auto"/>
      </w:pPr>
      <w:r w:rsidRPr="006D6D67">
        <w:t>T.</w:t>
      </w:r>
      <w:r w:rsidRPr="006D6D67" w:rsidR="00516D6A">
        <w:t>H.D</w:t>
      </w:r>
      <w:r w:rsidRPr="006D6D67">
        <w:t xml:space="preserve">. </w:t>
      </w:r>
      <w:proofErr w:type="spellStart"/>
      <w:r w:rsidRPr="006D6D67">
        <w:t>Struycken</w:t>
      </w:r>
      <w:proofErr w:type="spellEnd"/>
    </w:p>
    <w:sectPr w:rsidRPr="00BE3108" w:rsidR="003E0760" w:rsidSect="009853D6">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C1F3" w14:textId="77777777" w:rsidR="008D5DBA" w:rsidRDefault="008D5DBA" w:rsidP="00C22F95">
      <w:pPr>
        <w:spacing w:line="240" w:lineRule="auto"/>
      </w:pPr>
      <w:r>
        <w:separator/>
      </w:r>
    </w:p>
  </w:endnote>
  <w:endnote w:type="continuationSeparator" w:id="0">
    <w:p w14:paraId="1BE158A3" w14:textId="77777777" w:rsidR="008D5DBA" w:rsidRDefault="008D5DBA" w:rsidP="00C22F95">
      <w:pPr>
        <w:spacing w:line="240" w:lineRule="auto"/>
      </w:pPr>
      <w:r>
        <w:continuationSeparator/>
      </w:r>
    </w:p>
  </w:endnote>
  <w:endnote w:type="continuationNotice" w:id="1">
    <w:p w14:paraId="68A83DAA" w14:textId="77777777" w:rsidR="008D5DBA" w:rsidRDefault="008D5D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C92B" w14:textId="77777777" w:rsidR="008D5DBA" w:rsidRDefault="008D5DBA" w:rsidP="00C22F95">
      <w:pPr>
        <w:spacing w:line="240" w:lineRule="auto"/>
      </w:pPr>
      <w:r>
        <w:separator/>
      </w:r>
    </w:p>
  </w:footnote>
  <w:footnote w:type="continuationSeparator" w:id="0">
    <w:p w14:paraId="24A159C8" w14:textId="77777777" w:rsidR="008D5DBA" w:rsidRDefault="008D5DBA" w:rsidP="00C22F95">
      <w:pPr>
        <w:spacing w:line="240" w:lineRule="auto"/>
      </w:pPr>
      <w:r>
        <w:continuationSeparator/>
      </w:r>
    </w:p>
  </w:footnote>
  <w:footnote w:type="continuationNotice" w:id="1">
    <w:p w14:paraId="1B133DC5" w14:textId="77777777" w:rsidR="008D5DBA" w:rsidRDefault="008D5DBA">
      <w:pPr>
        <w:spacing w:line="240" w:lineRule="auto"/>
      </w:pPr>
    </w:p>
  </w:footnote>
  <w:footnote w:id="2">
    <w:p w14:paraId="52E74A4B" w14:textId="2FC0B316" w:rsidR="009B796A" w:rsidRPr="009B796A" w:rsidRDefault="00360930" w:rsidP="009B796A">
      <w:pPr>
        <w:pStyle w:val="Voetnoottekst"/>
        <w:rPr>
          <w:sz w:val="16"/>
          <w:szCs w:val="16"/>
        </w:rPr>
      </w:pPr>
      <w:r w:rsidRPr="00966BC3">
        <w:rPr>
          <w:rStyle w:val="Voetnootmarkering"/>
          <w:sz w:val="16"/>
          <w:szCs w:val="16"/>
        </w:rPr>
        <w:footnoteRef/>
      </w:r>
      <w:r w:rsidRPr="00966BC3">
        <w:rPr>
          <w:sz w:val="16"/>
          <w:szCs w:val="16"/>
        </w:rPr>
        <w:t xml:space="preserve"> Zo heeft het vorige kabinet het voornemen om constitutionele toetsing mogelijk te maken, neergelegd in een hoofdlijnenbrief (juli 2022; </w:t>
      </w:r>
      <w:r w:rsidRPr="00966BC3">
        <w:rPr>
          <w:i/>
          <w:iCs/>
          <w:sz w:val="16"/>
          <w:szCs w:val="16"/>
        </w:rPr>
        <w:t>Kamerstukken II</w:t>
      </w:r>
      <w:r w:rsidRPr="00966BC3">
        <w:rPr>
          <w:sz w:val="16"/>
          <w:szCs w:val="16"/>
        </w:rPr>
        <w:t xml:space="preserve"> 2021/22, 35 925 VII, nr. 169), die later verder is toegelicht in brieven over het toetsingskader (april 2024; </w:t>
      </w:r>
      <w:r w:rsidRPr="00966BC3">
        <w:rPr>
          <w:i/>
          <w:iCs/>
          <w:sz w:val="16"/>
          <w:szCs w:val="16"/>
        </w:rPr>
        <w:t xml:space="preserve">Kamerstukken II </w:t>
      </w:r>
      <w:r w:rsidRPr="00966BC3">
        <w:rPr>
          <w:sz w:val="16"/>
          <w:szCs w:val="16"/>
        </w:rPr>
        <w:t xml:space="preserve">2023/24, 36 410 VII, nr. 105) en een kabinetsreactie op de initiatiefnota van het lid Omtzigt (april 2024; </w:t>
      </w:r>
      <w:r w:rsidRPr="00966BC3">
        <w:rPr>
          <w:i/>
          <w:iCs/>
          <w:sz w:val="16"/>
          <w:szCs w:val="16"/>
        </w:rPr>
        <w:t xml:space="preserve">Kamerstukken II </w:t>
      </w:r>
      <w:r w:rsidRPr="00966BC3">
        <w:rPr>
          <w:sz w:val="16"/>
          <w:szCs w:val="16"/>
        </w:rPr>
        <w:t xml:space="preserve">2023/24, 36 344, nr. 3). </w:t>
      </w:r>
      <w:r w:rsidR="009B796A">
        <w:rPr>
          <w:sz w:val="16"/>
          <w:szCs w:val="16"/>
        </w:rPr>
        <w:t xml:space="preserve">Zie ook de initiatiefnota </w:t>
      </w:r>
      <w:r w:rsidR="009B796A" w:rsidRPr="009B796A">
        <w:rPr>
          <w:sz w:val="16"/>
          <w:szCs w:val="16"/>
        </w:rPr>
        <w:t xml:space="preserve">van het lid Omtzigt over tien voorstellen ter verbetering van de </w:t>
      </w:r>
    </w:p>
    <w:p w14:paraId="03B74446" w14:textId="38A2D4D0" w:rsidR="00360930" w:rsidRPr="00966BC3" w:rsidRDefault="009B796A" w:rsidP="009B796A">
      <w:pPr>
        <w:pStyle w:val="Voetnoottekst"/>
        <w:rPr>
          <w:sz w:val="16"/>
          <w:szCs w:val="16"/>
        </w:rPr>
      </w:pPr>
      <w:r w:rsidRPr="009B796A">
        <w:rPr>
          <w:sz w:val="16"/>
          <w:szCs w:val="16"/>
        </w:rPr>
        <w:t>constitutionele toetsing</w:t>
      </w:r>
      <w:r>
        <w:rPr>
          <w:sz w:val="16"/>
          <w:szCs w:val="16"/>
        </w:rPr>
        <w:t xml:space="preserve"> (19 april 2023</w:t>
      </w:r>
      <w:r w:rsidR="00E0670F">
        <w:rPr>
          <w:sz w:val="16"/>
          <w:szCs w:val="16"/>
        </w:rPr>
        <w:t xml:space="preserve">; </w:t>
      </w:r>
      <w:r w:rsidR="00E0670F" w:rsidRPr="00000CD0">
        <w:rPr>
          <w:i/>
          <w:iCs/>
          <w:sz w:val="16"/>
          <w:szCs w:val="16"/>
        </w:rPr>
        <w:t>Kamerstuk</w:t>
      </w:r>
      <w:r w:rsidR="00E0670F">
        <w:rPr>
          <w:i/>
          <w:iCs/>
          <w:sz w:val="16"/>
          <w:szCs w:val="16"/>
        </w:rPr>
        <w:t>ken II</w:t>
      </w:r>
      <w:r w:rsidR="00E0670F">
        <w:rPr>
          <w:sz w:val="16"/>
          <w:szCs w:val="16"/>
        </w:rPr>
        <w:t xml:space="preserve"> 2022/23,</w:t>
      </w:r>
      <w:r w:rsidR="00E0670F" w:rsidRPr="009810A8">
        <w:rPr>
          <w:sz w:val="16"/>
          <w:szCs w:val="16"/>
        </w:rPr>
        <w:t xml:space="preserve"> 36</w:t>
      </w:r>
      <w:r w:rsidR="00E0670F">
        <w:rPr>
          <w:sz w:val="16"/>
          <w:szCs w:val="16"/>
        </w:rPr>
        <w:t xml:space="preserve"> </w:t>
      </w:r>
      <w:r w:rsidR="00E0670F" w:rsidRPr="009810A8">
        <w:rPr>
          <w:sz w:val="16"/>
          <w:szCs w:val="16"/>
        </w:rPr>
        <w:t>344, nr</w:t>
      </w:r>
      <w:r w:rsidR="00E0670F">
        <w:rPr>
          <w:sz w:val="16"/>
          <w:szCs w:val="16"/>
        </w:rPr>
        <w:t>.</w:t>
      </w:r>
      <w:r w:rsidR="00E0670F" w:rsidRPr="009810A8">
        <w:rPr>
          <w:sz w:val="16"/>
          <w:szCs w:val="16"/>
        </w:rPr>
        <w:t xml:space="preserve"> 2</w:t>
      </w:r>
      <w:r>
        <w:rPr>
          <w:sz w:val="16"/>
          <w:szCs w:val="16"/>
        </w:rPr>
        <w:t>). Daarnaast laten</w:t>
      </w:r>
      <w:r w:rsidR="00360930" w:rsidRPr="00966BC3">
        <w:rPr>
          <w:sz w:val="16"/>
          <w:szCs w:val="16"/>
        </w:rPr>
        <w:t xml:space="preserve"> verschillende adviezen zien dat een voorstel tot invoering van constitutionele toetsing breed zal worden gedragen. Zie bijvoorbeeld de zienswijzen van de Hoge Raad (14 april 2022), de Raad voor de rechtspraak (15 april 2022), </w:t>
      </w:r>
      <w:r w:rsidRPr="00966BC3">
        <w:rPr>
          <w:sz w:val="16"/>
          <w:szCs w:val="16"/>
        </w:rPr>
        <w:t>Afdeling bestuursrechtspraak van de Raad van State (22 april 2022)</w:t>
      </w:r>
      <w:r>
        <w:rPr>
          <w:sz w:val="16"/>
          <w:szCs w:val="16"/>
        </w:rPr>
        <w:t xml:space="preserve"> en </w:t>
      </w:r>
      <w:r w:rsidR="00360930" w:rsidRPr="00966BC3">
        <w:rPr>
          <w:sz w:val="16"/>
          <w:szCs w:val="16"/>
        </w:rPr>
        <w:t xml:space="preserve">het Gemeenschappelijk Hof van Justitie (2 mei 2023). Ook de Staatscommissie </w:t>
      </w:r>
      <w:r w:rsidR="005B0189">
        <w:rPr>
          <w:sz w:val="16"/>
          <w:szCs w:val="16"/>
        </w:rPr>
        <w:t>p</w:t>
      </w:r>
      <w:r w:rsidR="00360930" w:rsidRPr="00966BC3">
        <w:rPr>
          <w:sz w:val="16"/>
          <w:szCs w:val="16"/>
        </w:rPr>
        <w:t xml:space="preserve">arlementair </w:t>
      </w:r>
      <w:r w:rsidR="005B0189">
        <w:rPr>
          <w:sz w:val="16"/>
          <w:szCs w:val="16"/>
        </w:rPr>
        <w:t>s</w:t>
      </w:r>
      <w:r w:rsidR="00360930" w:rsidRPr="00966BC3">
        <w:rPr>
          <w:sz w:val="16"/>
          <w:szCs w:val="16"/>
        </w:rPr>
        <w:t>telsel (2018), de Venetiëcommissie (2021) en, meer recentelijk, de Parlementaire Enquêtecommissie Fraudebeleid en Dienstverlening (</w:t>
      </w:r>
      <w:r w:rsidR="000C6C66">
        <w:rPr>
          <w:sz w:val="16"/>
          <w:szCs w:val="16"/>
        </w:rPr>
        <w:t>februari</w:t>
      </w:r>
      <w:r w:rsidR="00360930" w:rsidRPr="00966BC3">
        <w:rPr>
          <w:sz w:val="16"/>
          <w:szCs w:val="16"/>
        </w:rPr>
        <w:t xml:space="preserve"> 2024) en de Staatscommissie rechtsstaat (</w:t>
      </w:r>
      <w:r w:rsidR="00B47A20">
        <w:rPr>
          <w:sz w:val="16"/>
          <w:szCs w:val="16"/>
        </w:rPr>
        <w:t>juni</w:t>
      </w:r>
      <w:r w:rsidR="00360930" w:rsidRPr="00966BC3">
        <w:rPr>
          <w:sz w:val="16"/>
          <w:szCs w:val="16"/>
        </w:rPr>
        <w:t xml:space="preserve"> 2024) pleitten voor (een vorm van) invoering van constitutionele toetsing. </w:t>
      </w:r>
    </w:p>
  </w:footnote>
  <w:footnote w:id="3">
    <w:p w14:paraId="51407859" w14:textId="77777777" w:rsidR="00A1130C" w:rsidRPr="002F75AE" w:rsidRDefault="00A1130C">
      <w:pPr>
        <w:pStyle w:val="Voetnoottekst"/>
        <w:rPr>
          <w:sz w:val="16"/>
          <w:szCs w:val="16"/>
        </w:rPr>
      </w:pPr>
      <w:r w:rsidRPr="002F75AE">
        <w:rPr>
          <w:rStyle w:val="Voetnootmarkering"/>
          <w:sz w:val="16"/>
          <w:szCs w:val="16"/>
        </w:rPr>
        <w:footnoteRef/>
      </w:r>
      <w:r w:rsidRPr="002F75AE">
        <w:rPr>
          <w:sz w:val="16"/>
          <w:szCs w:val="16"/>
        </w:rPr>
        <w:t xml:space="preserve"> </w:t>
      </w:r>
      <w:r w:rsidRPr="002F75AE">
        <w:rPr>
          <w:i/>
          <w:iCs/>
          <w:sz w:val="16"/>
          <w:szCs w:val="16"/>
        </w:rPr>
        <w:t>Kamerstukken II</w:t>
      </w:r>
      <w:r w:rsidRPr="002F75AE">
        <w:rPr>
          <w:sz w:val="16"/>
          <w:szCs w:val="16"/>
        </w:rPr>
        <w:t xml:space="preserve"> 2022/23, 36 344, nr. 2.</w:t>
      </w:r>
    </w:p>
  </w:footnote>
  <w:footnote w:id="4">
    <w:p w14:paraId="669A047F" w14:textId="77777777" w:rsidR="0067526F" w:rsidRPr="002F75AE" w:rsidRDefault="0067526F">
      <w:pPr>
        <w:pStyle w:val="Voetnoottekst"/>
        <w:rPr>
          <w:sz w:val="16"/>
          <w:szCs w:val="16"/>
        </w:rPr>
      </w:pPr>
      <w:r w:rsidRPr="002F75AE">
        <w:rPr>
          <w:rStyle w:val="Voetnootmarkering"/>
          <w:sz w:val="16"/>
          <w:szCs w:val="16"/>
        </w:rPr>
        <w:footnoteRef/>
      </w:r>
      <w:r w:rsidRPr="002F75AE">
        <w:rPr>
          <w:sz w:val="16"/>
          <w:szCs w:val="16"/>
        </w:rPr>
        <w:t xml:space="preserve"> Dit voorstel </w:t>
      </w:r>
      <w:r w:rsidR="000A6CF3">
        <w:rPr>
          <w:sz w:val="16"/>
          <w:szCs w:val="16"/>
        </w:rPr>
        <w:t>zal ook betrekking hebben op</w:t>
      </w:r>
      <w:r w:rsidRPr="002F75AE">
        <w:rPr>
          <w:sz w:val="16"/>
          <w:szCs w:val="16"/>
        </w:rPr>
        <w:t xml:space="preserve"> de aanpassing van de beperkingssystematiek (zie paragraaf 2).</w:t>
      </w:r>
    </w:p>
  </w:footnote>
  <w:footnote w:id="5">
    <w:p w14:paraId="41B5CC60" w14:textId="5DA83033" w:rsidR="00FF66DE" w:rsidRPr="008B32A2" w:rsidRDefault="00FF66DE" w:rsidP="00FF66DE">
      <w:pPr>
        <w:pStyle w:val="Voetnoottekst"/>
        <w:rPr>
          <w:sz w:val="16"/>
          <w:szCs w:val="16"/>
        </w:rPr>
      </w:pPr>
      <w:r w:rsidRPr="008B32A2">
        <w:rPr>
          <w:rStyle w:val="Voetnootmarkering"/>
          <w:sz w:val="16"/>
          <w:szCs w:val="16"/>
        </w:rPr>
        <w:footnoteRef/>
      </w:r>
      <w:r w:rsidRPr="008B32A2">
        <w:rPr>
          <w:sz w:val="16"/>
          <w:szCs w:val="16"/>
        </w:rPr>
        <w:t xml:space="preserve"> Dat zijn de artikelen 1, 2, derde en vierde lid, 3 tot en met 9, 10, eerste lid, 11 tot en met 17, 18, eerste lid, 19, derde lid, 23, tweede, derde, vijfde, zesde en zevende lid, Grondwet.</w:t>
      </w:r>
    </w:p>
  </w:footnote>
  <w:footnote w:id="6">
    <w:p w14:paraId="6C821842" w14:textId="32E2CD6C" w:rsidR="006B339D" w:rsidRPr="002344BB" w:rsidRDefault="006B339D">
      <w:pPr>
        <w:pStyle w:val="Voetnoottekst"/>
        <w:rPr>
          <w:sz w:val="16"/>
          <w:szCs w:val="16"/>
        </w:rPr>
      </w:pPr>
      <w:r w:rsidRPr="008B32A2">
        <w:rPr>
          <w:rStyle w:val="Voetnootmarkering"/>
          <w:sz w:val="16"/>
          <w:szCs w:val="16"/>
        </w:rPr>
        <w:footnoteRef/>
      </w:r>
      <w:r w:rsidRPr="008B32A2">
        <w:rPr>
          <w:sz w:val="16"/>
          <w:szCs w:val="16"/>
        </w:rPr>
        <w:t xml:space="preserve"> Het gaat hier om de aanverwante bepalingen die zijn vermeld in de </w:t>
      </w:r>
      <w:r w:rsidR="000C0C7C" w:rsidRPr="008B32A2">
        <w:rPr>
          <w:sz w:val="16"/>
          <w:szCs w:val="16"/>
        </w:rPr>
        <w:t>Kamerbrief over het toetsingskader constitutionele toetsing</w:t>
      </w:r>
      <w:r w:rsidRPr="008B32A2">
        <w:rPr>
          <w:sz w:val="16"/>
          <w:szCs w:val="16"/>
        </w:rPr>
        <w:t xml:space="preserve"> van april 2024</w:t>
      </w:r>
      <w:r w:rsidR="000C0C7C" w:rsidRPr="008B32A2">
        <w:rPr>
          <w:sz w:val="16"/>
          <w:szCs w:val="16"/>
        </w:rPr>
        <w:t xml:space="preserve"> (</w:t>
      </w:r>
      <w:r w:rsidR="000C0C7C" w:rsidRPr="008B32A2">
        <w:rPr>
          <w:i/>
          <w:iCs/>
          <w:sz w:val="16"/>
          <w:szCs w:val="16"/>
        </w:rPr>
        <w:t>Kamerstukken II</w:t>
      </w:r>
      <w:r w:rsidR="000C0C7C" w:rsidRPr="008B32A2">
        <w:rPr>
          <w:sz w:val="16"/>
          <w:szCs w:val="16"/>
        </w:rPr>
        <w:t xml:space="preserve"> 2023/24, 36 410 VII, nr. 105)</w:t>
      </w:r>
      <w:r w:rsidRPr="008B32A2">
        <w:rPr>
          <w:sz w:val="16"/>
          <w:szCs w:val="16"/>
        </w:rPr>
        <w:t>.</w:t>
      </w:r>
    </w:p>
  </w:footnote>
  <w:footnote w:id="7">
    <w:p w14:paraId="573EC3E9" w14:textId="1B99DD29" w:rsidR="00373723" w:rsidRPr="009810A8" w:rsidRDefault="00373723">
      <w:pPr>
        <w:pStyle w:val="Voetnoottekst"/>
        <w:rPr>
          <w:sz w:val="16"/>
          <w:szCs w:val="16"/>
        </w:rPr>
      </w:pPr>
      <w:r w:rsidRPr="009810A8">
        <w:rPr>
          <w:rStyle w:val="Voetnootmarkering"/>
          <w:sz w:val="16"/>
          <w:szCs w:val="16"/>
        </w:rPr>
        <w:footnoteRef/>
      </w:r>
      <w:r w:rsidR="00167DC7">
        <w:rPr>
          <w:sz w:val="16"/>
          <w:szCs w:val="16"/>
        </w:rPr>
        <w:t xml:space="preserve"> Daarmee</w:t>
      </w:r>
      <w:r w:rsidRPr="009810A8">
        <w:rPr>
          <w:sz w:val="16"/>
          <w:szCs w:val="16"/>
        </w:rPr>
        <w:t xml:space="preserve"> worden wetten in formele zin bedoeld. Dat zijn wetten die zijn vastgesteld door de regering en de Staten-Generaal</w:t>
      </w:r>
      <w:r>
        <w:rPr>
          <w:sz w:val="16"/>
          <w:szCs w:val="16"/>
        </w:rPr>
        <w:t xml:space="preserve"> (artikel 81 Grondwet)</w:t>
      </w:r>
      <w:r w:rsidRPr="009810A8">
        <w:rPr>
          <w:sz w:val="16"/>
          <w:szCs w:val="16"/>
        </w:rPr>
        <w:t>.</w:t>
      </w:r>
      <w:r w:rsidR="00200702">
        <w:rPr>
          <w:sz w:val="16"/>
          <w:szCs w:val="16"/>
        </w:rPr>
        <w:t xml:space="preserve"> Lagere regelgeving, zoals algemene maatregelen van bestuur (</w:t>
      </w:r>
      <w:proofErr w:type="spellStart"/>
      <w:r w:rsidR="00200702">
        <w:rPr>
          <w:sz w:val="16"/>
          <w:szCs w:val="16"/>
        </w:rPr>
        <w:t>amvb’s</w:t>
      </w:r>
      <w:proofErr w:type="spellEnd"/>
      <w:r w:rsidR="00200702">
        <w:rPr>
          <w:sz w:val="16"/>
          <w:szCs w:val="16"/>
        </w:rPr>
        <w:t xml:space="preserve">) en ministeriële regelingen, moet daarvan worden onderscheiden. </w:t>
      </w:r>
    </w:p>
  </w:footnote>
  <w:footnote w:id="8">
    <w:p w14:paraId="0032490D" w14:textId="77777777" w:rsidR="00531E23" w:rsidRDefault="00531E23" w:rsidP="00531E23">
      <w:pPr>
        <w:pStyle w:val="Voetnoottekst"/>
      </w:pPr>
      <w:r w:rsidRPr="009810A8">
        <w:rPr>
          <w:rStyle w:val="Voetnootmarkering"/>
          <w:sz w:val="16"/>
          <w:szCs w:val="16"/>
        </w:rPr>
        <w:footnoteRef/>
      </w:r>
      <w:r w:rsidRPr="009810A8">
        <w:rPr>
          <w:sz w:val="16"/>
          <w:szCs w:val="16"/>
        </w:rPr>
        <w:t xml:space="preserve"> </w:t>
      </w:r>
      <w:r>
        <w:rPr>
          <w:sz w:val="16"/>
          <w:szCs w:val="16"/>
        </w:rPr>
        <w:t>Artikel 120 behelst ook een verbod om verdragen aan de Grondwet te toetsen. Op dit aspect zal hieronder in de paragraaf over rijkswetten nader worden ingegaan.</w:t>
      </w:r>
    </w:p>
  </w:footnote>
  <w:footnote w:id="9">
    <w:p w14:paraId="7B24BC91" w14:textId="3F2FF022" w:rsidR="00C526B9" w:rsidRPr="00966BC3" w:rsidRDefault="00C526B9">
      <w:pPr>
        <w:pStyle w:val="Voetnoottekst"/>
        <w:rPr>
          <w:sz w:val="16"/>
          <w:szCs w:val="16"/>
        </w:rPr>
      </w:pPr>
      <w:r w:rsidRPr="00966BC3">
        <w:rPr>
          <w:rStyle w:val="Voetnootmarkering"/>
          <w:sz w:val="16"/>
          <w:szCs w:val="16"/>
        </w:rPr>
        <w:footnoteRef/>
      </w:r>
      <w:r w:rsidRPr="00966BC3">
        <w:rPr>
          <w:sz w:val="16"/>
          <w:szCs w:val="16"/>
        </w:rPr>
        <w:t xml:space="preserve"> Artikel 53 EVRM</w:t>
      </w:r>
      <w:r w:rsidR="00243D9C">
        <w:rPr>
          <w:sz w:val="16"/>
          <w:szCs w:val="16"/>
        </w:rPr>
        <w:t xml:space="preserve"> en artikel 53 EU-Handvest</w:t>
      </w:r>
      <w:r w:rsidR="00FD790C" w:rsidRPr="00966BC3">
        <w:rPr>
          <w:sz w:val="16"/>
          <w:szCs w:val="16"/>
        </w:rPr>
        <w:t xml:space="preserve">. </w:t>
      </w:r>
    </w:p>
  </w:footnote>
  <w:footnote w:id="10">
    <w:p w14:paraId="1FCC298F" w14:textId="313CAAD3" w:rsidR="008D096B" w:rsidRPr="00966BC3" w:rsidRDefault="008D096B" w:rsidP="008D096B">
      <w:pPr>
        <w:pStyle w:val="Voetnoottekst"/>
        <w:rPr>
          <w:sz w:val="16"/>
          <w:szCs w:val="16"/>
        </w:rPr>
      </w:pPr>
      <w:r w:rsidRPr="00966BC3">
        <w:rPr>
          <w:rStyle w:val="Voetnootmarkering"/>
          <w:sz w:val="16"/>
          <w:szCs w:val="16"/>
        </w:rPr>
        <w:footnoteRef/>
      </w:r>
      <w:r w:rsidRPr="00966BC3">
        <w:rPr>
          <w:sz w:val="16"/>
          <w:szCs w:val="16"/>
        </w:rPr>
        <w:t xml:space="preserve"> </w:t>
      </w:r>
      <w:r w:rsidR="00CC433F">
        <w:rPr>
          <w:sz w:val="16"/>
          <w:szCs w:val="16"/>
        </w:rPr>
        <w:t>Volgens de huidige stand van de rechtspraak kan de nationale rechter een wettelijke bepaling niet buiten toepassing laten wegens onverenigbaarheid met een ieder verbindende bepaling in de zin van artikel 94 Grondwe</w:t>
      </w:r>
      <w:r w:rsidR="00791666">
        <w:rPr>
          <w:sz w:val="16"/>
          <w:szCs w:val="16"/>
        </w:rPr>
        <w:t>t</w:t>
      </w:r>
      <w:r w:rsidR="00CC433F">
        <w:rPr>
          <w:sz w:val="16"/>
          <w:szCs w:val="16"/>
        </w:rPr>
        <w:t xml:space="preserve"> op basis van een uitleg die leidt tot een verdergaande bescherming dan </w:t>
      </w:r>
      <w:r w:rsidR="00791666">
        <w:rPr>
          <w:sz w:val="16"/>
          <w:szCs w:val="16"/>
        </w:rPr>
        <w:t xml:space="preserve">het EHRM biedt, zie </w:t>
      </w:r>
      <w:r w:rsidRPr="00966BC3">
        <w:rPr>
          <w:sz w:val="16"/>
          <w:szCs w:val="16"/>
        </w:rPr>
        <w:t>HR 22 november 2013, ECLI:NL:HR:2013:1211, en HR 16 december 2016, ECLI:NL:HR:2016:2888 (Pelsdierhouders/Staat).</w:t>
      </w:r>
    </w:p>
  </w:footnote>
  <w:footnote w:id="11">
    <w:p w14:paraId="76631A0E" w14:textId="5B3BBE6D" w:rsidR="008D096B" w:rsidRPr="00966BC3" w:rsidRDefault="008D096B" w:rsidP="008D096B">
      <w:pPr>
        <w:pStyle w:val="Voetnoottekst"/>
        <w:rPr>
          <w:sz w:val="16"/>
          <w:szCs w:val="16"/>
        </w:rPr>
      </w:pPr>
      <w:r w:rsidRPr="00966BC3">
        <w:rPr>
          <w:rStyle w:val="Voetnootmarkering"/>
          <w:sz w:val="16"/>
          <w:szCs w:val="16"/>
        </w:rPr>
        <w:footnoteRef/>
      </w:r>
      <w:r w:rsidRPr="00966BC3">
        <w:rPr>
          <w:sz w:val="16"/>
          <w:szCs w:val="16"/>
        </w:rPr>
        <w:t xml:space="preserve"> </w:t>
      </w:r>
      <w:r w:rsidRPr="00966BC3">
        <w:rPr>
          <w:rFonts w:eastAsia="Arial" w:cstheme="minorBidi"/>
          <w:color w:val="000000" w:themeColor="text1"/>
          <w:kern w:val="2"/>
          <w:sz w:val="16"/>
          <w:szCs w:val="16"/>
          <w:lang w:eastAsia="en-US"/>
          <w14:ligatures w14:val="standardContextual"/>
        </w:rPr>
        <w:t xml:space="preserve">In tegenstelling tot artikel 6 EVRM heeft artikel 17 Grondwet betrekking op alle rechtsgeschillen, dus ook op geschillen met betrekking tot de toelating en uitzetting van vreemdelingen, fiscale procedures en alle (arbeidsrechtelijke) geschillen van ambtenaren. Zie ook </w:t>
      </w:r>
      <w:r w:rsidRPr="00695B6B">
        <w:rPr>
          <w:i/>
          <w:iCs/>
          <w:sz w:val="16"/>
          <w:szCs w:val="16"/>
        </w:rPr>
        <w:t>Kamerstukken II</w:t>
      </w:r>
      <w:r w:rsidRPr="00966BC3">
        <w:rPr>
          <w:sz w:val="16"/>
          <w:szCs w:val="16"/>
        </w:rPr>
        <w:t xml:space="preserve"> 2015/16, 34 517, nr. 3, p. 17.</w:t>
      </w:r>
      <w:r w:rsidR="00286593">
        <w:rPr>
          <w:sz w:val="16"/>
          <w:szCs w:val="16"/>
        </w:rPr>
        <w:t xml:space="preserve"> </w:t>
      </w:r>
    </w:p>
  </w:footnote>
  <w:footnote w:id="12">
    <w:p w14:paraId="31A23D19" w14:textId="4211EDA4" w:rsidR="00563504" w:rsidRPr="009810A8" w:rsidRDefault="00563504">
      <w:pPr>
        <w:pStyle w:val="Voetnoottekst"/>
        <w:rPr>
          <w:sz w:val="16"/>
          <w:szCs w:val="16"/>
        </w:rPr>
      </w:pPr>
      <w:r w:rsidRPr="009810A8">
        <w:rPr>
          <w:rStyle w:val="Voetnootmarkering"/>
          <w:sz w:val="16"/>
          <w:szCs w:val="16"/>
        </w:rPr>
        <w:footnoteRef/>
      </w:r>
      <w:r w:rsidRPr="009810A8">
        <w:rPr>
          <w:sz w:val="16"/>
          <w:szCs w:val="16"/>
        </w:rPr>
        <w:t xml:space="preserve"> Artikel 51, eerste lid, EU-Handvest.</w:t>
      </w:r>
    </w:p>
  </w:footnote>
  <w:footnote w:id="13">
    <w:p w14:paraId="5D3C82EE" w14:textId="213A4DA2" w:rsidR="000E0196" w:rsidRPr="008B32A2" w:rsidRDefault="000E0196">
      <w:pPr>
        <w:pStyle w:val="Voetnoottekst"/>
        <w:rPr>
          <w:sz w:val="16"/>
          <w:szCs w:val="16"/>
        </w:rPr>
      </w:pPr>
      <w:r w:rsidRPr="008B32A2">
        <w:rPr>
          <w:rStyle w:val="Voetnootmarkering"/>
          <w:sz w:val="16"/>
          <w:szCs w:val="16"/>
        </w:rPr>
        <w:footnoteRef/>
      </w:r>
      <w:r w:rsidRPr="008B32A2">
        <w:rPr>
          <w:sz w:val="16"/>
          <w:szCs w:val="16"/>
        </w:rPr>
        <w:t xml:space="preserve"> Dat zijn de artikelen 1, 2, derde en vierde lid, 3 tot en met 9, 10, eerste lid, 11 tot en met 17, 18, eerste lid, 19, derde lid, 23, tweede, derde, vijfde, zesde en zevende lid, Grondwet.</w:t>
      </w:r>
    </w:p>
  </w:footnote>
  <w:footnote w:id="14">
    <w:p w14:paraId="71CBE0F4" w14:textId="7E69FC34" w:rsidR="00BF48A6" w:rsidRPr="00966BC3" w:rsidRDefault="00BF48A6" w:rsidP="00BF48A6">
      <w:pPr>
        <w:pStyle w:val="Voetnoottekst"/>
        <w:rPr>
          <w:sz w:val="16"/>
          <w:szCs w:val="16"/>
        </w:rPr>
      </w:pPr>
      <w:r w:rsidRPr="008B32A2">
        <w:rPr>
          <w:rStyle w:val="Voetnootmarkering"/>
          <w:sz w:val="16"/>
          <w:szCs w:val="16"/>
        </w:rPr>
        <w:footnoteRef/>
      </w:r>
      <w:r w:rsidRPr="008B32A2">
        <w:rPr>
          <w:sz w:val="16"/>
          <w:szCs w:val="16"/>
        </w:rPr>
        <w:t xml:space="preserve"> </w:t>
      </w:r>
      <w:r w:rsidR="000E0196" w:rsidRPr="008B32A2">
        <w:rPr>
          <w:sz w:val="16"/>
          <w:szCs w:val="16"/>
        </w:rPr>
        <w:t>Het gaat hier om de aanverwante bepalingen die zijn vermeld in de Kamerbrief over het toetsingskader constitutionele toetsing van april 2024 (</w:t>
      </w:r>
      <w:r w:rsidR="000E0196" w:rsidRPr="008B32A2">
        <w:rPr>
          <w:i/>
          <w:iCs/>
          <w:sz w:val="16"/>
          <w:szCs w:val="16"/>
        </w:rPr>
        <w:t>Kamerstukken II</w:t>
      </w:r>
      <w:r w:rsidR="000E0196" w:rsidRPr="008B32A2">
        <w:rPr>
          <w:sz w:val="16"/>
          <w:szCs w:val="16"/>
        </w:rPr>
        <w:t xml:space="preserve"> 2023/24, 36 410 VII, nr. 105).</w:t>
      </w:r>
    </w:p>
  </w:footnote>
  <w:footnote w:id="15">
    <w:p w14:paraId="4B1298DA" w14:textId="79C75E02" w:rsidR="008D096B" w:rsidRPr="00966BC3" w:rsidRDefault="008D096B" w:rsidP="008D096B">
      <w:pPr>
        <w:pStyle w:val="Voetnoottekst"/>
        <w:rPr>
          <w:sz w:val="16"/>
          <w:szCs w:val="16"/>
        </w:rPr>
      </w:pPr>
      <w:r w:rsidRPr="00966BC3">
        <w:rPr>
          <w:rStyle w:val="Voetnootmarkering"/>
          <w:sz w:val="16"/>
          <w:szCs w:val="16"/>
        </w:rPr>
        <w:footnoteRef/>
      </w:r>
      <w:r w:rsidRPr="00966BC3">
        <w:rPr>
          <w:sz w:val="16"/>
          <w:szCs w:val="16"/>
        </w:rPr>
        <w:t xml:space="preserve"> Zie bijv. </w:t>
      </w:r>
      <w:r w:rsidR="002E7A94" w:rsidRPr="00966BC3">
        <w:rPr>
          <w:i/>
          <w:iCs/>
          <w:sz w:val="16"/>
          <w:szCs w:val="16"/>
        </w:rPr>
        <w:t>De gebroken belofte van de rechtsstaat</w:t>
      </w:r>
      <w:r w:rsidR="002E7A94" w:rsidRPr="00966BC3">
        <w:rPr>
          <w:sz w:val="16"/>
          <w:szCs w:val="16"/>
        </w:rPr>
        <w:t xml:space="preserve">, </w:t>
      </w:r>
      <w:r w:rsidRPr="00966BC3">
        <w:rPr>
          <w:sz w:val="16"/>
          <w:szCs w:val="16"/>
        </w:rPr>
        <w:t>rapport van de Staatscommissie rechtsstaat</w:t>
      </w:r>
      <w:r w:rsidR="002E7A94" w:rsidRPr="00966BC3">
        <w:rPr>
          <w:sz w:val="16"/>
          <w:szCs w:val="16"/>
        </w:rPr>
        <w:t>,</w:t>
      </w:r>
      <w:r w:rsidRPr="00966BC3">
        <w:rPr>
          <w:sz w:val="16"/>
          <w:szCs w:val="16"/>
        </w:rPr>
        <w:t xml:space="preserve"> </w:t>
      </w:r>
      <w:r w:rsidR="006741E0" w:rsidRPr="00966BC3">
        <w:rPr>
          <w:sz w:val="16"/>
          <w:szCs w:val="16"/>
        </w:rPr>
        <w:t>(</w:t>
      </w:r>
      <w:r w:rsidR="002E7A94" w:rsidRPr="00966BC3">
        <w:rPr>
          <w:sz w:val="16"/>
          <w:szCs w:val="16"/>
        </w:rPr>
        <w:t xml:space="preserve">juni </w:t>
      </w:r>
      <w:r w:rsidRPr="00966BC3">
        <w:rPr>
          <w:sz w:val="16"/>
          <w:szCs w:val="16"/>
        </w:rPr>
        <w:t>2024</w:t>
      </w:r>
      <w:r w:rsidR="006741E0" w:rsidRPr="00966BC3">
        <w:rPr>
          <w:sz w:val="16"/>
          <w:szCs w:val="16"/>
        </w:rPr>
        <w:t>)</w:t>
      </w:r>
      <w:r w:rsidRPr="00966BC3">
        <w:rPr>
          <w:sz w:val="16"/>
          <w:szCs w:val="16"/>
        </w:rPr>
        <w:t>, p. 47</w:t>
      </w:r>
      <w:r w:rsidR="007B33EE">
        <w:rPr>
          <w:sz w:val="16"/>
          <w:szCs w:val="16"/>
        </w:rPr>
        <w:t>. Zie ook</w:t>
      </w:r>
      <w:r w:rsidR="00334B54">
        <w:rPr>
          <w:sz w:val="16"/>
          <w:szCs w:val="16"/>
        </w:rPr>
        <w:t xml:space="preserve"> de brief van het College voor de Rechten van de Mens </w:t>
      </w:r>
      <w:r w:rsidR="007B33EE">
        <w:rPr>
          <w:sz w:val="16"/>
          <w:szCs w:val="16"/>
        </w:rPr>
        <w:t xml:space="preserve">aan de vaste commissie van Binnenlandse Zaken </w:t>
      </w:r>
      <w:r w:rsidR="00334B54">
        <w:rPr>
          <w:sz w:val="16"/>
          <w:szCs w:val="16"/>
        </w:rPr>
        <w:t>van 3 september 2024</w:t>
      </w:r>
      <w:r w:rsidR="007B33EE">
        <w:rPr>
          <w:sz w:val="16"/>
          <w:szCs w:val="16"/>
        </w:rPr>
        <w:t>, waarin het college oproept tot het mogelijk maken van</w:t>
      </w:r>
      <w:r w:rsidR="00334B54">
        <w:rPr>
          <w:sz w:val="16"/>
          <w:szCs w:val="16"/>
        </w:rPr>
        <w:t xml:space="preserve"> constitutionele toetsing</w:t>
      </w:r>
      <w:r w:rsidR="007B33EE">
        <w:rPr>
          <w:sz w:val="16"/>
          <w:szCs w:val="16"/>
        </w:rPr>
        <w:t xml:space="preserve"> aan alle grondrechten</w:t>
      </w:r>
      <w:r w:rsidR="00334B54">
        <w:rPr>
          <w:sz w:val="16"/>
          <w:szCs w:val="16"/>
        </w:rPr>
        <w:t>.</w:t>
      </w:r>
    </w:p>
  </w:footnote>
  <w:footnote w:id="16">
    <w:p w14:paraId="546BE6F1" w14:textId="77777777" w:rsidR="003E4C53" w:rsidRPr="002F75AE" w:rsidRDefault="003E4C53">
      <w:pPr>
        <w:pStyle w:val="Voetnoottekst"/>
        <w:rPr>
          <w:sz w:val="16"/>
          <w:szCs w:val="16"/>
        </w:rPr>
      </w:pPr>
      <w:r w:rsidRPr="002F75AE">
        <w:rPr>
          <w:rStyle w:val="Voetnootmarkering"/>
          <w:sz w:val="16"/>
          <w:szCs w:val="16"/>
        </w:rPr>
        <w:footnoteRef/>
      </w:r>
      <w:r w:rsidRPr="002F75AE">
        <w:rPr>
          <w:sz w:val="16"/>
          <w:szCs w:val="16"/>
        </w:rPr>
        <w:t xml:space="preserve"> Op grond van artikel 2, tweede lid, Rijkswet goedkeuring en bekendmaking verdragen wordt bij de voorlegging van een verdrag ter goedkeuring aan de Staten-Generaal aangegeven of het verdrag naar het oordeel van de regering bepalingen bevat die naar hun inhoud een ieder kunnen verbinden en, indien </w:t>
      </w:r>
      <w:r w:rsidR="008A489F">
        <w:rPr>
          <w:sz w:val="16"/>
          <w:szCs w:val="16"/>
        </w:rPr>
        <w:t xml:space="preserve">dit </w:t>
      </w:r>
      <w:r w:rsidRPr="002F75AE">
        <w:rPr>
          <w:sz w:val="16"/>
          <w:szCs w:val="16"/>
        </w:rPr>
        <w:t>het geval is, welke bepalingen het betreft.</w:t>
      </w:r>
    </w:p>
  </w:footnote>
  <w:footnote w:id="17">
    <w:p w14:paraId="041F1C64" w14:textId="77777777" w:rsidR="00314FA8" w:rsidRPr="00966BC3" w:rsidRDefault="00314FA8" w:rsidP="00314FA8">
      <w:pPr>
        <w:pStyle w:val="Voetnoottekst"/>
        <w:rPr>
          <w:sz w:val="16"/>
          <w:szCs w:val="16"/>
        </w:rPr>
      </w:pPr>
      <w:r w:rsidRPr="00966BC3">
        <w:rPr>
          <w:rStyle w:val="Voetnootmarkering"/>
          <w:sz w:val="16"/>
          <w:szCs w:val="16"/>
        </w:rPr>
        <w:footnoteRef/>
      </w:r>
      <w:r w:rsidRPr="00966BC3">
        <w:rPr>
          <w:sz w:val="16"/>
          <w:szCs w:val="16"/>
        </w:rPr>
        <w:t xml:space="preserve"> </w:t>
      </w:r>
      <w:r w:rsidRPr="00966BC3">
        <w:rPr>
          <w:i/>
          <w:iCs/>
          <w:sz w:val="16"/>
          <w:szCs w:val="16"/>
        </w:rPr>
        <w:t>Kamerstukken I</w:t>
      </w:r>
      <w:r w:rsidRPr="00966BC3">
        <w:rPr>
          <w:sz w:val="16"/>
          <w:szCs w:val="16"/>
        </w:rPr>
        <w:t xml:space="preserve"> 2017/18, 34 516, nr. C, p. 2</w:t>
      </w:r>
    </w:p>
  </w:footnote>
  <w:footnote w:id="18">
    <w:p w14:paraId="3890CF37" w14:textId="77777777" w:rsidR="00314FA8" w:rsidRPr="00966BC3" w:rsidRDefault="00314FA8" w:rsidP="00314FA8">
      <w:pPr>
        <w:pStyle w:val="Voetnoottekst"/>
        <w:rPr>
          <w:sz w:val="16"/>
          <w:szCs w:val="16"/>
        </w:rPr>
      </w:pPr>
      <w:r w:rsidRPr="00966BC3">
        <w:rPr>
          <w:rStyle w:val="Voetnootmarkering"/>
          <w:sz w:val="16"/>
          <w:szCs w:val="16"/>
        </w:rPr>
        <w:footnoteRef/>
      </w:r>
      <w:r w:rsidRPr="00966BC3">
        <w:rPr>
          <w:sz w:val="16"/>
          <w:szCs w:val="16"/>
        </w:rPr>
        <w:t xml:space="preserve"> </w:t>
      </w:r>
      <w:r w:rsidRPr="00966BC3">
        <w:rPr>
          <w:i/>
          <w:iCs/>
          <w:sz w:val="16"/>
          <w:szCs w:val="16"/>
        </w:rPr>
        <w:t>Kamerstukken I</w:t>
      </w:r>
      <w:r w:rsidRPr="00966BC3">
        <w:rPr>
          <w:sz w:val="16"/>
          <w:szCs w:val="16"/>
        </w:rPr>
        <w:t xml:space="preserve"> 2017/18, 34 516, nr. C, p. 2.</w:t>
      </w:r>
    </w:p>
  </w:footnote>
  <w:footnote w:id="19">
    <w:p w14:paraId="266A553D" w14:textId="77777777" w:rsidR="00314FA8" w:rsidRPr="00966BC3" w:rsidRDefault="00314FA8" w:rsidP="00314FA8">
      <w:pPr>
        <w:pStyle w:val="Voetnoottekst"/>
        <w:rPr>
          <w:sz w:val="16"/>
          <w:szCs w:val="16"/>
        </w:rPr>
      </w:pPr>
      <w:r w:rsidRPr="00966BC3">
        <w:rPr>
          <w:rStyle w:val="Voetnootmarkering"/>
          <w:sz w:val="16"/>
          <w:szCs w:val="16"/>
        </w:rPr>
        <w:footnoteRef/>
      </w:r>
      <w:r w:rsidRPr="00966BC3">
        <w:rPr>
          <w:sz w:val="16"/>
          <w:szCs w:val="16"/>
        </w:rPr>
        <w:t xml:space="preserve"> </w:t>
      </w:r>
      <w:r w:rsidRPr="00966BC3">
        <w:rPr>
          <w:i/>
          <w:iCs/>
          <w:sz w:val="16"/>
          <w:szCs w:val="16"/>
        </w:rPr>
        <w:t>Kamerstukken II</w:t>
      </w:r>
      <w:r w:rsidRPr="00966BC3">
        <w:rPr>
          <w:sz w:val="16"/>
          <w:szCs w:val="16"/>
        </w:rPr>
        <w:t xml:space="preserve"> 2015/16, 34 516, nr. 3, p. 9.</w:t>
      </w:r>
    </w:p>
  </w:footnote>
  <w:footnote w:id="20">
    <w:p w14:paraId="1C965134" w14:textId="2AFA622C" w:rsidR="008D096B" w:rsidRPr="00966BC3" w:rsidRDefault="008D096B" w:rsidP="008D096B">
      <w:pPr>
        <w:pStyle w:val="Voetnoottekst"/>
        <w:rPr>
          <w:sz w:val="16"/>
          <w:szCs w:val="16"/>
        </w:rPr>
      </w:pPr>
      <w:r w:rsidRPr="00966BC3">
        <w:rPr>
          <w:rStyle w:val="Voetnootmarkering"/>
          <w:sz w:val="16"/>
          <w:szCs w:val="16"/>
        </w:rPr>
        <w:footnoteRef/>
      </w:r>
      <w:r w:rsidRPr="00966BC3">
        <w:rPr>
          <w:sz w:val="16"/>
          <w:szCs w:val="16"/>
        </w:rPr>
        <w:t xml:space="preserve"> Zie HR 14 april 1989, ECLI:NL:HR:1989:AD5725 (Harmonisatiewet), </w:t>
      </w:r>
      <w:proofErr w:type="spellStart"/>
      <w:r w:rsidRPr="00966BC3">
        <w:rPr>
          <w:sz w:val="16"/>
          <w:szCs w:val="16"/>
        </w:rPr>
        <w:t>ABRvS</w:t>
      </w:r>
      <w:proofErr w:type="spellEnd"/>
      <w:r w:rsidRPr="00966BC3">
        <w:rPr>
          <w:sz w:val="16"/>
          <w:szCs w:val="16"/>
        </w:rPr>
        <w:t xml:space="preserve"> 1 maart 2023, ECLI:NL:RVS:2023:772 en </w:t>
      </w:r>
      <w:proofErr w:type="spellStart"/>
      <w:r w:rsidRPr="00966BC3">
        <w:rPr>
          <w:sz w:val="16"/>
          <w:szCs w:val="16"/>
        </w:rPr>
        <w:t>CBb</w:t>
      </w:r>
      <w:proofErr w:type="spellEnd"/>
      <w:r w:rsidRPr="00966BC3">
        <w:rPr>
          <w:sz w:val="16"/>
          <w:szCs w:val="16"/>
        </w:rPr>
        <w:t xml:space="preserve"> 26 maart 2024, ECLI:NL:CBB:2024:190.</w:t>
      </w:r>
      <w:r w:rsidR="005B7261">
        <w:rPr>
          <w:sz w:val="16"/>
          <w:szCs w:val="16"/>
        </w:rPr>
        <w:t xml:space="preserve"> </w:t>
      </w:r>
    </w:p>
  </w:footnote>
  <w:footnote w:id="21">
    <w:p w14:paraId="4D3C7018" w14:textId="152FD1F3" w:rsidR="00741A18" w:rsidRPr="00966BC3" w:rsidRDefault="00741A18">
      <w:pPr>
        <w:pStyle w:val="Voetnoottekst"/>
        <w:rPr>
          <w:sz w:val="16"/>
          <w:szCs w:val="16"/>
        </w:rPr>
      </w:pPr>
      <w:r w:rsidRPr="00966BC3">
        <w:rPr>
          <w:rStyle w:val="Voetnootmarkering"/>
          <w:sz w:val="16"/>
          <w:szCs w:val="16"/>
        </w:rPr>
        <w:footnoteRef/>
      </w:r>
      <w:r w:rsidRPr="00966BC3">
        <w:rPr>
          <w:sz w:val="16"/>
          <w:szCs w:val="16"/>
        </w:rPr>
        <w:t xml:space="preserve"> De zogeheten contra-</w:t>
      </w:r>
      <w:proofErr w:type="spellStart"/>
      <w:r w:rsidRPr="00966BC3">
        <w:rPr>
          <w:sz w:val="16"/>
          <w:szCs w:val="16"/>
        </w:rPr>
        <w:t>legemtoepassing</w:t>
      </w:r>
      <w:proofErr w:type="spellEnd"/>
      <w:r w:rsidRPr="00966BC3">
        <w:rPr>
          <w:sz w:val="16"/>
          <w:szCs w:val="16"/>
        </w:rPr>
        <w:t xml:space="preserve"> van algemene rechtsbeginselen.</w:t>
      </w:r>
      <w:r w:rsidR="005776EE">
        <w:rPr>
          <w:sz w:val="16"/>
          <w:szCs w:val="16"/>
        </w:rPr>
        <w:t xml:space="preserve"> Zie bijv. HR 19 december 2014, </w:t>
      </w:r>
      <w:r w:rsidR="005776EE" w:rsidRPr="005776EE">
        <w:rPr>
          <w:sz w:val="16"/>
          <w:szCs w:val="16"/>
        </w:rPr>
        <w:t>ECLI:NL:HR:2014:3679</w:t>
      </w:r>
      <w:r w:rsidR="005776EE">
        <w:rPr>
          <w:sz w:val="16"/>
          <w:szCs w:val="16"/>
        </w:rPr>
        <w:t xml:space="preserve"> en </w:t>
      </w:r>
      <w:proofErr w:type="spellStart"/>
      <w:r w:rsidR="005776EE">
        <w:rPr>
          <w:sz w:val="16"/>
          <w:szCs w:val="16"/>
        </w:rPr>
        <w:t>ABRvS</w:t>
      </w:r>
      <w:proofErr w:type="spellEnd"/>
      <w:r w:rsidR="005776EE">
        <w:rPr>
          <w:sz w:val="16"/>
          <w:szCs w:val="16"/>
        </w:rPr>
        <w:t xml:space="preserve"> 28 augustus 2024, ECLI:NL:RVS:2024:3497.</w:t>
      </w:r>
    </w:p>
  </w:footnote>
  <w:footnote w:id="22">
    <w:p w14:paraId="4DB5F601" w14:textId="77777777" w:rsidR="008D096B" w:rsidRPr="00966BC3" w:rsidRDefault="008D096B" w:rsidP="008D096B">
      <w:pPr>
        <w:pStyle w:val="Voetnoottekst"/>
        <w:rPr>
          <w:sz w:val="16"/>
          <w:szCs w:val="16"/>
        </w:rPr>
      </w:pPr>
      <w:r w:rsidRPr="00966BC3">
        <w:rPr>
          <w:rStyle w:val="Voetnootmarkering"/>
          <w:sz w:val="16"/>
          <w:szCs w:val="16"/>
        </w:rPr>
        <w:footnoteRef/>
      </w:r>
      <w:r w:rsidRPr="00966BC3">
        <w:rPr>
          <w:sz w:val="16"/>
          <w:szCs w:val="16"/>
        </w:rPr>
        <w:t xml:space="preserve"> Zie hiervoor bijvoorbeeld </w:t>
      </w:r>
      <w:proofErr w:type="spellStart"/>
      <w:r w:rsidRPr="00966BC3">
        <w:rPr>
          <w:sz w:val="16"/>
          <w:szCs w:val="16"/>
        </w:rPr>
        <w:t>ABRvS</w:t>
      </w:r>
      <w:proofErr w:type="spellEnd"/>
      <w:r w:rsidRPr="00966BC3">
        <w:rPr>
          <w:sz w:val="16"/>
          <w:szCs w:val="16"/>
        </w:rPr>
        <w:t xml:space="preserve"> 1 maart 2023, ECLI:NL:RVS:2023:772, overweging 9.1.</w:t>
      </w:r>
    </w:p>
  </w:footnote>
  <w:footnote w:id="23">
    <w:p w14:paraId="62D0E249" w14:textId="0DAD4CE4" w:rsidR="004E1CF0" w:rsidRPr="009810A8" w:rsidRDefault="004E1CF0">
      <w:pPr>
        <w:pStyle w:val="Voetnoottekst"/>
        <w:rPr>
          <w:sz w:val="16"/>
          <w:szCs w:val="16"/>
        </w:rPr>
      </w:pPr>
      <w:r w:rsidRPr="009810A8">
        <w:rPr>
          <w:rStyle w:val="Voetnootmarkering"/>
          <w:sz w:val="16"/>
          <w:szCs w:val="16"/>
        </w:rPr>
        <w:footnoteRef/>
      </w:r>
      <w:r w:rsidRPr="009810A8">
        <w:rPr>
          <w:sz w:val="16"/>
          <w:szCs w:val="16"/>
        </w:rPr>
        <w:t xml:space="preserve"> </w:t>
      </w:r>
      <w:r w:rsidR="00BD7914">
        <w:rPr>
          <w:sz w:val="16"/>
          <w:szCs w:val="16"/>
        </w:rPr>
        <w:t>Zie bijv. artikel 8 Grondwet: “</w:t>
      </w:r>
      <w:r w:rsidR="00BD7914" w:rsidRPr="00BD7914">
        <w:rPr>
          <w:sz w:val="16"/>
          <w:szCs w:val="16"/>
        </w:rPr>
        <w:t>Het recht tot vereniging wordt erkend. Bij de wet kan dit recht worden beperkt in het belang van de openbare orde.</w:t>
      </w:r>
      <w:r w:rsidR="00BD7914">
        <w:rPr>
          <w:sz w:val="16"/>
          <w:szCs w:val="16"/>
        </w:rPr>
        <w:t>” De woorden ‘bij de wet’ betekenen dat alleen de wetgever in formele zin (regering en Staten-Generaal) het grondrecht mag beperken en dat delegatie van de beperkingsbevoegdheid niet is toegestaan.</w:t>
      </w:r>
    </w:p>
  </w:footnote>
  <w:footnote w:id="24">
    <w:p w14:paraId="449F7C27" w14:textId="15D8FB66" w:rsidR="008D096B" w:rsidRPr="00966BC3" w:rsidRDefault="008D096B" w:rsidP="008D096B">
      <w:pPr>
        <w:pStyle w:val="Voetnoottekst"/>
        <w:rPr>
          <w:sz w:val="16"/>
          <w:szCs w:val="16"/>
        </w:rPr>
      </w:pPr>
      <w:r w:rsidRPr="00966BC3">
        <w:rPr>
          <w:rStyle w:val="Voetnootmarkering"/>
          <w:sz w:val="16"/>
          <w:szCs w:val="16"/>
        </w:rPr>
        <w:footnoteRef/>
      </w:r>
      <w:r w:rsidR="008A1282" w:rsidRPr="00966BC3">
        <w:rPr>
          <w:sz w:val="16"/>
          <w:szCs w:val="16"/>
        </w:rPr>
        <w:t xml:space="preserve"> Zoals opgenomen in het onderzoek dat zij </w:t>
      </w:r>
      <w:r w:rsidR="008A1282" w:rsidRPr="00BA04CA">
        <w:rPr>
          <w:sz w:val="16"/>
          <w:szCs w:val="16"/>
        </w:rPr>
        <w:t>verricht</w:t>
      </w:r>
      <w:r w:rsidR="00BA04CA">
        <w:rPr>
          <w:sz w:val="16"/>
          <w:szCs w:val="16"/>
        </w:rPr>
        <w:t>t</w:t>
      </w:r>
      <w:r w:rsidR="008A1282" w:rsidRPr="00BA04CA">
        <w:rPr>
          <w:sz w:val="16"/>
          <w:szCs w:val="16"/>
        </w:rPr>
        <w:t>en in opdracht van het ministerie van Binnenlandse Zaken en Koninkrijksrelaties en dat</w:t>
      </w:r>
      <w:r w:rsidR="008A1282" w:rsidRPr="00966BC3">
        <w:rPr>
          <w:sz w:val="16"/>
          <w:szCs w:val="16"/>
        </w:rPr>
        <w:t xml:space="preserve"> begin </w:t>
      </w:r>
      <w:r w:rsidR="00FA23F9">
        <w:rPr>
          <w:sz w:val="16"/>
          <w:szCs w:val="16"/>
        </w:rPr>
        <w:t>vorig</w:t>
      </w:r>
      <w:r w:rsidR="008A1282" w:rsidRPr="00966BC3">
        <w:rPr>
          <w:sz w:val="16"/>
          <w:szCs w:val="16"/>
        </w:rPr>
        <w:t xml:space="preserve"> jaar is gepubliceerd:</w:t>
      </w:r>
      <w:r w:rsidRPr="00966BC3">
        <w:rPr>
          <w:sz w:val="16"/>
          <w:szCs w:val="16"/>
        </w:rPr>
        <w:t xml:space="preserve"> </w:t>
      </w:r>
      <w:r w:rsidR="002E7A94" w:rsidRPr="00966BC3">
        <w:rPr>
          <w:sz w:val="16"/>
          <w:szCs w:val="16"/>
        </w:rPr>
        <w:t xml:space="preserve">zie bijlage bij </w:t>
      </w:r>
      <w:r w:rsidR="002E7A94" w:rsidRPr="00966BC3">
        <w:rPr>
          <w:i/>
          <w:iCs/>
          <w:sz w:val="16"/>
          <w:szCs w:val="16"/>
        </w:rPr>
        <w:t>Kamerstukken II</w:t>
      </w:r>
      <w:r w:rsidR="002E7A94" w:rsidRPr="00966BC3">
        <w:rPr>
          <w:sz w:val="16"/>
          <w:szCs w:val="16"/>
        </w:rPr>
        <w:t xml:space="preserve"> 2023/24, 36 410 VII, nr. 106.</w:t>
      </w:r>
    </w:p>
  </w:footnote>
  <w:footnote w:id="25">
    <w:p w14:paraId="7CD058D0" w14:textId="7244B3C2" w:rsidR="00AF4448" w:rsidRPr="00966BC3" w:rsidRDefault="00AF4448">
      <w:pPr>
        <w:pStyle w:val="Voetnoottekst"/>
        <w:rPr>
          <w:sz w:val="16"/>
          <w:szCs w:val="16"/>
        </w:rPr>
      </w:pPr>
      <w:r w:rsidRPr="00966BC3">
        <w:rPr>
          <w:rStyle w:val="Voetnootmarkering"/>
          <w:sz w:val="16"/>
          <w:szCs w:val="16"/>
        </w:rPr>
        <w:footnoteRef/>
      </w:r>
      <w:r w:rsidRPr="00966BC3">
        <w:rPr>
          <w:sz w:val="16"/>
          <w:szCs w:val="16"/>
        </w:rPr>
        <w:t xml:space="preserve"> Artikel 52, </w:t>
      </w:r>
      <w:r w:rsidRPr="008B32A2">
        <w:rPr>
          <w:sz w:val="16"/>
          <w:szCs w:val="16"/>
        </w:rPr>
        <w:t xml:space="preserve">eerste lid </w:t>
      </w:r>
      <w:r w:rsidR="002E7A94" w:rsidRPr="008B32A2">
        <w:rPr>
          <w:sz w:val="16"/>
          <w:szCs w:val="16"/>
        </w:rPr>
        <w:t>EU-Handvest</w:t>
      </w:r>
      <w:r w:rsidR="005A0522" w:rsidRPr="008B32A2">
        <w:rPr>
          <w:sz w:val="16"/>
          <w:szCs w:val="16"/>
        </w:rPr>
        <w:t xml:space="preserve"> bepaalt</w:t>
      </w:r>
      <w:r w:rsidR="009114BB" w:rsidRPr="008B32A2">
        <w:rPr>
          <w:sz w:val="16"/>
          <w:szCs w:val="16"/>
        </w:rPr>
        <w:t>:</w:t>
      </w:r>
      <w:r w:rsidR="005A0522" w:rsidRPr="008B32A2">
        <w:rPr>
          <w:sz w:val="16"/>
          <w:szCs w:val="16"/>
        </w:rPr>
        <w:t xml:space="preserve"> ‘</w:t>
      </w:r>
      <w:r w:rsidR="009114BB" w:rsidRPr="008B32A2">
        <w:rPr>
          <w:sz w:val="16"/>
          <w:szCs w:val="16"/>
        </w:rPr>
        <w:t>B</w:t>
      </w:r>
      <w:r w:rsidR="005A0522" w:rsidRPr="008B32A2">
        <w:rPr>
          <w:sz w:val="16"/>
          <w:szCs w:val="16"/>
        </w:rPr>
        <w:t>eperkingen op de uitoefening van de in dit Handvest erkende rechten en vrijheden moeten bij wet worden gesteld en de wezenlijke inhoud van die rechten en vrijheden eerbiedigen. Met inachtneming van het evenredigheidsbeginsel kunnen slechts beperkingen worden gesteld indien zij noodzakelijk zijn en daadwerkelijk beantwoorden aan door de Unie erkende doelstellingen van algemeen belang of aan de eisen va</w:t>
      </w:r>
      <w:r w:rsidR="009114BB" w:rsidRPr="008B32A2">
        <w:rPr>
          <w:sz w:val="16"/>
          <w:szCs w:val="16"/>
        </w:rPr>
        <w:t>n</w:t>
      </w:r>
      <w:r w:rsidR="005A0522" w:rsidRPr="008B32A2">
        <w:rPr>
          <w:sz w:val="16"/>
          <w:szCs w:val="16"/>
        </w:rPr>
        <w:t xml:space="preserve"> de bescherming van de rechten en vrijheid van anderen’</w:t>
      </w:r>
      <w:r w:rsidRPr="008B32A2">
        <w:rPr>
          <w:sz w:val="16"/>
          <w:szCs w:val="16"/>
        </w:rPr>
        <w:t>.</w:t>
      </w:r>
    </w:p>
  </w:footnote>
  <w:footnote w:id="26">
    <w:p w14:paraId="7EF2CA10" w14:textId="5FD0385E" w:rsidR="008A26A8" w:rsidRPr="009810A8" w:rsidRDefault="008A26A8" w:rsidP="002775B2">
      <w:pPr>
        <w:pStyle w:val="Voetnoottekst"/>
        <w:rPr>
          <w:sz w:val="16"/>
          <w:szCs w:val="16"/>
        </w:rPr>
      </w:pPr>
      <w:r w:rsidRPr="009810A8">
        <w:rPr>
          <w:rStyle w:val="Voetnootmarkering"/>
          <w:sz w:val="16"/>
          <w:szCs w:val="16"/>
        </w:rPr>
        <w:footnoteRef/>
      </w:r>
      <w:r w:rsidRPr="009810A8">
        <w:rPr>
          <w:sz w:val="16"/>
          <w:szCs w:val="16"/>
        </w:rPr>
        <w:t xml:space="preserve"> </w:t>
      </w:r>
      <w:r w:rsidR="002775B2">
        <w:rPr>
          <w:sz w:val="16"/>
          <w:szCs w:val="16"/>
        </w:rPr>
        <w:t xml:space="preserve">De Staatscommissie Grondwet </w:t>
      </w:r>
      <w:r w:rsidR="005A321E">
        <w:rPr>
          <w:sz w:val="16"/>
          <w:szCs w:val="16"/>
        </w:rPr>
        <w:t>heeft</w:t>
      </w:r>
      <w:r w:rsidR="002775B2">
        <w:rPr>
          <w:sz w:val="16"/>
          <w:szCs w:val="16"/>
        </w:rPr>
        <w:t xml:space="preserve"> </w:t>
      </w:r>
      <w:r w:rsidR="005F52EF">
        <w:rPr>
          <w:sz w:val="16"/>
          <w:szCs w:val="16"/>
        </w:rPr>
        <w:t xml:space="preserve">in haar rapport uit 2010 (p. 55) </w:t>
      </w:r>
      <w:r w:rsidR="002775B2">
        <w:rPr>
          <w:sz w:val="16"/>
          <w:szCs w:val="16"/>
        </w:rPr>
        <w:t>de volgende bepaling voor</w:t>
      </w:r>
      <w:r w:rsidR="005A321E">
        <w:rPr>
          <w:sz w:val="16"/>
          <w:szCs w:val="16"/>
        </w:rPr>
        <w:t>gesteld</w:t>
      </w:r>
      <w:r w:rsidR="002775B2">
        <w:rPr>
          <w:sz w:val="16"/>
          <w:szCs w:val="16"/>
        </w:rPr>
        <w:t xml:space="preserve">: “1. </w:t>
      </w:r>
      <w:r w:rsidR="002775B2" w:rsidRPr="002775B2">
        <w:rPr>
          <w:sz w:val="16"/>
          <w:szCs w:val="16"/>
        </w:rPr>
        <w:t>Beperkingen van grondrechten gaan niet verder dan het doel van de</w:t>
      </w:r>
      <w:r w:rsidR="002775B2">
        <w:rPr>
          <w:sz w:val="16"/>
          <w:szCs w:val="16"/>
        </w:rPr>
        <w:t xml:space="preserve"> </w:t>
      </w:r>
      <w:r w:rsidR="002775B2" w:rsidRPr="002775B2">
        <w:rPr>
          <w:sz w:val="16"/>
          <w:szCs w:val="16"/>
        </w:rPr>
        <w:t>beperking vereist.</w:t>
      </w:r>
      <w:r w:rsidR="002775B2">
        <w:rPr>
          <w:sz w:val="16"/>
          <w:szCs w:val="16"/>
        </w:rPr>
        <w:t xml:space="preserve"> 2. </w:t>
      </w:r>
      <w:r w:rsidR="002775B2" w:rsidRPr="002775B2">
        <w:rPr>
          <w:sz w:val="16"/>
          <w:szCs w:val="16"/>
        </w:rPr>
        <w:t>De kern van grondrechten wordt niet aangetast.</w:t>
      </w:r>
      <w:r w:rsidR="002775B2">
        <w:rPr>
          <w:sz w:val="16"/>
          <w:szCs w:val="16"/>
        </w:rPr>
        <w:t xml:space="preserve">” </w:t>
      </w:r>
      <w:r w:rsidR="009D66F0">
        <w:rPr>
          <w:sz w:val="16"/>
          <w:szCs w:val="16"/>
        </w:rPr>
        <w:t xml:space="preserve">In de initiatiefnota (p. 33) </w:t>
      </w:r>
      <w:r w:rsidR="0013610C">
        <w:rPr>
          <w:sz w:val="16"/>
          <w:szCs w:val="16"/>
        </w:rPr>
        <w:t>toont</w:t>
      </w:r>
      <w:r w:rsidR="009D66F0">
        <w:rPr>
          <w:sz w:val="16"/>
          <w:szCs w:val="16"/>
        </w:rPr>
        <w:t xml:space="preserve"> het lid Omtzigt </w:t>
      </w:r>
      <w:r w:rsidR="0013610C">
        <w:rPr>
          <w:sz w:val="16"/>
          <w:szCs w:val="16"/>
        </w:rPr>
        <w:t xml:space="preserve">zich </w:t>
      </w:r>
      <w:r w:rsidR="009D66F0">
        <w:rPr>
          <w:sz w:val="16"/>
          <w:szCs w:val="16"/>
        </w:rPr>
        <w:t xml:space="preserve">eveneens </w:t>
      </w:r>
      <w:r w:rsidR="0013610C">
        <w:rPr>
          <w:sz w:val="16"/>
          <w:szCs w:val="16"/>
        </w:rPr>
        <w:t xml:space="preserve">voorstander van </w:t>
      </w:r>
      <w:r w:rsidR="009D66F0">
        <w:rPr>
          <w:sz w:val="16"/>
          <w:szCs w:val="16"/>
        </w:rPr>
        <w:t>een algemene, aanvullende beperkingsclausule</w:t>
      </w:r>
      <w:r w:rsidR="0013610C">
        <w:rPr>
          <w:sz w:val="16"/>
          <w:szCs w:val="16"/>
        </w:rPr>
        <w:t xml:space="preserve"> met een </w:t>
      </w:r>
      <w:r w:rsidR="00D4391B" w:rsidRPr="001574E0">
        <w:rPr>
          <w:sz w:val="16"/>
          <w:szCs w:val="16"/>
        </w:rPr>
        <w:t>proportionaliteitstoets</w:t>
      </w:r>
      <w:r w:rsidR="00D4391B">
        <w:rPr>
          <w:sz w:val="16"/>
          <w:szCs w:val="16"/>
        </w:rPr>
        <w:t xml:space="preserve">. </w:t>
      </w:r>
    </w:p>
  </w:footnote>
  <w:footnote w:id="27">
    <w:p w14:paraId="590272CD" w14:textId="14F28CE9" w:rsidR="00BE1B02" w:rsidRPr="009810A8" w:rsidRDefault="00BE1B02">
      <w:pPr>
        <w:pStyle w:val="Voetnoottekst"/>
        <w:rPr>
          <w:sz w:val="16"/>
          <w:szCs w:val="16"/>
        </w:rPr>
      </w:pPr>
      <w:r w:rsidRPr="009810A8">
        <w:rPr>
          <w:rStyle w:val="Voetnootmarkering"/>
          <w:sz w:val="16"/>
          <w:szCs w:val="16"/>
        </w:rPr>
        <w:footnoteRef/>
      </w:r>
      <w:r w:rsidRPr="009810A8">
        <w:rPr>
          <w:sz w:val="16"/>
          <w:szCs w:val="16"/>
        </w:rPr>
        <w:t xml:space="preserve"> Ook in de initiatiefnota van het lid Omtzigt wordt voorgesteld een grondwettelijk hof in te stellen (</w:t>
      </w:r>
      <w:r w:rsidRPr="00000CD0">
        <w:rPr>
          <w:i/>
          <w:iCs/>
          <w:sz w:val="16"/>
          <w:szCs w:val="16"/>
        </w:rPr>
        <w:t>Kamerstuk</w:t>
      </w:r>
      <w:r w:rsidR="00000CD0">
        <w:rPr>
          <w:i/>
          <w:iCs/>
          <w:sz w:val="16"/>
          <w:szCs w:val="16"/>
        </w:rPr>
        <w:t>ken II</w:t>
      </w:r>
      <w:r w:rsidR="00000CD0">
        <w:rPr>
          <w:sz w:val="16"/>
          <w:szCs w:val="16"/>
        </w:rPr>
        <w:t xml:space="preserve"> 2022/23,</w:t>
      </w:r>
      <w:r w:rsidRPr="009810A8">
        <w:rPr>
          <w:sz w:val="16"/>
          <w:szCs w:val="16"/>
        </w:rPr>
        <w:t xml:space="preserve"> 36</w:t>
      </w:r>
      <w:r w:rsidR="00922C38">
        <w:rPr>
          <w:sz w:val="16"/>
          <w:szCs w:val="16"/>
        </w:rPr>
        <w:t xml:space="preserve"> </w:t>
      </w:r>
      <w:r w:rsidRPr="009810A8">
        <w:rPr>
          <w:sz w:val="16"/>
          <w:szCs w:val="16"/>
        </w:rPr>
        <w:t>344, nr</w:t>
      </w:r>
      <w:r w:rsidR="00000CD0">
        <w:rPr>
          <w:sz w:val="16"/>
          <w:szCs w:val="16"/>
        </w:rPr>
        <w:t>.</w:t>
      </w:r>
      <w:r w:rsidRPr="009810A8">
        <w:rPr>
          <w:sz w:val="16"/>
          <w:szCs w:val="16"/>
        </w:rPr>
        <w:t xml:space="preserve"> 2). </w:t>
      </w:r>
      <w:r>
        <w:rPr>
          <w:sz w:val="16"/>
          <w:szCs w:val="16"/>
        </w:rPr>
        <w:t xml:space="preserve">De </w:t>
      </w:r>
      <w:r w:rsidR="005B0189">
        <w:rPr>
          <w:sz w:val="16"/>
          <w:szCs w:val="16"/>
        </w:rPr>
        <w:t>S</w:t>
      </w:r>
      <w:r>
        <w:rPr>
          <w:sz w:val="16"/>
          <w:szCs w:val="16"/>
        </w:rPr>
        <w:t xml:space="preserve">taatscommissie parlementair stelsel adviseerde ook een grondwettelijk hof in te stellen. De </w:t>
      </w:r>
      <w:r w:rsidR="009A4F3A">
        <w:rPr>
          <w:sz w:val="16"/>
          <w:szCs w:val="16"/>
        </w:rPr>
        <w:t>S</w:t>
      </w:r>
      <w:r>
        <w:rPr>
          <w:sz w:val="16"/>
          <w:szCs w:val="16"/>
        </w:rPr>
        <w:t xml:space="preserve">taatscommissie rechtsstaat </w:t>
      </w:r>
      <w:r w:rsidR="00662F40">
        <w:rPr>
          <w:sz w:val="16"/>
          <w:szCs w:val="16"/>
        </w:rPr>
        <w:t>zag</w:t>
      </w:r>
      <w:r>
        <w:rPr>
          <w:sz w:val="16"/>
          <w:szCs w:val="16"/>
        </w:rPr>
        <w:t xml:space="preserve"> </w:t>
      </w:r>
      <w:r w:rsidR="00E602F3">
        <w:rPr>
          <w:sz w:val="16"/>
          <w:szCs w:val="16"/>
        </w:rPr>
        <w:t>daarentegen</w:t>
      </w:r>
      <w:r>
        <w:rPr>
          <w:sz w:val="16"/>
          <w:szCs w:val="16"/>
        </w:rPr>
        <w:t xml:space="preserve"> geen </w:t>
      </w:r>
      <w:r w:rsidR="00662F40">
        <w:rPr>
          <w:sz w:val="16"/>
          <w:szCs w:val="16"/>
        </w:rPr>
        <w:t>noodzaak om een apart</w:t>
      </w:r>
      <w:r>
        <w:rPr>
          <w:sz w:val="16"/>
          <w:szCs w:val="16"/>
        </w:rPr>
        <w:t xml:space="preserve"> constitutioneel hof in te stellen</w:t>
      </w:r>
      <w:r w:rsidR="00853522">
        <w:rPr>
          <w:sz w:val="16"/>
          <w:szCs w:val="16"/>
        </w:rPr>
        <w:t xml:space="preserve"> en waarschuwt voor </w:t>
      </w:r>
      <w:r w:rsidR="00853522" w:rsidRPr="00853522">
        <w:rPr>
          <w:sz w:val="16"/>
          <w:szCs w:val="16"/>
        </w:rPr>
        <w:t>meer complexiteit in de verhoudingen tussen de staatsmachten en binnen de rechtsprekende macht</w:t>
      </w:r>
      <w:r w:rsidR="00853522">
        <w:rPr>
          <w:sz w:val="16"/>
          <w:szCs w:val="16"/>
        </w:rPr>
        <w:t xml:space="preserve"> </w:t>
      </w:r>
      <w:r w:rsidR="00C63B9C">
        <w:rPr>
          <w:sz w:val="16"/>
          <w:szCs w:val="16"/>
        </w:rPr>
        <w:t>(</w:t>
      </w:r>
      <w:r w:rsidR="00705899" w:rsidRPr="002F75AE">
        <w:rPr>
          <w:i/>
          <w:iCs/>
          <w:sz w:val="16"/>
          <w:szCs w:val="16"/>
        </w:rPr>
        <w:t>De gebroken belofte van de rechtsstaat</w:t>
      </w:r>
      <w:r w:rsidR="00705899" w:rsidRPr="00705899">
        <w:rPr>
          <w:sz w:val="16"/>
          <w:szCs w:val="16"/>
        </w:rPr>
        <w:t xml:space="preserve">, rapport van de Staatscommissie rechtsstaat, juni 2024, </w:t>
      </w:r>
      <w:r w:rsidR="00C63B9C">
        <w:rPr>
          <w:sz w:val="16"/>
          <w:szCs w:val="16"/>
        </w:rPr>
        <w:t>p. 47).</w:t>
      </w:r>
      <w:r>
        <w:rPr>
          <w:sz w:val="16"/>
          <w:szCs w:val="16"/>
        </w:rPr>
        <w:t xml:space="preserve"> </w:t>
      </w:r>
    </w:p>
  </w:footnote>
  <w:footnote w:id="28">
    <w:p w14:paraId="7618D3FD" w14:textId="7DD0BFF7" w:rsidR="000B4F11" w:rsidRPr="009810A8" w:rsidRDefault="000B4F11">
      <w:pPr>
        <w:pStyle w:val="Voetnoottekst"/>
        <w:rPr>
          <w:sz w:val="16"/>
          <w:szCs w:val="16"/>
        </w:rPr>
      </w:pPr>
      <w:r w:rsidRPr="009810A8">
        <w:rPr>
          <w:rStyle w:val="Voetnootmarkering"/>
          <w:sz w:val="16"/>
          <w:szCs w:val="16"/>
        </w:rPr>
        <w:footnoteRef/>
      </w:r>
      <w:r w:rsidRPr="009810A8">
        <w:rPr>
          <w:sz w:val="16"/>
          <w:szCs w:val="16"/>
        </w:rPr>
        <w:t xml:space="preserve"> Het gaat om artikel 81a van de Wet RO, waarin is bepaald </w:t>
      </w:r>
      <w:r w:rsidRPr="009810A8">
        <w:rPr>
          <w:rFonts w:eastAsia="Calibri" w:cs="Times New Roman"/>
          <w:color w:val="auto"/>
          <w:sz w:val="16"/>
          <w:szCs w:val="16"/>
          <w:lang w:eastAsia="en-US"/>
        </w:rPr>
        <w:t>dat de Hoge Raad kennisneemt van door de rechtbanken en de gerechtshoven gestelde prejudiciële vragen. Zie verder artikel</w:t>
      </w:r>
      <w:r>
        <w:rPr>
          <w:rFonts w:eastAsia="Calibri" w:cs="Times New Roman"/>
          <w:color w:val="auto"/>
          <w:sz w:val="16"/>
          <w:szCs w:val="16"/>
          <w:lang w:eastAsia="en-US"/>
        </w:rPr>
        <w:t xml:space="preserve"> </w:t>
      </w:r>
      <w:r w:rsidRPr="009810A8">
        <w:rPr>
          <w:rFonts w:eastAsia="Calibri" w:cs="Times New Roman"/>
          <w:color w:val="auto"/>
          <w:sz w:val="16"/>
          <w:szCs w:val="16"/>
          <w:lang w:eastAsia="en-US"/>
        </w:rPr>
        <w:t xml:space="preserve">392 tot en met 395 van het Wetboek van </w:t>
      </w:r>
      <w:r w:rsidR="00F407E7">
        <w:rPr>
          <w:rFonts w:eastAsia="Calibri" w:cs="Times New Roman"/>
          <w:color w:val="auto"/>
          <w:sz w:val="16"/>
          <w:szCs w:val="16"/>
          <w:lang w:eastAsia="en-US"/>
        </w:rPr>
        <w:t>B</w:t>
      </w:r>
      <w:r w:rsidRPr="009810A8">
        <w:rPr>
          <w:rFonts w:eastAsia="Calibri" w:cs="Times New Roman"/>
          <w:color w:val="auto"/>
          <w:sz w:val="16"/>
          <w:szCs w:val="16"/>
          <w:lang w:eastAsia="en-US"/>
        </w:rPr>
        <w:t xml:space="preserve">urgerlijke </w:t>
      </w:r>
      <w:r w:rsidR="00F407E7">
        <w:rPr>
          <w:rFonts w:eastAsia="Calibri" w:cs="Times New Roman"/>
          <w:color w:val="auto"/>
          <w:sz w:val="16"/>
          <w:szCs w:val="16"/>
          <w:lang w:eastAsia="en-US"/>
        </w:rPr>
        <w:t>R</w:t>
      </w:r>
      <w:r w:rsidRPr="009810A8">
        <w:rPr>
          <w:rFonts w:eastAsia="Calibri" w:cs="Times New Roman"/>
          <w:color w:val="auto"/>
          <w:sz w:val="16"/>
          <w:szCs w:val="16"/>
          <w:lang w:eastAsia="en-US"/>
        </w:rPr>
        <w:t xml:space="preserve">echtsvordering </w:t>
      </w:r>
      <w:r w:rsidR="00F407E7" w:rsidRPr="009810A8">
        <w:rPr>
          <w:rFonts w:eastAsia="Calibri" w:cs="Times New Roman"/>
          <w:color w:val="auto"/>
          <w:sz w:val="16"/>
          <w:szCs w:val="16"/>
          <w:lang w:eastAsia="en-US"/>
        </w:rPr>
        <w:t>(</w:t>
      </w:r>
      <w:r w:rsidRPr="009810A8">
        <w:rPr>
          <w:rFonts w:eastAsia="Calibri" w:cs="Times New Roman"/>
          <w:color w:val="auto"/>
          <w:sz w:val="16"/>
          <w:szCs w:val="16"/>
          <w:lang w:eastAsia="en-US"/>
        </w:rPr>
        <w:t>civiele zaken</w:t>
      </w:r>
      <w:r w:rsidR="00F407E7" w:rsidRPr="009810A8">
        <w:rPr>
          <w:rFonts w:eastAsia="Calibri" w:cs="Times New Roman"/>
          <w:color w:val="auto"/>
          <w:sz w:val="16"/>
          <w:szCs w:val="16"/>
          <w:lang w:eastAsia="en-US"/>
        </w:rPr>
        <w:t xml:space="preserve">), </w:t>
      </w:r>
      <w:r w:rsidRPr="009810A8">
        <w:rPr>
          <w:rFonts w:eastAsia="Calibri" w:cs="Times New Roman"/>
          <w:color w:val="auto"/>
          <w:sz w:val="16"/>
          <w:szCs w:val="16"/>
          <w:lang w:eastAsia="en-US"/>
        </w:rPr>
        <w:t xml:space="preserve">artikel 27ga tot en met 27ge van de Algemene wet inzake rijksbelastingen </w:t>
      </w:r>
      <w:r w:rsidR="00F407E7" w:rsidRPr="009810A8">
        <w:rPr>
          <w:rFonts w:eastAsia="Calibri" w:cs="Times New Roman"/>
          <w:color w:val="auto"/>
          <w:sz w:val="16"/>
          <w:szCs w:val="16"/>
          <w:lang w:eastAsia="en-US"/>
        </w:rPr>
        <w:t xml:space="preserve">(fiscale zaken) en de artikel 353 tot en met 355 Wetboek van </w:t>
      </w:r>
      <w:r w:rsidR="00F407E7">
        <w:rPr>
          <w:rFonts w:eastAsia="Calibri" w:cs="Times New Roman"/>
          <w:color w:val="auto"/>
          <w:sz w:val="16"/>
          <w:szCs w:val="16"/>
          <w:lang w:eastAsia="en-US"/>
        </w:rPr>
        <w:t>S</w:t>
      </w:r>
      <w:r w:rsidR="00F407E7" w:rsidRPr="009810A8">
        <w:rPr>
          <w:rFonts w:eastAsia="Calibri" w:cs="Times New Roman"/>
          <w:color w:val="auto"/>
          <w:sz w:val="16"/>
          <w:szCs w:val="16"/>
          <w:lang w:eastAsia="en-US"/>
        </w:rPr>
        <w:t>trafvordering (strafzaken).</w:t>
      </w:r>
      <w:r w:rsidR="001B1C98">
        <w:rPr>
          <w:rFonts w:eastAsia="Calibri" w:cs="Times New Roman"/>
          <w:color w:val="auto"/>
          <w:sz w:val="16"/>
          <w:szCs w:val="16"/>
          <w:lang w:eastAsia="en-US"/>
        </w:rPr>
        <w:t xml:space="preserve"> </w:t>
      </w:r>
    </w:p>
  </w:footnote>
  <w:footnote w:id="29">
    <w:p w14:paraId="2F3C9505" w14:textId="7F1D8811" w:rsidR="00E42521" w:rsidRPr="009810A8" w:rsidRDefault="00E42521">
      <w:pPr>
        <w:pStyle w:val="Voetnoottekst"/>
        <w:rPr>
          <w:sz w:val="16"/>
          <w:szCs w:val="16"/>
        </w:rPr>
      </w:pPr>
      <w:r w:rsidRPr="009810A8">
        <w:rPr>
          <w:rStyle w:val="Voetnootmarkering"/>
          <w:sz w:val="16"/>
          <w:szCs w:val="16"/>
        </w:rPr>
        <w:footnoteRef/>
      </w:r>
      <w:r w:rsidRPr="009810A8">
        <w:rPr>
          <w:sz w:val="16"/>
          <w:szCs w:val="16"/>
        </w:rPr>
        <w:t xml:space="preserve"> Artikel 78, eerste lid, Wet RO</w:t>
      </w:r>
      <w:r>
        <w:rPr>
          <w:sz w:val="16"/>
          <w:szCs w:val="16"/>
        </w:rPr>
        <w:t>.</w:t>
      </w:r>
    </w:p>
  </w:footnote>
  <w:footnote w:id="30">
    <w:p w14:paraId="7D17C6B4" w14:textId="20E628F3" w:rsidR="00E36CDA" w:rsidRPr="00E36CDA" w:rsidRDefault="00E36CDA" w:rsidP="00E36CDA">
      <w:pPr>
        <w:autoSpaceDN/>
        <w:spacing w:line="276" w:lineRule="auto"/>
        <w:textAlignment w:val="auto"/>
        <w:rPr>
          <w:sz w:val="16"/>
          <w:szCs w:val="16"/>
        </w:rPr>
      </w:pPr>
      <w:r w:rsidRPr="00852F60">
        <w:rPr>
          <w:rStyle w:val="Voetnootmarkering"/>
          <w:sz w:val="16"/>
          <w:szCs w:val="16"/>
        </w:rPr>
        <w:footnoteRef/>
      </w:r>
      <w:r w:rsidRPr="00852F60">
        <w:rPr>
          <w:sz w:val="16"/>
          <w:szCs w:val="16"/>
        </w:rPr>
        <w:t xml:space="preserve"> Naast deze twee genoemde bevoegdheden zijn er ook alternatieven denkbaar, zoals buiten werking stellen van wettelijke voorschriften. Het kabinet verkent bij de uitwerking van het wetsvoorstel welke bevoegdheid (of bevoegdheden) het meest passend is.</w:t>
      </w:r>
      <w:r w:rsidRPr="00E36CDA">
        <w:rPr>
          <w:rFonts w:eastAsia="Calibri" w:cs="Times New Roman"/>
          <w:color w:val="auto"/>
          <w:sz w:val="16"/>
          <w:szCs w:val="16"/>
          <w:lang w:eastAsia="en-US"/>
        </w:rPr>
        <w:t xml:space="preserve">  </w:t>
      </w:r>
    </w:p>
  </w:footnote>
  <w:footnote w:id="31">
    <w:p w14:paraId="270F8E29" w14:textId="77777777" w:rsidR="001865BB" w:rsidRPr="007E5783" w:rsidRDefault="001865BB" w:rsidP="001865BB">
      <w:pPr>
        <w:pStyle w:val="Voetnoottekst"/>
        <w:rPr>
          <w:sz w:val="16"/>
          <w:szCs w:val="16"/>
        </w:rPr>
      </w:pPr>
      <w:r w:rsidRPr="0032504E">
        <w:rPr>
          <w:rStyle w:val="Voetnootmarkering"/>
          <w:sz w:val="16"/>
          <w:szCs w:val="16"/>
        </w:rPr>
        <w:footnoteRef/>
      </w:r>
      <w:r w:rsidRPr="0032504E">
        <w:rPr>
          <w:sz w:val="16"/>
          <w:szCs w:val="16"/>
        </w:rPr>
        <w:t xml:space="preserve"> Zie bijv. art. 62 van de Franse Grondwet, art. 78 en art. 95, tweede lid, van de Wet inzake het </w:t>
      </w:r>
      <w:proofErr w:type="spellStart"/>
      <w:r w:rsidRPr="0032504E">
        <w:rPr>
          <w:sz w:val="16"/>
          <w:szCs w:val="16"/>
        </w:rPr>
        <w:t>Bundesverfassungsgericht</w:t>
      </w:r>
      <w:proofErr w:type="spellEnd"/>
      <w:r w:rsidRPr="0032504E">
        <w:rPr>
          <w:sz w:val="16"/>
          <w:szCs w:val="16"/>
        </w:rPr>
        <w:t xml:space="preserve"> (Duitsland) en hoofdstuk 1 van de Bijzondere wet op het Grondwettelijk Hof (België).</w:t>
      </w:r>
    </w:p>
  </w:footnote>
  <w:footnote w:id="32">
    <w:p w14:paraId="3A394A10" w14:textId="2ED68CC1" w:rsidR="006E09B2" w:rsidRPr="005D6CE3" w:rsidRDefault="006E09B2">
      <w:pPr>
        <w:pStyle w:val="Voetnoottekst"/>
        <w:rPr>
          <w:sz w:val="16"/>
          <w:szCs w:val="16"/>
        </w:rPr>
      </w:pPr>
      <w:r w:rsidRPr="005D6CE3">
        <w:rPr>
          <w:rStyle w:val="Voetnootmarkering"/>
          <w:sz w:val="16"/>
          <w:szCs w:val="16"/>
        </w:rPr>
        <w:footnoteRef/>
      </w:r>
      <w:r w:rsidRPr="005D6CE3">
        <w:rPr>
          <w:sz w:val="16"/>
          <w:szCs w:val="16"/>
        </w:rPr>
        <w:t xml:space="preserve"> Zie bijv. ECLI:NL:HR:2018:846, </w:t>
      </w:r>
      <w:proofErr w:type="spellStart"/>
      <w:r w:rsidRPr="005D6CE3">
        <w:rPr>
          <w:sz w:val="16"/>
          <w:szCs w:val="16"/>
        </w:rPr>
        <w:t>r.o.</w:t>
      </w:r>
      <w:proofErr w:type="spellEnd"/>
      <w:r w:rsidRPr="005D6CE3">
        <w:rPr>
          <w:sz w:val="16"/>
          <w:szCs w:val="16"/>
        </w:rPr>
        <w:t xml:space="preserve"> 2.5.1. </w:t>
      </w:r>
    </w:p>
  </w:footnote>
  <w:footnote w:id="33">
    <w:p w14:paraId="2D41E3E7" w14:textId="0750193B" w:rsidR="00FE3EF9" w:rsidRPr="005D6CE3" w:rsidRDefault="00FE3EF9">
      <w:pPr>
        <w:pStyle w:val="Voetnoottekst"/>
        <w:rPr>
          <w:sz w:val="16"/>
          <w:szCs w:val="16"/>
        </w:rPr>
      </w:pPr>
      <w:r w:rsidRPr="005D6CE3">
        <w:rPr>
          <w:rStyle w:val="Voetnootmarkering"/>
          <w:sz w:val="16"/>
          <w:szCs w:val="16"/>
        </w:rPr>
        <w:footnoteRef/>
      </w:r>
      <w:r w:rsidRPr="005D6CE3">
        <w:rPr>
          <w:sz w:val="16"/>
          <w:szCs w:val="16"/>
        </w:rPr>
        <w:t xml:space="preserve"> 70 jaar Statuu</w:t>
      </w:r>
      <w:r w:rsidR="00D16A3D">
        <w:rPr>
          <w:sz w:val="16"/>
          <w:szCs w:val="16"/>
        </w:rPr>
        <w:t>t</w:t>
      </w:r>
      <w:r w:rsidRPr="005D6CE3">
        <w:rPr>
          <w:sz w:val="16"/>
          <w:szCs w:val="16"/>
        </w:rPr>
        <w:t xml:space="preserve"> voor het Koninkrijk, Samenwerking op basis van wederzijds begrip, p. 51-59.</w:t>
      </w:r>
    </w:p>
  </w:footnote>
  <w:footnote w:id="34">
    <w:p w14:paraId="4AAF035C" w14:textId="519A0322" w:rsidR="005D663A" w:rsidRPr="00966BC3" w:rsidRDefault="005D663A">
      <w:pPr>
        <w:pStyle w:val="Voetnoottekst"/>
        <w:rPr>
          <w:sz w:val="16"/>
          <w:szCs w:val="16"/>
        </w:rPr>
      </w:pPr>
      <w:r w:rsidRPr="00966BC3">
        <w:rPr>
          <w:rStyle w:val="Voetnootmarkering"/>
          <w:sz w:val="16"/>
          <w:szCs w:val="16"/>
        </w:rPr>
        <w:footnoteRef/>
      </w:r>
      <w:r w:rsidRPr="00966BC3">
        <w:rPr>
          <w:sz w:val="16"/>
          <w:szCs w:val="16"/>
        </w:rPr>
        <w:t xml:space="preserve"> </w:t>
      </w:r>
      <w:r w:rsidRPr="00966BC3">
        <w:rPr>
          <w:rFonts w:eastAsia="Calibri" w:cs="Times New Roman"/>
          <w:color w:val="auto"/>
          <w:sz w:val="16"/>
          <w:szCs w:val="16"/>
          <w:lang w:eastAsia="en-US"/>
        </w:rPr>
        <w:t>Ter illustratie: het recht op een eerlijk proces is een grondrecht dat niet alleen in de Grondwet bescherming geniet (art. 17) maar ook in het EVRM (art. 6) en het Handvest (art. 47). Wat als een burger in een rechtsgeding bij de strafrechter op alle drie de bepalingen een beroep doet? Hoe wordt de strafrechter in zo’n situatie geacht te handelen, indien de grondwettigheid van een wet ter discussie staat en een grondwettelijk hof exclusief bevoegd is dit onderdeel te toetsen?</w:t>
      </w:r>
    </w:p>
  </w:footnote>
  <w:footnote w:id="35">
    <w:p w14:paraId="09510AF8" w14:textId="65A3799E" w:rsidR="00BF52D7" w:rsidRPr="00966BC3" w:rsidRDefault="00BF52D7" w:rsidP="00A2723E">
      <w:pPr>
        <w:pStyle w:val="Normaalweb"/>
        <w:spacing w:before="0" w:beforeAutospacing="0" w:after="0" w:afterAutospacing="0"/>
        <w:rPr>
          <w:sz w:val="16"/>
          <w:szCs w:val="16"/>
        </w:rPr>
      </w:pPr>
      <w:r w:rsidRPr="00966BC3">
        <w:rPr>
          <w:rStyle w:val="Voetnootmarkering"/>
          <w:rFonts w:ascii="Verdana" w:hAnsi="Verdana"/>
          <w:sz w:val="16"/>
          <w:szCs w:val="16"/>
        </w:rPr>
        <w:footnoteRef/>
      </w:r>
      <w:r w:rsidRPr="00966BC3">
        <w:rPr>
          <w:rFonts w:ascii="Verdana" w:hAnsi="Verdana"/>
          <w:sz w:val="16"/>
          <w:szCs w:val="16"/>
        </w:rPr>
        <w:t xml:space="preserve"> </w:t>
      </w:r>
      <w:r w:rsidR="00A2723E" w:rsidRPr="00966BC3">
        <w:rPr>
          <w:rFonts w:ascii="Verdana" w:hAnsi="Verdana"/>
          <w:sz w:val="16"/>
          <w:szCs w:val="16"/>
        </w:rPr>
        <w:t xml:space="preserve">Zie bijvoorbeeld HR 12 juli 2024, ECLI:NL:HR:2024:977 en ECLI:NL:HR:2024:978, en HR 18 april 2014, ECLI:NL:HR:2014:908. </w:t>
      </w:r>
    </w:p>
  </w:footnote>
  <w:footnote w:id="36">
    <w:p w14:paraId="356D7816" w14:textId="182F01F2" w:rsidR="006D6D67" w:rsidRPr="006D6D67" w:rsidRDefault="006D6D67">
      <w:pPr>
        <w:pStyle w:val="Voetnoottekst"/>
        <w:rPr>
          <w:sz w:val="16"/>
          <w:szCs w:val="16"/>
        </w:rPr>
      </w:pPr>
      <w:r w:rsidRPr="006D6D67">
        <w:rPr>
          <w:rStyle w:val="Voetnootmarkering"/>
          <w:sz w:val="16"/>
          <w:szCs w:val="16"/>
        </w:rPr>
        <w:footnoteRef/>
      </w:r>
      <w:r w:rsidRPr="006D6D67">
        <w:rPr>
          <w:sz w:val="16"/>
          <w:szCs w:val="16"/>
        </w:rPr>
        <w:t xml:space="preserve"> Volgend uit artikel 94 van de Grondwet, respectievelijk de jurisprudentie van het </w:t>
      </w:r>
      <w:proofErr w:type="spellStart"/>
      <w:r w:rsidRPr="006D6D67">
        <w:rPr>
          <w:sz w:val="16"/>
          <w:szCs w:val="16"/>
        </w:rPr>
        <w:t>HvJEU</w:t>
      </w:r>
      <w:proofErr w:type="spellEnd"/>
      <w:r w:rsidRPr="006D6D67">
        <w:rPr>
          <w:sz w:val="16"/>
          <w:szCs w:val="16"/>
        </w:rPr>
        <w:t>.</w:t>
      </w:r>
    </w:p>
  </w:footnote>
  <w:footnote w:id="37">
    <w:p w14:paraId="051E94A1" w14:textId="1F384C5A" w:rsidR="00BF52D7" w:rsidRPr="00966BC3" w:rsidRDefault="00BF52D7" w:rsidP="00BF52D7">
      <w:pPr>
        <w:pStyle w:val="Voetnoottekst"/>
        <w:rPr>
          <w:sz w:val="16"/>
          <w:szCs w:val="16"/>
        </w:rPr>
      </w:pPr>
      <w:r w:rsidRPr="00966BC3">
        <w:rPr>
          <w:rStyle w:val="Voetnootmarkering"/>
          <w:sz w:val="16"/>
          <w:szCs w:val="16"/>
        </w:rPr>
        <w:footnoteRef/>
      </w:r>
      <w:r w:rsidRPr="00966BC3">
        <w:rPr>
          <w:sz w:val="16"/>
          <w:szCs w:val="16"/>
        </w:rPr>
        <w:t xml:space="preserve"> </w:t>
      </w:r>
      <w:r w:rsidR="00EC4912" w:rsidRPr="005D6CE3">
        <w:rPr>
          <w:sz w:val="16"/>
          <w:szCs w:val="16"/>
        </w:rPr>
        <w:t xml:space="preserve">Vgl. </w:t>
      </w:r>
      <w:r w:rsidR="00EC4912">
        <w:rPr>
          <w:sz w:val="16"/>
          <w:szCs w:val="16"/>
        </w:rPr>
        <w:t>b</w:t>
      </w:r>
      <w:r w:rsidR="00EC4912" w:rsidRPr="005D6CE3">
        <w:rPr>
          <w:sz w:val="16"/>
          <w:szCs w:val="16"/>
        </w:rPr>
        <w:t>ijv.</w:t>
      </w:r>
      <w:r w:rsidRPr="00966BC3">
        <w:rPr>
          <w:sz w:val="16"/>
          <w:szCs w:val="16"/>
        </w:rPr>
        <w:t xml:space="preserve"> </w:t>
      </w:r>
      <w:r w:rsidR="00EC4912">
        <w:rPr>
          <w:sz w:val="16"/>
          <w:szCs w:val="16"/>
        </w:rPr>
        <w:t xml:space="preserve">de inrichting van grondwetstoetsing in </w:t>
      </w:r>
      <w:r w:rsidRPr="00966BC3">
        <w:rPr>
          <w:sz w:val="16"/>
          <w:szCs w:val="16"/>
        </w:rPr>
        <w:t>Frankrijk</w:t>
      </w:r>
      <w:r w:rsidR="00EC4912">
        <w:rPr>
          <w:sz w:val="16"/>
          <w:szCs w:val="16"/>
        </w:rPr>
        <w:t>, met als grondslag art. 61-I van de Franse Grondwet</w:t>
      </w:r>
      <w:r w:rsidRPr="00966BC3">
        <w:rPr>
          <w:sz w:val="16"/>
          <w:szCs w:val="16"/>
        </w:rPr>
        <w:t>.</w:t>
      </w:r>
      <w:r w:rsidR="00EC4912">
        <w:rPr>
          <w:sz w:val="16"/>
          <w:szCs w:val="16"/>
        </w:rPr>
        <w:t xml:space="preserve"> In organieke wetgeving is deze toetsing uitgewerkt als de zogenaamde ‘</w:t>
      </w:r>
      <w:r w:rsidR="00EC4912" w:rsidRPr="00EC4912">
        <w:rPr>
          <w:sz w:val="16"/>
          <w:szCs w:val="16"/>
        </w:rPr>
        <w:t xml:space="preserve">question prioritaire de </w:t>
      </w:r>
      <w:proofErr w:type="spellStart"/>
      <w:r w:rsidR="00EC4912" w:rsidRPr="00EC4912">
        <w:rPr>
          <w:sz w:val="16"/>
          <w:szCs w:val="16"/>
        </w:rPr>
        <w:t>constitutionnalité</w:t>
      </w:r>
      <w:proofErr w:type="spellEnd"/>
      <w:r w:rsidR="00EC4912">
        <w:rPr>
          <w:sz w:val="16"/>
          <w:szCs w:val="16"/>
        </w:rPr>
        <w:t xml:space="preserve">’, waarbij de </w:t>
      </w:r>
      <w:proofErr w:type="spellStart"/>
      <w:r w:rsidR="00EC4912">
        <w:rPr>
          <w:sz w:val="16"/>
          <w:szCs w:val="16"/>
        </w:rPr>
        <w:t>Conseil</w:t>
      </w:r>
      <w:proofErr w:type="spellEnd"/>
      <w:r w:rsidR="00EC4912">
        <w:rPr>
          <w:sz w:val="16"/>
          <w:szCs w:val="16"/>
        </w:rPr>
        <w:t xml:space="preserve"> </w:t>
      </w:r>
      <w:proofErr w:type="spellStart"/>
      <w:r w:rsidR="00BD0600">
        <w:rPr>
          <w:sz w:val="16"/>
          <w:szCs w:val="16"/>
        </w:rPr>
        <w:t>Constitutionnel</w:t>
      </w:r>
      <w:proofErr w:type="spellEnd"/>
      <w:r w:rsidR="00BD0600">
        <w:rPr>
          <w:sz w:val="16"/>
          <w:szCs w:val="16"/>
        </w:rPr>
        <w:t xml:space="preserve"> </w:t>
      </w:r>
      <w:r w:rsidR="00EC4912">
        <w:rPr>
          <w:sz w:val="16"/>
          <w:szCs w:val="16"/>
        </w:rPr>
        <w:t>zich op aangeven van een van de twee hoogste Franse rechters met prioriteit uitspreekt over de grondwettigheid van Franse wetten.</w:t>
      </w:r>
      <w:r w:rsidR="001B1C98">
        <w:rPr>
          <w:sz w:val="16"/>
          <w:szCs w:val="16"/>
        </w:rPr>
        <w:t xml:space="preserve"> </w:t>
      </w:r>
    </w:p>
  </w:footnote>
  <w:footnote w:id="38">
    <w:p w14:paraId="30D91CCF" w14:textId="7C300580" w:rsidR="00F32D62" w:rsidRPr="009810A8" w:rsidRDefault="00F32D62" w:rsidP="00F32D62">
      <w:pPr>
        <w:spacing w:line="240" w:lineRule="auto"/>
        <w:rPr>
          <w:sz w:val="16"/>
          <w:szCs w:val="16"/>
        </w:rPr>
      </w:pPr>
      <w:r w:rsidRPr="00966BC3">
        <w:rPr>
          <w:rStyle w:val="Voetnootmarkering"/>
          <w:sz w:val="16"/>
          <w:szCs w:val="16"/>
        </w:rPr>
        <w:footnoteRef/>
      </w:r>
      <w:r w:rsidRPr="00966BC3">
        <w:rPr>
          <w:sz w:val="16"/>
          <w:szCs w:val="16"/>
        </w:rPr>
        <w:t xml:space="preserve"> </w:t>
      </w:r>
      <w:r w:rsidRPr="00FB02EF">
        <w:rPr>
          <w:sz w:val="16"/>
          <w:szCs w:val="16"/>
        </w:rPr>
        <w:t>Gevoegde zaken C-188/10 en C-189/10</w:t>
      </w:r>
      <w:r>
        <w:rPr>
          <w:sz w:val="16"/>
          <w:szCs w:val="16"/>
        </w:rPr>
        <w:t>,</w:t>
      </w:r>
      <w:r w:rsidRPr="00FB02EF">
        <w:rPr>
          <w:sz w:val="16"/>
          <w:szCs w:val="16"/>
        </w:rPr>
        <w:t xml:space="preserve"> </w:t>
      </w:r>
      <w:r w:rsidRPr="005D6CE3">
        <w:rPr>
          <w:i/>
          <w:iCs/>
          <w:sz w:val="16"/>
          <w:szCs w:val="16"/>
        </w:rPr>
        <w:t>Aziz</w:t>
      </w:r>
      <w:r w:rsidRPr="005D6CE3">
        <w:rPr>
          <w:i/>
          <w:sz w:val="16"/>
          <w:szCs w:val="16"/>
        </w:rPr>
        <w:t xml:space="preserve"> </w:t>
      </w:r>
      <w:proofErr w:type="spellStart"/>
      <w:r w:rsidRPr="005D6CE3">
        <w:rPr>
          <w:i/>
          <w:sz w:val="16"/>
          <w:szCs w:val="16"/>
        </w:rPr>
        <w:t>Melki</w:t>
      </w:r>
      <w:proofErr w:type="spellEnd"/>
      <w:r w:rsidRPr="005D6CE3">
        <w:rPr>
          <w:i/>
          <w:iCs/>
          <w:sz w:val="16"/>
          <w:szCs w:val="16"/>
        </w:rPr>
        <w:t xml:space="preserve"> en Sélim </w:t>
      </w:r>
      <w:proofErr w:type="spellStart"/>
      <w:r w:rsidRPr="005D6CE3">
        <w:rPr>
          <w:i/>
          <w:iCs/>
          <w:sz w:val="16"/>
          <w:szCs w:val="16"/>
        </w:rPr>
        <w:t>Abdeli</w:t>
      </w:r>
      <w:proofErr w:type="spellEnd"/>
      <w:r w:rsidRPr="00966BC3">
        <w:rPr>
          <w:sz w:val="16"/>
          <w:szCs w:val="16"/>
        </w:rPr>
        <w:t xml:space="preserve">. </w:t>
      </w:r>
      <w:proofErr w:type="spellStart"/>
      <w:r>
        <w:rPr>
          <w:sz w:val="16"/>
          <w:szCs w:val="16"/>
        </w:rPr>
        <w:t>HvJEU</w:t>
      </w:r>
      <w:proofErr w:type="spellEnd"/>
      <w:r>
        <w:rPr>
          <w:sz w:val="16"/>
          <w:szCs w:val="16"/>
        </w:rPr>
        <w:t xml:space="preserve"> 22 juni 2010.</w:t>
      </w:r>
      <w:r w:rsidRPr="00966BC3">
        <w:rPr>
          <w:sz w:val="16"/>
          <w:szCs w:val="16"/>
        </w:rPr>
        <w:t xml:space="preserve"> Een andere grens die het </w:t>
      </w:r>
      <w:proofErr w:type="spellStart"/>
      <w:r w:rsidRPr="00966BC3">
        <w:rPr>
          <w:sz w:val="16"/>
          <w:szCs w:val="16"/>
        </w:rPr>
        <w:t>HvJEU</w:t>
      </w:r>
      <w:proofErr w:type="spellEnd"/>
      <w:r w:rsidRPr="00966BC3">
        <w:rPr>
          <w:sz w:val="16"/>
          <w:szCs w:val="16"/>
        </w:rPr>
        <w:t xml:space="preserve"> onlangs in zijn rechtspraak heeft geformuleerd is dat </w:t>
      </w:r>
      <w:r w:rsidRPr="00966BC3">
        <w:rPr>
          <w:rFonts w:eastAsia="Calibri" w:cs="Times New Roman"/>
          <w:sz w:val="16"/>
          <w:szCs w:val="16"/>
        </w:rPr>
        <w:t xml:space="preserve">een beslissing van een grondwettelijk hof een lagere rechter niet kan verplichten om het EU-recht te schenden. Aan die grens wil het kabinet uiteraard ook niet tornen. Zie </w:t>
      </w:r>
      <w:r w:rsidRPr="00966BC3">
        <w:rPr>
          <w:sz w:val="16"/>
          <w:szCs w:val="16"/>
        </w:rPr>
        <w:t>Zaak C-792/22</w:t>
      </w:r>
      <w:r>
        <w:rPr>
          <w:sz w:val="16"/>
          <w:szCs w:val="16"/>
        </w:rPr>
        <w:t>,</w:t>
      </w:r>
      <w:r w:rsidRPr="00492200">
        <w:t xml:space="preserve"> </w:t>
      </w:r>
      <w:proofErr w:type="spellStart"/>
      <w:r w:rsidRPr="00EA19CC">
        <w:rPr>
          <w:i/>
          <w:iCs/>
          <w:sz w:val="16"/>
          <w:szCs w:val="16"/>
        </w:rPr>
        <w:t>Energotehnica</w:t>
      </w:r>
      <w:proofErr w:type="spellEnd"/>
      <w:r>
        <w:rPr>
          <w:sz w:val="16"/>
          <w:szCs w:val="16"/>
        </w:rPr>
        <w:t xml:space="preserve">, </w:t>
      </w:r>
      <w:proofErr w:type="spellStart"/>
      <w:r>
        <w:rPr>
          <w:sz w:val="16"/>
          <w:szCs w:val="16"/>
        </w:rPr>
        <w:t>HvJEU</w:t>
      </w:r>
      <w:proofErr w:type="spellEnd"/>
      <w:r>
        <w:rPr>
          <w:sz w:val="16"/>
          <w:szCs w:val="16"/>
        </w:rPr>
        <w:t xml:space="preserve"> 26 februari 2024</w:t>
      </w:r>
      <w:r w:rsidRPr="00966BC3">
        <w:rPr>
          <w:sz w:val="16"/>
          <w:szCs w:val="16"/>
        </w:rPr>
        <w:t xml:space="preserve">. </w:t>
      </w:r>
      <w:r>
        <w:rPr>
          <w:sz w:val="16"/>
          <w:szCs w:val="16"/>
        </w:rPr>
        <w:t xml:space="preserve">Vgl. voorts Zaak 106/77, </w:t>
      </w:r>
      <w:proofErr w:type="spellStart"/>
      <w:r w:rsidRPr="009810A8">
        <w:rPr>
          <w:i/>
          <w:iCs/>
          <w:sz w:val="16"/>
          <w:szCs w:val="16"/>
        </w:rPr>
        <w:t>Simmenthal</w:t>
      </w:r>
      <w:proofErr w:type="spellEnd"/>
      <w:r w:rsidRPr="009810A8">
        <w:rPr>
          <w:i/>
          <w:iCs/>
          <w:sz w:val="16"/>
          <w:szCs w:val="16"/>
        </w:rPr>
        <w:t xml:space="preserve"> II</w:t>
      </w:r>
      <w:r>
        <w:rPr>
          <w:sz w:val="16"/>
          <w:szCs w:val="16"/>
        </w:rPr>
        <w:t xml:space="preserve">, </w:t>
      </w:r>
      <w:proofErr w:type="spellStart"/>
      <w:r>
        <w:rPr>
          <w:sz w:val="16"/>
          <w:szCs w:val="16"/>
        </w:rPr>
        <w:t>HvJEU</w:t>
      </w:r>
      <w:proofErr w:type="spellEnd"/>
      <w:r>
        <w:rPr>
          <w:sz w:val="16"/>
          <w:szCs w:val="16"/>
        </w:rPr>
        <w:t xml:space="preserve"> 9 maart 1977. </w:t>
      </w:r>
    </w:p>
  </w:footnote>
  <w:footnote w:id="39">
    <w:p w14:paraId="151F8E9C" w14:textId="4308670F" w:rsidR="00AA1F6F" w:rsidRDefault="00AA1F6F">
      <w:pPr>
        <w:pStyle w:val="Voetnoottekst"/>
      </w:pPr>
      <w:r w:rsidRPr="005D6CE3">
        <w:rPr>
          <w:rStyle w:val="Voetnootmarkering"/>
          <w:sz w:val="16"/>
          <w:szCs w:val="16"/>
        </w:rPr>
        <w:footnoteRef/>
      </w:r>
      <w:r w:rsidRPr="005D6CE3">
        <w:rPr>
          <w:sz w:val="16"/>
          <w:szCs w:val="16"/>
        </w:rPr>
        <w:t xml:space="preserve"> </w:t>
      </w:r>
      <w:r w:rsidR="00FB02EF">
        <w:rPr>
          <w:sz w:val="16"/>
          <w:szCs w:val="16"/>
        </w:rPr>
        <w:t xml:space="preserve">Zaak C-399/11, </w:t>
      </w:r>
      <w:proofErr w:type="spellStart"/>
      <w:r w:rsidRPr="005D6CE3">
        <w:rPr>
          <w:i/>
          <w:iCs/>
          <w:sz w:val="16"/>
          <w:szCs w:val="16"/>
        </w:rPr>
        <w:t>Melloni</w:t>
      </w:r>
      <w:proofErr w:type="spellEnd"/>
      <w:r w:rsidR="00FB02EF">
        <w:rPr>
          <w:sz w:val="16"/>
          <w:szCs w:val="16"/>
        </w:rPr>
        <w:t xml:space="preserve">, </w:t>
      </w:r>
      <w:proofErr w:type="spellStart"/>
      <w:r w:rsidR="00FB02EF">
        <w:rPr>
          <w:sz w:val="16"/>
          <w:szCs w:val="16"/>
        </w:rPr>
        <w:t>HvJEU</w:t>
      </w:r>
      <w:proofErr w:type="spellEnd"/>
      <w:r w:rsidR="00FB02EF">
        <w:rPr>
          <w:sz w:val="16"/>
          <w:szCs w:val="16"/>
        </w:rPr>
        <w:t xml:space="preserve"> 26 februari 2013</w:t>
      </w:r>
      <w:r w:rsidRPr="005D6CE3">
        <w:rPr>
          <w:sz w:val="16"/>
          <w:szCs w:val="16"/>
        </w:rPr>
        <w:t xml:space="preserve">; </w:t>
      </w:r>
      <w:r w:rsidR="00FB02EF">
        <w:rPr>
          <w:sz w:val="16"/>
          <w:szCs w:val="16"/>
        </w:rPr>
        <w:t xml:space="preserve">J.H. </w:t>
      </w:r>
      <w:r w:rsidRPr="005D6CE3">
        <w:rPr>
          <w:sz w:val="16"/>
          <w:szCs w:val="16"/>
        </w:rPr>
        <w:t>Gerards</w:t>
      </w:r>
      <w:r w:rsidR="00FB02EF">
        <w:rPr>
          <w:sz w:val="16"/>
          <w:szCs w:val="16"/>
        </w:rPr>
        <w:t>, ‘</w:t>
      </w:r>
      <w:r w:rsidR="00FB02EF" w:rsidRPr="00FB02EF">
        <w:rPr>
          <w:sz w:val="16"/>
          <w:szCs w:val="16"/>
        </w:rPr>
        <w:t>Samenloop van nationale en Europese grondrechtenbepalingen – hoe moet de rechter daarmee omgaan?</w:t>
      </w:r>
      <w:r w:rsidR="00FB02EF">
        <w:rPr>
          <w:sz w:val="16"/>
          <w:szCs w:val="16"/>
        </w:rPr>
        <w:t xml:space="preserve">’, </w:t>
      </w:r>
      <w:proofErr w:type="spellStart"/>
      <w:r w:rsidR="00FB02EF">
        <w:rPr>
          <w:sz w:val="16"/>
          <w:szCs w:val="16"/>
        </w:rPr>
        <w:t>TvCR</w:t>
      </w:r>
      <w:proofErr w:type="spellEnd"/>
      <w:r w:rsidR="00FB02EF">
        <w:rPr>
          <w:sz w:val="16"/>
          <w:szCs w:val="16"/>
        </w:rPr>
        <w:t xml:space="preserve"> afl. 3, 2010, p. 224-255</w:t>
      </w:r>
      <w:r w:rsidRPr="005D6CE3">
        <w:rPr>
          <w:sz w:val="16"/>
          <w:szCs w:val="16"/>
        </w:rPr>
        <w:t xml:space="preserve">. </w:t>
      </w:r>
    </w:p>
  </w:footnote>
  <w:footnote w:id="40">
    <w:p w14:paraId="6F273DE6" w14:textId="5CED1CB0" w:rsidR="00EB6A7A" w:rsidRPr="00966BC3" w:rsidRDefault="00EB6A7A">
      <w:pPr>
        <w:pStyle w:val="Voetnoottekst"/>
        <w:rPr>
          <w:sz w:val="16"/>
          <w:szCs w:val="16"/>
        </w:rPr>
      </w:pPr>
      <w:r w:rsidRPr="00966BC3">
        <w:rPr>
          <w:rStyle w:val="Voetnootmarkering"/>
          <w:sz w:val="16"/>
          <w:szCs w:val="16"/>
        </w:rPr>
        <w:footnoteRef/>
      </w:r>
      <w:r w:rsidR="009A137A" w:rsidRPr="00966BC3">
        <w:rPr>
          <w:sz w:val="16"/>
          <w:szCs w:val="16"/>
        </w:rPr>
        <w:t xml:space="preserve"> </w:t>
      </w:r>
      <w:r w:rsidR="009A137A" w:rsidRPr="00966BC3">
        <w:rPr>
          <w:i/>
          <w:iCs/>
          <w:sz w:val="16"/>
          <w:szCs w:val="16"/>
        </w:rPr>
        <w:t>Lage drempels, hoge dijken</w:t>
      </w:r>
      <w:r w:rsidR="00A2723E" w:rsidRPr="00966BC3">
        <w:rPr>
          <w:i/>
          <w:iCs/>
          <w:sz w:val="16"/>
          <w:szCs w:val="16"/>
        </w:rPr>
        <w:t>;</w:t>
      </w:r>
      <w:r w:rsidR="009A137A" w:rsidRPr="00966BC3">
        <w:rPr>
          <w:i/>
          <w:iCs/>
          <w:sz w:val="16"/>
          <w:szCs w:val="16"/>
        </w:rPr>
        <w:t xml:space="preserve"> Democratie en rechtsstaat in balans,</w:t>
      </w:r>
      <w:r w:rsidR="009A137A" w:rsidRPr="00966BC3">
        <w:rPr>
          <w:sz w:val="16"/>
          <w:szCs w:val="16"/>
        </w:rPr>
        <w:t xml:space="preserve"> Eindrapport van </w:t>
      </w:r>
      <w:r w:rsidR="00D13B5C" w:rsidRPr="00966BC3">
        <w:rPr>
          <w:sz w:val="16"/>
          <w:szCs w:val="16"/>
        </w:rPr>
        <w:t xml:space="preserve">de </w:t>
      </w:r>
      <w:r w:rsidR="005B0189">
        <w:rPr>
          <w:sz w:val="16"/>
          <w:szCs w:val="16"/>
        </w:rPr>
        <w:t>S</w:t>
      </w:r>
      <w:r w:rsidR="00D13B5C" w:rsidRPr="00966BC3">
        <w:rPr>
          <w:sz w:val="16"/>
          <w:szCs w:val="16"/>
        </w:rPr>
        <w:t>taatscommissie parlementair stelsel</w:t>
      </w:r>
      <w:r w:rsidR="00A2723E" w:rsidRPr="00966BC3">
        <w:rPr>
          <w:sz w:val="16"/>
          <w:szCs w:val="16"/>
        </w:rPr>
        <w:t xml:space="preserve"> (</w:t>
      </w:r>
      <w:r w:rsidR="00D13B5C" w:rsidRPr="00966BC3">
        <w:rPr>
          <w:sz w:val="16"/>
          <w:szCs w:val="16"/>
        </w:rPr>
        <w:t>2018</w:t>
      </w:r>
      <w:r w:rsidR="00A2723E" w:rsidRPr="00966BC3">
        <w:rPr>
          <w:sz w:val="16"/>
          <w:szCs w:val="16"/>
        </w:rPr>
        <w:t>)</w:t>
      </w:r>
      <w:r w:rsidR="00D13B5C" w:rsidRPr="00966BC3">
        <w:rPr>
          <w:sz w:val="16"/>
          <w:szCs w:val="16"/>
        </w:rPr>
        <w:t xml:space="preserve"> p. 213 en p. 358. </w:t>
      </w:r>
    </w:p>
  </w:footnote>
  <w:footnote w:id="41">
    <w:p w14:paraId="376CFF12" w14:textId="00E714AA" w:rsidR="00CA09CD" w:rsidRPr="00966BC3" w:rsidRDefault="00CA09CD" w:rsidP="00000CD0">
      <w:pPr>
        <w:autoSpaceDN/>
        <w:spacing w:line="240" w:lineRule="auto"/>
        <w:textAlignment w:val="auto"/>
        <w:rPr>
          <w:rFonts w:eastAsia="Times New Roman" w:cstheme="minorBidi"/>
          <w:sz w:val="16"/>
          <w:szCs w:val="16"/>
        </w:rPr>
      </w:pPr>
      <w:r w:rsidRPr="00966BC3">
        <w:rPr>
          <w:rStyle w:val="Voetnootmarkering"/>
          <w:sz w:val="16"/>
          <w:szCs w:val="16"/>
        </w:rPr>
        <w:footnoteRef/>
      </w:r>
      <w:r w:rsidRPr="00966BC3">
        <w:rPr>
          <w:sz w:val="16"/>
          <w:szCs w:val="16"/>
        </w:rPr>
        <w:t xml:space="preserve"> </w:t>
      </w:r>
      <w:r w:rsidRPr="00966BC3">
        <w:rPr>
          <w:rFonts w:eastAsia="Times New Roman" w:cstheme="minorBidi"/>
          <w:sz w:val="16"/>
          <w:szCs w:val="16"/>
        </w:rPr>
        <w:t xml:space="preserve">Voorbeeld benoemingsprocedure leden EHRM: In de benoemingsprocedure voor de leden van het EHRM is voorzien in een aanbevelingscommissie waarin de volgende ambten zitting hebben: de president van de Hoge Raad of de procureur-generaal bij de Hoge Raad, de </w:t>
      </w:r>
      <w:proofErr w:type="spellStart"/>
      <w:r w:rsidRPr="00966BC3">
        <w:rPr>
          <w:rFonts w:eastAsia="Times New Roman" w:cstheme="minorBidi"/>
          <w:sz w:val="16"/>
          <w:szCs w:val="16"/>
        </w:rPr>
        <w:t>vice-president</w:t>
      </w:r>
      <w:proofErr w:type="spellEnd"/>
      <w:r w:rsidRPr="00966BC3">
        <w:rPr>
          <w:rFonts w:eastAsia="Times New Roman" w:cstheme="minorBidi"/>
          <w:sz w:val="16"/>
          <w:szCs w:val="16"/>
        </w:rPr>
        <w:t xml:space="preserve"> van de Raad van State of de voorzitter van de Afdeling bestuursrechtspraak van de Raad van State, de voorzitter van het College voor de Rechten van de Mens en een persoon met kennis van het EHRM en/of van de Raad van Europa, dan wel van een vergelijkbare internationale organisatie, niet zijnde de zittende Nederlandse rechter in het EHRM. Voor de betrokkenheid van het parlement zou de procedure van de leden van de Hoge Raad wellicht tot inspiratie kunnen dienen. Hierbij dient wel opgemerkt te worden dat deze invulling </w:t>
      </w:r>
      <w:r w:rsidR="00C2534F">
        <w:rPr>
          <w:rFonts w:eastAsia="Times New Roman" w:cstheme="minorBidi"/>
          <w:sz w:val="16"/>
          <w:szCs w:val="16"/>
        </w:rPr>
        <w:t xml:space="preserve">van de betrokkenheid van het parlement bij </w:t>
      </w:r>
      <w:r w:rsidRPr="00966BC3">
        <w:rPr>
          <w:rFonts w:eastAsia="Times New Roman" w:cstheme="minorBidi"/>
          <w:sz w:val="16"/>
          <w:szCs w:val="16"/>
        </w:rPr>
        <w:t xml:space="preserve">de </w:t>
      </w:r>
      <w:r w:rsidR="00C2534F">
        <w:rPr>
          <w:rFonts w:eastAsia="Times New Roman" w:cstheme="minorBidi"/>
          <w:sz w:val="16"/>
          <w:szCs w:val="16"/>
        </w:rPr>
        <w:t>benoemings</w:t>
      </w:r>
      <w:r w:rsidRPr="00966BC3">
        <w:rPr>
          <w:rFonts w:eastAsia="Times New Roman" w:cstheme="minorBidi"/>
          <w:sz w:val="16"/>
          <w:szCs w:val="16"/>
        </w:rPr>
        <w:t xml:space="preserve">procedure </w:t>
      </w:r>
      <w:r w:rsidR="00BC056F">
        <w:rPr>
          <w:rFonts w:eastAsia="Times New Roman" w:cstheme="minorBidi"/>
          <w:sz w:val="16"/>
          <w:szCs w:val="16"/>
        </w:rPr>
        <w:t xml:space="preserve">mede </w:t>
      </w:r>
      <w:r w:rsidRPr="00966BC3">
        <w:rPr>
          <w:rFonts w:eastAsia="Times New Roman" w:cstheme="minorBidi"/>
          <w:sz w:val="16"/>
          <w:szCs w:val="16"/>
        </w:rPr>
        <w:t xml:space="preserve">samenhangt met de rol van de Hoge Raad bij de vervolging van ambtsdelicten van Kamerleden en bewindspersonen. </w:t>
      </w:r>
    </w:p>
    <w:p w14:paraId="32A08877" w14:textId="6B821A05" w:rsidR="00CA09CD" w:rsidRPr="00966BC3" w:rsidRDefault="00CA09CD">
      <w:pPr>
        <w:pStyle w:val="Voetnoottekst"/>
        <w:rPr>
          <w:sz w:val="16"/>
          <w:szCs w:val="16"/>
        </w:rPr>
      </w:pPr>
    </w:p>
  </w:footnote>
  <w:footnote w:id="42">
    <w:p w14:paraId="1A6DDC02" w14:textId="1DD2FBCB" w:rsidR="004A6E4E" w:rsidRPr="005D6CE3" w:rsidRDefault="004A6E4E">
      <w:pPr>
        <w:pStyle w:val="Voetnoottekst"/>
        <w:rPr>
          <w:sz w:val="16"/>
          <w:szCs w:val="16"/>
        </w:rPr>
      </w:pPr>
      <w:r w:rsidRPr="005D6CE3">
        <w:rPr>
          <w:rStyle w:val="Voetnootmarkering"/>
          <w:sz w:val="16"/>
          <w:szCs w:val="16"/>
        </w:rPr>
        <w:footnoteRef/>
      </w:r>
      <w:r w:rsidRPr="005D6CE3">
        <w:rPr>
          <w:sz w:val="16"/>
          <w:szCs w:val="16"/>
        </w:rPr>
        <w:t xml:space="preserve"> </w:t>
      </w:r>
      <w:r w:rsidR="00B755D0" w:rsidRPr="005D6CE3">
        <w:rPr>
          <w:sz w:val="16"/>
          <w:szCs w:val="16"/>
        </w:rPr>
        <w:t xml:space="preserve">Zie </w:t>
      </w:r>
      <w:r w:rsidR="003F28CE" w:rsidRPr="005D6CE3">
        <w:rPr>
          <w:i/>
          <w:iCs/>
          <w:sz w:val="16"/>
          <w:szCs w:val="16"/>
        </w:rPr>
        <w:t xml:space="preserve">Kamerstukken II </w:t>
      </w:r>
      <w:r w:rsidR="003F28CE">
        <w:rPr>
          <w:sz w:val="16"/>
          <w:szCs w:val="16"/>
        </w:rPr>
        <w:t xml:space="preserve">2024/25, </w:t>
      </w:r>
      <w:r w:rsidR="003F28CE" w:rsidRPr="005D6CE3">
        <w:rPr>
          <w:sz w:val="16"/>
          <w:szCs w:val="16"/>
        </w:rPr>
        <w:t>36</w:t>
      </w:r>
      <w:r w:rsidR="00922C38">
        <w:rPr>
          <w:sz w:val="16"/>
          <w:szCs w:val="16"/>
        </w:rPr>
        <w:t xml:space="preserve"> </w:t>
      </w:r>
      <w:r w:rsidR="003F28CE" w:rsidRPr="005D6CE3">
        <w:rPr>
          <w:sz w:val="16"/>
          <w:szCs w:val="16"/>
        </w:rPr>
        <w:t xml:space="preserve">344, nr. 5 en </w:t>
      </w:r>
      <w:r w:rsidR="00B755D0" w:rsidRPr="005D6CE3">
        <w:rPr>
          <w:i/>
          <w:iCs/>
          <w:sz w:val="16"/>
          <w:szCs w:val="16"/>
        </w:rPr>
        <w:t xml:space="preserve">Kamerstukken II </w:t>
      </w:r>
      <w:r w:rsidR="00B755D0" w:rsidRPr="005D6CE3">
        <w:rPr>
          <w:sz w:val="16"/>
          <w:szCs w:val="16"/>
        </w:rPr>
        <w:t>2024/25, 36</w:t>
      </w:r>
      <w:r w:rsidR="00922C38">
        <w:rPr>
          <w:sz w:val="16"/>
          <w:szCs w:val="16"/>
        </w:rPr>
        <w:t xml:space="preserve"> </w:t>
      </w:r>
      <w:r w:rsidR="00B755D0" w:rsidRPr="005D6CE3">
        <w:rPr>
          <w:sz w:val="16"/>
          <w:szCs w:val="16"/>
        </w:rPr>
        <w:t xml:space="preserve">600-VII, nr.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F40A" w14:textId="5A682119" w:rsidR="00C22F95" w:rsidRDefault="00C22F95">
    <w:r>
      <w:rPr>
        <w:noProof/>
      </w:rPr>
      <mc:AlternateContent>
        <mc:Choice Requires="wps">
          <w:drawing>
            <wp:anchor distT="0" distB="0" distL="0" distR="0" simplePos="0" relativeHeight="251658241" behindDoc="0" locked="1" layoutInCell="1" allowOverlap="1" wp14:anchorId="32F761BE" wp14:editId="67CA9B77">
              <wp:simplePos x="0" y="0"/>
              <wp:positionH relativeFrom="page">
                <wp:posOffset>5921375</wp:posOffset>
              </wp:positionH>
              <wp:positionV relativeFrom="page">
                <wp:posOffset>1965325</wp:posOffset>
              </wp:positionV>
              <wp:extent cx="1277620" cy="8009890"/>
              <wp:effectExtent l="0" t="0" r="0" b="0"/>
              <wp:wrapNone/>
              <wp:docPr id="2" name="Tekstvak 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BBDEFC" w14:textId="6AFBD31D" w:rsidR="00C22F95" w:rsidRDefault="00C22F95">
                          <w:pPr>
                            <w:pStyle w:val="Referentiegegevensbold"/>
                          </w:pPr>
                          <w:r>
                            <w:t>DG Openbaar Bestuur &amp; Democr</w:t>
                          </w:r>
                          <w:r w:rsidR="00C91C09">
                            <w:t>atische</w:t>
                          </w:r>
                          <w:r>
                            <w:t xml:space="preserve"> Rechtsstaat</w:t>
                          </w:r>
                        </w:p>
                        <w:p w14:paraId="6566543E" w14:textId="77777777" w:rsidR="00C22F95" w:rsidRDefault="00C22F95">
                          <w:pPr>
                            <w:pStyle w:val="Referentiegegevens"/>
                          </w:pPr>
                          <w:r>
                            <w:t>DGOBDR-CZW-Constitutionele Zaken</w:t>
                          </w:r>
                        </w:p>
                        <w:p w14:paraId="21BAC18A" w14:textId="77777777" w:rsidR="00C22F95" w:rsidRDefault="00C22F95">
                          <w:pPr>
                            <w:pStyle w:val="WitregelW2"/>
                          </w:pPr>
                        </w:p>
                        <w:p w14:paraId="472B718C" w14:textId="77777777" w:rsidR="00C22F95" w:rsidRDefault="00C22F95">
                          <w:pPr>
                            <w:pStyle w:val="WitregelW1"/>
                          </w:pPr>
                        </w:p>
                        <w:p w14:paraId="68AFD99B" w14:textId="77777777" w:rsidR="00C22F95" w:rsidRDefault="00C22F95">
                          <w:pPr>
                            <w:pStyle w:val="Referentiegegevensbold"/>
                          </w:pPr>
                          <w:r>
                            <w:t>Onze referentie</w:t>
                          </w:r>
                        </w:p>
                        <w:p w14:paraId="3D3BEFAB" w14:textId="5FFC1397" w:rsidR="00C22F95" w:rsidRDefault="00432C1D">
                          <w:pPr>
                            <w:pStyle w:val="Referentiegegevens"/>
                          </w:pPr>
                          <w:r w:rsidRPr="00432C1D">
                            <w:t>2025-0000026931</w:t>
                          </w:r>
                        </w:p>
                      </w:txbxContent>
                    </wps:txbx>
                    <wps:bodyPr vert="horz" wrap="square" lIns="0" tIns="0" rIns="0" bIns="0" anchor="t" anchorCtr="0"/>
                  </wps:wsp>
                </a:graphicData>
              </a:graphic>
            </wp:anchor>
          </w:drawing>
        </mc:Choice>
        <mc:Fallback>
          <w:pict>
            <v:shapetype w14:anchorId="32F761BE" id="_x0000_t202" coordsize="21600,21600" o:spt="202" path="m,l,21600r21600,l21600,xe">
              <v:stroke joinstyle="miter"/>
              <v:path gradientshapeok="t" o:connecttype="rect"/>
            </v:shapetype>
            <v:shape id="Tekstvak 2" o:spid="_x0000_s1026"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BBDEFC" w14:textId="6AFBD31D" w:rsidR="00C22F95" w:rsidRDefault="00C22F95">
                    <w:pPr>
                      <w:pStyle w:val="Referentiegegevensbold"/>
                    </w:pPr>
                    <w:r>
                      <w:t>DG Openbaar Bestuur &amp; Democr</w:t>
                    </w:r>
                    <w:r w:rsidR="00C91C09">
                      <w:t>atische</w:t>
                    </w:r>
                    <w:r>
                      <w:t xml:space="preserve"> Rechtsstaat</w:t>
                    </w:r>
                  </w:p>
                  <w:p w14:paraId="6566543E" w14:textId="77777777" w:rsidR="00C22F95" w:rsidRDefault="00C22F95">
                    <w:pPr>
                      <w:pStyle w:val="Referentiegegevens"/>
                    </w:pPr>
                    <w:r>
                      <w:t>DGOBDR-CZW-Constitutionele Zaken</w:t>
                    </w:r>
                  </w:p>
                  <w:p w14:paraId="21BAC18A" w14:textId="77777777" w:rsidR="00C22F95" w:rsidRDefault="00C22F95">
                    <w:pPr>
                      <w:pStyle w:val="WitregelW2"/>
                    </w:pPr>
                  </w:p>
                  <w:p w14:paraId="472B718C" w14:textId="77777777" w:rsidR="00C22F95" w:rsidRDefault="00C22F95">
                    <w:pPr>
                      <w:pStyle w:val="WitregelW1"/>
                    </w:pPr>
                  </w:p>
                  <w:p w14:paraId="68AFD99B" w14:textId="77777777" w:rsidR="00C22F95" w:rsidRDefault="00C22F95">
                    <w:pPr>
                      <w:pStyle w:val="Referentiegegevensbold"/>
                    </w:pPr>
                    <w:r>
                      <w:t>Onze referentie</w:t>
                    </w:r>
                  </w:p>
                  <w:p w14:paraId="3D3BEFAB" w14:textId="5FFC1397" w:rsidR="00C22F95" w:rsidRDefault="00432C1D">
                    <w:pPr>
                      <w:pStyle w:val="Referentiegegevens"/>
                    </w:pPr>
                    <w:r w:rsidRPr="00432C1D">
                      <w:t>2025-0000026931</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D848255" wp14:editId="536CED60">
              <wp:simplePos x="0" y="0"/>
              <wp:positionH relativeFrom="page">
                <wp:posOffset>5921375</wp:posOffset>
              </wp:positionH>
              <wp:positionV relativeFrom="page">
                <wp:posOffset>10194925</wp:posOffset>
              </wp:positionV>
              <wp:extent cx="1285875" cy="161925"/>
              <wp:effectExtent l="0" t="0" r="0" b="0"/>
              <wp:wrapNone/>
              <wp:docPr id="4" name="Tekstvak 4"/>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E6FA66" w14:textId="77777777" w:rsidR="00C22F95" w:rsidRDefault="00C22F9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D848255" id="Tekstvak 4" o:spid="_x0000_s1027"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0E6FA66" w14:textId="77777777" w:rsidR="00C22F95" w:rsidRDefault="00C22F9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8DBB" w14:textId="77777777" w:rsidR="00C22F95" w:rsidRDefault="00C22F95">
    <w:pPr>
      <w:spacing w:after="6377" w:line="14" w:lineRule="exact"/>
    </w:pPr>
    <w:r>
      <w:rPr>
        <w:noProof/>
      </w:rPr>
      <mc:AlternateContent>
        <mc:Choice Requires="wps">
          <w:drawing>
            <wp:anchor distT="0" distB="0" distL="0" distR="0" simplePos="0" relativeHeight="251658244" behindDoc="0" locked="1" layoutInCell="1" allowOverlap="1" wp14:anchorId="27024D7E" wp14:editId="1E63B092">
              <wp:simplePos x="0" y="0"/>
              <wp:positionH relativeFrom="page">
                <wp:posOffset>3545840</wp:posOffset>
              </wp:positionH>
              <wp:positionV relativeFrom="page">
                <wp:posOffset>0</wp:posOffset>
              </wp:positionV>
              <wp:extent cx="467995" cy="1583690"/>
              <wp:effectExtent l="0" t="0" r="0" b="0"/>
              <wp:wrapNone/>
              <wp:docPr id="5" name="Tekstvak 5"/>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9A3A51" w14:textId="77777777" w:rsidR="00C22F95" w:rsidRDefault="00C22F95">
                          <w:pPr>
                            <w:spacing w:line="240" w:lineRule="auto"/>
                          </w:pPr>
                          <w:r>
                            <w:rPr>
                              <w:noProof/>
                            </w:rPr>
                            <w:drawing>
                              <wp:inline distT="0" distB="0" distL="0" distR="0" wp14:anchorId="6D469B47" wp14:editId="48BFD878">
                                <wp:extent cx="467995" cy="1583865"/>
                                <wp:effectExtent l="0" t="0" r="0" b="0"/>
                                <wp:docPr id="6" name="Afbeelding 6"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024D7E" id="_x0000_t202" coordsize="21600,21600" o:spt="202" path="m,l,21600r21600,l21600,xe">
              <v:stroke joinstyle="miter"/>
              <v:path gradientshapeok="t" o:connecttype="rect"/>
            </v:shapetype>
            <v:shape id="Tekstvak 5" o:spid="_x0000_s1028"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BJIQf+lQEAABQDAAAO&#10;AAAAAAAAAAAAAAAAAC4CAABkcnMvZTJvRG9jLnhtbFBLAQItABQABgAIAAAAIQCnA+Yu3gAAAAgB&#10;AAAPAAAAAAAAAAAAAAAAAO8DAABkcnMvZG93bnJldi54bWxQSwUGAAAAAAQABADzAAAA+gQAAAAA&#10;" filled="f" stroked="f">
              <v:textbox inset="0,0,0,0">
                <w:txbxContent>
                  <w:p w14:paraId="5C9A3A51" w14:textId="77777777" w:rsidR="00C22F95" w:rsidRDefault="00C22F95">
                    <w:pPr>
                      <w:spacing w:line="240" w:lineRule="auto"/>
                    </w:pPr>
                    <w:r>
                      <w:rPr>
                        <w:noProof/>
                      </w:rPr>
                      <w:drawing>
                        <wp:inline distT="0" distB="0" distL="0" distR="0" wp14:anchorId="6D469B47" wp14:editId="48BFD878">
                          <wp:extent cx="467995" cy="1583865"/>
                          <wp:effectExtent l="0" t="0" r="0" b="0"/>
                          <wp:docPr id="6" name="Afbeelding 6"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17983B0" wp14:editId="5DBDEF0C">
              <wp:simplePos x="0" y="0"/>
              <wp:positionH relativeFrom="page">
                <wp:posOffset>3995420</wp:posOffset>
              </wp:positionH>
              <wp:positionV relativeFrom="page">
                <wp:posOffset>0</wp:posOffset>
              </wp:positionV>
              <wp:extent cx="2339975" cy="1583690"/>
              <wp:effectExtent l="0" t="0" r="0" b="0"/>
              <wp:wrapNone/>
              <wp:docPr id="7" name="Tekstvak 7"/>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C99CB3" w14:textId="77777777" w:rsidR="00C22F95" w:rsidRDefault="00C22F95">
                          <w:pPr>
                            <w:spacing w:line="240" w:lineRule="auto"/>
                          </w:pPr>
                          <w:r>
                            <w:rPr>
                              <w:noProof/>
                            </w:rPr>
                            <w:drawing>
                              <wp:inline distT="0" distB="0" distL="0" distR="0" wp14:anchorId="52B0B4B2" wp14:editId="6010E076">
                                <wp:extent cx="2339975" cy="1582834"/>
                                <wp:effectExtent l="0" t="0" r="0" b="0"/>
                                <wp:docPr id="8" name="Afbeelding 8" descr="Ministerie van Binnenlandse Zaken en Koninkrijksrelaties" title="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7983B0" id="Tekstvak 7" o:spid="_x0000_s1029"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28C99CB3" w14:textId="77777777" w:rsidR="00C22F95" w:rsidRDefault="00C22F95">
                    <w:pPr>
                      <w:spacing w:line="240" w:lineRule="auto"/>
                    </w:pPr>
                    <w:r>
                      <w:rPr>
                        <w:noProof/>
                      </w:rPr>
                      <w:drawing>
                        <wp:inline distT="0" distB="0" distL="0" distR="0" wp14:anchorId="52B0B4B2" wp14:editId="6010E076">
                          <wp:extent cx="2339975" cy="1582834"/>
                          <wp:effectExtent l="0" t="0" r="0" b="0"/>
                          <wp:docPr id="8" name="Afbeelding 8" descr="Ministerie van Binnenlandse Zaken en Koninkrijksrelaties" title="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A887FCA" wp14:editId="419B5FD2">
              <wp:simplePos x="0" y="0"/>
              <wp:positionH relativeFrom="page">
                <wp:posOffset>1007744</wp:posOffset>
              </wp:positionH>
              <wp:positionV relativeFrom="page">
                <wp:posOffset>1727835</wp:posOffset>
              </wp:positionV>
              <wp:extent cx="4787900"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00AB35" w14:textId="237967A2" w:rsidR="00C22F95" w:rsidRDefault="00C22F95">
                          <w:pPr>
                            <w:pStyle w:val="Referentiegegevens"/>
                          </w:pPr>
                          <w:r>
                            <w:t>&gt; Retouradres</w:t>
                          </w:r>
                          <w:r w:rsidR="005B7261">
                            <w:t xml:space="preserve"> </w:t>
                          </w:r>
                        </w:p>
                      </w:txbxContent>
                    </wps:txbx>
                    <wps:bodyPr vert="horz" wrap="square" lIns="0" tIns="0" rIns="0" bIns="0" anchor="t" anchorCtr="0"/>
                  </wps:wsp>
                </a:graphicData>
              </a:graphic>
            </wp:anchor>
          </w:drawing>
        </mc:Choice>
        <mc:Fallback>
          <w:pict>
            <v:shape w14:anchorId="5A887FCA" id="Tekstvak 9" o:spid="_x0000_s1030"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yFkwEAABQ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VecaW6hOzB7XkCG7QF/SjHyMFtJL68KjRTD58Bq5cnPDs7OdnZU&#10;0Py1lUmKo/sxlQ2ZCbD0pZu3Ncmz/f1eaJ6XefML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BtMDIWTAQAAFAMAAA4A&#10;AAAAAAAAAAAAAAAALgIAAGRycy9lMm9Eb2MueG1sUEsBAi0AFAAGAAgAAAAhACgNMVrfAAAACwEA&#10;AA8AAAAAAAAAAAAAAAAA7QMAAGRycy9kb3ducmV2LnhtbFBLBQYAAAAABAAEAPMAAAD5BAAAAAA=&#10;" filled="f" stroked="f">
              <v:textbox inset="0,0,0,0">
                <w:txbxContent>
                  <w:p w14:paraId="6500AB35" w14:textId="237967A2" w:rsidR="00C22F95" w:rsidRDefault="00C22F95">
                    <w:pPr>
                      <w:pStyle w:val="Referentiegegevens"/>
                    </w:pPr>
                    <w:r>
                      <w:t>&gt; Retouradres</w:t>
                    </w:r>
                    <w:r w:rsidR="005B7261">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0B7C34D" wp14:editId="24CC0371">
              <wp:simplePos x="0" y="0"/>
              <wp:positionH relativeFrom="page">
                <wp:posOffset>1007744</wp:posOffset>
              </wp:positionH>
              <wp:positionV relativeFrom="page">
                <wp:posOffset>1954530</wp:posOffset>
              </wp:positionV>
              <wp:extent cx="4787900" cy="111569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A4005A" w14:textId="69A5C023" w:rsidR="00C22F95" w:rsidRDefault="00073EDD">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anchor>
          </w:drawing>
        </mc:Choice>
        <mc:Fallback>
          <w:pict>
            <v:shape w14:anchorId="00B7C34D" id="Tekstvak 10" o:spid="_x0000_s1031"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00A4005A" w14:textId="69A5C023" w:rsidR="00C22F95" w:rsidRDefault="00073EDD">
                    <w:r>
                      <w:t>Aan de Voorzitter van de Tweede Kamer der Staten-Generaal</w:t>
                    </w:r>
                    <w:r>
                      <w:br/>
                    </w:r>
                    <w:r>
                      <w:rPr>
                        <w:rFonts w:cs="Arial"/>
                        <w:color w:val="132439"/>
                      </w:rPr>
                      <w:t>Postbus 20018</w:t>
                    </w:r>
                    <w:r>
                      <w:rPr>
                        <w:rFonts w:cs="Arial"/>
                        <w:color w:val="132439"/>
                      </w:rP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1ACCECF" wp14:editId="1D86A87D">
              <wp:simplePos x="0" y="0"/>
              <wp:positionH relativeFrom="page">
                <wp:posOffset>1019810</wp:posOffset>
              </wp:positionH>
              <wp:positionV relativeFrom="page">
                <wp:posOffset>3339465</wp:posOffset>
              </wp:positionV>
              <wp:extent cx="4772025" cy="3238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C3169" w14:paraId="49A971A3" w14:textId="77777777">
                            <w:trPr>
                              <w:trHeight w:val="240"/>
                            </w:trPr>
                            <w:tc>
                              <w:tcPr>
                                <w:tcW w:w="1140" w:type="dxa"/>
                              </w:tcPr>
                              <w:p w14:paraId="68D0B038" w14:textId="77777777" w:rsidR="00C22F95" w:rsidRDefault="00C22F95">
                                <w:r>
                                  <w:t>Datum</w:t>
                                </w:r>
                              </w:p>
                            </w:tc>
                            <w:tc>
                              <w:tcPr>
                                <w:tcW w:w="5918" w:type="dxa"/>
                              </w:tcPr>
                              <w:p w14:paraId="2905415E" w14:textId="4677FAF1" w:rsidR="00C22F95" w:rsidRDefault="00417CAC">
                                <w:r>
                                  <w:t>21 februari 2025</w:t>
                                </w:r>
                              </w:p>
                            </w:tc>
                          </w:tr>
                          <w:tr w:rsidR="000C3169" w:rsidRPr="0013699F" w14:paraId="195B4A89" w14:textId="77777777">
                            <w:trPr>
                              <w:trHeight w:val="240"/>
                            </w:trPr>
                            <w:tc>
                              <w:tcPr>
                                <w:tcW w:w="1140" w:type="dxa"/>
                              </w:tcPr>
                              <w:p w14:paraId="047966CA" w14:textId="77777777" w:rsidR="00C22F95" w:rsidRDefault="00C22F95">
                                <w:r>
                                  <w:t>Betreft</w:t>
                                </w:r>
                              </w:p>
                            </w:tc>
                            <w:tc>
                              <w:tcPr>
                                <w:tcW w:w="5918" w:type="dxa"/>
                              </w:tcPr>
                              <w:p w14:paraId="40690E6D" w14:textId="43766495" w:rsidR="00C22F95" w:rsidRPr="00B65247" w:rsidRDefault="006D6D67">
                                <w:r>
                                  <w:t>Contourennota constitutionele toetsing</w:t>
                                </w:r>
                              </w:p>
                            </w:tc>
                          </w:tr>
                        </w:tbl>
                        <w:p w14:paraId="5E472290" w14:textId="77777777" w:rsidR="00C22F95" w:rsidRPr="00432C1D" w:rsidRDefault="00C22F95"/>
                      </w:txbxContent>
                    </wps:txbx>
                    <wps:bodyPr vert="horz" wrap="square" lIns="0" tIns="0" rIns="0" bIns="0" anchor="t" anchorCtr="0"/>
                  </wps:wsp>
                </a:graphicData>
              </a:graphic>
            </wp:anchor>
          </w:drawing>
        </mc:Choice>
        <mc:Fallback>
          <w:pict>
            <v:shape w14:anchorId="41ACCECF" id="Tekstvak 11" o:spid="_x0000_s1032" type="#_x0000_t202" style="position:absolute;margin-left:80.3pt;margin-top:262.95pt;width:375.75pt;height:25.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0PFS5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0C3169" w14:paraId="49A971A3" w14:textId="77777777">
                      <w:trPr>
                        <w:trHeight w:val="240"/>
                      </w:trPr>
                      <w:tc>
                        <w:tcPr>
                          <w:tcW w:w="1140" w:type="dxa"/>
                        </w:tcPr>
                        <w:p w14:paraId="68D0B038" w14:textId="77777777" w:rsidR="00C22F95" w:rsidRDefault="00C22F95">
                          <w:r>
                            <w:t>Datum</w:t>
                          </w:r>
                        </w:p>
                      </w:tc>
                      <w:tc>
                        <w:tcPr>
                          <w:tcW w:w="5918" w:type="dxa"/>
                        </w:tcPr>
                        <w:p w14:paraId="2905415E" w14:textId="4677FAF1" w:rsidR="00C22F95" w:rsidRDefault="00417CAC">
                          <w:r>
                            <w:t>21 februari 2025</w:t>
                          </w:r>
                        </w:p>
                      </w:tc>
                    </w:tr>
                    <w:tr w:rsidR="000C3169" w:rsidRPr="0013699F" w14:paraId="195B4A89" w14:textId="77777777">
                      <w:trPr>
                        <w:trHeight w:val="240"/>
                      </w:trPr>
                      <w:tc>
                        <w:tcPr>
                          <w:tcW w:w="1140" w:type="dxa"/>
                        </w:tcPr>
                        <w:p w14:paraId="047966CA" w14:textId="77777777" w:rsidR="00C22F95" w:rsidRDefault="00C22F95">
                          <w:r>
                            <w:t>Betreft</w:t>
                          </w:r>
                        </w:p>
                      </w:tc>
                      <w:tc>
                        <w:tcPr>
                          <w:tcW w:w="5918" w:type="dxa"/>
                        </w:tcPr>
                        <w:p w14:paraId="40690E6D" w14:textId="43766495" w:rsidR="00C22F95" w:rsidRPr="00B65247" w:rsidRDefault="006D6D67">
                          <w:r>
                            <w:t>Contourennota constitutionele toetsing</w:t>
                          </w:r>
                        </w:p>
                      </w:tc>
                    </w:tr>
                  </w:tbl>
                  <w:p w14:paraId="5E472290" w14:textId="77777777" w:rsidR="00C22F95" w:rsidRPr="00432C1D" w:rsidRDefault="00C22F9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1FA97EE" wp14:editId="15A35B1B">
              <wp:simplePos x="0" y="0"/>
              <wp:positionH relativeFrom="page">
                <wp:posOffset>5921375</wp:posOffset>
              </wp:positionH>
              <wp:positionV relativeFrom="page">
                <wp:posOffset>1954530</wp:posOffset>
              </wp:positionV>
              <wp:extent cx="127762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81443A" w14:textId="36918FF7" w:rsidR="00C22F95" w:rsidRDefault="00C22F95">
                          <w:pPr>
                            <w:pStyle w:val="Referentiegegevensbold"/>
                          </w:pPr>
                          <w:r>
                            <w:t>DG Openbaar Bestuur &amp; Democr</w:t>
                          </w:r>
                          <w:r w:rsidR="00C91C09">
                            <w:t>atische</w:t>
                          </w:r>
                          <w:r>
                            <w:t xml:space="preserve"> Rechtsstaat</w:t>
                          </w:r>
                        </w:p>
                        <w:p w14:paraId="3B234368" w14:textId="77777777" w:rsidR="00C22F95" w:rsidRDefault="00C22F95">
                          <w:pPr>
                            <w:pStyle w:val="Referentiegegevens"/>
                          </w:pPr>
                          <w:r>
                            <w:t>DGOBDR-CZW-Constitutionele Zaken</w:t>
                          </w:r>
                        </w:p>
                        <w:p w14:paraId="52DDBA8E" w14:textId="77777777" w:rsidR="00C22F95" w:rsidRDefault="00C22F95">
                          <w:pPr>
                            <w:pStyle w:val="WitregelW1"/>
                          </w:pPr>
                        </w:p>
                        <w:p w14:paraId="1F4AC842" w14:textId="77777777" w:rsidR="00C22F95" w:rsidRDefault="00C22F95">
                          <w:pPr>
                            <w:pStyle w:val="Referentiegegevens"/>
                          </w:pPr>
                          <w:r>
                            <w:t>Turfmarkt 147</w:t>
                          </w:r>
                        </w:p>
                        <w:p w14:paraId="12F14A52" w14:textId="77777777" w:rsidR="00C22F95" w:rsidRDefault="00C22F95">
                          <w:pPr>
                            <w:pStyle w:val="Referentiegegevens"/>
                          </w:pPr>
                          <w:r>
                            <w:t>2511 DP Den Haag</w:t>
                          </w:r>
                        </w:p>
                        <w:p w14:paraId="4DBCE40F" w14:textId="77777777" w:rsidR="00C22F95" w:rsidRDefault="00C22F95">
                          <w:pPr>
                            <w:pStyle w:val="WitregelW1"/>
                          </w:pPr>
                        </w:p>
                        <w:p w14:paraId="6285FD19" w14:textId="77777777" w:rsidR="00C22F95" w:rsidRDefault="00C22F95">
                          <w:pPr>
                            <w:pStyle w:val="WitregelW2"/>
                          </w:pPr>
                        </w:p>
                        <w:p w14:paraId="494B8644" w14:textId="77777777" w:rsidR="00C22F95" w:rsidRDefault="00C22F95">
                          <w:pPr>
                            <w:pStyle w:val="Referentiegegevensbold"/>
                          </w:pPr>
                          <w:r>
                            <w:t>Onze referentie</w:t>
                          </w:r>
                        </w:p>
                        <w:p w14:paraId="08F633AF" w14:textId="77777777" w:rsidR="006D6D67" w:rsidRDefault="00432C1D">
                          <w:pPr>
                            <w:pStyle w:val="Referentiegegevens"/>
                          </w:pPr>
                          <w:r w:rsidRPr="00432C1D">
                            <w:t>2025-0000026931</w:t>
                          </w:r>
                        </w:p>
                        <w:p w14:paraId="716AC4E7" w14:textId="7A78B73E" w:rsidR="00C22F95" w:rsidRDefault="00C22F95">
                          <w:pPr>
                            <w:pStyle w:val="Referentiegegevens"/>
                          </w:pPr>
                        </w:p>
                        <w:p w14:paraId="2810C8D5" w14:textId="77777777" w:rsidR="00C22F95" w:rsidRDefault="00C22F95">
                          <w:pPr>
                            <w:pStyle w:val="WitregelW1"/>
                          </w:pPr>
                        </w:p>
                        <w:p w14:paraId="26F5510C" w14:textId="77777777" w:rsidR="00C22F95" w:rsidRDefault="00C22F95">
                          <w:pPr>
                            <w:pStyle w:val="Referentiegegevensbold"/>
                          </w:pPr>
                          <w:r>
                            <w:t>Uw referentie</w:t>
                          </w:r>
                        </w:p>
                        <w:p w14:paraId="2C32FFA5" w14:textId="6BFFF813" w:rsidR="00C22F95" w:rsidRDefault="00C22F95">
                          <w:pPr>
                            <w:pStyle w:val="Referentiegegevens"/>
                          </w:pPr>
                        </w:p>
                      </w:txbxContent>
                    </wps:txbx>
                    <wps:bodyPr vert="horz" wrap="square" lIns="0" tIns="0" rIns="0" bIns="0" anchor="t" anchorCtr="0"/>
                  </wps:wsp>
                </a:graphicData>
              </a:graphic>
            </wp:anchor>
          </w:drawing>
        </mc:Choice>
        <mc:Fallback>
          <w:pict>
            <v:shape w14:anchorId="51FA97EE" id="Tekstvak 12" o:spid="_x0000_s1033"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DaI7+uTAQAAFQMA&#10;AA4AAAAAAAAAAAAAAAAALgIAAGRycy9lMm9Eb2MueG1sUEsBAi0AFAAGAAgAAAAhAEmIUcviAAAA&#10;DQEAAA8AAAAAAAAAAAAAAAAA7QMAAGRycy9kb3ducmV2LnhtbFBLBQYAAAAABAAEAPMAAAD8BAAA&#10;AAA=&#10;" filled="f" stroked="f">
              <v:textbox inset="0,0,0,0">
                <w:txbxContent>
                  <w:p w14:paraId="3581443A" w14:textId="36918FF7" w:rsidR="00C22F95" w:rsidRDefault="00C22F95">
                    <w:pPr>
                      <w:pStyle w:val="Referentiegegevensbold"/>
                    </w:pPr>
                    <w:r>
                      <w:t>DG Openbaar Bestuur &amp; Democr</w:t>
                    </w:r>
                    <w:r w:rsidR="00C91C09">
                      <w:t>atische</w:t>
                    </w:r>
                    <w:r>
                      <w:t xml:space="preserve"> Rechtsstaat</w:t>
                    </w:r>
                  </w:p>
                  <w:p w14:paraId="3B234368" w14:textId="77777777" w:rsidR="00C22F95" w:rsidRDefault="00C22F95">
                    <w:pPr>
                      <w:pStyle w:val="Referentiegegevens"/>
                    </w:pPr>
                    <w:r>
                      <w:t>DGOBDR-CZW-Constitutionele Zaken</w:t>
                    </w:r>
                  </w:p>
                  <w:p w14:paraId="52DDBA8E" w14:textId="77777777" w:rsidR="00C22F95" w:rsidRDefault="00C22F95">
                    <w:pPr>
                      <w:pStyle w:val="WitregelW1"/>
                    </w:pPr>
                  </w:p>
                  <w:p w14:paraId="1F4AC842" w14:textId="77777777" w:rsidR="00C22F95" w:rsidRDefault="00C22F95">
                    <w:pPr>
                      <w:pStyle w:val="Referentiegegevens"/>
                    </w:pPr>
                    <w:r>
                      <w:t>Turfmarkt 147</w:t>
                    </w:r>
                  </w:p>
                  <w:p w14:paraId="12F14A52" w14:textId="77777777" w:rsidR="00C22F95" w:rsidRDefault="00C22F95">
                    <w:pPr>
                      <w:pStyle w:val="Referentiegegevens"/>
                    </w:pPr>
                    <w:r>
                      <w:t>2511 DP Den Haag</w:t>
                    </w:r>
                  </w:p>
                  <w:p w14:paraId="4DBCE40F" w14:textId="77777777" w:rsidR="00C22F95" w:rsidRDefault="00C22F95">
                    <w:pPr>
                      <w:pStyle w:val="WitregelW1"/>
                    </w:pPr>
                  </w:p>
                  <w:p w14:paraId="6285FD19" w14:textId="77777777" w:rsidR="00C22F95" w:rsidRDefault="00C22F95">
                    <w:pPr>
                      <w:pStyle w:val="WitregelW2"/>
                    </w:pPr>
                  </w:p>
                  <w:p w14:paraId="494B8644" w14:textId="77777777" w:rsidR="00C22F95" w:rsidRDefault="00C22F95">
                    <w:pPr>
                      <w:pStyle w:val="Referentiegegevensbold"/>
                    </w:pPr>
                    <w:r>
                      <w:t>Onze referentie</w:t>
                    </w:r>
                  </w:p>
                  <w:p w14:paraId="08F633AF" w14:textId="77777777" w:rsidR="006D6D67" w:rsidRDefault="00432C1D">
                    <w:pPr>
                      <w:pStyle w:val="Referentiegegevens"/>
                    </w:pPr>
                    <w:r w:rsidRPr="00432C1D">
                      <w:t>2025-0000026931</w:t>
                    </w:r>
                  </w:p>
                  <w:p w14:paraId="716AC4E7" w14:textId="7A78B73E" w:rsidR="00C22F95" w:rsidRDefault="00C22F95">
                    <w:pPr>
                      <w:pStyle w:val="Referentiegegevens"/>
                    </w:pPr>
                  </w:p>
                  <w:p w14:paraId="2810C8D5" w14:textId="77777777" w:rsidR="00C22F95" w:rsidRDefault="00C22F95">
                    <w:pPr>
                      <w:pStyle w:val="WitregelW1"/>
                    </w:pPr>
                  </w:p>
                  <w:p w14:paraId="26F5510C" w14:textId="77777777" w:rsidR="00C22F95" w:rsidRDefault="00C22F95">
                    <w:pPr>
                      <w:pStyle w:val="Referentiegegevensbold"/>
                    </w:pPr>
                    <w:r>
                      <w:t>Uw referentie</w:t>
                    </w:r>
                  </w:p>
                  <w:p w14:paraId="2C32FFA5" w14:textId="6BFFF813" w:rsidR="00C22F95" w:rsidRDefault="00C22F9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6EAE5E3" wp14:editId="6C820F74">
              <wp:simplePos x="0" y="0"/>
              <wp:positionH relativeFrom="page">
                <wp:posOffset>5921375</wp:posOffset>
              </wp:positionH>
              <wp:positionV relativeFrom="page">
                <wp:posOffset>10194925</wp:posOffset>
              </wp:positionV>
              <wp:extent cx="1285875" cy="16192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67AEAC" w14:textId="77777777" w:rsidR="00C22F95" w:rsidRDefault="00C22F9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6EAE5E3" id="Tekstvak 13" o:spid="_x0000_s1034"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467AEAC" w14:textId="77777777" w:rsidR="00C22F95" w:rsidRDefault="00C22F9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5497B4C0" wp14:editId="5AFDFAE5">
              <wp:simplePos x="0" y="0"/>
              <wp:positionH relativeFrom="page">
                <wp:posOffset>1007744</wp:posOffset>
              </wp:positionH>
              <wp:positionV relativeFrom="page">
                <wp:posOffset>10194925</wp:posOffset>
              </wp:positionV>
              <wp:extent cx="4787900"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C62FA8" w14:textId="77777777" w:rsidR="00C22F95" w:rsidRDefault="00C22F95"/>
                      </w:txbxContent>
                    </wps:txbx>
                    <wps:bodyPr vert="horz" wrap="square" lIns="0" tIns="0" rIns="0" bIns="0" anchor="t" anchorCtr="0"/>
                  </wps:wsp>
                </a:graphicData>
              </a:graphic>
            </wp:anchor>
          </w:drawing>
        </mc:Choice>
        <mc:Fallback>
          <w:pict>
            <v:shape w14:anchorId="5497B4C0" id="Tekstvak 14" o:spid="_x0000_s1035"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7PebSkwEAABQDAAAO&#10;AAAAAAAAAAAAAAAAAC4CAABkcnMvZTJvRG9jLnhtbFBLAQItABQABgAIAAAAIQB+hBga4AAAAA0B&#10;AAAPAAAAAAAAAAAAAAAAAO0DAABkcnMvZG93bnJldi54bWxQSwUGAAAAAAQABADzAAAA+gQAAAAA&#10;" filled="f" stroked="f">
              <v:textbox inset="0,0,0,0">
                <w:txbxContent>
                  <w:p w14:paraId="1DC62FA8" w14:textId="77777777" w:rsidR="00C22F95" w:rsidRDefault="00C22F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259"/>
    <w:multiLevelType w:val="hybridMultilevel"/>
    <w:tmpl w:val="57A856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B931EA"/>
    <w:multiLevelType w:val="hybridMultilevel"/>
    <w:tmpl w:val="B5643E86"/>
    <w:lvl w:ilvl="0" w:tplc="CF2456F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9D52C2"/>
    <w:multiLevelType w:val="multilevel"/>
    <w:tmpl w:val="90D6DE7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061067C"/>
    <w:multiLevelType w:val="multilevel"/>
    <w:tmpl w:val="F25079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BB4202"/>
    <w:multiLevelType w:val="hybridMultilevel"/>
    <w:tmpl w:val="D6868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A67066"/>
    <w:multiLevelType w:val="multilevel"/>
    <w:tmpl w:val="702496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641CA0"/>
    <w:multiLevelType w:val="hybridMultilevel"/>
    <w:tmpl w:val="695EC2E4"/>
    <w:lvl w:ilvl="0" w:tplc="8F74CBF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260F15"/>
    <w:multiLevelType w:val="hybridMultilevel"/>
    <w:tmpl w:val="173CDC58"/>
    <w:lvl w:ilvl="0" w:tplc="04130013">
      <w:start w:val="1"/>
      <w:numFmt w:val="upperRoman"/>
      <w:lvlText w:val="%1."/>
      <w:lvlJc w:val="righ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561E51"/>
    <w:multiLevelType w:val="hybridMultilevel"/>
    <w:tmpl w:val="5C9EB568"/>
    <w:lvl w:ilvl="0" w:tplc="5AF010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920D87"/>
    <w:multiLevelType w:val="hybridMultilevel"/>
    <w:tmpl w:val="B792F52E"/>
    <w:lvl w:ilvl="0" w:tplc="20F0D9E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0877079">
    <w:abstractNumId w:val="1"/>
  </w:num>
  <w:num w:numId="2" w16cid:durableId="726105258">
    <w:abstractNumId w:val="0"/>
  </w:num>
  <w:num w:numId="3" w16cid:durableId="1692143650">
    <w:abstractNumId w:val="9"/>
  </w:num>
  <w:num w:numId="4" w16cid:durableId="340398373">
    <w:abstractNumId w:val="7"/>
  </w:num>
  <w:num w:numId="5" w16cid:durableId="569852605">
    <w:abstractNumId w:val="2"/>
  </w:num>
  <w:num w:numId="6" w16cid:durableId="734553081">
    <w:abstractNumId w:val="5"/>
  </w:num>
  <w:num w:numId="7" w16cid:durableId="863055088">
    <w:abstractNumId w:val="8"/>
  </w:num>
  <w:num w:numId="8" w16cid:durableId="1879779733">
    <w:abstractNumId w:val="6"/>
  </w:num>
  <w:num w:numId="9" w16cid:durableId="1056467508">
    <w:abstractNumId w:val="3"/>
  </w:num>
  <w:num w:numId="10" w16cid:durableId="439644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95"/>
    <w:rsid w:val="000004E9"/>
    <w:rsid w:val="00000CD0"/>
    <w:rsid w:val="00003484"/>
    <w:rsid w:val="000044FC"/>
    <w:rsid w:val="000070F1"/>
    <w:rsid w:val="00007F13"/>
    <w:rsid w:val="00007F27"/>
    <w:rsid w:val="000115A4"/>
    <w:rsid w:val="00014341"/>
    <w:rsid w:val="0001537B"/>
    <w:rsid w:val="00015E28"/>
    <w:rsid w:val="00017342"/>
    <w:rsid w:val="000176AA"/>
    <w:rsid w:val="00017E67"/>
    <w:rsid w:val="00020476"/>
    <w:rsid w:val="0002145A"/>
    <w:rsid w:val="00022552"/>
    <w:rsid w:val="00022DB8"/>
    <w:rsid w:val="00024D93"/>
    <w:rsid w:val="000270ED"/>
    <w:rsid w:val="00027B97"/>
    <w:rsid w:val="00031B7D"/>
    <w:rsid w:val="00031D9F"/>
    <w:rsid w:val="0003397B"/>
    <w:rsid w:val="00033BB6"/>
    <w:rsid w:val="000346DA"/>
    <w:rsid w:val="00035C9B"/>
    <w:rsid w:val="00036C98"/>
    <w:rsid w:val="00040633"/>
    <w:rsid w:val="0004183A"/>
    <w:rsid w:val="00041C9A"/>
    <w:rsid w:val="00041CD8"/>
    <w:rsid w:val="000436CD"/>
    <w:rsid w:val="00044AF1"/>
    <w:rsid w:val="00047D8B"/>
    <w:rsid w:val="00050080"/>
    <w:rsid w:val="000502AE"/>
    <w:rsid w:val="00050E89"/>
    <w:rsid w:val="00051582"/>
    <w:rsid w:val="00051CA7"/>
    <w:rsid w:val="00052697"/>
    <w:rsid w:val="00052C49"/>
    <w:rsid w:val="00053D45"/>
    <w:rsid w:val="00055092"/>
    <w:rsid w:val="000565C9"/>
    <w:rsid w:val="00056E00"/>
    <w:rsid w:val="00057A92"/>
    <w:rsid w:val="00057C14"/>
    <w:rsid w:val="00061183"/>
    <w:rsid w:val="00065B72"/>
    <w:rsid w:val="00067208"/>
    <w:rsid w:val="00073EDD"/>
    <w:rsid w:val="00075774"/>
    <w:rsid w:val="00075CDF"/>
    <w:rsid w:val="0007680D"/>
    <w:rsid w:val="00076AE7"/>
    <w:rsid w:val="00077642"/>
    <w:rsid w:val="00080186"/>
    <w:rsid w:val="00083065"/>
    <w:rsid w:val="0008378B"/>
    <w:rsid w:val="000837F0"/>
    <w:rsid w:val="00083D14"/>
    <w:rsid w:val="00087529"/>
    <w:rsid w:val="00087A98"/>
    <w:rsid w:val="0009008F"/>
    <w:rsid w:val="0009054B"/>
    <w:rsid w:val="00091302"/>
    <w:rsid w:val="00091576"/>
    <w:rsid w:val="00093463"/>
    <w:rsid w:val="000955B0"/>
    <w:rsid w:val="00095AE4"/>
    <w:rsid w:val="000969D7"/>
    <w:rsid w:val="00097E35"/>
    <w:rsid w:val="000A049E"/>
    <w:rsid w:val="000A1437"/>
    <w:rsid w:val="000A26C6"/>
    <w:rsid w:val="000A2847"/>
    <w:rsid w:val="000A2CE3"/>
    <w:rsid w:val="000A49C9"/>
    <w:rsid w:val="000A53AD"/>
    <w:rsid w:val="000A5A32"/>
    <w:rsid w:val="000A6329"/>
    <w:rsid w:val="000A6CF3"/>
    <w:rsid w:val="000A72CC"/>
    <w:rsid w:val="000A7309"/>
    <w:rsid w:val="000A76E3"/>
    <w:rsid w:val="000B04F5"/>
    <w:rsid w:val="000B1C84"/>
    <w:rsid w:val="000B22AD"/>
    <w:rsid w:val="000B2A8C"/>
    <w:rsid w:val="000B4120"/>
    <w:rsid w:val="000B4F11"/>
    <w:rsid w:val="000B5920"/>
    <w:rsid w:val="000B5B71"/>
    <w:rsid w:val="000B5E7B"/>
    <w:rsid w:val="000B7329"/>
    <w:rsid w:val="000C0C7C"/>
    <w:rsid w:val="000C2C70"/>
    <w:rsid w:val="000C3169"/>
    <w:rsid w:val="000C5284"/>
    <w:rsid w:val="000C56ED"/>
    <w:rsid w:val="000C6526"/>
    <w:rsid w:val="000C6C66"/>
    <w:rsid w:val="000C73A8"/>
    <w:rsid w:val="000D0755"/>
    <w:rsid w:val="000D15D5"/>
    <w:rsid w:val="000D1B25"/>
    <w:rsid w:val="000D28F4"/>
    <w:rsid w:val="000D2CB7"/>
    <w:rsid w:val="000D2D98"/>
    <w:rsid w:val="000D3870"/>
    <w:rsid w:val="000D410E"/>
    <w:rsid w:val="000D48F9"/>
    <w:rsid w:val="000D4AB7"/>
    <w:rsid w:val="000D5A0A"/>
    <w:rsid w:val="000D7BA1"/>
    <w:rsid w:val="000E0196"/>
    <w:rsid w:val="000E039D"/>
    <w:rsid w:val="000E04E4"/>
    <w:rsid w:val="000E17EF"/>
    <w:rsid w:val="000E220C"/>
    <w:rsid w:val="000E330A"/>
    <w:rsid w:val="000E3D2B"/>
    <w:rsid w:val="000E5CC2"/>
    <w:rsid w:val="000F155D"/>
    <w:rsid w:val="000F161F"/>
    <w:rsid w:val="000F1BBD"/>
    <w:rsid w:val="000F3223"/>
    <w:rsid w:val="000F6061"/>
    <w:rsid w:val="0010039C"/>
    <w:rsid w:val="0010121C"/>
    <w:rsid w:val="001021BD"/>
    <w:rsid w:val="00103501"/>
    <w:rsid w:val="001057B7"/>
    <w:rsid w:val="00105991"/>
    <w:rsid w:val="0010689C"/>
    <w:rsid w:val="00106BBC"/>
    <w:rsid w:val="00107A46"/>
    <w:rsid w:val="00110443"/>
    <w:rsid w:val="0011114F"/>
    <w:rsid w:val="00111E37"/>
    <w:rsid w:val="00114765"/>
    <w:rsid w:val="00115AC0"/>
    <w:rsid w:val="00117390"/>
    <w:rsid w:val="0011767C"/>
    <w:rsid w:val="001203FF"/>
    <w:rsid w:val="001207C4"/>
    <w:rsid w:val="001214D0"/>
    <w:rsid w:val="00122549"/>
    <w:rsid w:val="00122CDE"/>
    <w:rsid w:val="001252D8"/>
    <w:rsid w:val="00125425"/>
    <w:rsid w:val="001271E4"/>
    <w:rsid w:val="00130C0D"/>
    <w:rsid w:val="001336FC"/>
    <w:rsid w:val="0013610C"/>
    <w:rsid w:val="00136624"/>
    <w:rsid w:val="00136668"/>
    <w:rsid w:val="0013699F"/>
    <w:rsid w:val="00136CBA"/>
    <w:rsid w:val="00137147"/>
    <w:rsid w:val="001376FC"/>
    <w:rsid w:val="00141DCE"/>
    <w:rsid w:val="00142345"/>
    <w:rsid w:val="00142583"/>
    <w:rsid w:val="00142C05"/>
    <w:rsid w:val="00143EEB"/>
    <w:rsid w:val="00144E56"/>
    <w:rsid w:val="0014535B"/>
    <w:rsid w:val="001456B7"/>
    <w:rsid w:val="00146418"/>
    <w:rsid w:val="00146687"/>
    <w:rsid w:val="00151A7B"/>
    <w:rsid w:val="00152011"/>
    <w:rsid w:val="00153367"/>
    <w:rsid w:val="001539BB"/>
    <w:rsid w:val="00154149"/>
    <w:rsid w:val="00154B90"/>
    <w:rsid w:val="00155E8B"/>
    <w:rsid w:val="00156213"/>
    <w:rsid w:val="00156453"/>
    <w:rsid w:val="00156F45"/>
    <w:rsid w:val="001574E0"/>
    <w:rsid w:val="00157916"/>
    <w:rsid w:val="00162388"/>
    <w:rsid w:val="00162A7B"/>
    <w:rsid w:val="0016330F"/>
    <w:rsid w:val="00163550"/>
    <w:rsid w:val="00164BFA"/>
    <w:rsid w:val="00167DC7"/>
    <w:rsid w:val="00170480"/>
    <w:rsid w:val="001707CF"/>
    <w:rsid w:val="001708C5"/>
    <w:rsid w:val="00174E04"/>
    <w:rsid w:val="00175AA3"/>
    <w:rsid w:val="00175B0E"/>
    <w:rsid w:val="001766A5"/>
    <w:rsid w:val="001769FF"/>
    <w:rsid w:val="00176AF2"/>
    <w:rsid w:val="001814E2"/>
    <w:rsid w:val="001824F1"/>
    <w:rsid w:val="0018273E"/>
    <w:rsid w:val="001830AB"/>
    <w:rsid w:val="00183AD4"/>
    <w:rsid w:val="001845E0"/>
    <w:rsid w:val="00184CAB"/>
    <w:rsid w:val="001865BB"/>
    <w:rsid w:val="00186677"/>
    <w:rsid w:val="00186E72"/>
    <w:rsid w:val="00190751"/>
    <w:rsid w:val="00191792"/>
    <w:rsid w:val="001926BA"/>
    <w:rsid w:val="001928B8"/>
    <w:rsid w:val="0019374C"/>
    <w:rsid w:val="00193954"/>
    <w:rsid w:val="00194D88"/>
    <w:rsid w:val="001956E6"/>
    <w:rsid w:val="00197781"/>
    <w:rsid w:val="00197ED9"/>
    <w:rsid w:val="00197F0C"/>
    <w:rsid w:val="001A0125"/>
    <w:rsid w:val="001A0446"/>
    <w:rsid w:val="001A094E"/>
    <w:rsid w:val="001A100A"/>
    <w:rsid w:val="001A50BF"/>
    <w:rsid w:val="001A5819"/>
    <w:rsid w:val="001A599E"/>
    <w:rsid w:val="001A5D86"/>
    <w:rsid w:val="001A6A3E"/>
    <w:rsid w:val="001A735D"/>
    <w:rsid w:val="001A7881"/>
    <w:rsid w:val="001A7C01"/>
    <w:rsid w:val="001B0D17"/>
    <w:rsid w:val="001B1081"/>
    <w:rsid w:val="001B1C98"/>
    <w:rsid w:val="001B25A7"/>
    <w:rsid w:val="001B5730"/>
    <w:rsid w:val="001B6BDD"/>
    <w:rsid w:val="001C094F"/>
    <w:rsid w:val="001C11A8"/>
    <w:rsid w:val="001C1CBF"/>
    <w:rsid w:val="001C1D78"/>
    <w:rsid w:val="001C21F8"/>
    <w:rsid w:val="001C260F"/>
    <w:rsid w:val="001C38CB"/>
    <w:rsid w:val="001C4EAF"/>
    <w:rsid w:val="001C5CE6"/>
    <w:rsid w:val="001C620D"/>
    <w:rsid w:val="001C748D"/>
    <w:rsid w:val="001C7555"/>
    <w:rsid w:val="001C79BD"/>
    <w:rsid w:val="001D3074"/>
    <w:rsid w:val="001D5B02"/>
    <w:rsid w:val="001D625C"/>
    <w:rsid w:val="001D6CBB"/>
    <w:rsid w:val="001E1858"/>
    <w:rsid w:val="001E1A57"/>
    <w:rsid w:val="001E1B55"/>
    <w:rsid w:val="001E1DEA"/>
    <w:rsid w:val="001E25BE"/>
    <w:rsid w:val="001E2646"/>
    <w:rsid w:val="001E3484"/>
    <w:rsid w:val="001E4921"/>
    <w:rsid w:val="001E4B61"/>
    <w:rsid w:val="001F005D"/>
    <w:rsid w:val="001F1258"/>
    <w:rsid w:val="001F1725"/>
    <w:rsid w:val="001F3202"/>
    <w:rsid w:val="001F3482"/>
    <w:rsid w:val="001F4E69"/>
    <w:rsid w:val="001F52E0"/>
    <w:rsid w:val="001F5754"/>
    <w:rsid w:val="001F7B3E"/>
    <w:rsid w:val="00200702"/>
    <w:rsid w:val="00200768"/>
    <w:rsid w:val="002009D9"/>
    <w:rsid w:val="00201652"/>
    <w:rsid w:val="00203393"/>
    <w:rsid w:val="00204A23"/>
    <w:rsid w:val="00205192"/>
    <w:rsid w:val="00207870"/>
    <w:rsid w:val="00207FA0"/>
    <w:rsid w:val="0021040B"/>
    <w:rsid w:val="002115F5"/>
    <w:rsid w:val="00212A0B"/>
    <w:rsid w:val="00213587"/>
    <w:rsid w:val="0021419A"/>
    <w:rsid w:val="00215EF6"/>
    <w:rsid w:val="0021685D"/>
    <w:rsid w:val="00220488"/>
    <w:rsid w:val="00221734"/>
    <w:rsid w:val="0022306B"/>
    <w:rsid w:val="0022418F"/>
    <w:rsid w:val="00224CB8"/>
    <w:rsid w:val="00225124"/>
    <w:rsid w:val="00225BF2"/>
    <w:rsid w:val="002271D6"/>
    <w:rsid w:val="00227971"/>
    <w:rsid w:val="0022798F"/>
    <w:rsid w:val="00230B12"/>
    <w:rsid w:val="00230EA5"/>
    <w:rsid w:val="002314EB"/>
    <w:rsid w:val="0023270D"/>
    <w:rsid w:val="0023294C"/>
    <w:rsid w:val="00233A0C"/>
    <w:rsid w:val="00233D72"/>
    <w:rsid w:val="002344BB"/>
    <w:rsid w:val="0023503C"/>
    <w:rsid w:val="00235686"/>
    <w:rsid w:val="002416CD"/>
    <w:rsid w:val="00243D9C"/>
    <w:rsid w:val="00243F17"/>
    <w:rsid w:val="00244206"/>
    <w:rsid w:val="00245A26"/>
    <w:rsid w:val="0025089B"/>
    <w:rsid w:val="0025199D"/>
    <w:rsid w:val="00251CDA"/>
    <w:rsid w:val="00252256"/>
    <w:rsid w:val="002528D8"/>
    <w:rsid w:val="00253997"/>
    <w:rsid w:val="00254734"/>
    <w:rsid w:val="00255ABF"/>
    <w:rsid w:val="002564D2"/>
    <w:rsid w:val="00257F65"/>
    <w:rsid w:val="002641B8"/>
    <w:rsid w:val="00265AB5"/>
    <w:rsid w:val="00265ABF"/>
    <w:rsid w:val="00265CAE"/>
    <w:rsid w:val="0026651B"/>
    <w:rsid w:val="00267D7A"/>
    <w:rsid w:val="00267E2C"/>
    <w:rsid w:val="0027056B"/>
    <w:rsid w:val="00270856"/>
    <w:rsid w:val="00270FED"/>
    <w:rsid w:val="0027352F"/>
    <w:rsid w:val="002753E5"/>
    <w:rsid w:val="00276878"/>
    <w:rsid w:val="002775B2"/>
    <w:rsid w:val="00277AB5"/>
    <w:rsid w:val="00280A52"/>
    <w:rsid w:val="00283CD9"/>
    <w:rsid w:val="002846E6"/>
    <w:rsid w:val="00285171"/>
    <w:rsid w:val="00286277"/>
    <w:rsid w:val="00286593"/>
    <w:rsid w:val="0029277F"/>
    <w:rsid w:val="0029518E"/>
    <w:rsid w:val="00295700"/>
    <w:rsid w:val="00296B3D"/>
    <w:rsid w:val="002A02F3"/>
    <w:rsid w:val="002A1C6A"/>
    <w:rsid w:val="002A5D31"/>
    <w:rsid w:val="002A63AC"/>
    <w:rsid w:val="002A7624"/>
    <w:rsid w:val="002A774F"/>
    <w:rsid w:val="002B0C7C"/>
    <w:rsid w:val="002B0DE9"/>
    <w:rsid w:val="002B2046"/>
    <w:rsid w:val="002B21C9"/>
    <w:rsid w:val="002B3249"/>
    <w:rsid w:val="002B4686"/>
    <w:rsid w:val="002B4C66"/>
    <w:rsid w:val="002B5935"/>
    <w:rsid w:val="002C0522"/>
    <w:rsid w:val="002C1125"/>
    <w:rsid w:val="002C3B14"/>
    <w:rsid w:val="002C461A"/>
    <w:rsid w:val="002C55D4"/>
    <w:rsid w:val="002C57C9"/>
    <w:rsid w:val="002C6FF4"/>
    <w:rsid w:val="002C7885"/>
    <w:rsid w:val="002D0AC8"/>
    <w:rsid w:val="002D0D27"/>
    <w:rsid w:val="002D2488"/>
    <w:rsid w:val="002D2DA8"/>
    <w:rsid w:val="002D304B"/>
    <w:rsid w:val="002D3446"/>
    <w:rsid w:val="002D3C2B"/>
    <w:rsid w:val="002D54AB"/>
    <w:rsid w:val="002D7AB1"/>
    <w:rsid w:val="002E01B5"/>
    <w:rsid w:val="002E23C2"/>
    <w:rsid w:val="002E29B6"/>
    <w:rsid w:val="002E30FB"/>
    <w:rsid w:val="002E3E1A"/>
    <w:rsid w:val="002E40A1"/>
    <w:rsid w:val="002E6F79"/>
    <w:rsid w:val="002E7A94"/>
    <w:rsid w:val="002F08DA"/>
    <w:rsid w:val="002F14B1"/>
    <w:rsid w:val="002F1B12"/>
    <w:rsid w:val="002F28F4"/>
    <w:rsid w:val="002F695A"/>
    <w:rsid w:val="002F75AE"/>
    <w:rsid w:val="002F7A06"/>
    <w:rsid w:val="003005CC"/>
    <w:rsid w:val="003008D9"/>
    <w:rsid w:val="0030140D"/>
    <w:rsid w:val="00301737"/>
    <w:rsid w:val="00301ABA"/>
    <w:rsid w:val="00302D46"/>
    <w:rsid w:val="0030465D"/>
    <w:rsid w:val="0030482A"/>
    <w:rsid w:val="00305E40"/>
    <w:rsid w:val="00306AA8"/>
    <w:rsid w:val="00310997"/>
    <w:rsid w:val="003148BB"/>
    <w:rsid w:val="00314FA8"/>
    <w:rsid w:val="00314FCB"/>
    <w:rsid w:val="00316A1C"/>
    <w:rsid w:val="00317C42"/>
    <w:rsid w:val="00320394"/>
    <w:rsid w:val="00320668"/>
    <w:rsid w:val="003212E8"/>
    <w:rsid w:val="00321552"/>
    <w:rsid w:val="00322637"/>
    <w:rsid w:val="00323449"/>
    <w:rsid w:val="00324A74"/>
    <w:rsid w:val="00325AD9"/>
    <w:rsid w:val="00330C43"/>
    <w:rsid w:val="00331882"/>
    <w:rsid w:val="003348CA"/>
    <w:rsid w:val="00334B54"/>
    <w:rsid w:val="003363FC"/>
    <w:rsid w:val="00336C10"/>
    <w:rsid w:val="00336C6D"/>
    <w:rsid w:val="00340441"/>
    <w:rsid w:val="003411FF"/>
    <w:rsid w:val="003414EC"/>
    <w:rsid w:val="00342F05"/>
    <w:rsid w:val="00344539"/>
    <w:rsid w:val="0034463E"/>
    <w:rsid w:val="00344D76"/>
    <w:rsid w:val="00347DE0"/>
    <w:rsid w:val="003512F8"/>
    <w:rsid w:val="00353939"/>
    <w:rsid w:val="00353E7D"/>
    <w:rsid w:val="00355442"/>
    <w:rsid w:val="00356822"/>
    <w:rsid w:val="00356982"/>
    <w:rsid w:val="0035748D"/>
    <w:rsid w:val="003576D2"/>
    <w:rsid w:val="00360930"/>
    <w:rsid w:val="00360DE3"/>
    <w:rsid w:val="003619A6"/>
    <w:rsid w:val="00362066"/>
    <w:rsid w:val="003632E7"/>
    <w:rsid w:val="00363D81"/>
    <w:rsid w:val="00364461"/>
    <w:rsid w:val="0036650D"/>
    <w:rsid w:val="00366D30"/>
    <w:rsid w:val="00366E59"/>
    <w:rsid w:val="00367A68"/>
    <w:rsid w:val="00367C1E"/>
    <w:rsid w:val="00370B97"/>
    <w:rsid w:val="0037163F"/>
    <w:rsid w:val="0037243D"/>
    <w:rsid w:val="00373595"/>
    <w:rsid w:val="00373723"/>
    <w:rsid w:val="0037508C"/>
    <w:rsid w:val="00375264"/>
    <w:rsid w:val="003757EF"/>
    <w:rsid w:val="00376428"/>
    <w:rsid w:val="003773FC"/>
    <w:rsid w:val="00380AB2"/>
    <w:rsid w:val="003831FE"/>
    <w:rsid w:val="00384FCA"/>
    <w:rsid w:val="00385A30"/>
    <w:rsid w:val="00386514"/>
    <w:rsid w:val="00393554"/>
    <w:rsid w:val="00393CA3"/>
    <w:rsid w:val="003940E0"/>
    <w:rsid w:val="00394D1F"/>
    <w:rsid w:val="00396180"/>
    <w:rsid w:val="00396A63"/>
    <w:rsid w:val="00396D4E"/>
    <w:rsid w:val="00397B0F"/>
    <w:rsid w:val="00397D50"/>
    <w:rsid w:val="003A0E7A"/>
    <w:rsid w:val="003A39AC"/>
    <w:rsid w:val="003A4EA1"/>
    <w:rsid w:val="003A5992"/>
    <w:rsid w:val="003A5AB1"/>
    <w:rsid w:val="003A6DE0"/>
    <w:rsid w:val="003A785D"/>
    <w:rsid w:val="003A79B6"/>
    <w:rsid w:val="003B39AB"/>
    <w:rsid w:val="003B3CEB"/>
    <w:rsid w:val="003B4376"/>
    <w:rsid w:val="003B608F"/>
    <w:rsid w:val="003B6ED8"/>
    <w:rsid w:val="003C040B"/>
    <w:rsid w:val="003C1F31"/>
    <w:rsid w:val="003C53D6"/>
    <w:rsid w:val="003C540B"/>
    <w:rsid w:val="003C6EA4"/>
    <w:rsid w:val="003D073C"/>
    <w:rsid w:val="003D075C"/>
    <w:rsid w:val="003D08AF"/>
    <w:rsid w:val="003D3665"/>
    <w:rsid w:val="003D4B14"/>
    <w:rsid w:val="003D5FEB"/>
    <w:rsid w:val="003D69AA"/>
    <w:rsid w:val="003E0547"/>
    <w:rsid w:val="003E0760"/>
    <w:rsid w:val="003E1B76"/>
    <w:rsid w:val="003E241B"/>
    <w:rsid w:val="003E3FEC"/>
    <w:rsid w:val="003E4C53"/>
    <w:rsid w:val="003E5FDF"/>
    <w:rsid w:val="003E60A5"/>
    <w:rsid w:val="003F0675"/>
    <w:rsid w:val="003F28CE"/>
    <w:rsid w:val="003F2A57"/>
    <w:rsid w:val="003F33C2"/>
    <w:rsid w:val="003F37DC"/>
    <w:rsid w:val="003F3D52"/>
    <w:rsid w:val="003F4235"/>
    <w:rsid w:val="003F5823"/>
    <w:rsid w:val="003F6470"/>
    <w:rsid w:val="004005E8"/>
    <w:rsid w:val="004026D1"/>
    <w:rsid w:val="00402AD2"/>
    <w:rsid w:val="00405958"/>
    <w:rsid w:val="0040627D"/>
    <w:rsid w:val="00406F99"/>
    <w:rsid w:val="004070A8"/>
    <w:rsid w:val="00407BCF"/>
    <w:rsid w:val="00410A27"/>
    <w:rsid w:val="00411A11"/>
    <w:rsid w:val="0041207B"/>
    <w:rsid w:val="00412C3B"/>
    <w:rsid w:val="004132A6"/>
    <w:rsid w:val="0041330C"/>
    <w:rsid w:val="004169B5"/>
    <w:rsid w:val="004169BD"/>
    <w:rsid w:val="00417CAC"/>
    <w:rsid w:val="00421326"/>
    <w:rsid w:val="0042161E"/>
    <w:rsid w:val="004230EC"/>
    <w:rsid w:val="00423F0A"/>
    <w:rsid w:val="0042688E"/>
    <w:rsid w:val="00430438"/>
    <w:rsid w:val="004313F6"/>
    <w:rsid w:val="00431734"/>
    <w:rsid w:val="00431A7B"/>
    <w:rsid w:val="00431E58"/>
    <w:rsid w:val="004323D0"/>
    <w:rsid w:val="00432C1D"/>
    <w:rsid w:val="00433A4E"/>
    <w:rsid w:val="00434D4F"/>
    <w:rsid w:val="00435CCC"/>
    <w:rsid w:val="004377A5"/>
    <w:rsid w:val="004429F9"/>
    <w:rsid w:val="00443D3C"/>
    <w:rsid w:val="00452AC4"/>
    <w:rsid w:val="00452C50"/>
    <w:rsid w:val="00453146"/>
    <w:rsid w:val="00453EFD"/>
    <w:rsid w:val="00454A3A"/>
    <w:rsid w:val="00455280"/>
    <w:rsid w:val="00455E5A"/>
    <w:rsid w:val="00462178"/>
    <w:rsid w:val="00462553"/>
    <w:rsid w:val="0046279A"/>
    <w:rsid w:val="00462DF1"/>
    <w:rsid w:val="004635CC"/>
    <w:rsid w:val="0046541F"/>
    <w:rsid w:val="00466295"/>
    <w:rsid w:val="004722AE"/>
    <w:rsid w:val="004739EE"/>
    <w:rsid w:val="00475B26"/>
    <w:rsid w:val="00475BFE"/>
    <w:rsid w:val="00481119"/>
    <w:rsid w:val="0048124A"/>
    <w:rsid w:val="00481538"/>
    <w:rsid w:val="00485812"/>
    <w:rsid w:val="004867FA"/>
    <w:rsid w:val="00490EBD"/>
    <w:rsid w:val="00492200"/>
    <w:rsid w:val="00492EE8"/>
    <w:rsid w:val="00494AF3"/>
    <w:rsid w:val="00494E95"/>
    <w:rsid w:val="00496F19"/>
    <w:rsid w:val="004A2E50"/>
    <w:rsid w:val="004A5091"/>
    <w:rsid w:val="004A6E4E"/>
    <w:rsid w:val="004A724D"/>
    <w:rsid w:val="004A7ADD"/>
    <w:rsid w:val="004B0C70"/>
    <w:rsid w:val="004B1E41"/>
    <w:rsid w:val="004B24D6"/>
    <w:rsid w:val="004B2EBF"/>
    <w:rsid w:val="004B3E6B"/>
    <w:rsid w:val="004B4E00"/>
    <w:rsid w:val="004B551B"/>
    <w:rsid w:val="004B7D54"/>
    <w:rsid w:val="004C0462"/>
    <w:rsid w:val="004C112D"/>
    <w:rsid w:val="004C1329"/>
    <w:rsid w:val="004C1696"/>
    <w:rsid w:val="004C2548"/>
    <w:rsid w:val="004C2D40"/>
    <w:rsid w:val="004C4DB2"/>
    <w:rsid w:val="004D281A"/>
    <w:rsid w:val="004D291C"/>
    <w:rsid w:val="004D3510"/>
    <w:rsid w:val="004D5FC6"/>
    <w:rsid w:val="004D6DA7"/>
    <w:rsid w:val="004E0E3B"/>
    <w:rsid w:val="004E1CF0"/>
    <w:rsid w:val="004E2537"/>
    <w:rsid w:val="004E3617"/>
    <w:rsid w:val="004E3649"/>
    <w:rsid w:val="004E53AC"/>
    <w:rsid w:val="004E6109"/>
    <w:rsid w:val="004E6F05"/>
    <w:rsid w:val="004E78DA"/>
    <w:rsid w:val="004E7A05"/>
    <w:rsid w:val="004E7B2E"/>
    <w:rsid w:val="004F17D6"/>
    <w:rsid w:val="004F24B2"/>
    <w:rsid w:val="004F4C95"/>
    <w:rsid w:val="004F4EFA"/>
    <w:rsid w:val="00500ACC"/>
    <w:rsid w:val="00503E99"/>
    <w:rsid w:val="00503FAE"/>
    <w:rsid w:val="00504184"/>
    <w:rsid w:val="0050664B"/>
    <w:rsid w:val="00506A7A"/>
    <w:rsid w:val="00507DED"/>
    <w:rsid w:val="00510612"/>
    <w:rsid w:val="0051187C"/>
    <w:rsid w:val="0051300D"/>
    <w:rsid w:val="0051668D"/>
    <w:rsid w:val="00516A95"/>
    <w:rsid w:val="00516D6A"/>
    <w:rsid w:val="00516F14"/>
    <w:rsid w:val="0051742B"/>
    <w:rsid w:val="00520F45"/>
    <w:rsid w:val="00522E26"/>
    <w:rsid w:val="005233FD"/>
    <w:rsid w:val="00524499"/>
    <w:rsid w:val="0052575E"/>
    <w:rsid w:val="00525858"/>
    <w:rsid w:val="0052620D"/>
    <w:rsid w:val="00526CC6"/>
    <w:rsid w:val="00530220"/>
    <w:rsid w:val="00530C2C"/>
    <w:rsid w:val="00531737"/>
    <w:rsid w:val="00531E23"/>
    <w:rsid w:val="005327DD"/>
    <w:rsid w:val="00532D8A"/>
    <w:rsid w:val="00532F91"/>
    <w:rsid w:val="005341BF"/>
    <w:rsid w:val="00534A49"/>
    <w:rsid w:val="00534E0F"/>
    <w:rsid w:val="005362D6"/>
    <w:rsid w:val="00536C0C"/>
    <w:rsid w:val="005373BC"/>
    <w:rsid w:val="00540200"/>
    <w:rsid w:val="0054175B"/>
    <w:rsid w:val="00541921"/>
    <w:rsid w:val="00544DF2"/>
    <w:rsid w:val="00550316"/>
    <w:rsid w:val="0055158F"/>
    <w:rsid w:val="00552FDD"/>
    <w:rsid w:val="0055573A"/>
    <w:rsid w:val="00560184"/>
    <w:rsid w:val="00560D86"/>
    <w:rsid w:val="00561C9B"/>
    <w:rsid w:val="00561FAF"/>
    <w:rsid w:val="00562274"/>
    <w:rsid w:val="00563246"/>
    <w:rsid w:val="00563504"/>
    <w:rsid w:val="00565AD3"/>
    <w:rsid w:val="00566321"/>
    <w:rsid w:val="00567A94"/>
    <w:rsid w:val="005722C2"/>
    <w:rsid w:val="005735D9"/>
    <w:rsid w:val="00576A6D"/>
    <w:rsid w:val="00576B17"/>
    <w:rsid w:val="005776EE"/>
    <w:rsid w:val="00577783"/>
    <w:rsid w:val="00577907"/>
    <w:rsid w:val="00577990"/>
    <w:rsid w:val="005801E5"/>
    <w:rsid w:val="00582118"/>
    <w:rsid w:val="00583C70"/>
    <w:rsid w:val="00583F6D"/>
    <w:rsid w:val="00584515"/>
    <w:rsid w:val="00585665"/>
    <w:rsid w:val="005863AB"/>
    <w:rsid w:val="00587E29"/>
    <w:rsid w:val="00590A8A"/>
    <w:rsid w:val="0059102B"/>
    <w:rsid w:val="005920EE"/>
    <w:rsid w:val="005921D4"/>
    <w:rsid w:val="00592BC2"/>
    <w:rsid w:val="005930F3"/>
    <w:rsid w:val="0059605C"/>
    <w:rsid w:val="005962A5"/>
    <w:rsid w:val="00597233"/>
    <w:rsid w:val="005A0522"/>
    <w:rsid w:val="005A321E"/>
    <w:rsid w:val="005A4A03"/>
    <w:rsid w:val="005A51C6"/>
    <w:rsid w:val="005A5875"/>
    <w:rsid w:val="005A5C20"/>
    <w:rsid w:val="005B0092"/>
    <w:rsid w:val="005B0189"/>
    <w:rsid w:val="005B087F"/>
    <w:rsid w:val="005B2183"/>
    <w:rsid w:val="005B32FD"/>
    <w:rsid w:val="005B51C6"/>
    <w:rsid w:val="005B52CA"/>
    <w:rsid w:val="005B7261"/>
    <w:rsid w:val="005B7337"/>
    <w:rsid w:val="005C2A9A"/>
    <w:rsid w:val="005C2E68"/>
    <w:rsid w:val="005C4A0B"/>
    <w:rsid w:val="005C4ECC"/>
    <w:rsid w:val="005C5362"/>
    <w:rsid w:val="005C63A9"/>
    <w:rsid w:val="005C6846"/>
    <w:rsid w:val="005D0967"/>
    <w:rsid w:val="005D2723"/>
    <w:rsid w:val="005D4165"/>
    <w:rsid w:val="005D61D2"/>
    <w:rsid w:val="005D663A"/>
    <w:rsid w:val="005D6CE3"/>
    <w:rsid w:val="005D6DD2"/>
    <w:rsid w:val="005D73DA"/>
    <w:rsid w:val="005D79C0"/>
    <w:rsid w:val="005D7D4C"/>
    <w:rsid w:val="005E1ED5"/>
    <w:rsid w:val="005E44BE"/>
    <w:rsid w:val="005E485F"/>
    <w:rsid w:val="005E63D4"/>
    <w:rsid w:val="005F13EE"/>
    <w:rsid w:val="005F161C"/>
    <w:rsid w:val="005F265C"/>
    <w:rsid w:val="005F284E"/>
    <w:rsid w:val="005F4187"/>
    <w:rsid w:val="005F52EF"/>
    <w:rsid w:val="005F7E17"/>
    <w:rsid w:val="0060008D"/>
    <w:rsid w:val="006005D0"/>
    <w:rsid w:val="0060066A"/>
    <w:rsid w:val="00601605"/>
    <w:rsid w:val="00602560"/>
    <w:rsid w:val="00602CA7"/>
    <w:rsid w:val="00605B30"/>
    <w:rsid w:val="006060E5"/>
    <w:rsid w:val="006070AF"/>
    <w:rsid w:val="00607498"/>
    <w:rsid w:val="0061152F"/>
    <w:rsid w:val="00615F08"/>
    <w:rsid w:val="00615FC8"/>
    <w:rsid w:val="006175E2"/>
    <w:rsid w:val="00620991"/>
    <w:rsid w:val="006214FF"/>
    <w:rsid w:val="00624640"/>
    <w:rsid w:val="00625AD1"/>
    <w:rsid w:val="00631958"/>
    <w:rsid w:val="00633BC3"/>
    <w:rsid w:val="00633EDD"/>
    <w:rsid w:val="006351C9"/>
    <w:rsid w:val="0063520A"/>
    <w:rsid w:val="0063530C"/>
    <w:rsid w:val="006355B2"/>
    <w:rsid w:val="006359BB"/>
    <w:rsid w:val="006368BC"/>
    <w:rsid w:val="00642342"/>
    <w:rsid w:val="006440DD"/>
    <w:rsid w:val="00645BFA"/>
    <w:rsid w:val="0064785D"/>
    <w:rsid w:val="006514BD"/>
    <w:rsid w:val="006522FD"/>
    <w:rsid w:val="00652A31"/>
    <w:rsid w:val="00653ABA"/>
    <w:rsid w:val="006546A6"/>
    <w:rsid w:val="00657125"/>
    <w:rsid w:val="006605C1"/>
    <w:rsid w:val="00660B49"/>
    <w:rsid w:val="0066135D"/>
    <w:rsid w:val="00662BA1"/>
    <w:rsid w:val="00662F40"/>
    <w:rsid w:val="006639E9"/>
    <w:rsid w:val="00667652"/>
    <w:rsid w:val="00667E0B"/>
    <w:rsid w:val="006710DA"/>
    <w:rsid w:val="00672AA6"/>
    <w:rsid w:val="00672E16"/>
    <w:rsid w:val="00673B22"/>
    <w:rsid w:val="006741E0"/>
    <w:rsid w:val="00674327"/>
    <w:rsid w:val="0067526F"/>
    <w:rsid w:val="00675D38"/>
    <w:rsid w:val="00677AB7"/>
    <w:rsid w:val="00680809"/>
    <w:rsid w:val="0068162D"/>
    <w:rsid w:val="00681A98"/>
    <w:rsid w:val="00684691"/>
    <w:rsid w:val="006854EA"/>
    <w:rsid w:val="00685740"/>
    <w:rsid w:val="0068574F"/>
    <w:rsid w:val="00685DC0"/>
    <w:rsid w:val="00686BB3"/>
    <w:rsid w:val="006874A3"/>
    <w:rsid w:val="00692609"/>
    <w:rsid w:val="00692DC0"/>
    <w:rsid w:val="00693F93"/>
    <w:rsid w:val="00695B6B"/>
    <w:rsid w:val="00695F59"/>
    <w:rsid w:val="006A14BE"/>
    <w:rsid w:val="006A1947"/>
    <w:rsid w:val="006A1951"/>
    <w:rsid w:val="006A1A30"/>
    <w:rsid w:val="006A2CE2"/>
    <w:rsid w:val="006A494C"/>
    <w:rsid w:val="006A4CFE"/>
    <w:rsid w:val="006A6D34"/>
    <w:rsid w:val="006A7EFC"/>
    <w:rsid w:val="006B17B9"/>
    <w:rsid w:val="006B1FE0"/>
    <w:rsid w:val="006B339D"/>
    <w:rsid w:val="006B5DE7"/>
    <w:rsid w:val="006B7C8B"/>
    <w:rsid w:val="006C0E56"/>
    <w:rsid w:val="006C1AE6"/>
    <w:rsid w:val="006C2D06"/>
    <w:rsid w:val="006C635D"/>
    <w:rsid w:val="006D177B"/>
    <w:rsid w:val="006D307C"/>
    <w:rsid w:val="006D316B"/>
    <w:rsid w:val="006D50B7"/>
    <w:rsid w:val="006D5DB6"/>
    <w:rsid w:val="006D6736"/>
    <w:rsid w:val="006D6D67"/>
    <w:rsid w:val="006E09B2"/>
    <w:rsid w:val="006E1A5F"/>
    <w:rsid w:val="006E29D5"/>
    <w:rsid w:val="006E2D65"/>
    <w:rsid w:val="006E3186"/>
    <w:rsid w:val="006E3638"/>
    <w:rsid w:val="006E522D"/>
    <w:rsid w:val="006E5E23"/>
    <w:rsid w:val="006E67A7"/>
    <w:rsid w:val="006E6A46"/>
    <w:rsid w:val="006E6D09"/>
    <w:rsid w:val="006F002E"/>
    <w:rsid w:val="006F0102"/>
    <w:rsid w:val="006F0FC0"/>
    <w:rsid w:val="006F12C3"/>
    <w:rsid w:val="006F189A"/>
    <w:rsid w:val="006F1923"/>
    <w:rsid w:val="006F20C2"/>
    <w:rsid w:val="006F29A0"/>
    <w:rsid w:val="006F3B90"/>
    <w:rsid w:val="006F5231"/>
    <w:rsid w:val="006F5855"/>
    <w:rsid w:val="006F6460"/>
    <w:rsid w:val="006F6640"/>
    <w:rsid w:val="00701091"/>
    <w:rsid w:val="007011AB"/>
    <w:rsid w:val="0070193C"/>
    <w:rsid w:val="00704ADD"/>
    <w:rsid w:val="00705899"/>
    <w:rsid w:val="00706F99"/>
    <w:rsid w:val="00707499"/>
    <w:rsid w:val="00707ECB"/>
    <w:rsid w:val="00710DA3"/>
    <w:rsid w:val="00713523"/>
    <w:rsid w:val="00713F41"/>
    <w:rsid w:val="0071423A"/>
    <w:rsid w:val="0071552E"/>
    <w:rsid w:val="00715C6F"/>
    <w:rsid w:val="00716413"/>
    <w:rsid w:val="00717B90"/>
    <w:rsid w:val="00724DE9"/>
    <w:rsid w:val="007252E3"/>
    <w:rsid w:val="00725411"/>
    <w:rsid w:val="007254B6"/>
    <w:rsid w:val="00731E04"/>
    <w:rsid w:val="00734376"/>
    <w:rsid w:val="00735E39"/>
    <w:rsid w:val="00741A18"/>
    <w:rsid w:val="00742495"/>
    <w:rsid w:val="00742CB6"/>
    <w:rsid w:val="007445DE"/>
    <w:rsid w:val="0074469B"/>
    <w:rsid w:val="00745AA8"/>
    <w:rsid w:val="00745D52"/>
    <w:rsid w:val="007472AA"/>
    <w:rsid w:val="007518A5"/>
    <w:rsid w:val="00752058"/>
    <w:rsid w:val="00754010"/>
    <w:rsid w:val="00754A78"/>
    <w:rsid w:val="007553A7"/>
    <w:rsid w:val="00755445"/>
    <w:rsid w:val="007578ED"/>
    <w:rsid w:val="0076098A"/>
    <w:rsid w:val="007619BC"/>
    <w:rsid w:val="007619E3"/>
    <w:rsid w:val="00763F98"/>
    <w:rsid w:val="007641A7"/>
    <w:rsid w:val="007644C6"/>
    <w:rsid w:val="00767133"/>
    <w:rsid w:val="00767FA1"/>
    <w:rsid w:val="0077070C"/>
    <w:rsid w:val="00770BB3"/>
    <w:rsid w:val="007714FC"/>
    <w:rsid w:val="00771B3E"/>
    <w:rsid w:val="0077331F"/>
    <w:rsid w:val="00773606"/>
    <w:rsid w:val="00774780"/>
    <w:rsid w:val="00774D38"/>
    <w:rsid w:val="00774D9F"/>
    <w:rsid w:val="00774E45"/>
    <w:rsid w:val="00775498"/>
    <w:rsid w:val="0077589D"/>
    <w:rsid w:val="00775B6C"/>
    <w:rsid w:val="00775C41"/>
    <w:rsid w:val="0077615F"/>
    <w:rsid w:val="00777951"/>
    <w:rsid w:val="0078095F"/>
    <w:rsid w:val="007809F6"/>
    <w:rsid w:val="007812D1"/>
    <w:rsid w:val="00782AD9"/>
    <w:rsid w:val="00783089"/>
    <w:rsid w:val="00783AB0"/>
    <w:rsid w:val="0078479E"/>
    <w:rsid w:val="00784DAD"/>
    <w:rsid w:val="007864DF"/>
    <w:rsid w:val="007874C8"/>
    <w:rsid w:val="007876DA"/>
    <w:rsid w:val="0079081C"/>
    <w:rsid w:val="00791519"/>
    <w:rsid w:val="00791666"/>
    <w:rsid w:val="007918C7"/>
    <w:rsid w:val="00792E4A"/>
    <w:rsid w:val="007932FA"/>
    <w:rsid w:val="00793794"/>
    <w:rsid w:val="00793CA4"/>
    <w:rsid w:val="007957A2"/>
    <w:rsid w:val="007963DE"/>
    <w:rsid w:val="007A311F"/>
    <w:rsid w:val="007A329D"/>
    <w:rsid w:val="007A4BAF"/>
    <w:rsid w:val="007A52CC"/>
    <w:rsid w:val="007A547A"/>
    <w:rsid w:val="007A5EE3"/>
    <w:rsid w:val="007A6EDC"/>
    <w:rsid w:val="007B01EA"/>
    <w:rsid w:val="007B0603"/>
    <w:rsid w:val="007B0673"/>
    <w:rsid w:val="007B334A"/>
    <w:rsid w:val="007B33EE"/>
    <w:rsid w:val="007B35A8"/>
    <w:rsid w:val="007B623C"/>
    <w:rsid w:val="007B7B96"/>
    <w:rsid w:val="007C123F"/>
    <w:rsid w:val="007C1B01"/>
    <w:rsid w:val="007C2713"/>
    <w:rsid w:val="007C27E0"/>
    <w:rsid w:val="007C3C5B"/>
    <w:rsid w:val="007C4D17"/>
    <w:rsid w:val="007C503E"/>
    <w:rsid w:val="007C60A3"/>
    <w:rsid w:val="007C68D9"/>
    <w:rsid w:val="007C6EA4"/>
    <w:rsid w:val="007D0A31"/>
    <w:rsid w:val="007D1127"/>
    <w:rsid w:val="007D1E2F"/>
    <w:rsid w:val="007D3023"/>
    <w:rsid w:val="007D30E9"/>
    <w:rsid w:val="007D3600"/>
    <w:rsid w:val="007D4A84"/>
    <w:rsid w:val="007D53B1"/>
    <w:rsid w:val="007E0404"/>
    <w:rsid w:val="007E19F1"/>
    <w:rsid w:val="007E1F7F"/>
    <w:rsid w:val="007E3EC5"/>
    <w:rsid w:val="007E452A"/>
    <w:rsid w:val="007E7238"/>
    <w:rsid w:val="007E79A4"/>
    <w:rsid w:val="007E7A6B"/>
    <w:rsid w:val="007F0B39"/>
    <w:rsid w:val="007F14EC"/>
    <w:rsid w:val="007F2216"/>
    <w:rsid w:val="007F2B6D"/>
    <w:rsid w:val="007F6FE9"/>
    <w:rsid w:val="007F7ADF"/>
    <w:rsid w:val="007F7F8D"/>
    <w:rsid w:val="008031F2"/>
    <w:rsid w:val="0080360E"/>
    <w:rsid w:val="00804858"/>
    <w:rsid w:val="0080519D"/>
    <w:rsid w:val="008051F1"/>
    <w:rsid w:val="0080644D"/>
    <w:rsid w:val="00806DFE"/>
    <w:rsid w:val="00807BD5"/>
    <w:rsid w:val="00811178"/>
    <w:rsid w:val="00812B8D"/>
    <w:rsid w:val="00812F6C"/>
    <w:rsid w:val="008156C9"/>
    <w:rsid w:val="0081669B"/>
    <w:rsid w:val="00816DFE"/>
    <w:rsid w:val="00817AFB"/>
    <w:rsid w:val="00820E2E"/>
    <w:rsid w:val="00821D75"/>
    <w:rsid w:val="008224EB"/>
    <w:rsid w:val="008244E5"/>
    <w:rsid w:val="0082477A"/>
    <w:rsid w:val="00824BAA"/>
    <w:rsid w:val="00824FBB"/>
    <w:rsid w:val="0082521E"/>
    <w:rsid w:val="00826F6F"/>
    <w:rsid w:val="00827E86"/>
    <w:rsid w:val="0083011B"/>
    <w:rsid w:val="00830624"/>
    <w:rsid w:val="00833359"/>
    <w:rsid w:val="008364D6"/>
    <w:rsid w:val="00836F35"/>
    <w:rsid w:val="008374D6"/>
    <w:rsid w:val="008443A5"/>
    <w:rsid w:val="00844A54"/>
    <w:rsid w:val="00845AC6"/>
    <w:rsid w:val="0084696B"/>
    <w:rsid w:val="0084786B"/>
    <w:rsid w:val="00847C66"/>
    <w:rsid w:val="00847DFD"/>
    <w:rsid w:val="00850606"/>
    <w:rsid w:val="008513F8"/>
    <w:rsid w:val="00852F60"/>
    <w:rsid w:val="00853047"/>
    <w:rsid w:val="00853522"/>
    <w:rsid w:val="0085368F"/>
    <w:rsid w:val="008546A8"/>
    <w:rsid w:val="00854B09"/>
    <w:rsid w:val="00855719"/>
    <w:rsid w:val="00855C82"/>
    <w:rsid w:val="008561DC"/>
    <w:rsid w:val="0085677C"/>
    <w:rsid w:val="00856C48"/>
    <w:rsid w:val="00856D05"/>
    <w:rsid w:val="00857AD4"/>
    <w:rsid w:val="0086051A"/>
    <w:rsid w:val="0086087B"/>
    <w:rsid w:val="00860D80"/>
    <w:rsid w:val="00860F60"/>
    <w:rsid w:val="008618FF"/>
    <w:rsid w:val="00861ADE"/>
    <w:rsid w:val="008620C6"/>
    <w:rsid w:val="00862E2D"/>
    <w:rsid w:val="00863234"/>
    <w:rsid w:val="00864BB3"/>
    <w:rsid w:val="00864EB6"/>
    <w:rsid w:val="00866432"/>
    <w:rsid w:val="00866ACD"/>
    <w:rsid w:val="00867630"/>
    <w:rsid w:val="0087036C"/>
    <w:rsid w:val="00870535"/>
    <w:rsid w:val="00870F34"/>
    <w:rsid w:val="00871130"/>
    <w:rsid w:val="00871133"/>
    <w:rsid w:val="00871D12"/>
    <w:rsid w:val="0087261A"/>
    <w:rsid w:val="008732C4"/>
    <w:rsid w:val="00874D99"/>
    <w:rsid w:val="00876793"/>
    <w:rsid w:val="00876CA5"/>
    <w:rsid w:val="00881E27"/>
    <w:rsid w:val="00882791"/>
    <w:rsid w:val="008842B8"/>
    <w:rsid w:val="00885FFE"/>
    <w:rsid w:val="008877DB"/>
    <w:rsid w:val="00887AA9"/>
    <w:rsid w:val="008924A6"/>
    <w:rsid w:val="0089570C"/>
    <w:rsid w:val="008975D3"/>
    <w:rsid w:val="008A1282"/>
    <w:rsid w:val="008A15BE"/>
    <w:rsid w:val="008A1BC9"/>
    <w:rsid w:val="008A26A8"/>
    <w:rsid w:val="008A294E"/>
    <w:rsid w:val="008A2DC9"/>
    <w:rsid w:val="008A2FEF"/>
    <w:rsid w:val="008A489F"/>
    <w:rsid w:val="008A55BF"/>
    <w:rsid w:val="008B0E01"/>
    <w:rsid w:val="008B1B5B"/>
    <w:rsid w:val="008B1E4F"/>
    <w:rsid w:val="008B1EAC"/>
    <w:rsid w:val="008B32A2"/>
    <w:rsid w:val="008B376E"/>
    <w:rsid w:val="008B4E0E"/>
    <w:rsid w:val="008B53F7"/>
    <w:rsid w:val="008B5D43"/>
    <w:rsid w:val="008C0780"/>
    <w:rsid w:val="008C0E86"/>
    <w:rsid w:val="008C1918"/>
    <w:rsid w:val="008C1BF6"/>
    <w:rsid w:val="008C33C2"/>
    <w:rsid w:val="008C414E"/>
    <w:rsid w:val="008C4DD8"/>
    <w:rsid w:val="008C7E1A"/>
    <w:rsid w:val="008D06B7"/>
    <w:rsid w:val="008D096B"/>
    <w:rsid w:val="008D5DBA"/>
    <w:rsid w:val="008D6AE7"/>
    <w:rsid w:val="008D6D53"/>
    <w:rsid w:val="008D767F"/>
    <w:rsid w:val="008E035C"/>
    <w:rsid w:val="008E1A0C"/>
    <w:rsid w:val="008E2AC9"/>
    <w:rsid w:val="008E38AB"/>
    <w:rsid w:val="008E3FCA"/>
    <w:rsid w:val="008E3FDD"/>
    <w:rsid w:val="008E517C"/>
    <w:rsid w:val="008F1118"/>
    <w:rsid w:val="008F2976"/>
    <w:rsid w:val="008F2FA4"/>
    <w:rsid w:val="008F3D77"/>
    <w:rsid w:val="008F6676"/>
    <w:rsid w:val="00900C7E"/>
    <w:rsid w:val="00900FE6"/>
    <w:rsid w:val="00901463"/>
    <w:rsid w:val="009052FA"/>
    <w:rsid w:val="00906709"/>
    <w:rsid w:val="009114BB"/>
    <w:rsid w:val="00912908"/>
    <w:rsid w:val="00912AE9"/>
    <w:rsid w:val="00913685"/>
    <w:rsid w:val="009137BC"/>
    <w:rsid w:val="009139E5"/>
    <w:rsid w:val="00913F6D"/>
    <w:rsid w:val="0091481A"/>
    <w:rsid w:val="00915449"/>
    <w:rsid w:val="00915509"/>
    <w:rsid w:val="00916907"/>
    <w:rsid w:val="0092099B"/>
    <w:rsid w:val="00921850"/>
    <w:rsid w:val="00922C38"/>
    <w:rsid w:val="00926208"/>
    <w:rsid w:val="00926C16"/>
    <w:rsid w:val="00927BA4"/>
    <w:rsid w:val="00927F5C"/>
    <w:rsid w:val="009305C9"/>
    <w:rsid w:val="00930D6D"/>
    <w:rsid w:val="00931B5E"/>
    <w:rsid w:val="00933B0D"/>
    <w:rsid w:val="00933D12"/>
    <w:rsid w:val="0093435D"/>
    <w:rsid w:val="009378CD"/>
    <w:rsid w:val="0094007C"/>
    <w:rsid w:val="009415FB"/>
    <w:rsid w:val="00941A9C"/>
    <w:rsid w:val="00943A67"/>
    <w:rsid w:val="0094583E"/>
    <w:rsid w:val="009461DD"/>
    <w:rsid w:val="00946A29"/>
    <w:rsid w:val="009473CC"/>
    <w:rsid w:val="00950E3B"/>
    <w:rsid w:val="00951C39"/>
    <w:rsid w:val="0095294E"/>
    <w:rsid w:val="0095699A"/>
    <w:rsid w:val="0095727D"/>
    <w:rsid w:val="0095781E"/>
    <w:rsid w:val="00957AAB"/>
    <w:rsid w:val="00957AF2"/>
    <w:rsid w:val="009613B8"/>
    <w:rsid w:val="009617E9"/>
    <w:rsid w:val="00961A5F"/>
    <w:rsid w:val="009645C1"/>
    <w:rsid w:val="00966BC3"/>
    <w:rsid w:val="0097081A"/>
    <w:rsid w:val="00970D85"/>
    <w:rsid w:val="00970EF5"/>
    <w:rsid w:val="009718F6"/>
    <w:rsid w:val="00973144"/>
    <w:rsid w:val="009733A6"/>
    <w:rsid w:val="009771B5"/>
    <w:rsid w:val="00977476"/>
    <w:rsid w:val="00980A64"/>
    <w:rsid w:val="009810A8"/>
    <w:rsid w:val="00982571"/>
    <w:rsid w:val="009829F6"/>
    <w:rsid w:val="00983CE9"/>
    <w:rsid w:val="009844F5"/>
    <w:rsid w:val="00984CC0"/>
    <w:rsid w:val="009853D6"/>
    <w:rsid w:val="00986DA8"/>
    <w:rsid w:val="00986EA8"/>
    <w:rsid w:val="009965E5"/>
    <w:rsid w:val="0099783F"/>
    <w:rsid w:val="009A063B"/>
    <w:rsid w:val="009A10B5"/>
    <w:rsid w:val="009A137A"/>
    <w:rsid w:val="009A3FA9"/>
    <w:rsid w:val="009A4DB2"/>
    <w:rsid w:val="009A4F3A"/>
    <w:rsid w:val="009A574A"/>
    <w:rsid w:val="009A586F"/>
    <w:rsid w:val="009A6737"/>
    <w:rsid w:val="009A7E6E"/>
    <w:rsid w:val="009B3006"/>
    <w:rsid w:val="009B5153"/>
    <w:rsid w:val="009B796A"/>
    <w:rsid w:val="009C5CD9"/>
    <w:rsid w:val="009C6592"/>
    <w:rsid w:val="009C6C88"/>
    <w:rsid w:val="009C7E10"/>
    <w:rsid w:val="009D0BC1"/>
    <w:rsid w:val="009D1292"/>
    <w:rsid w:val="009D1ABF"/>
    <w:rsid w:val="009D247A"/>
    <w:rsid w:val="009D25B7"/>
    <w:rsid w:val="009D53F7"/>
    <w:rsid w:val="009D5C76"/>
    <w:rsid w:val="009D60F1"/>
    <w:rsid w:val="009D61E7"/>
    <w:rsid w:val="009D6681"/>
    <w:rsid w:val="009D66F0"/>
    <w:rsid w:val="009D7086"/>
    <w:rsid w:val="009E0796"/>
    <w:rsid w:val="009E0CC9"/>
    <w:rsid w:val="009E19E2"/>
    <w:rsid w:val="009E30FD"/>
    <w:rsid w:val="009E36C0"/>
    <w:rsid w:val="009E42DA"/>
    <w:rsid w:val="009F1BFB"/>
    <w:rsid w:val="009F29D2"/>
    <w:rsid w:val="009F32DB"/>
    <w:rsid w:val="009F3BFD"/>
    <w:rsid w:val="009F4750"/>
    <w:rsid w:val="009F53C4"/>
    <w:rsid w:val="009F5D3F"/>
    <w:rsid w:val="009F61CB"/>
    <w:rsid w:val="009F68F6"/>
    <w:rsid w:val="009F7615"/>
    <w:rsid w:val="009F7616"/>
    <w:rsid w:val="009F778E"/>
    <w:rsid w:val="00A00E31"/>
    <w:rsid w:val="00A00F7F"/>
    <w:rsid w:val="00A02546"/>
    <w:rsid w:val="00A0358E"/>
    <w:rsid w:val="00A03660"/>
    <w:rsid w:val="00A03FAC"/>
    <w:rsid w:val="00A04F2B"/>
    <w:rsid w:val="00A05967"/>
    <w:rsid w:val="00A05D8A"/>
    <w:rsid w:val="00A0613A"/>
    <w:rsid w:val="00A10062"/>
    <w:rsid w:val="00A112D0"/>
    <w:rsid w:val="00A1130C"/>
    <w:rsid w:val="00A12C9A"/>
    <w:rsid w:val="00A14279"/>
    <w:rsid w:val="00A16EAD"/>
    <w:rsid w:val="00A16FFD"/>
    <w:rsid w:val="00A17394"/>
    <w:rsid w:val="00A215EF"/>
    <w:rsid w:val="00A21C84"/>
    <w:rsid w:val="00A21E0B"/>
    <w:rsid w:val="00A247C7"/>
    <w:rsid w:val="00A24D02"/>
    <w:rsid w:val="00A26C27"/>
    <w:rsid w:val="00A2723E"/>
    <w:rsid w:val="00A30061"/>
    <w:rsid w:val="00A3241A"/>
    <w:rsid w:val="00A32661"/>
    <w:rsid w:val="00A32F6A"/>
    <w:rsid w:val="00A3465A"/>
    <w:rsid w:val="00A35604"/>
    <w:rsid w:val="00A3702D"/>
    <w:rsid w:val="00A4083D"/>
    <w:rsid w:val="00A43E34"/>
    <w:rsid w:val="00A44996"/>
    <w:rsid w:val="00A454FB"/>
    <w:rsid w:val="00A51EF8"/>
    <w:rsid w:val="00A523EA"/>
    <w:rsid w:val="00A52EA6"/>
    <w:rsid w:val="00A530A7"/>
    <w:rsid w:val="00A533BE"/>
    <w:rsid w:val="00A54111"/>
    <w:rsid w:val="00A54A00"/>
    <w:rsid w:val="00A54B6C"/>
    <w:rsid w:val="00A54C4E"/>
    <w:rsid w:val="00A54F5B"/>
    <w:rsid w:val="00A556F3"/>
    <w:rsid w:val="00A56730"/>
    <w:rsid w:val="00A57205"/>
    <w:rsid w:val="00A60BC7"/>
    <w:rsid w:val="00A610F6"/>
    <w:rsid w:val="00A616B6"/>
    <w:rsid w:val="00A61821"/>
    <w:rsid w:val="00A624B2"/>
    <w:rsid w:val="00A62EB9"/>
    <w:rsid w:val="00A6301C"/>
    <w:rsid w:val="00A64444"/>
    <w:rsid w:val="00A65CC8"/>
    <w:rsid w:val="00A66B7F"/>
    <w:rsid w:val="00A66CA8"/>
    <w:rsid w:val="00A677F7"/>
    <w:rsid w:val="00A7037B"/>
    <w:rsid w:val="00A71E3D"/>
    <w:rsid w:val="00A72E2F"/>
    <w:rsid w:val="00A72F87"/>
    <w:rsid w:val="00A733C1"/>
    <w:rsid w:val="00A73647"/>
    <w:rsid w:val="00A73669"/>
    <w:rsid w:val="00A73700"/>
    <w:rsid w:val="00A73718"/>
    <w:rsid w:val="00A73E4E"/>
    <w:rsid w:val="00A73EF7"/>
    <w:rsid w:val="00A747AD"/>
    <w:rsid w:val="00A74A8C"/>
    <w:rsid w:val="00A74FC4"/>
    <w:rsid w:val="00A760E2"/>
    <w:rsid w:val="00A800A6"/>
    <w:rsid w:val="00A80833"/>
    <w:rsid w:val="00A816DB"/>
    <w:rsid w:val="00A842F6"/>
    <w:rsid w:val="00A861E5"/>
    <w:rsid w:val="00A86DC9"/>
    <w:rsid w:val="00A87175"/>
    <w:rsid w:val="00A87D90"/>
    <w:rsid w:val="00A904E6"/>
    <w:rsid w:val="00A90CF5"/>
    <w:rsid w:val="00A9196C"/>
    <w:rsid w:val="00A91D0C"/>
    <w:rsid w:val="00A91D3C"/>
    <w:rsid w:val="00A92678"/>
    <w:rsid w:val="00A9302E"/>
    <w:rsid w:val="00A93C10"/>
    <w:rsid w:val="00A952C4"/>
    <w:rsid w:val="00A977A4"/>
    <w:rsid w:val="00AA0794"/>
    <w:rsid w:val="00AA16BE"/>
    <w:rsid w:val="00AA1B4D"/>
    <w:rsid w:val="00AA1EC1"/>
    <w:rsid w:val="00AA1F6F"/>
    <w:rsid w:val="00AA224B"/>
    <w:rsid w:val="00AA4F03"/>
    <w:rsid w:val="00AA512F"/>
    <w:rsid w:val="00AA6868"/>
    <w:rsid w:val="00AA766C"/>
    <w:rsid w:val="00AA79E7"/>
    <w:rsid w:val="00AB15F3"/>
    <w:rsid w:val="00AB1C24"/>
    <w:rsid w:val="00AB4ED3"/>
    <w:rsid w:val="00AB5551"/>
    <w:rsid w:val="00AC06A7"/>
    <w:rsid w:val="00AC2399"/>
    <w:rsid w:val="00AC280E"/>
    <w:rsid w:val="00AC43B3"/>
    <w:rsid w:val="00AC4DA2"/>
    <w:rsid w:val="00AC681A"/>
    <w:rsid w:val="00AC7621"/>
    <w:rsid w:val="00AD24DF"/>
    <w:rsid w:val="00AD277C"/>
    <w:rsid w:val="00AD32FA"/>
    <w:rsid w:val="00AD5D05"/>
    <w:rsid w:val="00AD5E09"/>
    <w:rsid w:val="00AE00D8"/>
    <w:rsid w:val="00AE19E4"/>
    <w:rsid w:val="00AE22D2"/>
    <w:rsid w:val="00AE389B"/>
    <w:rsid w:val="00AE3F6D"/>
    <w:rsid w:val="00AE430F"/>
    <w:rsid w:val="00AE44C4"/>
    <w:rsid w:val="00AF0A59"/>
    <w:rsid w:val="00AF14F9"/>
    <w:rsid w:val="00AF19F8"/>
    <w:rsid w:val="00AF2ED5"/>
    <w:rsid w:val="00AF4448"/>
    <w:rsid w:val="00AF585A"/>
    <w:rsid w:val="00AF5F22"/>
    <w:rsid w:val="00AF6246"/>
    <w:rsid w:val="00AF6570"/>
    <w:rsid w:val="00AF6838"/>
    <w:rsid w:val="00AF6C2B"/>
    <w:rsid w:val="00AF79F7"/>
    <w:rsid w:val="00B034A2"/>
    <w:rsid w:val="00B03B82"/>
    <w:rsid w:val="00B041DA"/>
    <w:rsid w:val="00B04BA7"/>
    <w:rsid w:val="00B07EFA"/>
    <w:rsid w:val="00B12406"/>
    <w:rsid w:val="00B126EA"/>
    <w:rsid w:val="00B20C71"/>
    <w:rsid w:val="00B2182A"/>
    <w:rsid w:val="00B21FE5"/>
    <w:rsid w:val="00B22531"/>
    <w:rsid w:val="00B24ED4"/>
    <w:rsid w:val="00B2501C"/>
    <w:rsid w:val="00B25427"/>
    <w:rsid w:val="00B25522"/>
    <w:rsid w:val="00B262C1"/>
    <w:rsid w:val="00B266A6"/>
    <w:rsid w:val="00B30AB3"/>
    <w:rsid w:val="00B32083"/>
    <w:rsid w:val="00B32ED1"/>
    <w:rsid w:val="00B32F84"/>
    <w:rsid w:val="00B3634A"/>
    <w:rsid w:val="00B37DED"/>
    <w:rsid w:val="00B37E46"/>
    <w:rsid w:val="00B4170A"/>
    <w:rsid w:val="00B436A4"/>
    <w:rsid w:val="00B4454F"/>
    <w:rsid w:val="00B44682"/>
    <w:rsid w:val="00B46766"/>
    <w:rsid w:val="00B46A4F"/>
    <w:rsid w:val="00B47230"/>
    <w:rsid w:val="00B47A20"/>
    <w:rsid w:val="00B508B9"/>
    <w:rsid w:val="00B51709"/>
    <w:rsid w:val="00B54F67"/>
    <w:rsid w:val="00B578E5"/>
    <w:rsid w:val="00B60250"/>
    <w:rsid w:val="00B60619"/>
    <w:rsid w:val="00B60624"/>
    <w:rsid w:val="00B60D23"/>
    <w:rsid w:val="00B6158A"/>
    <w:rsid w:val="00B62E51"/>
    <w:rsid w:val="00B63C26"/>
    <w:rsid w:val="00B64A22"/>
    <w:rsid w:val="00B65247"/>
    <w:rsid w:val="00B658BE"/>
    <w:rsid w:val="00B65CEA"/>
    <w:rsid w:val="00B67507"/>
    <w:rsid w:val="00B702DB"/>
    <w:rsid w:val="00B70728"/>
    <w:rsid w:val="00B710D5"/>
    <w:rsid w:val="00B74794"/>
    <w:rsid w:val="00B755D0"/>
    <w:rsid w:val="00B75863"/>
    <w:rsid w:val="00B758C5"/>
    <w:rsid w:val="00B75DBF"/>
    <w:rsid w:val="00B76416"/>
    <w:rsid w:val="00B8244F"/>
    <w:rsid w:val="00B86D00"/>
    <w:rsid w:val="00B91766"/>
    <w:rsid w:val="00B92F54"/>
    <w:rsid w:val="00B93181"/>
    <w:rsid w:val="00B93B5D"/>
    <w:rsid w:val="00B9453A"/>
    <w:rsid w:val="00B9568E"/>
    <w:rsid w:val="00B956C5"/>
    <w:rsid w:val="00B958D4"/>
    <w:rsid w:val="00B95B14"/>
    <w:rsid w:val="00B96EF1"/>
    <w:rsid w:val="00B97895"/>
    <w:rsid w:val="00BA006A"/>
    <w:rsid w:val="00BA04CA"/>
    <w:rsid w:val="00BA0D81"/>
    <w:rsid w:val="00BA1B4C"/>
    <w:rsid w:val="00BA1E0B"/>
    <w:rsid w:val="00BA4EE1"/>
    <w:rsid w:val="00BA67DD"/>
    <w:rsid w:val="00BA793C"/>
    <w:rsid w:val="00BA7A53"/>
    <w:rsid w:val="00BB0E41"/>
    <w:rsid w:val="00BB1666"/>
    <w:rsid w:val="00BB3392"/>
    <w:rsid w:val="00BB37B4"/>
    <w:rsid w:val="00BB3DED"/>
    <w:rsid w:val="00BB43A0"/>
    <w:rsid w:val="00BB58D8"/>
    <w:rsid w:val="00BB6B20"/>
    <w:rsid w:val="00BB7C0C"/>
    <w:rsid w:val="00BB7EF3"/>
    <w:rsid w:val="00BC056F"/>
    <w:rsid w:val="00BC1162"/>
    <w:rsid w:val="00BC39FA"/>
    <w:rsid w:val="00BC5A6F"/>
    <w:rsid w:val="00BC5CDA"/>
    <w:rsid w:val="00BC7004"/>
    <w:rsid w:val="00BC71C9"/>
    <w:rsid w:val="00BC7222"/>
    <w:rsid w:val="00BC7B32"/>
    <w:rsid w:val="00BD0600"/>
    <w:rsid w:val="00BD2BCB"/>
    <w:rsid w:val="00BD2DD8"/>
    <w:rsid w:val="00BD44BE"/>
    <w:rsid w:val="00BD4737"/>
    <w:rsid w:val="00BD4B32"/>
    <w:rsid w:val="00BD528A"/>
    <w:rsid w:val="00BD7914"/>
    <w:rsid w:val="00BE1347"/>
    <w:rsid w:val="00BE1B02"/>
    <w:rsid w:val="00BE1EA7"/>
    <w:rsid w:val="00BE3108"/>
    <w:rsid w:val="00BE5CD5"/>
    <w:rsid w:val="00BF0376"/>
    <w:rsid w:val="00BF1D29"/>
    <w:rsid w:val="00BF35E1"/>
    <w:rsid w:val="00BF48A6"/>
    <w:rsid w:val="00BF52D7"/>
    <w:rsid w:val="00BF6167"/>
    <w:rsid w:val="00BF6C98"/>
    <w:rsid w:val="00BF716D"/>
    <w:rsid w:val="00C00634"/>
    <w:rsid w:val="00C01C5F"/>
    <w:rsid w:val="00C051FA"/>
    <w:rsid w:val="00C06414"/>
    <w:rsid w:val="00C06944"/>
    <w:rsid w:val="00C07B67"/>
    <w:rsid w:val="00C105F9"/>
    <w:rsid w:val="00C10AAE"/>
    <w:rsid w:val="00C12B4F"/>
    <w:rsid w:val="00C149B7"/>
    <w:rsid w:val="00C167D5"/>
    <w:rsid w:val="00C16BCB"/>
    <w:rsid w:val="00C17363"/>
    <w:rsid w:val="00C174E4"/>
    <w:rsid w:val="00C203DB"/>
    <w:rsid w:val="00C226BC"/>
    <w:rsid w:val="00C22F95"/>
    <w:rsid w:val="00C246C1"/>
    <w:rsid w:val="00C2534F"/>
    <w:rsid w:val="00C304DE"/>
    <w:rsid w:val="00C31A97"/>
    <w:rsid w:val="00C33148"/>
    <w:rsid w:val="00C3348E"/>
    <w:rsid w:val="00C3413D"/>
    <w:rsid w:val="00C34AB5"/>
    <w:rsid w:val="00C34F7D"/>
    <w:rsid w:val="00C355BB"/>
    <w:rsid w:val="00C37309"/>
    <w:rsid w:val="00C379D6"/>
    <w:rsid w:val="00C41069"/>
    <w:rsid w:val="00C42654"/>
    <w:rsid w:val="00C4298C"/>
    <w:rsid w:val="00C44A29"/>
    <w:rsid w:val="00C45293"/>
    <w:rsid w:val="00C51FE7"/>
    <w:rsid w:val="00C526B9"/>
    <w:rsid w:val="00C536F1"/>
    <w:rsid w:val="00C547FB"/>
    <w:rsid w:val="00C561B6"/>
    <w:rsid w:val="00C57478"/>
    <w:rsid w:val="00C57E33"/>
    <w:rsid w:val="00C57FA1"/>
    <w:rsid w:val="00C60EB2"/>
    <w:rsid w:val="00C61661"/>
    <w:rsid w:val="00C62F18"/>
    <w:rsid w:val="00C63B9C"/>
    <w:rsid w:val="00C6601B"/>
    <w:rsid w:val="00C667E4"/>
    <w:rsid w:val="00C670BF"/>
    <w:rsid w:val="00C673C4"/>
    <w:rsid w:val="00C674FA"/>
    <w:rsid w:val="00C67C3D"/>
    <w:rsid w:val="00C72060"/>
    <w:rsid w:val="00C72BE0"/>
    <w:rsid w:val="00C72D6E"/>
    <w:rsid w:val="00C72E94"/>
    <w:rsid w:val="00C73017"/>
    <w:rsid w:val="00C73571"/>
    <w:rsid w:val="00C738F4"/>
    <w:rsid w:val="00C7406B"/>
    <w:rsid w:val="00C7493E"/>
    <w:rsid w:val="00C750F1"/>
    <w:rsid w:val="00C75604"/>
    <w:rsid w:val="00C760BF"/>
    <w:rsid w:val="00C76988"/>
    <w:rsid w:val="00C77A5A"/>
    <w:rsid w:val="00C8176C"/>
    <w:rsid w:val="00C862AB"/>
    <w:rsid w:val="00C86D6B"/>
    <w:rsid w:val="00C87083"/>
    <w:rsid w:val="00C91C09"/>
    <w:rsid w:val="00C9203C"/>
    <w:rsid w:val="00C92981"/>
    <w:rsid w:val="00C93366"/>
    <w:rsid w:val="00C9468F"/>
    <w:rsid w:val="00C95137"/>
    <w:rsid w:val="00C95FD6"/>
    <w:rsid w:val="00C96BAA"/>
    <w:rsid w:val="00C974E1"/>
    <w:rsid w:val="00CA0021"/>
    <w:rsid w:val="00CA09CD"/>
    <w:rsid w:val="00CA141D"/>
    <w:rsid w:val="00CA2786"/>
    <w:rsid w:val="00CA3C81"/>
    <w:rsid w:val="00CA4667"/>
    <w:rsid w:val="00CA6301"/>
    <w:rsid w:val="00CA6413"/>
    <w:rsid w:val="00CA6FB5"/>
    <w:rsid w:val="00CA767C"/>
    <w:rsid w:val="00CB0412"/>
    <w:rsid w:val="00CB0AF4"/>
    <w:rsid w:val="00CB10DA"/>
    <w:rsid w:val="00CB2002"/>
    <w:rsid w:val="00CB2E51"/>
    <w:rsid w:val="00CB4A71"/>
    <w:rsid w:val="00CB4A7A"/>
    <w:rsid w:val="00CB4C3C"/>
    <w:rsid w:val="00CB5BE4"/>
    <w:rsid w:val="00CB68F9"/>
    <w:rsid w:val="00CB70A0"/>
    <w:rsid w:val="00CB7450"/>
    <w:rsid w:val="00CC0BC6"/>
    <w:rsid w:val="00CC1232"/>
    <w:rsid w:val="00CC1E58"/>
    <w:rsid w:val="00CC1F15"/>
    <w:rsid w:val="00CC2573"/>
    <w:rsid w:val="00CC3EF5"/>
    <w:rsid w:val="00CC433F"/>
    <w:rsid w:val="00CC4501"/>
    <w:rsid w:val="00CC46C5"/>
    <w:rsid w:val="00CC4857"/>
    <w:rsid w:val="00CC49E0"/>
    <w:rsid w:val="00CC63FF"/>
    <w:rsid w:val="00CC7BED"/>
    <w:rsid w:val="00CD0087"/>
    <w:rsid w:val="00CD1382"/>
    <w:rsid w:val="00CD1809"/>
    <w:rsid w:val="00CD19C5"/>
    <w:rsid w:val="00CD2034"/>
    <w:rsid w:val="00CD377A"/>
    <w:rsid w:val="00CD54DF"/>
    <w:rsid w:val="00CD5579"/>
    <w:rsid w:val="00CD606B"/>
    <w:rsid w:val="00CD6DAF"/>
    <w:rsid w:val="00CD79AB"/>
    <w:rsid w:val="00CE1DCD"/>
    <w:rsid w:val="00CE2F24"/>
    <w:rsid w:val="00CE3400"/>
    <w:rsid w:val="00CE3BEA"/>
    <w:rsid w:val="00CE42E3"/>
    <w:rsid w:val="00CE54A4"/>
    <w:rsid w:val="00CE5D40"/>
    <w:rsid w:val="00CE6A71"/>
    <w:rsid w:val="00CE75E2"/>
    <w:rsid w:val="00CF0535"/>
    <w:rsid w:val="00CF274C"/>
    <w:rsid w:val="00CF37C4"/>
    <w:rsid w:val="00CF45A9"/>
    <w:rsid w:val="00CF4DC7"/>
    <w:rsid w:val="00CF5262"/>
    <w:rsid w:val="00CF7300"/>
    <w:rsid w:val="00CF7A1C"/>
    <w:rsid w:val="00D00D80"/>
    <w:rsid w:val="00D00E44"/>
    <w:rsid w:val="00D02D35"/>
    <w:rsid w:val="00D03CBC"/>
    <w:rsid w:val="00D0415E"/>
    <w:rsid w:val="00D044FD"/>
    <w:rsid w:val="00D04B27"/>
    <w:rsid w:val="00D05852"/>
    <w:rsid w:val="00D05BE2"/>
    <w:rsid w:val="00D06A1C"/>
    <w:rsid w:val="00D06FCE"/>
    <w:rsid w:val="00D109CA"/>
    <w:rsid w:val="00D10F15"/>
    <w:rsid w:val="00D115B8"/>
    <w:rsid w:val="00D139E6"/>
    <w:rsid w:val="00D13B5C"/>
    <w:rsid w:val="00D16A3D"/>
    <w:rsid w:val="00D1702C"/>
    <w:rsid w:val="00D17AEE"/>
    <w:rsid w:val="00D2140E"/>
    <w:rsid w:val="00D224A2"/>
    <w:rsid w:val="00D25D5F"/>
    <w:rsid w:val="00D27F08"/>
    <w:rsid w:val="00D301C9"/>
    <w:rsid w:val="00D30458"/>
    <w:rsid w:val="00D30952"/>
    <w:rsid w:val="00D30FFF"/>
    <w:rsid w:val="00D3189A"/>
    <w:rsid w:val="00D32368"/>
    <w:rsid w:val="00D3292D"/>
    <w:rsid w:val="00D3522D"/>
    <w:rsid w:val="00D354F3"/>
    <w:rsid w:val="00D35603"/>
    <w:rsid w:val="00D36C2D"/>
    <w:rsid w:val="00D4057B"/>
    <w:rsid w:val="00D42D89"/>
    <w:rsid w:val="00D4391B"/>
    <w:rsid w:val="00D44A68"/>
    <w:rsid w:val="00D50479"/>
    <w:rsid w:val="00D50948"/>
    <w:rsid w:val="00D51A30"/>
    <w:rsid w:val="00D51B0B"/>
    <w:rsid w:val="00D5411B"/>
    <w:rsid w:val="00D54FED"/>
    <w:rsid w:val="00D55DBA"/>
    <w:rsid w:val="00D55FF7"/>
    <w:rsid w:val="00D57E99"/>
    <w:rsid w:val="00D613E8"/>
    <w:rsid w:val="00D61658"/>
    <w:rsid w:val="00D62F82"/>
    <w:rsid w:val="00D64A6F"/>
    <w:rsid w:val="00D65BB5"/>
    <w:rsid w:val="00D705E5"/>
    <w:rsid w:val="00D721F6"/>
    <w:rsid w:val="00D72543"/>
    <w:rsid w:val="00D72549"/>
    <w:rsid w:val="00D7391F"/>
    <w:rsid w:val="00D73C0D"/>
    <w:rsid w:val="00D756E3"/>
    <w:rsid w:val="00D76C1D"/>
    <w:rsid w:val="00D77DC9"/>
    <w:rsid w:val="00D8099F"/>
    <w:rsid w:val="00D81EDB"/>
    <w:rsid w:val="00D836B5"/>
    <w:rsid w:val="00D83ABC"/>
    <w:rsid w:val="00D83EA9"/>
    <w:rsid w:val="00D840C6"/>
    <w:rsid w:val="00D840F6"/>
    <w:rsid w:val="00D903EE"/>
    <w:rsid w:val="00D90A1B"/>
    <w:rsid w:val="00D919E2"/>
    <w:rsid w:val="00D941FE"/>
    <w:rsid w:val="00D944E3"/>
    <w:rsid w:val="00D9552A"/>
    <w:rsid w:val="00D97548"/>
    <w:rsid w:val="00DA04E9"/>
    <w:rsid w:val="00DA0553"/>
    <w:rsid w:val="00DA5884"/>
    <w:rsid w:val="00DA5B82"/>
    <w:rsid w:val="00DA61BC"/>
    <w:rsid w:val="00DA6411"/>
    <w:rsid w:val="00DB06A7"/>
    <w:rsid w:val="00DB0DC1"/>
    <w:rsid w:val="00DB0F4B"/>
    <w:rsid w:val="00DB26F2"/>
    <w:rsid w:val="00DB29F9"/>
    <w:rsid w:val="00DB2F36"/>
    <w:rsid w:val="00DB47F9"/>
    <w:rsid w:val="00DB4EEF"/>
    <w:rsid w:val="00DB55AA"/>
    <w:rsid w:val="00DB55D4"/>
    <w:rsid w:val="00DB6677"/>
    <w:rsid w:val="00DC1946"/>
    <w:rsid w:val="00DC3092"/>
    <w:rsid w:val="00DC3E9A"/>
    <w:rsid w:val="00DC66E8"/>
    <w:rsid w:val="00DC6C02"/>
    <w:rsid w:val="00DD14B3"/>
    <w:rsid w:val="00DD4CC7"/>
    <w:rsid w:val="00DD6483"/>
    <w:rsid w:val="00DD7E04"/>
    <w:rsid w:val="00DE1866"/>
    <w:rsid w:val="00DE18A1"/>
    <w:rsid w:val="00DE217B"/>
    <w:rsid w:val="00DE28A5"/>
    <w:rsid w:val="00DE33FB"/>
    <w:rsid w:val="00DE447B"/>
    <w:rsid w:val="00DE6226"/>
    <w:rsid w:val="00DF3F32"/>
    <w:rsid w:val="00DF468D"/>
    <w:rsid w:val="00DF76D6"/>
    <w:rsid w:val="00DF7C19"/>
    <w:rsid w:val="00E00071"/>
    <w:rsid w:val="00E00D2C"/>
    <w:rsid w:val="00E01658"/>
    <w:rsid w:val="00E016A1"/>
    <w:rsid w:val="00E02016"/>
    <w:rsid w:val="00E03F89"/>
    <w:rsid w:val="00E04714"/>
    <w:rsid w:val="00E0670F"/>
    <w:rsid w:val="00E07B0F"/>
    <w:rsid w:val="00E07FDD"/>
    <w:rsid w:val="00E1040E"/>
    <w:rsid w:val="00E139B1"/>
    <w:rsid w:val="00E13C67"/>
    <w:rsid w:val="00E149AB"/>
    <w:rsid w:val="00E15458"/>
    <w:rsid w:val="00E16142"/>
    <w:rsid w:val="00E16FF6"/>
    <w:rsid w:val="00E17452"/>
    <w:rsid w:val="00E21B27"/>
    <w:rsid w:val="00E22E3B"/>
    <w:rsid w:val="00E239BE"/>
    <w:rsid w:val="00E24C65"/>
    <w:rsid w:val="00E31A09"/>
    <w:rsid w:val="00E33A11"/>
    <w:rsid w:val="00E33B8C"/>
    <w:rsid w:val="00E35BBA"/>
    <w:rsid w:val="00E3697C"/>
    <w:rsid w:val="00E36CDA"/>
    <w:rsid w:val="00E42521"/>
    <w:rsid w:val="00E425E3"/>
    <w:rsid w:val="00E42A60"/>
    <w:rsid w:val="00E42C7B"/>
    <w:rsid w:val="00E43105"/>
    <w:rsid w:val="00E432CD"/>
    <w:rsid w:val="00E4698A"/>
    <w:rsid w:val="00E46D52"/>
    <w:rsid w:val="00E4715D"/>
    <w:rsid w:val="00E47474"/>
    <w:rsid w:val="00E50C24"/>
    <w:rsid w:val="00E5204F"/>
    <w:rsid w:val="00E5227D"/>
    <w:rsid w:val="00E5358E"/>
    <w:rsid w:val="00E53A0E"/>
    <w:rsid w:val="00E53D5A"/>
    <w:rsid w:val="00E5419D"/>
    <w:rsid w:val="00E552F6"/>
    <w:rsid w:val="00E5623A"/>
    <w:rsid w:val="00E571A5"/>
    <w:rsid w:val="00E571F9"/>
    <w:rsid w:val="00E5764A"/>
    <w:rsid w:val="00E602F3"/>
    <w:rsid w:val="00E6072C"/>
    <w:rsid w:val="00E61B3A"/>
    <w:rsid w:val="00E6623E"/>
    <w:rsid w:val="00E66DFD"/>
    <w:rsid w:val="00E677E5"/>
    <w:rsid w:val="00E702E5"/>
    <w:rsid w:val="00E70701"/>
    <w:rsid w:val="00E70E0B"/>
    <w:rsid w:val="00E71950"/>
    <w:rsid w:val="00E72656"/>
    <w:rsid w:val="00E72793"/>
    <w:rsid w:val="00E73593"/>
    <w:rsid w:val="00E7494A"/>
    <w:rsid w:val="00E76E9F"/>
    <w:rsid w:val="00E77124"/>
    <w:rsid w:val="00E80143"/>
    <w:rsid w:val="00E81132"/>
    <w:rsid w:val="00E81731"/>
    <w:rsid w:val="00E8274D"/>
    <w:rsid w:val="00E8380F"/>
    <w:rsid w:val="00E84EA8"/>
    <w:rsid w:val="00E85C1F"/>
    <w:rsid w:val="00E85D9F"/>
    <w:rsid w:val="00E85E00"/>
    <w:rsid w:val="00E87301"/>
    <w:rsid w:val="00E878A0"/>
    <w:rsid w:val="00E9020D"/>
    <w:rsid w:val="00E920AD"/>
    <w:rsid w:val="00E95B45"/>
    <w:rsid w:val="00E9635A"/>
    <w:rsid w:val="00E96A2F"/>
    <w:rsid w:val="00E97F24"/>
    <w:rsid w:val="00EA0CD5"/>
    <w:rsid w:val="00EA0DBE"/>
    <w:rsid w:val="00EA5B38"/>
    <w:rsid w:val="00EA6601"/>
    <w:rsid w:val="00EA7BD7"/>
    <w:rsid w:val="00EB0374"/>
    <w:rsid w:val="00EB03F4"/>
    <w:rsid w:val="00EB1230"/>
    <w:rsid w:val="00EB296A"/>
    <w:rsid w:val="00EB4BE6"/>
    <w:rsid w:val="00EB6A7A"/>
    <w:rsid w:val="00EC1112"/>
    <w:rsid w:val="00EC2455"/>
    <w:rsid w:val="00EC4863"/>
    <w:rsid w:val="00EC4912"/>
    <w:rsid w:val="00EC5B34"/>
    <w:rsid w:val="00EC6A23"/>
    <w:rsid w:val="00EC6FC8"/>
    <w:rsid w:val="00EC736D"/>
    <w:rsid w:val="00ED0390"/>
    <w:rsid w:val="00ED03DF"/>
    <w:rsid w:val="00ED0C4C"/>
    <w:rsid w:val="00ED16CD"/>
    <w:rsid w:val="00ED1E9B"/>
    <w:rsid w:val="00ED388C"/>
    <w:rsid w:val="00ED4ABF"/>
    <w:rsid w:val="00ED4CE8"/>
    <w:rsid w:val="00ED5008"/>
    <w:rsid w:val="00ED5881"/>
    <w:rsid w:val="00ED6085"/>
    <w:rsid w:val="00ED61C1"/>
    <w:rsid w:val="00ED6B13"/>
    <w:rsid w:val="00ED79D3"/>
    <w:rsid w:val="00EE0021"/>
    <w:rsid w:val="00EE0B46"/>
    <w:rsid w:val="00EE1C05"/>
    <w:rsid w:val="00EE2B47"/>
    <w:rsid w:val="00EE6517"/>
    <w:rsid w:val="00EE7095"/>
    <w:rsid w:val="00EF0025"/>
    <w:rsid w:val="00EF01DE"/>
    <w:rsid w:val="00EF148F"/>
    <w:rsid w:val="00EF2B49"/>
    <w:rsid w:val="00EF36C8"/>
    <w:rsid w:val="00EF44F6"/>
    <w:rsid w:val="00EF4A90"/>
    <w:rsid w:val="00EF5CD5"/>
    <w:rsid w:val="00EF70D4"/>
    <w:rsid w:val="00EF75D3"/>
    <w:rsid w:val="00EF77A5"/>
    <w:rsid w:val="00EF7807"/>
    <w:rsid w:val="00EF7AEE"/>
    <w:rsid w:val="00F00CFD"/>
    <w:rsid w:val="00F00E0E"/>
    <w:rsid w:val="00F0103D"/>
    <w:rsid w:val="00F028BB"/>
    <w:rsid w:val="00F043A0"/>
    <w:rsid w:val="00F044CD"/>
    <w:rsid w:val="00F069C2"/>
    <w:rsid w:val="00F0789C"/>
    <w:rsid w:val="00F103BF"/>
    <w:rsid w:val="00F11EF0"/>
    <w:rsid w:val="00F176E8"/>
    <w:rsid w:val="00F20ACE"/>
    <w:rsid w:val="00F219F1"/>
    <w:rsid w:val="00F2535C"/>
    <w:rsid w:val="00F25D8B"/>
    <w:rsid w:val="00F269C5"/>
    <w:rsid w:val="00F26CE3"/>
    <w:rsid w:val="00F27889"/>
    <w:rsid w:val="00F30B61"/>
    <w:rsid w:val="00F312C1"/>
    <w:rsid w:val="00F313E5"/>
    <w:rsid w:val="00F316C9"/>
    <w:rsid w:val="00F31A61"/>
    <w:rsid w:val="00F32735"/>
    <w:rsid w:val="00F32D62"/>
    <w:rsid w:val="00F33C6A"/>
    <w:rsid w:val="00F34881"/>
    <w:rsid w:val="00F348A0"/>
    <w:rsid w:val="00F34FB3"/>
    <w:rsid w:val="00F377B3"/>
    <w:rsid w:val="00F40361"/>
    <w:rsid w:val="00F40556"/>
    <w:rsid w:val="00F407E7"/>
    <w:rsid w:val="00F409AF"/>
    <w:rsid w:val="00F40F75"/>
    <w:rsid w:val="00F4183E"/>
    <w:rsid w:val="00F421FF"/>
    <w:rsid w:val="00F42C2D"/>
    <w:rsid w:val="00F434F0"/>
    <w:rsid w:val="00F45EE8"/>
    <w:rsid w:val="00F4763F"/>
    <w:rsid w:val="00F51792"/>
    <w:rsid w:val="00F52004"/>
    <w:rsid w:val="00F53073"/>
    <w:rsid w:val="00F533BA"/>
    <w:rsid w:val="00F55DCF"/>
    <w:rsid w:val="00F56DA4"/>
    <w:rsid w:val="00F56E99"/>
    <w:rsid w:val="00F570AA"/>
    <w:rsid w:val="00F57553"/>
    <w:rsid w:val="00F619EF"/>
    <w:rsid w:val="00F63393"/>
    <w:rsid w:val="00F63649"/>
    <w:rsid w:val="00F63E7D"/>
    <w:rsid w:val="00F643A4"/>
    <w:rsid w:val="00F64C11"/>
    <w:rsid w:val="00F650D9"/>
    <w:rsid w:val="00F70FA8"/>
    <w:rsid w:val="00F71869"/>
    <w:rsid w:val="00F7417F"/>
    <w:rsid w:val="00F7499D"/>
    <w:rsid w:val="00F7552A"/>
    <w:rsid w:val="00F756BB"/>
    <w:rsid w:val="00F7621E"/>
    <w:rsid w:val="00F772E3"/>
    <w:rsid w:val="00F77730"/>
    <w:rsid w:val="00F81850"/>
    <w:rsid w:val="00F82623"/>
    <w:rsid w:val="00F837A9"/>
    <w:rsid w:val="00F844C4"/>
    <w:rsid w:val="00F84C05"/>
    <w:rsid w:val="00F84D82"/>
    <w:rsid w:val="00F84F5E"/>
    <w:rsid w:val="00F85B8C"/>
    <w:rsid w:val="00F86EDE"/>
    <w:rsid w:val="00F8708C"/>
    <w:rsid w:val="00F87C0B"/>
    <w:rsid w:val="00F905B8"/>
    <w:rsid w:val="00F90603"/>
    <w:rsid w:val="00F90A81"/>
    <w:rsid w:val="00F91650"/>
    <w:rsid w:val="00F928A2"/>
    <w:rsid w:val="00F933C6"/>
    <w:rsid w:val="00FA007F"/>
    <w:rsid w:val="00FA07FA"/>
    <w:rsid w:val="00FA1A2C"/>
    <w:rsid w:val="00FA1EDA"/>
    <w:rsid w:val="00FA215B"/>
    <w:rsid w:val="00FA21DD"/>
    <w:rsid w:val="00FA23F9"/>
    <w:rsid w:val="00FA3EE4"/>
    <w:rsid w:val="00FA47DB"/>
    <w:rsid w:val="00FA4A96"/>
    <w:rsid w:val="00FA765B"/>
    <w:rsid w:val="00FB02EF"/>
    <w:rsid w:val="00FB0B6E"/>
    <w:rsid w:val="00FB19D1"/>
    <w:rsid w:val="00FB2ED3"/>
    <w:rsid w:val="00FB2FB6"/>
    <w:rsid w:val="00FB32C9"/>
    <w:rsid w:val="00FB3733"/>
    <w:rsid w:val="00FB4109"/>
    <w:rsid w:val="00FB4731"/>
    <w:rsid w:val="00FB584B"/>
    <w:rsid w:val="00FB617F"/>
    <w:rsid w:val="00FB70CE"/>
    <w:rsid w:val="00FC0A78"/>
    <w:rsid w:val="00FC153F"/>
    <w:rsid w:val="00FC17EF"/>
    <w:rsid w:val="00FC221F"/>
    <w:rsid w:val="00FC3321"/>
    <w:rsid w:val="00FC36F3"/>
    <w:rsid w:val="00FC3D54"/>
    <w:rsid w:val="00FC4794"/>
    <w:rsid w:val="00FC50B7"/>
    <w:rsid w:val="00FC6291"/>
    <w:rsid w:val="00FC778A"/>
    <w:rsid w:val="00FD1645"/>
    <w:rsid w:val="00FD165E"/>
    <w:rsid w:val="00FD2DE7"/>
    <w:rsid w:val="00FD30AA"/>
    <w:rsid w:val="00FD4224"/>
    <w:rsid w:val="00FD6CB5"/>
    <w:rsid w:val="00FD72E5"/>
    <w:rsid w:val="00FD790C"/>
    <w:rsid w:val="00FE1E51"/>
    <w:rsid w:val="00FE3EF9"/>
    <w:rsid w:val="00FE41E9"/>
    <w:rsid w:val="00FE42DA"/>
    <w:rsid w:val="00FE5749"/>
    <w:rsid w:val="00FE5CBA"/>
    <w:rsid w:val="00FF0EC0"/>
    <w:rsid w:val="00FF2BB9"/>
    <w:rsid w:val="00FF2F89"/>
    <w:rsid w:val="00FF39B9"/>
    <w:rsid w:val="00FF52AB"/>
    <w:rsid w:val="00FF5EB4"/>
    <w:rsid w:val="00FF66DE"/>
    <w:rsid w:val="00FF741D"/>
    <w:rsid w:val="00FF75EE"/>
    <w:rsid w:val="03C5FEE8"/>
    <w:rsid w:val="0B4851DF"/>
    <w:rsid w:val="16D65469"/>
    <w:rsid w:val="270DFC5A"/>
    <w:rsid w:val="35AF8BC9"/>
    <w:rsid w:val="556CAC0B"/>
    <w:rsid w:val="6963157D"/>
    <w:rsid w:val="6A7BE991"/>
    <w:rsid w:val="73A2C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B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F95"/>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next w:val="Standaard"/>
    <w:rsid w:val="00C22F95"/>
    <w:pPr>
      <w:spacing w:line="180" w:lineRule="exact"/>
    </w:pPr>
    <w:rPr>
      <w:sz w:val="13"/>
      <w:szCs w:val="13"/>
    </w:rPr>
  </w:style>
  <w:style w:type="paragraph" w:customStyle="1" w:styleId="Referentiegegevensbold">
    <w:name w:val="Referentiegegevens bold"/>
    <w:basedOn w:val="Standaard"/>
    <w:next w:val="Standaard"/>
    <w:rsid w:val="00C22F95"/>
    <w:pPr>
      <w:spacing w:line="180" w:lineRule="exact"/>
    </w:pPr>
    <w:rPr>
      <w:b/>
      <w:sz w:val="13"/>
      <w:szCs w:val="13"/>
    </w:rPr>
  </w:style>
  <w:style w:type="paragraph" w:customStyle="1" w:styleId="Rubricering">
    <w:name w:val="Rubricering"/>
    <w:basedOn w:val="Standaard"/>
    <w:next w:val="Standaard"/>
    <w:rsid w:val="00C22F95"/>
    <w:pPr>
      <w:spacing w:line="180" w:lineRule="exact"/>
    </w:pPr>
    <w:rPr>
      <w:b/>
      <w:caps/>
      <w:sz w:val="13"/>
      <w:szCs w:val="13"/>
    </w:rPr>
  </w:style>
  <w:style w:type="table" w:styleId="Tabelraster">
    <w:name w:val="Table Grid"/>
    <w:uiPriority w:val="39"/>
    <w:rsid w:val="00C22F9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C22F95"/>
    <w:pPr>
      <w:spacing w:line="90" w:lineRule="exact"/>
    </w:pPr>
    <w:rPr>
      <w:sz w:val="9"/>
      <w:szCs w:val="9"/>
    </w:rPr>
  </w:style>
  <w:style w:type="paragraph" w:customStyle="1" w:styleId="WitregelW2">
    <w:name w:val="Witregel W2"/>
    <w:basedOn w:val="Standaard"/>
    <w:next w:val="Standaard"/>
    <w:rsid w:val="00C22F95"/>
    <w:pPr>
      <w:spacing w:line="270" w:lineRule="exact"/>
    </w:pPr>
    <w:rPr>
      <w:sz w:val="27"/>
      <w:szCs w:val="27"/>
    </w:rPr>
  </w:style>
  <w:style w:type="paragraph" w:styleId="Lijstalinea">
    <w:name w:val="List Paragraph"/>
    <w:basedOn w:val="Standaard"/>
    <w:uiPriority w:val="34"/>
    <w:qFormat/>
    <w:rsid w:val="00C22F95"/>
    <w:pPr>
      <w:ind w:left="720"/>
      <w:contextualSpacing/>
    </w:pPr>
  </w:style>
  <w:style w:type="paragraph" w:styleId="Voetnoottekst">
    <w:name w:val="footnote text"/>
    <w:basedOn w:val="Standaard"/>
    <w:link w:val="VoetnoottekstChar"/>
    <w:uiPriority w:val="99"/>
    <w:semiHidden/>
    <w:unhideWhenUsed/>
    <w:rsid w:val="00C22F9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22F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2F95"/>
    <w:rPr>
      <w:vertAlign w:val="superscript"/>
    </w:rPr>
  </w:style>
  <w:style w:type="paragraph" w:styleId="Normaalweb">
    <w:name w:val="Normal (Web)"/>
    <w:basedOn w:val="Standaard"/>
    <w:uiPriority w:val="99"/>
    <w:unhideWhenUsed/>
    <w:rsid w:val="00C22F9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BA67DD"/>
    <w:rPr>
      <w:sz w:val="16"/>
      <w:szCs w:val="16"/>
    </w:rPr>
  </w:style>
  <w:style w:type="paragraph" w:styleId="Tekstopmerking">
    <w:name w:val="annotation text"/>
    <w:basedOn w:val="Standaard"/>
    <w:link w:val="TekstopmerkingChar"/>
    <w:uiPriority w:val="99"/>
    <w:unhideWhenUsed/>
    <w:rsid w:val="00BA67DD"/>
    <w:pPr>
      <w:spacing w:line="240" w:lineRule="auto"/>
    </w:pPr>
    <w:rPr>
      <w:sz w:val="20"/>
      <w:szCs w:val="20"/>
    </w:rPr>
  </w:style>
  <w:style w:type="character" w:customStyle="1" w:styleId="TekstopmerkingChar">
    <w:name w:val="Tekst opmerking Char"/>
    <w:basedOn w:val="Standaardalinea-lettertype"/>
    <w:link w:val="Tekstopmerking"/>
    <w:uiPriority w:val="99"/>
    <w:rsid w:val="00BA67DD"/>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C91C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1C0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91C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91C09"/>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91C09"/>
    <w:rPr>
      <w:b/>
      <w:bCs/>
    </w:rPr>
  </w:style>
  <w:style w:type="character" w:customStyle="1" w:styleId="OnderwerpvanopmerkingChar">
    <w:name w:val="Onderwerp van opmerking Char"/>
    <w:basedOn w:val="TekstopmerkingChar"/>
    <w:link w:val="Onderwerpvanopmerking"/>
    <w:uiPriority w:val="99"/>
    <w:semiHidden/>
    <w:rsid w:val="00C91C09"/>
    <w:rPr>
      <w:rFonts w:ascii="Verdana" w:eastAsia="DejaVu Sans" w:hAnsi="Verdana" w:cs="Lohit Hindi"/>
      <w:b/>
      <w:bCs/>
      <w:color w:val="000000"/>
      <w:kern w:val="0"/>
      <w:sz w:val="20"/>
      <w:szCs w:val="20"/>
      <w:lang w:eastAsia="nl-NL"/>
      <w14:ligatures w14:val="none"/>
    </w:rPr>
  </w:style>
  <w:style w:type="character" w:customStyle="1" w:styleId="normaltextrun">
    <w:name w:val="normaltextrun"/>
    <w:basedOn w:val="Standaardalinea-lettertype"/>
    <w:rsid w:val="008D096B"/>
  </w:style>
  <w:style w:type="character" w:customStyle="1" w:styleId="eop">
    <w:name w:val="eop"/>
    <w:basedOn w:val="Standaardalinea-lettertype"/>
    <w:rsid w:val="008D096B"/>
  </w:style>
  <w:style w:type="character" w:styleId="Hyperlink">
    <w:name w:val="Hyperlink"/>
    <w:basedOn w:val="Standaardalinea-lettertype"/>
    <w:uiPriority w:val="99"/>
    <w:semiHidden/>
    <w:unhideWhenUsed/>
    <w:rsid w:val="008513F8"/>
    <w:rPr>
      <w:color w:val="0000FF"/>
      <w:u w:val="single"/>
    </w:rPr>
  </w:style>
  <w:style w:type="paragraph" w:styleId="Revisie">
    <w:name w:val="Revision"/>
    <w:hidden/>
    <w:uiPriority w:val="99"/>
    <w:semiHidden/>
    <w:rsid w:val="001F52E0"/>
    <w:pPr>
      <w:spacing w:after="0" w:line="240" w:lineRule="auto"/>
    </w:pPr>
    <w:rPr>
      <w:rFonts w:ascii="Verdana" w:eastAsia="DejaVu Sans" w:hAnsi="Verdana" w:cs="Lohit Hindi"/>
      <w:color w:val="000000"/>
      <w:kern w:val="0"/>
      <w:sz w:val="18"/>
      <w:szCs w:val="18"/>
      <w:lang w:eastAsia="nl-NL"/>
      <w14:ligatures w14:val="none"/>
    </w:rPr>
  </w:style>
  <w:style w:type="table" w:customStyle="1" w:styleId="Tabelraster1">
    <w:name w:val="Tabelraster1"/>
    <w:basedOn w:val="Standaardtabel"/>
    <w:next w:val="Tabelraster"/>
    <w:uiPriority w:val="39"/>
    <w:rsid w:val="00A71E3D"/>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behaviour-explanation">
    <w:name w:val="linkbehaviour-explanation"/>
    <w:basedOn w:val="Standaardalinea-lettertype"/>
    <w:rsid w:val="00A2723E"/>
  </w:style>
  <w:style w:type="paragraph" w:customStyle="1" w:styleId="pf0">
    <w:name w:val="pf0"/>
    <w:basedOn w:val="Standaard"/>
    <w:rsid w:val="007254B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7254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8218">
      <w:bodyDiv w:val="1"/>
      <w:marLeft w:val="0"/>
      <w:marRight w:val="0"/>
      <w:marTop w:val="0"/>
      <w:marBottom w:val="0"/>
      <w:divBdr>
        <w:top w:val="none" w:sz="0" w:space="0" w:color="auto"/>
        <w:left w:val="none" w:sz="0" w:space="0" w:color="auto"/>
        <w:bottom w:val="none" w:sz="0" w:space="0" w:color="auto"/>
        <w:right w:val="none" w:sz="0" w:space="0" w:color="auto"/>
      </w:divBdr>
    </w:div>
    <w:div w:id="477454401">
      <w:bodyDiv w:val="1"/>
      <w:marLeft w:val="0"/>
      <w:marRight w:val="0"/>
      <w:marTop w:val="0"/>
      <w:marBottom w:val="0"/>
      <w:divBdr>
        <w:top w:val="none" w:sz="0" w:space="0" w:color="auto"/>
        <w:left w:val="none" w:sz="0" w:space="0" w:color="auto"/>
        <w:bottom w:val="none" w:sz="0" w:space="0" w:color="auto"/>
        <w:right w:val="none" w:sz="0" w:space="0" w:color="auto"/>
      </w:divBdr>
    </w:div>
    <w:div w:id="764691275">
      <w:bodyDiv w:val="1"/>
      <w:marLeft w:val="0"/>
      <w:marRight w:val="0"/>
      <w:marTop w:val="0"/>
      <w:marBottom w:val="0"/>
      <w:divBdr>
        <w:top w:val="none" w:sz="0" w:space="0" w:color="auto"/>
        <w:left w:val="none" w:sz="0" w:space="0" w:color="auto"/>
        <w:bottom w:val="none" w:sz="0" w:space="0" w:color="auto"/>
        <w:right w:val="none" w:sz="0" w:space="0" w:color="auto"/>
      </w:divBdr>
      <w:divsChild>
        <w:div w:id="692222839">
          <w:marLeft w:val="0"/>
          <w:marRight w:val="0"/>
          <w:marTop w:val="0"/>
          <w:marBottom w:val="0"/>
          <w:divBdr>
            <w:top w:val="none" w:sz="0" w:space="0" w:color="auto"/>
            <w:left w:val="none" w:sz="0" w:space="0" w:color="auto"/>
            <w:bottom w:val="none" w:sz="0" w:space="0" w:color="auto"/>
            <w:right w:val="none" w:sz="0" w:space="0" w:color="auto"/>
          </w:divBdr>
          <w:divsChild>
            <w:div w:id="7610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1288">
      <w:bodyDiv w:val="1"/>
      <w:marLeft w:val="0"/>
      <w:marRight w:val="0"/>
      <w:marTop w:val="0"/>
      <w:marBottom w:val="0"/>
      <w:divBdr>
        <w:top w:val="none" w:sz="0" w:space="0" w:color="auto"/>
        <w:left w:val="none" w:sz="0" w:space="0" w:color="auto"/>
        <w:bottom w:val="none" w:sz="0" w:space="0" w:color="auto"/>
        <w:right w:val="none" w:sz="0" w:space="0" w:color="auto"/>
      </w:divBdr>
    </w:div>
    <w:div w:id="1201866224">
      <w:bodyDiv w:val="1"/>
      <w:marLeft w:val="0"/>
      <w:marRight w:val="0"/>
      <w:marTop w:val="0"/>
      <w:marBottom w:val="0"/>
      <w:divBdr>
        <w:top w:val="none" w:sz="0" w:space="0" w:color="auto"/>
        <w:left w:val="none" w:sz="0" w:space="0" w:color="auto"/>
        <w:bottom w:val="none" w:sz="0" w:space="0" w:color="auto"/>
        <w:right w:val="none" w:sz="0" w:space="0" w:color="auto"/>
      </w:divBdr>
    </w:div>
    <w:div w:id="1321421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9872</ap:Words>
  <ap:Characters>54297</ap:Characters>
  <ap:DocSecurity>0</ap:DocSecurity>
  <ap:Lines>452</ap:Lines>
  <ap:Paragraphs>128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2025-02-17T08:21:00.0000000Z</dcterms:created>
  <dcterms:modified xsi:type="dcterms:W3CDTF">2025-02-21T11:14:00.0000000Z</dcterms:modified>
  <version/>
  <category/>
</coreProperties>
</file>