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0D74" w:rsidRDefault="00FB0D74" w14:paraId="6FF653D2" w14:textId="77777777">
      <w:pPr>
        <w:pStyle w:val="StandaardAanhef"/>
      </w:pPr>
    </w:p>
    <w:p w:rsidR="003B3D34" w:rsidRDefault="001E5D4D" w14:paraId="57FAA08A" w14:textId="77777777">
      <w:pPr>
        <w:pStyle w:val="StandaardAanhef"/>
      </w:pPr>
      <w:r>
        <w:t>Geachte voorzitter,</w:t>
      </w:r>
    </w:p>
    <w:p w:rsidR="00FB0D74" w:rsidP="00FB0D74" w:rsidRDefault="00FB0D74" w14:paraId="44EDB4B6" w14:textId="77777777">
      <w:pPr>
        <w:spacing w:line="276" w:lineRule="auto"/>
      </w:pPr>
    </w:p>
    <w:p w:rsidR="00FB0D74" w:rsidP="00FB0D74" w:rsidRDefault="00FB0D74" w14:paraId="6E3A7724" w14:textId="77777777">
      <w:pPr>
        <w:spacing w:line="276" w:lineRule="auto"/>
        <w:rPr>
          <w:rFonts w:cstheme="minorHAnsi"/>
        </w:rPr>
      </w:pPr>
      <w:r>
        <w:t>Alle ogen zijn op dit moment terecht gericht op de het advies van de commissie van Dam en de reactie van het kabinet hierop. De commissie heeft onder andere aanbevelingen gedaan op een aantal ernstige knelpunten die al in eerdere voortgangrapportages en recent nog in mijn reactie op uw brandbrief</w:t>
      </w:r>
      <w:r w:rsidR="00AB2E11">
        <w:rPr>
          <w:rStyle w:val="Voetnootmarkering"/>
        </w:rPr>
        <w:footnoteReference w:id="1"/>
      </w:r>
      <w:r>
        <w:t xml:space="preserve"> zijn benoemd: </w:t>
      </w:r>
      <w:r w:rsidRPr="00CB5B2D">
        <w:rPr>
          <w:rFonts w:cstheme="minorHAnsi"/>
        </w:rPr>
        <w:t>de achterstanden in de bezwaarafhandeling, het verstrekken van dossiers</w:t>
      </w:r>
      <w:r>
        <w:rPr>
          <w:rFonts w:cstheme="minorHAnsi"/>
        </w:rPr>
        <w:t>,</w:t>
      </w:r>
      <w:r w:rsidRPr="00CB5B2D">
        <w:rPr>
          <w:rFonts w:cstheme="minorHAnsi"/>
        </w:rPr>
        <w:t xml:space="preserve"> de </w:t>
      </w:r>
      <w:r>
        <w:rPr>
          <w:rFonts w:cstheme="minorHAnsi"/>
        </w:rPr>
        <w:t>verschillende</w:t>
      </w:r>
      <w:r w:rsidRPr="00CB5B2D">
        <w:rPr>
          <w:rFonts w:cstheme="minorHAnsi"/>
        </w:rPr>
        <w:t xml:space="preserve"> aanvullende schadeherstelroutes</w:t>
      </w:r>
      <w:r>
        <w:rPr>
          <w:rFonts w:cstheme="minorHAnsi"/>
        </w:rPr>
        <w:t xml:space="preserve"> en de brede ondersteuning door gemeenten</w:t>
      </w:r>
      <w:r w:rsidRPr="00CB5B2D">
        <w:rPr>
          <w:rFonts w:cstheme="minorHAnsi"/>
        </w:rPr>
        <w:t xml:space="preserve">. </w:t>
      </w:r>
      <w:r>
        <w:rPr>
          <w:rFonts w:cstheme="minorHAnsi"/>
        </w:rPr>
        <w:t xml:space="preserve">De aanbevelingen van de commissie Van Dam zien op mogelijkheden </w:t>
      </w:r>
      <w:r>
        <w:rPr>
          <w:rFonts w:eastAsia="Times New Roman"/>
        </w:rPr>
        <w:t>om de op onderdelen vastgelopen hersteloperatie vlot te trekken</w:t>
      </w:r>
      <w:r>
        <w:rPr>
          <w:rFonts w:cstheme="minorHAnsi"/>
        </w:rPr>
        <w:t>.</w:t>
      </w:r>
    </w:p>
    <w:p w:rsidR="00FB0D74" w:rsidP="00FB0D74" w:rsidRDefault="00FB0D74" w14:paraId="53F995CA" w14:textId="77777777">
      <w:pPr>
        <w:spacing w:line="276" w:lineRule="auto"/>
        <w:rPr>
          <w:rFonts w:cstheme="minorHAnsi"/>
        </w:rPr>
      </w:pPr>
    </w:p>
    <w:p w:rsidR="00FB0D74" w:rsidP="00FB0D74" w:rsidRDefault="00FB0D74" w14:paraId="28F44E03" w14:textId="77777777">
      <w:pPr>
        <w:spacing w:line="276" w:lineRule="auto"/>
        <w:rPr>
          <w:rFonts w:cstheme="minorHAnsi"/>
        </w:rPr>
      </w:pPr>
      <w:r>
        <w:rPr>
          <w:rFonts w:cstheme="minorHAnsi"/>
        </w:rPr>
        <w:t>Parallel aan het verschijnen van het adviesrapport van de commissie van Dam is ook deze voortgangsrapportage opgesteld, waarin wordt teruggeblikt op de voortgang van hersteloperatie toeslagen in de periode september tot en met  december 2024. Hierin is zichtbaar dat er ook vorderingen worden gemaakt, met name op het vlak van eerste financiële compensatie en de schuldenaanpak.</w:t>
      </w:r>
    </w:p>
    <w:p w:rsidR="00FB0D74" w:rsidP="00FB0D74" w:rsidRDefault="00FB0D74" w14:paraId="3F618495" w14:textId="77777777">
      <w:pPr>
        <w:spacing w:line="276" w:lineRule="auto"/>
        <w:ind w:right="216"/>
        <w:rPr>
          <w:rFonts w:eastAsia="Times New Roman"/>
        </w:rPr>
      </w:pPr>
    </w:p>
    <w:p w:rsidRPr="00494BCA" w:rsidR="00FB0D74" w:rsidP="00FB0D74" w:rsidRDefault="00FB0D74" w14:paraId="1B282A83" w14:textId="77777777">
      <w:pPr>
        <w:spacing w:line="276" w:lineRule="auto"/>
        <w:ind w:right="216"/>
        <w:rPr>
          <w:rFonts w:eastAsia="Verdana"/>
          <w:spacing w:val="4"/>
        </w:rPr>
      </w:pPr>
      <w:r w:rsidRPr="008506F8">
        <w:rPr>
          <w:rFonts w:eastAsia="Verdana"/>
          <w:spacing w:val="4"/>
        </w:rPr>
        <w:t xml:space="preserve">Ruim 69.000 ouders hebben zich aangemeld </w:t>
      </w:r>
      <w:r>
        <w:rPr>
          <w:rFonts w:eastAsia="Verdana"/>
          <w:spacing w:val="4"/>
        </w:rPr>
        <w:t xml:space="preserve">als mogelijk gedupeerde </w:t>
      </w:r>
      <w:r w:rsidRPr="008506F8">
        <w:rPr>
          <w:rFonts w:eastAsia="Verdana"/>
          <w:spacing w:val="4"/>
        </w:rPr>
        <w:t xml:space="preserve">en </w:t>
      </w:r>
      <w:r>
        <w:rPr>
          <w:rFonts w:eastAsia="Verdana"/>
          <w:spacing w:val="4"/>
        </w:rPr>
        <w:t>vrijwel</w:t>
      </w:r>
      <w:r w:rsidRPr="008506F8">
        <w:rPr>
          <w:rFonts w:eastAsia="Verdana"/>
          <w:spacing w:val="4"/>
        </w:rPr>
        <w:t xml:space="preserve"> allemaal hebben zij een eerste toets</w:t>
      </w:r>
      <w:r>
        <w:rPr>
          <w:rFonts w:eastAsia="Verdana"/>
          <w:spacing w:val="4"/>
        </w:rPr>
        <w:t xml:space="preserve"> </w:t>
      </w:r>
      <w:r w:rsidRPr="008506F8">
        <w:rPr>
          <w:rFonts w:eastAsia="Verdana"/>
          <w:spacing w:val="4"/>
        </w:rPr>
        <w:t xml:space="preserve">gehad. </w:t>
      </w:r>
      <w:r>
        <w:rPr>
          <w:rFonts w:eastAsia="Verdana"/>
        </w:rPr>
        <w:t>Per eind 2024 hebben r</w:t>
      </w:r>
      <w:r w:rsidRPr="008506F8">
        <w:rPr>
          <w:rFonts w:eastAsia="Verdana"/>
        </w:rPr>
        <w:t>uim 5</w:t>
      </w:r>
      <w:r>
        <w:rPr>
          <w:rFonts w:eastAsia="Verdana"/>
        </w:rPr>
        <w:t>7</w:t>
      </w:r>
      <w:r w:rsidRPr="008506F8">
        <w:rPr>
          <w:rFonts w:eastAsia="Verdana"/>
        </w:rPr>
        <w:t>.</w:t>
      </w:r>
      <w:r>
        <w:rPr>
          <w:rFonts w:eastAsia="Verdana"/>
        </w:rPr>
        <w:t>5</w:t>
      </w:r>
      <w:r w:rsidRPr="008506F8">
        <w:rPr>
          <w:rFonts w:eastAsia="Verdana"/>
        </w:rPr>
        <w:t xml:space="preserve">00 </w:t>
      </w:r>
      <w:r>
        <w:rPr>
          <w:rFonts w:eastAsia="Verdana"/>
        </w:rPr>
        <w:t>ouders</w:t>
      </w:r>
      <w:r w:rsidRPr="008506F8">
        <w:rPr>
          <w:rFonts w:eastAsia="Verdana"/>
        </w:rPr>
        <w:t xml:space="preserve"> ook hun integrale beoordeling</w:t>
      </w:r>
      <w:r>
        <w:rPr>
          <w:rFonts w:eastAsia="Verdana"/>
        </w:rPr>
        <w:t xml:space="preserve"> </w:t>
      </w:r>
      <w:r w:rsidRPr="008506F8">
        <w:rPr>
          <w:rFonts w:eastAsia="Verdana"/>
        </w:rPr>
        <w:t xml:space="preserve">doorlopen, of hebben daarvan afgezien. Voor </w:t>
      </w:r>
      <w:r>
        <w:rPr>
          <w:rFonts w:eastAsia="Verdana"/>
        </w:rPr>
        <w:t xml:space="preserve">alle </w:t>
      </w:r>
      <w:r w:rsidRPr="008506F8">
        <w:rPr>
          <w:rFonts w:eastAsia="Verdana"/>
        </w:rPr>
        <w:t xml:space="preserve">ouders zal </w:t>
      </w:r>
      <w:r>
        <w:rPr>
          <w:rFonts w:eastAsia="Verdana"/>
        </w:rPr>
        <w:t>de</w:t>
      </w:r>
      <w:r w:rsidRPr="008506F8">
        <w:rPr>
          <w:rFonts w:eastAsia="Verdana"/>
        </w:rPr>
        <w:t xml:space="preserve"> integrale beoordeling </w:t>
      </w:r>
      <w:r>
        <w:rPr>
          <w:rFonts w:eastAsia="Verdana"/>
        </w:rPr>
        <w:t>in</w:t>
      </w:r>
      <w:r w:rsidRPr="008506F8">
        <w:rPr>
          <w:rFonts w:eastAsia="Verdana"/>
        </w:rPr>
        <w:t xml:space="preserve"> 2025 zijn afgerond. </w:t>
      </w:r>
    </w:p>
    <w:p w:rsidRPr="008506F8" w:rsidR="00FB0D74" w:rsidP="00FB0D74" w:rsidRDefault="00FB0D74" w14:paraId="6EF3AA05" w14:textId="77777777">
      <w:pPr>
        <w:spacing w:line="276" w:lineRule="auto"/>
        <w:rPr>
          <w:rFonts w:eastAsia="Verdana"/>
          <w:spacing w:val="4"/>
        </w:rPr>
      </w:pPr>
    </w:p>
    <w:p w:rsidR="00FB0D74" w:rsidP="00FB0D74" w:rsidRDefault="00FB0D74" w14:paraId="14CE7822" w14:textId="77777777">
      <w:pPr>
        <w:spacing w:line="276" w:lineRule="auto"/>
      </w:pPr>
      <w:bookmarkStart w:name="_Hlk178081047" w:id="0"/>
      <w:r w:rsidRPr="00AC67F8">
        <w:t xml:space="preserve">Tot en met eind december 2024 is voor ruim 40.300 ouders in de eerste toets of in de integrale beoordeling vastgesteld dat zij gedupeerde zijn. 92% </w:t>
      </w:r>
      <w:r>
        <w:t xml:space="preserve">van hen </w:t>
      </w:r>
      <w:r w:rsidRPr="00AC67F8">
        <w:t>heeft een vooraankondiging of een definitieve beschikking van de integrale beoordeling ontvangen.</w:t>
      </w:r>
      <w:r>
        <w:t xml:space="preserve"> </w:t>
      </w:r>
      <w:r w:rsidRPr="00AC67F8">
        <w:t>Gemiddeld is aan deze ouders in de eerste toets en integrale beoordeling €40.700 toegekend.</w:t>
      </w:r>
    </w:p>
    <w:p w:rsidR="00FB0D74" w:rsidP="00FB0D74" w:rsidRDefault="00FB0D74" w14:paraId="4FE35CA2" w14:textId="77777777">
      <w:pPr>
        <w:spacing w:line="276" w:lineRule="auto"/>
      </w:pPr>
    </w:p>
    <w:p w:rsidR="00FB0D74" w:rsidP="00FB0D74" w:rsidRDefault="00FB0D74" w14:paraId="60659A1A" w14:textId="77777777">
      <w:pPr>
        <w:spacing w:line="276" w:lineRule="auto"/>
        <w:rPr>
          <w:iCs/>
        </w:rPr>
      </w:pPr>
    </w:p>
    <w:p w:rsidRPr="00352219" w:rsidR="00FB0D74" w:rsidP="00FB0D74" w:rsidRDefault="00FB0D74" w14:paraId="34D5BCD3" w14:textId="77777777">
      <w:pPr>
        <w:spacing w:line="276" w:lineRule="auto"/>
        <w:rPr>
          <w:rFonts w:eastAsia="Verdana"/>
          <w:iCs/>
          <w:spacing w:val="4"/>
        </w:rPr>
      </w:pPr>
      <w:r w:rsidRPr="00352219">
        <w:rPr>
          <w:iCs/>
        </w:rPr>
        <w:t xml:space="preserve">Door de schuldenaanpak wordt voorkomen dat gedupeerden van de toeslagenaffaire de ontvangen compensatie moeten gebruiken om openstaande schulden en betalingsachterstanden uit de periode van de toeslagenaffaire op te lossen. </w:t>
      </w:r>
      <w:r w:rsidRPr="00352219">
        <w:rPr>
          <w:rFonts w:eastAsia="Verdana"/>
          <w:iCs/>
          <w:spacing w:val="4"/>
        </w:rPr>
        <w:t>Voor vrijwel alle gedupeerden zijn publieke schulden kwijtgescholden (96%</w:t>
      </w:r>
      <w:r>
        <w:rPr>
          <w:rFonts w:eastAsia="Verdana"/>
          <w:iCs/>
          <w:spacing w:val="4"/>
        </w:rPr>
        <w:t xml:space="preserve">) </w:t>
      </w:r>
      <w:r w:rsidRPr="00352219">
        <w:rPr>
          <w:rFonts w:eastAsia="Verdana"/>
          <w:iCs/>
          <w:spacing w:val="4"/>
        </w:rPr>
        <w:t xml:space="preserve">en zijn betalingsachterstanden op private schulden afgelost (93%). </w:t>
      </w:r>
      <w:r w:rsidRPr="00214EE0">
        <w:t xml:space="preserve">Ouders </w:t>
      </w:r>
      <w:r>
        <w:t xml:space="preserve">die momenteel </w:t>
      </w:r>
      <w:r w:rsidRPr="00214EE0">
        <w:t xml:space="preserve">nog </w:t>
      </w:r>
      <w:r>
        <w:t xml:space="preserve">in de schuldenaanpak zitten </w:t>
      </w:r>
      <w:r w:rsidRPr="00214EE0">
        <w:t xml:space="preserve">zijn voornamelijk </w:t>
      </w:r>
      <w:r>
        <w:t xml:space="preserve">pas </w:t>
      </w:r>
      <w:r w:rsidRPr="00214EE0">
        <w:t>recent erkend als gedupeerde.</w:t>
      </w:r>
    </w:p>
    <w:bookmarkEnd w:id="0"/>
    <w:p w:rsidR="00FB0D74" w:rsidP="00FB0D74" w:rsidRDefault="00FB0D74" w14:paraId="06B9BB47" w14:textId="77777777">
      <w:pPr>
        <w:spacing w:line="276" w:lineRule="auto"/>
        <w:rPr>
          <w:rFonts w:eastAsia="Verdana"/>
          <w:spacing w:val="4"/>
        </w:rPr>
      </w:pPr>
    </w:p>
    <w:p w:rsidR="00FB0D74" w:rsidP="00FB0D74" w:rsidRDefault="00FB0D74" w14:paraId="1E52575B" w14:textId="77777777">
      <w:pPr>
        <w:spacing w:line="276" w:lineRule="auto"/>
        <w:rPr>
          <w:rFonts w:eastAsia="Verdana"/>
          <w:spacing w:val="4"/>
        </w:rPr>
      </w:pPr>
      <w:r w:rsidRPr="008506F8">
        <w:rPr>
          <w:rFonts w:eastAsia="Verdana"/>
          <w:spacing w:val="4"/>
        </w:rPr>
        <w:t xml:space="preserve">Via de kindregeling hebben </w:t>
      </w:r>
      <w:r>
        <w:rPr>
          <w:rFonts w:eastAsia="Verdana"/>
          <w:spacing w:val="4"/>
        </w:rPr>
        <w:t xml:space="preserve">per 31 december 2024 ruim 105.500 </w:t>
      </w:r>
      <w:r w:rsidRPr="008506F8">
        <w:rPr>
          <w:rFonts w:eastAsia="Verdana"/>
          <w:spacing w:val="4"/>
        </w:rPr>
        <w:t xml:space="preserve">kinderen </w:t>
      </w:r>
    </w:p>
    <w:p w:rsidR="00FB0D74" w:rsidP="00FB0D74" w:rsidRDefault="00FB0D74" w14:paraId="57EDF940" w14:textId="77777777">
      <w:r w:rsidRPr="008506F8">
        <w:rPr>
          <w:rFonts w:eastAsia="Verdana"/>
          <w:spacing w:val="4"/>
        </w:rPr>
        <w:t>van gedupeerde ouders</w:t>
      </w:r>
      <w:r>
        <w:rPr>
          <w:rFonts w:eastAsia="Verdana"/>
          <w:spacing w:val="4"/>
        </w:rPr>
        <w:t xml:space="preserve"> (93%) </w:t>
      </w:r>
      <w:r w:rsidRPr="008506F8">
        <w:rPr>
          <w:rFonts w:eastAsia="Verdana"/>
          <w:spacing w:val="4"/>
        </w:rPr>
        <w:t xml:space="preserve">een beschikking ontvangen. </w:t>
      </w:r>
      <w:r>
        <w:rPr>
          <w:rFonts w:eastAsia="Verdana"/>
          <w:spacing w:val="4"/>
        </w:rPr>
        <w:t>Aan</w:t>
      </w:r>
      <w:r w:rsidRPr="008506F8">
        <w:rPr>
          <w:rFonts w:eastAsia="Verdana"/>
          <w:spacing w:val="4"/>
        </w:rPr>
        <w:t xml:space="preserve"> ruim </w:t>
      </w:r>
      <w:r>
        <w:rPr>
          <w:rFonts w:eastAsia="Verdana"/>
          <w:spacing w:val="4"/>
        </w:rPr>
        <w:t xml:space="preserve">101.200 </w:t>
      </w:r>
      <w:r w:rsidRPr="008506F8">
        <w:rPr>
          <w:rFonts w:eastAsia="Verdana"/>
          <w:spacing w:val="4"/>
        </w:rPr>
        <w:t xml:space="preserve">kinderen/jongeren is de tegemoetkoming van minimaal €2.000 en maximaal €10.000 ook al betaald. </w:t>
      </w:r>
      <w:r>
        <w:rPr>
          <w:rFonts w:eastAsia="Verdana"/>
          <w:spacing w:val="4"/>
        </w:rPr>
        <w:t>A</w:t>
      </w:r>
      <w:r>
        <w:t xml:space="preserve">ls gevolg van de instroom van ouders die later zijn erkend als gedupeerde groeit het aantal kinderen dat daardoor ook recht heeft op de kindregeling nog licht. Naar verwachting worden begin 2026 de laatste beschikkingen voor de kindregeling afgerond.  </w:t>
      </w:r>
    </w:p>
    <w:p w:rsidRPr="00596A4C" w:rsidR="00FB0D74" w:rsidP="00FB0D74" w:rsidRDefault="00FB0D74" w14:paraId="5F7FF91F" w14:textId="77777777">
      <w:pPr>
        <w:spacing w:line="276" w:lineRule="auto"/>
        <w:rPr>
          <w:rFonts w:eastAsia="Verdana"/>
          <w:spacing w:val="4"/>
        </w:rPr>
      </w:pPr>
    </w:p>
    <w:p w:rsidRPr="00982A9B" w:rsidR="00FB0D74" w:rsidP="00FB0D74" w:rsidRDefault="00FB0D74" w14:paraId="4B84F12E" w14:textId="77777777">
      <w:pPr>
        <w:spacing w:line="276" w:lineRule="auto"/>
      </w:pPr>
      <w:r w:rsidRPr="008506F8">
        <w:rPr>
          <w:rFonts w:eastAsia="Verdana"/>
          <w:spacing w:val="4"/>
        </w:rPr>
        <w:t xml:space="preserve">Circa </w:t>
      </w:r>
      <w:r>
        <w:rPr>
          <w:rFonts w:eastAsia="Verdana"/>
          <w:spacing w:val="4"/>
        </w:rPr>
        <w:t>4.500</w:t>
      </w:r>
      <w:r w:rsidRPr="008506F8">
        <w:rPr>
          <w:rFonts w:eastAsia="Verdana"/>
          <w:spacing w:val="4"/>
        </w:rPr>
        <w:t xml:space="preserve"> ex-toeslagpartners zijn </w:t>
      </w:r>
      <w:r>
        <w:rPr>
          <w:rFonts w:eastAsia="Verdana"/>
          <w:spacing w:val="4"/>
        </w:rPr>
        <w:t xml:space="preserve">inmiddels </w:t>
      </w:r>
      <w:r w:rsidRPr="008506F8">
        <w:rPr>
          <w:rFonts w:eastAsia="Verdana"/>
          <w:spacing w:val="4"/>
        </w:rPr>
        <w:t xml:space="preserve">bij </w:t>
      </w:r>
      <w:r>
        <w:rPr>
          <w:rFonts w:eastAsia="Verdana"/>
          <w:spacing w:val="4"/>
        </w:rPr>
        <w:t xml:space="preserve">de </w:t>
      </w:r>
      <w:r w:rsidRPr="008506F8">
        <w:rPr>
          <w:rFonts w:eastAsia="Verdana"/>
          <w:spacing w:val="4"/>
        </w:rPr>
        <w:t>U</w:t>
      </w:r>
      <w:r>
        <w:rPr>
          <w:rFonts w:eastAsia="Verdana"/>
          <w:spacing w:val="4"/>
        </w:rPr>
        <w:t xml:space="preserve">itvoeringsorganisatie </w:t>
      </w:r>
      <w:r w:rsidRPr="008506F8">
        <w:rPr>
          <w:rFonts w:eastAsia="Verdana"/>
          <w:spacing w:val="4"/>
        </w:rPr>
        <w:t>H</w:t>
      </w:r>
      <w:r>
        <w:rPr>
          <w:rFonts w:eastAsia="Verdana"/>
          <w:spacing w:val="4"/>
        </w:rPr>
        <w:t xml:space="preserve">erstel </w:t>
      </w:r>
      <w:r w:rsidRPr="008506F8">
        <w:rPr>
          <w:rFonts w:eastAsia="Verdana"/>
          <w:spacing w:val="4"/>
        </w:rPr>
        <w:t>T</w:t>
      </w:r>
      <w:r>
        <w:rPr>
          <w:rFonts w:eastAsia="Verdana"/>
          <w:spacing w:val="4"/>
        </w:rPr>
        <w:t>oeslagen (UHT)</w:t>
      </w:r>
      <w:r w:rsidRPr="008506F8">
        <w:rPr>
          <w:rFonts w:eastAsia="Verdana"/>
          <w:spacing w:val="4"/>
        </w:rPr>
        <w:t xml:space="preserve"> bekend en worden in batches aangeschreven</w:t>
      </w:r>
      <w:r>
        <w:rPr>
          <w:rFonts w:eastAsia="Verdana"/>
          <w:spacing w:val="4"/>
        </w:rPr>
        <w:t xml:space="preserve"> zich te melden</w:t>
      </w:r>
      <w:r w:rsidRPr="008506F8">
        <w:rPr>
          <w:rFonts w:eastAsia="Verdana"/>
          <w:spacing w:val="4"/>
        </w:rPr>
        <w:t>.</w:t>
      </w:r>
      <w:r>
        <w:rPr>
          <w:rFonts w:eastAsia="Verdana"/>
          <w:spacing w:val="4"/>
        </w:rPr>
        <w:t xml:space="preserve"> </w:t>
      </w:r>
      <w:r w:rsidRPr="008506F8">
        <w:rPr>
          <w:rFonts w:eastAsia="Verdana"/>
          <w:spacing w:val="4"/>
        </w:rPr>
        <w:t xml:space="preserve">Ex-toeslagpartners krijgen een forfaitaire vergoeding van €10.000 en toegang tot brede ondersteuning vanuit hun gemeente. Ook kunnen zij gebruik maken van de schuldenaanpak. </w:t>
      </w:r>
      <w:r w:rsidRPr="00373916">
        <w:t xml:space="preserve">Er zijn </w:t>
      </w:r>
      <w:r>
        <w:t>inmiddels ruim 2.900</w:t>
      </w:r>
      <w:r w:rsidRPr="00373916">
        <w:t xml:space="preserve"> ex-toeslagpartners beschikt en op </w:t>
      </w:r>
      <w:r>
        <w:t xml:space="preserve">31 december 2024 is aan ruim </w:t>
      </w:r>
      <w:r w:rsidRPr="00373916">
        <w:t>2.3</w:t>
      </w:r>
      <w:r>
        <w:t>00 van hen de compensatie uit</w:t>
      </w:r>
      <w:r w:rsidRPr="00373916">
        <w:t>betaald</w:t>
      </w:r>
      <w:r>
        <w:t>.</w:t>
      </w:r>
    </w:p>
    <w:p w:rsidR="00FB0D74" w:rsidP="00FB0D74" w:rsidRDefault="00FB0D74" w14:paraId="46254029" w14:textId="77777777">
      <w:pPr>
        <w:spacing w:line="276" w:lineRule="auto"/>
        <w:rPr>
          <w:rFonts w:eastAsia="Verdana"/>
          <w:spacing w:val="4"/>
        </w:rPr>
      </w:pPr>
    </w:p>
    <w:p w:rsidR="00FB0D74" w:rsidP="00FB0D74" w:rsidRDefault="00FB0D74" w14:paraId="1E1B458E" w14:textId="77777777">
      <w:pPr>
        <w:spacing w:line="276" w:lineRule="auto"/>
      </w:pPr>
      <w:r>
        <w:t xml:space="preserve">Om gedupeerden in staat te stellen verder te kunnen met hun leven wordt er niet alleen financieel gecompenseerd voor gemaakte fouten en geleden schade vergoed. </w:t>
      </w:r>
      <w:r w:rsidRPr="008506F8">
        <w:t>Naast de brede ondersteuning</w:t>
      </w:r>
      <w:r>
        <w:t xml:space="preserve"> door gemeenten wordt ook steeds meer ingezet op</w:t>
      </w:r>
      <w:r w:rsidRPr="008506F8">
        <w:t xml:space="preserve"> </w:t>
      </w:r>
      <w:r>
        <w:t xml:space="preserve">emotioneel </w:t>
      </w:r>
      <w:r w:rsidRPr="008506F8">
        <w:t>herstel</w:t>
      </w:r>
      <w:r>
        <w:t xml:space="preserve">. </w:t>
      </w:r>
      <w:r w:rsidRPr="008506F8">
        <w:t xml:space="preserve">Concreet betekent dit dat we initiatieven van ouders en jongeren faciliteren, lotgenotencontact stimuleren en </w:t>
      </w:r>
      <w:r>
        <w:t>zoveel mogelijk gebruik maken van</w:t>
      </w:r>
      <w:r w:rsidRPr="008506F8">
        <w:t xml:space="preserve"> ervaringsdeskundigheid.</w:t>
      </w:r>
      <w:r>
        <w:t xml:space="preserve"> Zo zijn er inmiddels 45 herstelinitiatieven ontplooid door ouders, waaraan tussen de 600 en 700 ouders hebben deelgenomen. Ook spreekt en ondersteunt Lotgenotencontact per maand zo’n 200 unieke bellers en zijn 80 gezinnen in contact gebracht met Stichting Steunouder voor informele steun. Op deze manier proberen we ouders het onrecht voorbij te helpen. </w:t>
      </w:r>
    </w:p>
    <w:p w:rsidR="00FB0D74" w:rsidP="00FB0D74" w:rsidRDefault="00FB0D74" w14:paraId="17481834" w14:textId="77777777">
      <w:pPr>
        <w:spacing w:line="276" w:lineRule="auto"/>
      </w:pPr>
    </w:p>
    <w:p w:rsidRPr="00F009FA" w:rsidR="00FB0D74" w:rsidP="00FB0D74" w:rsidRDefault="00FB0D74" w14:paraId="43D53E89" w14:textId="77777777">
      <w:pPr>
        <w:spacing w:line="276" w:lineRule="auto"/>
        <w:ind w:right="216"/>
        <w:rPr>
          <w:rFonts w:cstheme="minorHAnsi"/>
          <w:i/>
          <w:iCs/>
        </w:rPr>
      </w:pPr>
      <w:bookmarkStart w:name="_Hlk178792930" w:id="1"/>
      <w:r w:rsidRPr="00F009FA">
        <w:rPr>
          <w:rFonts w:cstheme="minorHAnsi"/>
          <w:i/>
          <w:iCs/>
        </w:rPr>
        <w:t xml:space="preserve">Actualiteit rondom wet </w:t>
      </w:r>
      <w:r w:rsidRPr="00F009FA">
        <w:rPr>
          <w:i/>
          <w:iCs/>
          <w:color w:val="auto"/>
          <w:kern w:val="2"/>
          <w:lang w:eastAsia="en-US"/>
          <w14:ligatures w14:val="standardContextual"/>
        </w:rPr>
        <w:t>Deregulering Beoordeling Arbeidsrelaties (DBA)</w:t>
      </w:r>
    </w:p>
    <w:p w:rsidRPr="00E65CC9" w:rsidR="00FB0D74" w:rsidP="00FB0D74" w:rsidRDefault="00FB0D74" w14:paraId="66CCD7B9" w14:textId="77777777">
      <w:pPr>
        <w:spacing w:line="276" w:lineRule="auto"/>
        <w:ind w:right="216"/>
        <w:rPr>
          <w:rFonts w:cstheme="minorHAnsi"/>
        </w:rPr>
      </w:pPr>
      <w:r w:rsidRPr="00E65CC9">
        <w:rPr>
          <w:rFonts w:cstheme="minorHAnsi"/>
        </w:rPr>
        <w:t>Uw Kamer is onder meer in de vorige voortgangsrapportage en via de recente antwoorden op de Kamervragen van de leden Aartsen, Van Eijk en Flach geïnformeerd over de wet DBA en de hersteloperatie.</w:t>
      </w:r>
      <w:r>
        <w:rPr>
          <w:rStyle w:val="Voetnootmarkering"/>
          <w:rFonts w:cstheme="minorHAnsi"/>
        </w:rPr>
        <w:footnoteReference w:id="2"/>
      </w:r>
      <w:r w:rsidRPr="00E65CC9">
        <w:rPr>
          <w:rFonts w:cstheme="minorHAnsi"/>
        </w:rPr>
        <w:t xml:space="preserve"> Om te waarborgen dat de voortgang en afhandeling van de hersteloperatie zo min mogelijk wordt belemmerd zullen </w:t>
      </w:r>
      <w:r>
        <w:rPr>
          <w:rFonts w:cstheme="minorHAnsi"/>
        </w:rPr>
        <w:t>begin</w:t>
      </w:r>
      <w:r w:rsidRPr="00E65CC9">
        <w:rPr>
          <w:rFonts w:cstheme="minorHAnsi"/>
        </w:rPr>
        <w:t xml:space="preserve"> 2025 potentieel </w:t>
      </w:r>
      <w:r>
        <w:rPr>
          <w:rFonts w:cstheme="minorHAnsi"/>
        </w:rPr>
        <w:t xml:space="preserve">± 600 </w:t>
      </w:r>
      <w:r w:rsidRPr="00E65CC9">
        <w:rPr>
          <w:rFonts w:cstheme="minorHAnsi"/>
        </w:rPr>
        <w:t xml:space="preserve">schijnzelfstandigen worden ingezet voor de hersteloperatie. Dit laat onverlet dat nadrukkelijk continue inspanning geleverd wordt binnen de hersteloperatie waarbij verwacht wordt dat in 2025 het aantal vermoedelijk schijnzelfstandigen naar </w:t>
      </w:r>
      <w:r>
        <w:rPr>
          <w:rFonts w:cstheme="minorHAnsi"/>
        </w:rPr>
        <w:t>nul</w:t>
      </w:r>
      <w:r w:rsidRPr="00E65CC9">
        <w:rPr>
          <w:rFonts w:cstheme="minorHAnsi"/>
        </w:rPr>
        <w:t xml:space="preserve"> </w:t>
      </w:r>
      <w:r>
        <w:rPr>
          <w:rFonts w:cstheme="minorHAnsi"/>
        </w:rPr>
        <w:t xml:space="preserve">wordt </w:t>
      </w:r>
      <w:r w:rsidRPr="00E65CC9">
        <w:rPr>
          <w:rFonts w:cstheme="minorHAnsi"/>
        </w:rPr>
        <w:t>afgebouwd</w:t>
      </w:r>
      <w:r>
        <w:rPr>
          <w:rFonts w:cstheme="minorHAnsi"/>
        </w:rPr>
        <w:t xml:space="preserve">. </w:t>
      </w:r>
      <w:r w:rsidRPr="00E65CC9">
        <w:rPr>
          <w:rFonts w:cstheme="minorHAnsi"/>
        </w:rPr>
        <w:t xml:space="preserve"> </w:t>
      </w:r>
    </w:p>
    <w:p w:rsidRPr="00E65CC9" w:rsidR="00FB0D74" w:rsidP="00FB0D74" w:rsidRDefault="00FB0D74" w14:paraId="5B7CB8C2" w14:textId="77777777">
      <w:pPr>
        <w:spacing w:line="276" w:lineRule="auto"/>
        <w:ind w:right="216"/>
        <w:rPr>
          <w:rFonts w:cstheme="minorHAnsi"/>
        </w:rPr>
      </w:pPr>
    </w:p>
    <w:p w:rsidRPr="00E65CC9" w:rsidR="00FB0D74" w:rsidP="00FB0D74" w:rsidRDefault="00FB0D74" w14:paraId="5AC8E189" w14:textId="77777777">
      <w:pPr>
        <w:spacing w:line="276" w:lineRule="auto"/>
        <w:ind w:right="216"/>
        <w:rPr>
          <w:rFonts w:cstheme="minorHAnsi"/>
        </w:rPr>
      </w:pPr>
      <w:r w:rsidRPr="00E65CC9">
        <w:rPr>
          <w:rFonts w:cstheme="minorHAnsi"/>
        </w:rPr>
        <w:lastRenderedPageBreak/>
        <w:t xml:space="preserve">Eind 2024 heeft Dienst Toeslagen in twee brieven toezeggingen gedaan aan leveranciers van potentieel schijnzelfstandigen die worden ingezet voor de hersteloperatie. Naar aanleiding van signalen van de fiscaal toezichthouder heeft </w:t>
      </w:r>
      <w:r>
        <w:rPr>
          <w:rFonts w:cstheme="minorHAnsi"/>
        </w:rPr>
        <w:t>de Dienst Toeslagen</w:t>
      </w:r>
      <w:r w:rsidRPr="00E65CC9">
        <w:rPr>
          <w:rFonts w:cstheme="minorHAnsi"/>
        </w:rPr>
        <w:t xml:space="preserve"> beoordeeld dat het langer in stand houden van deze toezeggingen onwenselijk is en heeft besloten om deze op de vroegst mogelijke uit te voeren termijn in te trekken, wetende per 1 april 2025. Los van het besluit hierover heeft de fiscaal toezichthouder besloten het convenant Horizontaal Toezicht (HT) met het ministerie van Financiën in te trekken per 31 januari 2025.</w:t>
      </w:r>
    </w:p>
    <w:p w:rsidRPr="00F009FA" w:rsidR="00FB0D74" w:rsidP="00FB0D74" w:rsidRDefault="00FB0D74" w14:paraId="678136A9" w14:textId="77777777">
      <w:pPr>
        <w:spacing w:line="276" w:lineRule="auto"/>
        <w:ind w:right="216"/>
        <w:rPr>
          <w:rFonts w:eastAsia="Verdana"/>
        </w:rPr>
      </w:pPr>
    </w:p>
    <w:bookmarkEnd w:id="1"/>
    <w:p w:rsidRPr="00FF5E5B" w:rsidR="006C3D8F" w:rsidP="006C3D8F" w:rsidRDefault="006C3D8F" w14:paraId="631ACED4" w14:textId="77777777">
      <w:pPr>
        <w:spacing w:line="240" w:lineRule="auto"/>
        <w:rPr>
          <w:rFonts w:eastAsia="Verdana"/>
          <w:i/>
          <w:iCs/>
        </w:rPr>
      </w:pPr>
      <w:r w:rsidRPr="00FF5E5B">
        <w:rPr>
          <w:rFonts w:eastAsia="Verdana"/>
          <w:i/>
          <w:iCs/>
        </w:rPr>
        <w:t>Tot slot</w:t>
      </w:r>
    </w:p>
    <w:p w:rsidR="006C3D8F" w:rsidP="006C3D8F" w:rsidRDefault="006C3D8F" w14:paraId="167D8844" w14:textId="77777777">
      <w:pPr>
        <w:spacing w:line="276" w:lineRule="auto"/>
        <w:ind w:right="216"/>
        <w:rPr>
          <w:rFonts w:eastAsia="Verdana"/>
        </w:rPr>
      </w:pPr>
      <w:r>
        <w:rPr>
          <w:rFonts w:eastAsia="Verdana"/>
        </w:rPr>
        <w:t xml:space="preserve">Naar aanleiding van de aanbevelingen van de commissie Van Dam zullen onderdelen van de hersteloperatie anders worden ingericht en het proces worden gestroomlijnd. Uw Kamer wordt nader geïnformeerd over de verdere uitwerking hiervan. </w:t>
      </w:r>
    </w:p>
    <w:p w:rsidR="006C3D8F" w:rsidP="006C3D8F" w:rsidRDefault="006C3D8F" w14:paraId="68E145BC" w14:textId="77777777">
      <w:pPr>
        <w:spacing w:line="276" w:lineRule="auto"/>
        <w:ind w:right="216"/>
        <w:rPr>
          <w:rFonts w:eastAsia="Verdana"/>
        </w:rPr>
      </w:pPr>
      <w:r>
        <w:rPr>
          <w:rFonts w:eastAsia="Verdana"/>
        </w:rPr>
        <w:t xml:space="preserve">Het kabinet heeft altijd als uitgangspunt gehanteerd dat ouders in de gelegenheid moeten worden gesteld met eigen regie een geïnformeerde keuze te maken over onder andere de compensatieroute van hun aanvullende schade. Om te voorkomen dat ouders het gevoel hebben een keuze te moeten maken voordat duidelijk is hoe de aanbevelingen van de spoedadviescommissie worden uitgewerkt, hanteert het kabinet als uiterste aanmeldtermijn voor aanvullende schade niet langer 31 maart 2025, maar tenminste 1 juli 2025 of zes maanden na het onherroepelijk worden van de IB-beschikking. </w:t>
      </w:r>
    </w:p>
    <w:p w:rsidR="006C3D8F" w:rsidP="006C3D8F" w:rsidRDefault="006C3D8F" w14:paraId="253D1D82" w14:textId="77777777">
      <w:pPr>
        <w:spacing w:line="276" w:lineRule="auto"/>
        <w:ind w:right="216"/>
        <w:rPr>
          <w:rFonts w:eastAsia="Verdana"/>
        </w:rPr>
      </w:pPr>
      <w:r>
        <w:rPr>
          <w:rFonts w:eastAsia="Verdana"/>
        </w:rPr>
        <w:t xml:space="preserve">Ik verwacht de kabinetsreactie over de opvolging van de aanbevelingen van de commissie Van Dam na het voorjaarsreces met uw Kamer te kunnen delen. </w:t>
      </w:r>
    </w:p>
    <w:p w:rsidRPr="001E5D4D" w:rsidR="001E5D4D" w:rsidP="001E5D4D" w:rsidRDefault="001E5D4D" w14:paraId="34A1C065" w14:textId="77777777">
      <w:pPr>
        <w:spacing w:line="276" w:lineRule="auto"/>
        <w:ind w:right="216"/>
        <w:rPr>
          <w:rFonts w:eastAsia="Verdana"/>
        </w:rPr>
      </w:pPr>
    </w:p>
    <w:p w:rsidR="003B3D34" w:rsidRDefault="001E5D4D" w14:paraId="3C5EB710" w14:textId="77777777">
      <w:pPr>
        <w:pStyle w:val="StandaardSlotzin"/>
      </w:pPr>
      <w:r>
        <w:t>Hoogachtend,</w:t>
      </w:r>
    </w:p>
    <w:p w:rsidR="003B3D34" w:rsidRDefault="003B3D34" w14:paraId="18A1A886" w14:textId="77777777"/>
    <w:tbl>
      <w:tblPr>
        <w:tblStyle w:val="Tabelzonderranden"/>
        <w:tblW w:w="7484" w:type="dxa"/>
        <w:tblInd w:w="0" w:type="dxa"/>
        <w:tblLayout w:type="fixed"/>
        <w:tblLook w:val="07E0" w:firstRow="1" w:lastRow="1" w:firstColumn="1" w:lastColumn="1" w:noHBand="1" w:noVBand="1"/>
      </w:tblPr>
      <w:tblGrid>
        <w:gridCol w:w="6379"/>
        <w:gridCol w:w="1105"/>
      </w:tblGrid>
      <w:tr w:rsidR="003B3D34" w:rsidTr="00FB0D74" w14:paraId="38A987CB" w14:textId="77777777">
        <w:tc>
          <w:tcPr>
            <w:tcW w:w="6379" w:type="dxa"/>
          </w:tcPr>
          <w:p w:rsidR="003B3D34" w:rsidRDefault="001E5D4D" w14:paraId="0CCAC9A4" w14:textId="77777777">
            <w:r>
              <w:t>de staatssecretaris van Financiën – Herstel en Toeslagen,</w:t>
            </w:r>
            <w:r>
              <w:br/>
            </w:r>
            <w:r>
              <w:br/>
            </w:r>
            <w:r>
              <w:br/>
            </w:r>
            <w:r>
              <w:br/>
            </w:r>
            <w:r>
              <w:br/>
            </w:r>
            <w:r>
              <w:br/>
              <w:t>S.Th.P.H. Palmen-Schlangen</w:t>
            </w:r>
          </w:p>
        </w:tc>
        <w:tc>
          <w:tcPr>
            <w:tcW w:w="1105" w:type="dxa"/>
          </w:tcPr>
          <w:p w:rsidR="003B3D34" w:rsidRDefault="003B3D34" w14:paraId="5AA64B74" w14:textId="77777777"/>
        </w:tc>
      </w:tr>
      <w:tr w:rsidR="003B3D34" w:rsidTr="00FB0D74" w14:paraId="2E6B4D2D" w14:textId="77777777">
        <w:tc>
          <w:tcPr>
            <w:tcW w:w="6379" w:type="dxa"/>
          </w:tcPr>
          <w:p w:rsidR="003B3D34" w:rsidRDefault="003B3D34" w14:paraId="5ACB4ABD" w14:textId="77777777"/>
        </w:tc>
        <w:tc>
          <w:tcPr>
            <w:tcW w:w="1105" w:type="dxa"/>
          </w:tcPr>
          <w:p w:rsidR="003B3D34" w:rsidRDefault="003B3D34" w14:paraId="43FF2640" w14:textId="77777777"/>
        </w:tc>
      </w:tr>
      <w:tr w:rsidR="003B3D34" w:rsidTr="00FB0D74" w14:paraId="078F552C" w14:textId="77777777">
        <w:tc>
          <w:tcPr>
            <w:tcW w:w="6379" w:type="dxa"/>
          </w:tcPr>
          <w:p w:rsidR="003B3D34" w:rsidRDefault="003B3D34" w14:paraId="657C8EB6" w14:textId="77777777"/>
        </w:tc>
        <w:tc>
          <w:tcPr>
            <w:tcW w:w="1105" w:type="dxa"/>
          </w:tcPr>
          <w:p w:rsidR="003B3D34" w:rsidRDefault="003B3D34" w14:paraId="767BD460" w14:textId="77777777"/>
        </w:tc>
      </w:tr>
      <w:tr w:rsidR="003B3D34" w:rsidTr="00FB0D74" w14:paraId="55BEFE87" w14:textId="77777777">
        <w:tc>
          <w:tcPr>
            <w:tcW w:w="6379" w:type="dxa"/>
          </w:tcPr>
          <w:p w:rsidR="003B3D34" w:rsidRDefault="003B3D34" w14:paraId="20C33AD9" w14:textId="77777777"/>
        </w:tc>
        <w:tc>
          <w:tcPr>
            <w:tcW w:w="1105" w:type="dxa"/>
          </w:tcPr>
          <w:p w:rsidR="003B3D34" w:rsidRDefault="003B3D34" w14:paraId="7CB563B5" w14:textId="77777777"/>
        </w:tc>
      </w:tr>
      <w:tr w:rsidR="003B3D34" w:rsidTr="00FB0D74" w14:paraId="6FDF5E2C" w14:textId="77777777">
        <w:tc>
          <w:tcPr>
            <w:tcW w:w="6379" w:type="dxa"/>
          </w:tcPr>
          <w:p w:rsidR="003B3D34" w:rsidRDefault="003B3D34" w14:paraId="1B3770EA" w14:textId="77777777"/>
        </w:tc>
        <w:tc>
          <w:tcPr>
            <w:tcW w:w="1105" w:type="dxa"/>
          </w:tcPr>
          <w:p w:rsidR="003B3D34" w:rsidRDefault="003B3D34" w14:paraId="38F37BC1" w14:textId="77777777"/>
        </w:tc>
      </w:tr>
    </w:tbl>
    <w:p w:rsidR="003B3D34" w:rsidRDefault="003B3D34" w14:paraId="672CADA0" w14:textId="77777777">
      <w:pPr>
        <w:pStyle w:val="WitregelW1bodytekst"/>
      </w:pPr>
    </w:p>
    <w:p w:rsidR="003B3D34" w:rsidRDefault="003B3D34" w14:paraId="380DC5D7" w14:textId="77777777">
      <w:pPr>
        <w:pStyle w:val="Verdana7"/>
      </w:pPr>
    </w:p>
    <w:sectPr w:rsidR="003B3D34">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96F62" w14:textId="77777777" w:rsidR="00AF607A" w:rsidRDefault="00AF607A">
      <w:pPr>
        <w:spacing w:line="240" w:lineRule="auto"/>
      </w:pPr>
      <w:r>
        <w:separator/>
      </w:r>
    </w:p>
  </w:endnote>
  <w:endnote w:type="continuationSeparator" w:id="0">
    <w:p w14:paraId="4E4A2738" w14:textId="77777777" w:rsidR="00AF607A" w:rsidRDefault="00AF60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EA574" w14:textId="77777777" w:rsidR="00CE112F" w:rsidRDefault="00CE112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07102" w14:textId="77777777" w:rsidR="00CE112F" w:rsidRDefault="00CE112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8C8AF" w14:textId="77777777" w:rsidR="00CE112F" w:rsidRDefault="00CE112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DCFA6" w14:textId="77777777" w:rsidR="00AF607A" w:rsidRDefault="00AF607A">
      <w:pPr>
        <w:spacing w:line="240" w:lineRule="auto"/>
      </w:pPr>
      <w:r>
        <w:separator/>
      </w:r>
    </w:p>
  </w:footnote>
  <w:footnote w:type="continuationSeparator" w:id="0">
    <w:p w14:paraId="5BF0D883" w14:textId="77777777" w:rsidR="00AF607A" w:rsidRDefault="00AF607A">
      <w:pPr>
        <w:spacing w:line="240" w:lineRule="auto"/>
      </w:pPr>
      <w:r>
        <w:continuationSeparator/>
      </w:r>
    </w:p>
  </w:footnote>
  <w:footnote w:id="1">
    <w:p w14:paraId="5F2FB6E4" w14:textId="77777777" w:rsidR="009A16EE" w:rsidRPr="009A16EE" w:rsidRDefault="009A16EE" w:rsidP="009A16EE">
      <w:pPr>
        <w:pStyle w:val="Voetnoottekst"/>
        <w:rPr>
          <w:rFonts w:ascii="Verdana" w:hAnsi="Verdana"/>
          <w:sz w:val="13"/>
          <w:szCs w:val="13"/>
        </w:rPr>
      </w:pPr>
      <w:r w:rsidRPr="009A16EE">
        <w:rPr>
          <w:rFonts w:ascii="Verdana" w:hAnsi="Verdana"/>
          <w:sz w:val="13"/>
          <w:szCs w:val="13"/>
          <w:vertAlign w:val="superscript"/>
        </w:rPr>
        <w:footnoteRef/>
      </w:r>
      <w:r w:rsidRPr="009A16EE">
        <w:rPr>
          <w:rFonts w:ascii="Verdana" w:hAnsi="Verdana"/>
          <w:sz w:val="13"/>
          <w:szCs w:val="13"/>
        </w:rPr>
        <w:t xml:space="preserve"> Kamerstukken II, 2024/25, 31066, nr. 2025D00477</w:t>
      </w:r>
    </w:p>
    <w:p w14:paraId="44883C38" w14:textId="77777777" w:rsidR="00AB2E11" w:rsidRPr="00AB2E11" w:rsidRDefault="00AB2E11">
      <w:pPr>
        <w:pStyle w:val="Voetnoottekst"/>
        <w:rPr>
          <w:rFonts w:ascii="Verdana" w:hAnsi="Verdana"/>
          <w:sz w:val="13"/>
          <w:szCs w:val="13"/>
        </w:rPr>
      </w:pPr>
    </w:p>
  </w:footnote>
  <w:footnote w:id="2">
    <w:p w14:paraId="397AFFB2" w14:textId="77777777" w:rsidR="00FB0D74" w:rsidRDefault="00FB0D74">
      <w:pPr>
        <w:pStyle w:val="Voetnoottekst"/>
      </w:pPr>
      <w:r>
        <w:rPr>
          <w:rStyle w:val="Voetnootmarkering"/>
        </w:rPr>
        <w:footnoteRef/>
      </w:r>
      <w:r>
        <w:t xml:space="preserve"> </w:t>
      </w:r>
      <w:r>
        <w:rPr>
          <w:rFonts w:ascii="Verdana" w:hAnsi="Verdana"/>
          <w:sz w:val="13"/>
          <w:szCs w:val="13"/>
        </w:rPr>
        <w:t>Aanhangsel van de Handelingen 2024/25, nr. 1017.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4B14C" w14:textId="77777777" w:rsidR="00CE112F" w:rsidRDefault="00CE112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C78CE" w14:textId="77777777" w:rsidR="003B3D34" w:rsidRDefault="001E5D4D">
    <w:r>
      <w:rPr>
        <w:noProof/>
      </w:rPr>
      <mc:AlternateContent>
        <mc:Choice Requires="wps">
          <w:drawing>
            <wp:anchor distT="0" distB="0" distL="0" distR="0" simplePos="0" relativeHeight="251652096" behindDoc="0" locked="1" layoutInCell="1" allowOverlap="1" wp14:anchorId="7F918386" wp14:editId="0C6FB121">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3835616" w14:textId="77777777" w:rsidR="003B3D34" w:rsidRDefault="001E5D4D">
                          <w:pPr>
                            <w:pStyle w:val="StandaardReferentiegegevensKop"/>
                          </w:pPr>
                          <w:r>
                            <w:t>Programma DG Herstelbeleid</w:t>
                          </w:r>
                        </w:p>
                        <w:p w14:paraId="608A4A21" w14:textId="77777777" w:rsidR="003B3D34" w:rsidRDefault="003B3D34">
                          <w:pPr>
                            <w:pStyle w:val="WitregelW1"/>
                          </w:pPr>
                        </w:p>
                        <w:p w14:paraId="344AC069" w14:textId="77777777" w:rsidR="003B3D34" w:rsidRDefault="001E5D4D">
                          <w:pPr>
                            <w:pStyle w:val="StandaardReferentiegegevensKop"/>
                          </w:pPr>
                          <w:r>
                            <w:t>Ons kenmerk</w:t>
                          </w:r>
                        </w:p>
                        <w:p w14:paraId="32C44F9E" w14:textId="5507FA87" w:rsidR="006478F0" w:rsidRDefault="00CE112F">
                          <w:pPr>
                            <w:pStyle w:val="StandaardReferentiegegevens"/>
                          </w:pPr>
                          <w:r>
                            <w:fldChar w:fldCharType="begin"/>
                          </w:r>
                          <w:r>
                            <w:instrText xml:space="preserve"> DOCPROPERTY  "Kenmerk"  \* MERGEFORMAT </w:instrText>
                          </w:r>
                          <w:r>
                            <w:fldChar w:fldCharType="separate"/>
                          </w:r>
                          <w:r>
                            <w:t>2025-0000047413</w:t>
                          </w:r>
                          <w:r>
                            <w:fldChar w:fldCharType="end"/>
                          </w:r>
                        </w:p>
                      </w:txbxContent>
                    </wps:txbx>
                    <wps:bodyPr vert="horz" wrap="square" lIns="0" tIns="0" rIns="0" bIns="0" anchor="t" anchorCtr="0"/>
                  </wps:wsp>
                </a:graphicData>
              </a:graphic>
            </wp:anchor>
          </w:drawing>
        </mc:Choice>
        <mc:Fallback>
          <w:pict>
            <v:shapetype w14:anchorId="7F918386"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03835616" w14:textId="77777777" w:rsidR="003B3D34" w:rsidRDefault="001E5D4D">
                    <w:pPr>
                      <w:pStyle w:val="StandaardReferentiegegevensKop"/>
                    </w:pPr>
                    <w:r>
                      <w:t>Programma DG Herstelbeleid</w:t>
                    </w:r>
                  </w:p>
                  <w:p w14:paraId="608A4A21" w14:textId="77777777" w:rsidR="003B3D34" w:rsidRDefault="003B3D34">
                    <w:pPr>
                      <w:pStyle w:val="WitregelW1"/>
                    </w:pPr>
                  </w:p>
                  <w:p w14:paraId="344AC069" w14:textId="77777777" w:rsidR="003B3D34" w:rsidRDefault="001E5D4D">
                    <w:pPr>
                      <w:pStyle w:val="StandaardReferentiegegevensKop"/>
                    </w:pPr>
                    <w:r>
                      <w:t>Ons kenmerk</w:t>
                    </w:r>
                  </w:p>
                  <w:p w14:paraId="32C44F9E" w14:textId="5507FA87" w:rsidR="006478F0" w:rsidRDefault="00CE112F">
                    <w:pPr>
                      <w:pStyle w:val="StandaardReferentiegegevens"/>
                    </w:pPr>
                    <w:r>
                      <w:fldChar w:fldCharType="begin"/>
                    </w:r>
                    <w:r>
                      <w:instrText xml:space="preserve"> DOCPROPERTY  "Kenmerk"  \* MERGEFORMAT </w:instrText>
                    </w:r>
                    <w:r>
                      <w:fldChar w:fldCharType="separate"/>
                    </w:r>
                    <w:r>
                      <w:t>2025-0000047413</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3EB05CC" wp14:editId="5A4A2F89">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B19F308" w14:textId="77777777" w:rsidR="006478F0" w:rsidRDefault="00CE112F">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33EB05CC"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1B19F308" w14:textId="77777777" w:rsidR="006478F0" w:rsidRDefault="00CE112F">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B0E7F19" wp14:editId="262EC43D">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3B4F6311" w14:textId="0DDD684F" w:rsidR="006478F0" w:rsidRDefault="00CE112F">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6B0E7F19"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3B4F6311" w14:textId="0DDD684F" w:rsidR="006478F0" w:rsidRDefault="00CE112F">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890E3" w14:textId="77777777" w:rsidR="003B3D34" w:rsidRDefault="001E5D4D">
    <w:pPr>
      <w:spacing w:after="7029" w:line="14" w:lineRule="exact"/>
    </w:pPr>
    <w:r>
      <w:rPr>
        <w:noProof/>
      </w:rPr>
      <mc:AlternateContent>
        <mc:Choice Requires="wps">
          <w:drawing>
            <wp:anchor distT="0" distB="0" distL="0" distR="0" simplePos="0" relativeHeight="251655168" behindDoc="0" locked="1" layoutInCell="1" allowOverlap="1" wp14:anchorId="6B2B3033" wp14:editId="72E4FEC6">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44E460BA" w14:textId="77777777" w:rsidR="003B3D34" w:rsidRDefault="001E5D4D">
                          <w:pPr>
                            <w:spacing w:line="240" w:lineRule="auto"/>
                          </w:pPr>
                          <w:r>
                            <w:rPr>
                              <w:noProof/>
                            </w:rPr>
                            <w:drawing>
                              <wp:inline distT="0" distB="0" distL="0" distR="0" wp14:anchorId="238FF275" wp14:editId="64553AA8">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B2B3033"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44E460BA" w14:textId="77777777" w:rsidR="003B3D34" w:rsidRDefault="001E5D4D">
                    <w:pPr>
                      <w:spacing w:line="240" w:lineRule="auto"/>
                    </w:pPr>
                    <w:r>
                      <w:rPr>
                        <w:noProof/>
                      </w:rPr>
                      <w:drawing>
                        <wp:inline distT="0" distB="0" distL="0" distR="0" wp14:anchorId="238FF275" wp14:editId="64553AA8">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560EE1A6" wp14:editId="13F3708E">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55D52B18" w14:textId="77777777" w:rsidR="001E5D4D" w:rsidRDefault="001E5D4D"/>
                      </w:txbxContent>
                    </wps:txbx>
                    <wps:bodyPr vert="horz" wrap="square" lIns="0" tIns="0" rIns="0" bIns="0" anchor="t" anchorCtr="0"/>
                  </wps:wsp>
                </a:graphicData>
              </a:graphic>
            </wp:anchor>
          </w:drawing>
        </mc:Choice>
        <mc:Fallback>
          <w:pict>
            <v:shape w14:anchorId="560EE1A6"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55D52B18" w14:textId="77777777" w:rsidR="001E5D4D" w:rsidRDefault="001E5D4D"/>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D31A37E" wp14:editId="745A038B">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3A5C35AD" w14:textId="77777777" w:rsidR="003B3D34" w:rsidRDefault="001E5D4D">
                          <w:pPr>
                            <w:pStyle w:val="StandaardReferentiegegevensKop"/>
                          </w:pPr>
                          <w:r>
                            <w:t>Programma DG Herstelbeleid</w:t>
                          </w:r>
                        </w:p>
                        <w:p w14:paraId="7E83F4CD" w14:textId="77777777" w:rsidR="003B3D34" w:rsidRDefault="003B3D34">
                          <w:pPr>
                            <w:pStyle w:val="WitregelW1"/>
                          </w:pPr>
                        </w:p>
                        <w:p w14:paraId="27535D34" w14:textId="77777777" w:rsidR="003B3D34" w:rsidRDefault="001E5D4D">
                          <w:pPr>
                            <w:pStyle w:val="StandaardReferentiegegevens"/>
                          </w:pPr>
                          <w:r>
                            <w:t>Korte Voorhout 7</w:t>
                          </w:r>
                        </w:p>
                        <w:p w14:paraId="442B49C4" w14:textId="77777777" w:rsidR="003B3D34" w:rsidRDefault="001E5D4D">
                          <w:pPr>
                            <w:pStyle w:val="StandaardReferentiegegevens"/>
                          </w:pPr>
                          <w:r>
                            <w:t>2511 CW  's-Gravenhage</w:t>
                          </w:r>
                        </w:p>
                        <w:p w14:paraId="4BB9AEAE" w14:textId="77777777" w:rsidR="003B3D34" w:rsidRDefault="001E5D4D">
                          <w:pPr>
                            <w:pStyle w:val="StandaardReferentiegegevens"/>
                          </w:pPr>
                          <w:r>
                            <w:t>POSTBUS 20201</w:t>
                          </w:r>
                        </w:p>
                        <w:p w14:paraId="2D6F382E" w14:textId="77777777" w:rsidR="003B3D34" w:rsidRDefault="001E5D4D">
                          <w:pPr>
                            <w:pStyle w:val="StandaardReferentiegegevens"/>
                          </w:pPr>
                          <w:r>
                            <w:t>2500 EE  's-Gravenhage</w:t>
                          </w:r>
                        </w:p>
                        <w:p w14:paraId="1ECB16ED" w14:textId="77777777" w:rsidR="003B3D34" w:rsidRDefault="001E5D4D">
                          <w:pPr>
                            <w:pStyle w:val="StandaardReferentiegegevens"/>
                          </w:pPr>
                          <w:r>
                            <w:t>www.rijksoverheid.nl/fin</w:t>
                          </w:r>
                        </w:p>
                        <w:p w14:paraId="703B503F" w14:textId="77777777" w:rsidR="003B3D34" w:rsidRDefault="003B3D34">
                          <w:pPr>
                            <w:pStyle w:val="WitregelW2"/>
                          </w:pPr>
                        </w:p>
                        <w:p w14:paraId="2E826C09" w14:textId="77777777" w:rsidR="003B3D34" w:rsidRDefault="001E5D4D">
                          <w:pPr>
                            <w:pStyle w:val="StandaardReferentiegegevensKop"/>
                          </w:pPr>
                          <w:r>
                            <w:t>Ons kenmerk</w:t>
                          </w:r>
                        </w:p>
                        <w:p w14:paraId="5C776584" w14:textId="08FE4FAD" w:rsidR="006478F0" w:rsidRDefault="00CE112F">
                          <w:pPr>
                            <w:pStyle w:val="StandaardReferentiegegevens"/>
                          </w:pPr>
                          <w:r>
                            <w:fldChar w:fldCharType="begin"/>
                          </w:r>
                          <w:r>
                            <w:instrText xml:space="preserve"> DOCPROPERTY  "Kenmerk"  \* MERGEFORMAT </w:instrText>
                          </w:r>
                          <w:r>
                            <w:fldChar w:fldCharType="separate"/>
                          </w:r>
                          <w:r>
                            <w:t>2025-0000047413</w:t>
                          </w:r>
                          <w:r>
                            <w:fldChar w:fldCharType="end"/>
                          </w:r>
                        </w:p>
                        <w:p w14:paraId="6B7E6765" w14:textId="77777777" w:rsidR="003B3D34" w:rsidRDefault="003B3D34">
                          <w:pPr>
                            <w:pStyle w:val="WitregelW1"/>
                          </w:pPr>
                        </w:p>
                        <w:p w14:paraId="6B5183DA" w14:textId="77777777" w:rsidR="003B3D34" w:rsidRDefault="001E5D4D">
                          <w:pPr>
                            <w:pStyle w:val="StandaardReferentiegegevensKop"/>
                          </w:pPr>
                          <w:r>
                            <w:t>Uw brief (kenmerk)</w:t>
                          </w:r>
                        </w:p>
                        <w:p w14:paraId="313C2D45" w14:textId="772525B1" w:rsidR="006478F0" w:rsidRDefault="00CE112F">
                          <w:pPr>
                            <w:pStyle w:val="StandaardReferentiegegevens"/>
                          </w:pPr>
                          <w:r>
                            <w:fldChar w:fldCharType="begin"/>
                          </w:r>
                          <w:r>
                            <w:instrText xml:space="preserve"> DOCPROPERTY  "UwKenmerk"  \* MERGEFORMAT </w:instrText>
                          </w:r>
                          <w:r>
                            <w:fldChar w:fldCharType="end"/>
                          </w:r>
                        </w:p>
                        <w:p w14:paraId="6CA17945" w14:textId="77777777" w:rsidR="003B3D34" w:rsidRDefault="003B3D34">
                          <w:pPr>
                            <w:pStyle w:val="WitregelW1"/>
                          </w:pPr>
                        </w:p>
                        <w:p w14:paraId="09B637AB" w14:textId="77777777" w:rsidR="003B3D34" w:rsidRDefault="001E5D4D">
                          <w:pPr>
                            <w:pStyle w:val="StandaardReferentiegegevensKop"/>
                          </w:pPr>
                          <w:r>
                            <w:t>Bijlagen</w:t>
                          </w:r>
                        </w:p>
                        <w:p w14:paraId="2E82484E" w14:textId="77777777" w:rsidR="003B3D34" w:rsidRDefault="001E5D4D">
                          <w:pPr>
                            <w:pStyle w:val="StandaardReferentiegegevens"/>
                          </w:pPr>
                          <w:r>
                            <w:t>1. VGR</w:t>
                          </w:r>
                        </w:p>
                      </w:txbxContent>
                    </wps:txbx>
                    <wps:bodyPr vert="horz" wrap="square" lIns="0" tIns="0" rIns="0" bIns="0" anchor="t" anchorCtr="0"/>
                  </wps:wsp>
                </a:graphicData>
              </a:graphic>
            </wp:anchor>
          </w:drawing>
        </mc:Choice>
        <mc:Fallback>
          <w:pict>
            <v:shape w14:anchorId="7D31A37E"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3A5C35AD" w14:textId="77777777" w:rsidR="003B3D34" w:rsidRDefault="001E5D4D">
                    <w:pPr>
                      <w:pStyle w:val="StandaardReferentiegegevensKop"/>
                    </w:pPr>
                    <w:r>
                      <w:t>Programma DG Herstelbeleid</w:t>
                    </w:r>
                  </w:p>
                  <w:p w14:paraId="7E83F4CD" w14:textId="77777777" w:rsidR="003B3D34" w:rsidRDefault="003B3D34">
                    <w:pPr>
                      <w:pStyle w:val="WitregelW1"/>
                    </w:pPr>
                  </w:p>
                  <w:p w14:paraId="27535D34" w14:textId="77777777" w:rsidR="003B3D34" w:rsidRDefault="001E5D4D">
                    <w:pPr>
                      <w:pStyle w:val="StandaardReferentiegegevens"/>
                    </w:pPr>
                    <w:r>
                      <w:t>Korte Voorhout 7</w:t>
                    </w:r>
                  </w:p>
                  <w:p w14:paraId="442B49C4" w14:textId="77777777" w:rsidR="003B3D34" w:rsidRDefault="001E5D4D">
                    <w:pPr>
                      <w:pStyle w:val="StandaardReferentiegegevens"/>
                    </w:pPr>
                    <w:r>
                      <w:t>2511 CW  's-Gravenhage</w:t>
                    </w:r>
                  </w:p>
                  <w:p w14:paraId="4BB9AEAE" w14:textId="77777777" w:rsidR="003B3D34" w:rsidRDefault="001E5D4D">
                    <w:pPr>
                      <w:pStyle w:val="StandaardReferentiegegevens"/>
                    </w:pPr>
                    <w:r>
                      <w:t>POSTBUS 20201</w:t>
                    </w:r>
                  </w:p>
                  <w:p w14:paraId="2D6F382E" w14:textId="77777777" w:rsidR="003B3D34" w:rsidRDefault="001E5D4D">
                    <w:pPr>
                      <w:pStyle w:val="StandaardReferentiegegevens"/>
                    </w:pPr>
                    <w:r>
                      <w:t>2500 EE  's-Gravenhage</w:t>
                    </w:r>
                  </w:p>
                  <w:p w14:paraId="1ECB16ED" w14:textId="77777777" w:rsidR="003B3D34" w:rsidRDefault="001E5D4D">
                    <w:pPr>
                      <w:pStyle w:val="StandaardReferentiegegevens"/>
                    </w:pPr>
                    <w:r>
                      <w:t>www.rijksoverheid.nl/fin</w:t>
                    </w:r>
                  </w:p>
                  <w:p w14:paraId="703B503F" w14:textId="77777777" w:rsidR="003B3D34" w:rsidRDefault="003B3D34">
                    <w:pPr>
                      <w:pStyle w:val="WitregelW2"/>
                    </w:pPr>
                  </w:p>
                  <w:p w14:paraId="2E826C09" w14:textId="77777777" w:rsidR="003B3D34" w:rsidRDefault="001E5D4D">
                    <w:pPr>
                      <w:pStyle w:val="StandaardReferentiegegevensKop"/>
                    </w:pPr>
                    <w:r>
                      <w:t>Ons kenmerk</w:t>
                    </w:r>
                  </w:p>
                  <w:p w14:paraId="5C776584" w14:textId="08FE4FAD" w:rsidR="006478F0" w:rsidRDefault="00CE112F">
                    <w:pPr>
                      <w:pStyle w:val="StandaardReferentiegegevens"/>
                    </w:pPr>
                    <w:r>
                      <w:fldChar w:fldCharType="begin"/>
                    </w:r>
                    <w:r>
                      <w:instrText xml:space="preserve"> DOCPROPERTY  "Kenmerk"  \* MERGEFORMAT </w:instrText>
                    </w:r>
                    <w:r>
                      <w:fldChar w:fldCharType="separate"/>
                    </w:r>
                    <w:r>
                      <w:t>2025-0000047413</w:t>
                    </w:r>
                    <w:r>
                      <w:fldChar w:fldCharType="end"/>
                    </w:r>
                  </w:p>
                  <w:p w14:paraId="6B7E6765" w14:textId="77777777" w:rsidR="003B3D34" w:rsidRDefault="003B3D34">
                    <w:pPr>
                      <w:pStyle w:val="WitregelW1"/>
                    </w:pPr>
                  </w:p>
                  <w:p w14:paraId="6B5183DA" w14:textId="77777777" w:rsidR="003B3D34" w:rsidRDefault="001E5D4D">
                    <w:pPr>
                      <w:pStyle w:val="StandaardReferentiegegevensKop"/>
                    </w:pPr>
                    <w:r>
                      <w:t>Uw brief (kenmerk)</w:t>
                    </w:r>
                  </w:p>
                  <w:p w14:paraId="313C2D45" w14:textId="772525B1" w:rsidR="006478F0" w:rsidRDefault="00CE112F">
                    <w:pPr>
                      <w:pStyle w:val="StandaardReferentiegegevens"/>
                    </w:pPr>
                    <w:r>
                      <w:fldChar w:fldCharType="begin"/>
                    </w:r>
                    <w:r>
                      <w:instrText xml:space="preserve"> DOCPROPERTY  "UwKenmerk"  \* MERGEFORMAT </w:instrText>
                    </w:r>
                    <w:r>
                      <w:fldChar w:fldCharType="end"/>
                    </w:r>
                  </w:p>
                  <w:p w14:paraId="6CA17945" w14:textId="77777777" w:rsidR="003B3D34" w:rsidRDefault="003B3D34">
                    <w:pPr>
                      <w:pStyle w:val="WitregelW1"/>
                    </w:pPr>
                  </w:p>
                  <w:p w14:paraId="09B637AB" w14:textId="77777777" w:rsidR="003B3D34" w:rsidRDefault="001E5D4D">
                    <w:pPr>
                      <w:pStyle w:val="StandaardReferentiegegevensKop"/>
                    </w:pPr>
                    <w:r>
                      <w:t>Bijlagen</w:t>
                    </w:r>
                  </w:p>
                  <w:p w14:paraId="2E82484E" w14:textId="77777777" w:rsidR="003B3D34" w:rsidRDefault="001E5D4D">
                    <w:pPr>
                      <w:pStyle w:val="StandaardReferentiegegevens"/>
                    </w:pPr>
                    <w:r>
                      <w:t>1. VGR</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C46E58E" wp14:editId="06E14E62">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00377931" w14:textId="77777777" w:rsidR="003B3D34" w:rsidRDefault="001E5D4D">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3C46E58E"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00377931" w14:textId="77777777" w:rsidR="003B3D34" w:rsidRDefault="001E5D4D">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C88B842" wp14:editId="7411675B">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512F5D9D" w14:textId="67DF8879" w:rsidR="006478F0" w:rsidRDefault="00CE112F">
                          <w:pPr>
                            <w:pStyle w:val="Rubricering"/>
                          </w:pPr>
                          <w:r>
                            <w:fldChar w:fldCharType="begin"/>
                          </w:r>
                          <w:r>
                            <w:instrText xml:space="preserve"> DOCPROPERTY  "Rubricering"  \* MERGEFORMAT </w:instrText>
                          </w:r>
                          <w:r>
                            <w:fldChar w:fldCharType="end"/>
                          </w:r>
                        </w:p>
                        <w:p w14:paraId="21272EF9" w14:textId="77777777" w:rsidR="003B3D34" w:rsidRDefault="001E5D4D">
                          <w:r>
                            <w:t>Voorzitter van de Tweede Kamer der Staten-Generaal</w:t>
                          </w:r>
                          <w:r>
                            <w:br/>
                          </w:r>
                          <w:r>
                            <w:br/>
                            <w:t>Postbus 20018</w:t>
                          </w:r>
                          <w:r>
                            <w:br/>
                            <w:t>2500 EA  DEN HAAG</w:t>
                          </w:r>
                          <w:r>
                            <w:br/>
                          </w:r>
                        </w:p>
                      </w:txbxContent>
                    </wps:txbx>
                    <wps:bodyPr vert="horz" wrap="square" lIns="0" tIns="0" rIns="0" bIns="0" anchor="t" anchorCtr="0"/>
                  </wps:wsp>
                </a:graphicData>
              </a:graphic>
            </wp:anchor>
          </w:drawing>
        </mc:Choice>
        <mc:Fallback>
          <w:pict>
            <v:shape w14:anchorId="0C88B842"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512F5D9D" w14:textId="67DF8879" w:rsidR="006478F0" w:rsidRDefault="00CE112F">
                    <w:pPr>
                      <w:pStyle w:val="Rubricering"/>
                    </w:pPr>
                    <w:r>
                      <w:fldChar w:fldCharType="begin"/>
                    </w:r>
                    <w:r>
                      <w:instrText xml:space="preserve"> DOCPROPERTY  "Rubricering"  \* MERGEFORMAT </w:instrText>
                    </w:r>
                    <w:r>
                      <w:fldChar w:fldCharType="end"/>
                    </w:r>
                  </w:p>
                  <w:p w14:paraId="21272EF9" w14:textId="77777777" w:rsidR="003B3D34" w:rsidRDefault="001E5D4D">
                    <w:r>
                      <w:t>Voorzitter van de Tweede Kamer der Staten-Generaal</w:t>
                    </w:r>
                    <w:r>
                      <w:br/>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AB714C7" wp14:editId="3CA506E9">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3052EE51" w14:textId="77777777" w:rsidR="006478F0" w:rsidRDefault="00CE112F">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5AB714C7"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3052EE51" w14:textId="77777777" w:rsidR="006478F0" w:rsidRDefault="00CE112F">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206F2B6" wp14:editId="7F99F054">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3B3D34" w14:paraId="30DB79D4" w14:textId="77777777">
                            <w:trPr>
                              <w:trHeight w:val="200"/>
                            </w:trPr>
                            <w:tc>
                              <w:tcPr>
                                <w:tcW w:w="1140" w:type="dxa"/>
                              </w:tcPr>
                              <w:p w14:paraId="61E2B389" w14:textId="77777777" w:rsidR="003B3D34" w:rsidRDefault="003B3D34"/>
                            </w:tc>
                            <w:tc>
                              <w:tcPr>
                                <w:tcW w:w="5400" w:type="dxa"/>
                              </w:tcPr>
                              <w:p w14:paraId="510E68E8" w14:textId="77777777" w:rsidR="003B3D34" w:rsidRDefault="003B3D34"/>
                            </w:tc>
                          </w:tr>
                          <w:tr w:rsidR="003B3D34" w14:paraId="3531D789" w14:textId="77777777">
                            <w:trPr>
                              <w:trHeight w:val="240"/>
                            </w:trPr>
                            <w:tc>
                              <w:tcPr>
                                <w:tcW w:w="1140" w:type="dxa"/>
                              </w:tcPr>
                              <w:p w14:paraId="6EDD82EB" w14:textId="77777777" w:rsidR="003B3D34" w:rsidRDefault="001E5D4D">
                                <w:r>
                                  <w:t>Datum</w:t>
                                </w:r>
                              </w:p>
                            </w:tc>
                            <w:tc>
                              <w:tcPr>
                                <w:tcW w:w="5400" w:type="dxa"/>
                              </w:tcPr>
                              <w:p w14:paraId="42F46775" w14:textId="65B2559D" w:rsidR="003B3D34" w:rsidRDefault="00617E38">
                                <w:r>
                                  <w:t>21 februari 2025</w:t>
                                </w:r>
                              </w:p>
                            </w:tc>
                          </w:tr>
                          <w:tr w:rsidR="003B3D34" w14:paraId="68A599E5" w14:textId="77777777">
                            <w:trPr>
                              <w:trHeight w:val="240"/>
                            </w:trPr>
                            <w:tc>
                              <w:tcPr>
                                <w:tcW w:w="1140" w:type="dxa"/>
                              </w:tcPr>
                              <w:p w14:paraId="5426690D" w14:textId="77777777" w:rsidR="003B3D34" w:rsidRDefault="001E5D4D">
                                <w:r>
                                  <w:t>Betreft</w:t>
                                </w:r>
                              </w:p>
                            </w:tc>
                            <w:tc>
                              <w:tcPr>
                                <w:tcW w:w="5400" w:type="dxa"/>
                              </w:tcPr>
                              <w:p w14:paraId="60990019" w14:textId="1DDD2C2B" w:rsidR="006478F0" w:rsidRDefault="00CE112F">
                                <w:r>
                                  <w:fldChar w:fldCharType="begin"/>
                                </w:r>
                                <w:r>
                                  <w:instrText xml:space="preserve"> DOCPROPERTY  "Onderwerp"  \* MERGEFORMAT </w:instrText>
                                </w:r>
                                <w:r>
                                  <w:fldChar w:fldCharType="separate"/>
                                </w:r>
                                <w:r>
                                  <w:t>Aanbieding Voortgangsrapportage Hersteloperatie toeslagen over de periode september - december 2024 (19e VGR)</w:t>
                                </w:r>
                                <w:r>
                                  <w:fldChar w:fldCharType="end"/>
                                </w:r>
                              </w:p>
                            </w:tc>
                          </w:tr>
                          <w:tr w:rsidR="003B3D34" w14:paraId="0645AAD9" w14:textId="77777777">
                            <w:trPr>
                              <w:trHeight w:val="200"/>
                            </w:trPr>
                            <w:tc>
                              <w:tcPr>
                                <w:tcW w:w="1140" w:type="dxa"/>
                              </w:tcPr>
                              <w:p w14:paraId="340DC5BA" w14:textId="77777777" w:rsidR="003B3D34" w:rsidRDefault="003B3D34"/>
                            </w:tc>
                            <w:tc>
                              <w:tcPr>
                                <w:tcW w:w="4738" w:type="dxa"/>
                              </w:tcPr>
                              <w:p w14:paraId="0F673AC1" w14:textId="77777777" w:rsidR="003B3D34" w:rsidRDefault="003B3D34"/>
                            </w:tc>
                          </w:tr>
                        </w:tbl>
                        <w:p w14:paraId="39B80B2B" w14:textId="77777777" w:rsidR="001E5D4D" w:rsidRDefault="001E5D4D"/>
                      </w:txbxContent>
                    </wps:txbx>
                    <wps:bodyPr vert="horz" wrap="square" lIns="0" tIns="0" rIns="0" bIns="0" anchor="t" anchorCtr="0"/>
                  </wps:wsp>
                </a:graphicData>
              </a:graphic>
            </wp:anchor>
          </w:drawing>
        </mc:Choice>
        <mc:Fallback>
          <w:pict>
            <v:shape w14:anchorId="2206F2B6"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3B3D34" w14:paraId="30DB79D4" w14:textId="77777777">
                      <w:trPr>
                        <w:trHeight w:val="200"/>
                      </w:trPr>
                      <w:tc>
                        <w:tcPr>
                          <w:tcW w:w="1140" w:type="dxa"/>
                        </w:tcPr>
                        <w:p w14:paraId="61E2B389" w14:textId="77777777" w:rsidR="003B3D34" w:rsidRDefault="003B3D34"/>
                      </w:tc>
                      <w:tc>
                        <w:tcPr>
                          <w:tcW w:w="5400" w:type="dxa"/>
                        </w:tcPr>
                        <w:p w14:paraId="510E68E8" w14:textId="77777777" w:rsidR="003B3D34" w:rsidRDefault="003B3D34"/>
                      </w:tc>
                    </w:tr>
                    <w:tr w:rsidR="003B3D34" w14:paraId="3531D789" w14:textId="77777777">
                      <w:trPr>
                        <w:trHeight w:val="240"/>
                      </w:trPr>
                      <w:tc>
                        <w:tcPr>
                          <w:tcW w:w="1140" w:type="dxa"/>
                        </w:tcPr>
                        <w:p w14:paraId="6EDD82EB" w14:textId="77777777" w:rsidR="003B3D34" w:rsidRDefault="001E5D4D">
                          <w:r>
                            <w:t>Datum</w:t>
                          </w:r>
                        </w:p>
                      </w:tc>
                      <w:tc>
                        <w:tcPr>
                          <w:tcW w:w="5400" w:type="dxa"/>
                        </w:tcPr>
                        <w:p w14:paraId="42F46775" w14:textId="65B2559D" w:rsidR="003B3D34" w:rsidRDefault="00617E38">
                          <w:r>
                            <w:t>21 februari 2025</w:t>
                          </w:r>
                        </w:p>
                      </w:tc>
                    </w:tr>
                    <w:tr w:rsidR="003B3D34" w14:paraId="68A599E5" w14:textId="77777777">
                      <w:trPr>
                        <w:trHeight w:val="240"/>
                      </w:trPr>
                      <w:tc>
                        <w:tcPr>
                          <w:tcW w:w="1140" w:type="dxa"/>
                        </w:tcPr>
                        <w:p w14:paraId="5426690D" w14:textId="77777777" w:rsidR="003B3D34" w:rsidRDefault="001E5D4D">
                          <w:r>
                            <w:t>Betreft</w:t>
                          </w:r>
                        </w:p>
                      </w:tc>
                      <w:tc>
                        <w:tcPr>
                          <w:tcW w:w="5400" w:type="dxa"/>
                        </w:tcPr>
                        <w:p w14:paraId="60990019" w14:textId="1DDD2C2B" w:rsidR="006478F0" w:rsidRDefault="00CE112F">
                          <w:r>
                            <w:fldChar w:fldCharType="begin"/>
                          </w:r>
                          <w:r>
                            <w:instrText xml:space="preserve"> DOCPROPERTY  "Onderwerp"  \* MERGEFORMAT </w:instrText>
                          </w:r>
                          <w:r>
                            <w:fldChar w:fldCharType="separate"/>
                          </w:r>
                          <w:r>
                            <w:t>Aanbieding Voortgangsrapportage Hersteloperatie toeslagen over de periode september - december 2024 (19e VGR)</w:t>
                          </w:r>
                          <w:r>
                            <w:fldChar w:fldCharType="end"/>
                          </w:r>
                        </w:p>
                      </w:tc>
                    </w:tr>
                    <w:tr w:rsidR="003B3D34" w14:paraId="0645AAD9" w14:textId="77777777">
                      <w:trPr>
                        <w:trHeight w:val="200"/>
                      </w:trPr>
                      <w:tc>
                        <w:tcPr>
                          <w:tcW w:w="1140" w:type="dxa"/>
                        </w:tcPr>
                        <w:p w14:paraId="340DC5BA" w14:textId="77777777" w:rsidR="003B3D34" w:rsidRDefault="003B3D34"/>
                      </w:tc>
                      <w:tc>
                        <w:tcPr>
                          <w:tcW w:w="4738" w:type="dxa"/>
                        </w:tcPr>
                        <w:p w14:paraId="0F673AC1" w14:textId="77777777" w:rsidR="003B3D34" w:rsidRDefault="003B3D34"/>
                      </w:tc>
                    </w:tr>
                  </w:tbl>
                  <w:p w14:paraId="39B80B2B" w14:textId="77777777" w:rsidR="001E5D4D" w:rsidRDefault="001E5D4D"/>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FA5B9E8" wp14:editId="23D9C8A2">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32E8794D" w14:textId="5D88F57F" w:rsidR="006478F0" w:rsidRDefault="00CE112F">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4FA5B9E8"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32E8794D" w14:textId="5D88F57F" w:rsidR="006478F0" w:rsidRDefault="00CE112F">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4F2B009" wp14:editId="1D584A86">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71FABC37" w14:textId="77777777" w:rsidR="001E5D4D" w:rsidRDefault="001E5D4D"/>
                      </w:txbxContent>
                    </wps:txbx>
                    <wps:bodyPr vert="horz" wrap="square" lIns="0" tIns="0" rIns="0" bIns="0" anchor="t" anchorCtr="0"/>
                  </wps:wsp>
                </a:graphicData>
              </a:graphic>
            </wp:anchor>
          </w:drawing>
        </mc:Choice>
        <mc:Fallback>
          <w:pict>
            <v:shape w14:anchorId="74F2B009"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71FABC37" w14:textId="77777777" w:rsidR="001E5D4D" w:rsidRDefault="001E5D4D"/>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C05CF8"/>
    <w:multiLevelType w:val="multilevel"/>
    <w:tmpl w:val="EF17055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CC8C063F"/>
    <w:multiLevelType w:val="multilevel"/>
    <w:tmpl w:val="7CFC4FC3"/>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FE1DE02"/>
    <w:multiLevelType w:val="multilevel"/>
    <w:tmpl w:val="4E4AA2C9"/>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1260BD"/>
    <w:multiLevelType w:val="multilevel"/>
    <w:tmpl w:val="2D0D3BD2"/>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66FD980"/>
    <w:multiLevelType w:val="multilevel"/>
    <w:tmpl w:val="4FABB7C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6D116F42"/>
    <w:multiLevelType w:val="multilevel"/>
    <w:tmpl w:val="81FB38E0"/>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7579500">
    <w:abstractNumId w:val="2"/>
  </w:num>
  <w:num w:numId="2" w16cid:durableId="1369603535">
    <w:abstractNumId w:val="1"/>
  </w:num>
  <w:num w:numId="3" w16cid:durableId="619843275">
    <w:abstractNumId w:val="4"/>
  </w:num>
  <w:num w:numId="4" w16cid:durableId="593132473">
    <w:abstractNumId w:val="0"/>
  </w:num>
  <w:num w:numId="5" w16cid:durableId="328948294">
    <w:abstractNumId w:val="5"/>
  </w:num>
  <w:num w:numId="6" w16cid:durableId="5372805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D34"/>
    <w:rsid w:val="001E5D4D"/>
    <w:rsid w:val="002F3DDB"/>
    <w:rsid w:val="003B3D34"/>
    <w:rsid w:val="0050469C"/>
    <w:rsid w:val="005C3839"/>
    <w:rsid w:val="00617E38"/>
    <w:rsid w:val="006478F0"/>
    <w:rsid w:val="006C3D8F"/>
    <w:rsid w:val="009A16EE"/>
    <w:rsid w:val="00AB2E11"/>
    <w:rsid w:val="00AC55C6"/>
    <w:rsid w:val="00AF607A"/>
    <w:rsid w:val="00BC197D"/>
    <w:rsid w:val="00C8164F"/>
    <w:rsid w:val="00CE112F"/>
    <w:rsid w:val="00CF7856"/>
    <w:rsid w:val="00D65260"/>
    <w:rsid w:val="00E34CF1"/>
    <w:rsid w:val="00E7048A"/>
    <w:rsid w:val="00FB0D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A8977"/>
  <w15:docId w15:val="{4EF5C64D-2D1A-4C50-97BC-BED274E0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FB0D7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B0D74"/>
    <w:rPr>
      <w:rFonts w:ascii="Verdana" w:hAnsi="Verdana"/>
      <w:color w:val="000000"/>
      <w:sz w:val="18"/>
      <w:szCs w:val="18"/>
    </w:rPr>
  </w:style>
  <w:style w:type="paragraph" w:styleId="Voettekst">
    <w:name w:val="footer"/>
    <w:basedOn w:val="Standaard"/>
    <w:link w:val="VoettekstChar"/>
    <w:uiPriority w:val="99"/>
    <w:unhideWhenUsed/>
    <w:rsid w:val="00FB0D7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B0D74"/>
    <w:rPr>
      <w:rFonts w:ascii="Verdana" w:hAnsi="Verdana"/>
      <w:color w:val="000000"/>
      <w:sz w:val="18"/>
      <w:szCs w:val="18"/>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Footnote text"/>
    <w:basedOn w:val="Standaard"/>
    <w:link w:val="VoetnoottekstChar"/>
    <w:uiPriority w:val="99"/>
    <w:semiHidden/>
    <w:unhideWhenUsed/>
    <w:rsid w:val="00FB0D74"/>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semiHidden/>
    <w:rsid w:val="00FB0D74"/>
    <w:rPr>
      <w:rFonts w:asciiTheme="minorHAnsi" w:eastAsiaTheme="minorHAnsi" w:hAnsiTheme="minorHAnsi" w:cstheme="minorBidi"/>
      <w:kern w:val="2"/>
      <w:lang w:eastAsia="en-US"/>
      <w14:ligatures w14:val="standardContextual"/>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link w:val="Char1CharCharCarCarCarCarCarCarCarCarCarCar"/>
    <w:uiPriority w:val="99"/>
    <w:unhideWhenUsed/>
    <w:qFormat/>
    <w:rsid w:val="00FB0D74"/>
    <w:rPr>
      <w:vertAlign w:val="superscript"/>
    </w:rPr>
  </w:style>
  <w:style w:type="paragraph" w:customStyle="1" w:styleId="Char1CharCharCarCarCarCarCarCarCarCarCarCar">
    <w:name w:val="Char1 Char Char Car Car Car Car Car Car Car Car Car Car"/>
    <w:basedOn w:val="Standaard"/>
    <w:link w:val="Voetnootmarkering"/>
    <w:uiPriority w:val="99"/>
    <w:rsid w:val="00FB0D74"/>
    <w:pPr>
      <w:autoSpaceDN/>
      <w:spacing w:after="160" w:line="240" w:lineRule="exact"/>
      <w:textAlignment w:val="auto"/>
    </w:pPr>
    <w:rPr>
      <w:rFonts w:ascii="Times New Roman" w:hAnsi="Times New Roman"/>
      <w:color w:val="auto"/>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29474">
      <w:bodyDiv w:val="1"/>
      <w:marLeft w:val="0"/>
      <w:marRight w:val="0"/>
      <w:marTop w:val="0"/>
      <w:marBottom w:val="0"/>
      <w:divBdr>
        <w:top w:val="none" w:sz="0" w:space="0" w:color="auto"/>
        <w:left w:val="none" w:sz="0" w:space="0" w:color="auto"/>
        <w:bottom w:val="none" w:sz="0" w:space="0" w:color="auto"/>
        <w:right w:val="none" w:sz="0" w:space="0" w:color="auto"/>
      </w:divBdr>
    </w:div>
    <w:div w:id="428624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960</ap:Words>
  <ap:Characters>5286</ap:Characters>
  <ap:DocSecurity>0</ap:DocSecurity>
  <ap:Lines>44</ap:Lines>
  <ap:Paragraphs>12</ap:Paragraphs>
  <ap:ScaleCrop>false</ap:ScaleCrop>
  <ap:HeadingPairs>
    <vt:vector baseType="variant" size="2">
      <vt:variant>
        <vt:lpstr>Titel</vt:lpstr>
      </vt:variant>
      <vt:variant>
        <vt:i4>1</vt:i4>
      </vt:variant>
    </vt:vector>
  </ap:HeadingPairs>
  <ap:TitlesOfParts>
    <vt:vector baseType="lpstr" size="1">
      <vt:lpstr>Brief aan Eerste of Tweede Kamer - Aanbieding Voortgangsrapportage Hersteloperatie toeslagen over de periode september - december 2024 (19e VGR)</vt:lpstr>
    </vt:vector>
  </ap:TitlesOfParts>
  <ap:LinksUpToDate>false</ap:LinksUpToDate>
  <ap:CharactersWithSpaces>6234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2025-02-21T14:01:00.0000000Z</lastPrinted>
  <dcterms:created xsi:type="dcterms:W3CDTF">2025-02-21T14:00:00.0000000Z</dcterms:created>
  <dcterms:modified xsi:type="dcterms:W3CDTF">2025-02-21T14:01:00.0000000Z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Aanbieding Voortgangsrapportage Hersteloperatie toeslagen over de periode september - december 2024 (19e VGR)</vt:lpwstr>
  </property>
  <property fmtid="{D5CDD505-2E9C-101B-9397-08002B2CF9AE}" pid="5" name="Publicatiedatum">
    <vt:lpwstr/>
  </property>
  <property fmtid="{D5CDD505-2E9C-101B-9397-08002B2CF9AE}" pid="6" name="Verantwoordelijke organisatie">
    <vt:lpwstr>Programma DG Herstelbeleid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Staten-Generaal_x000d__x000d_Postbus 20018_x000d_2500 EA  DEN HAAG_x000d__x000d_
</vt:lpwstr>
  </property>
  <property fmtid="{D5CDD505-2E9C-101B-9397-08002B2CF9AE}" pid="11" name="Van">
    <vt:lpwstr/>
  </property>
  <property fmtid="{D5CDD505-2E9C-101B-9397-08002B2CF9AE}" pid="12" name="Datum">
    <vt:lpwstr>18 februari 2025</vt:lpwstr>
  </property>
  <property fmtid="{D5CDD505-2E9C-101B-9397-08002B2CF9AE}" pid="13" name="Opgesteld door, Naam">
    <vt:lpwstr/>
  </property>
  <property fmtid="{D5CDD505-2E9C-101B-9397-08002B2CF9AE}" pid="14" name="Opgesteld door, Telefoonnummer">
    <vt:lpwstr>0631020537</vt:lpwstr>
  </property>
  <property fmtid="{D5CDD505-2E9C-101B-9397-08002B2CF9AE}" pid="15" name="Kenmerk">
    <vt:lpwstr>2025-0000047413</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Aanbieding Voortgangsrapportage Hersteloperatie toeslagen over de periode september - december 2024 (19e VGR)</vt:lpwstr>
  </property>
  <property fmtid="{D5CDD505-2E9C-101B-9397-08002B2CF9AE}" pid="30" name="UwKenmerk">
    <vt:lpwstr/>
  </property>
  <property fmtid="{D5CDD505-2E9C-101B-9397-08002B2CF9AE}" pid="31" name="MSIP_Label_e00462cb-1b47-485e-830d-87ca0cc9766d_Enabled">
    <vt:lpwstr>true</vt:lpwstr>
  </property>
  <property fmtid="{D5CDD505-2E9C-101B-9397-08002B2CF9AE}" pid="32" name="MSIP_Label_e00462cb-1b47-485e-830d-87ca0cc9766d_SetDate">
    <vt:lpwstr>2025-02-18T12:35:40Z</vt:lpwstr>
  </property>
  <property fmtid="{D5CDD505-2E9C-101B-9397-08002B2CF9AE}" pid="33" name="MSIP_Label_e00462cb-1b47-485e-830d-87ca0cc9766d_Method">
    <vt:lpwstr>Standard</vt:lpwstr>
  </property>
  <property fmtid="{D5CDD505-2E9C-101B-9397-08002B2CF9AE}" pid="34" name="MSIP_Label_e00462cb-1b47-485e-830d-87ca0cc9766d_Name">
    <vt:lpwstr>Rijksoverheid (DGBEL)</vt:lpwstr>
  </property>
  <property fmtid="{D5CDD505-2E9C-101B-9397-08002B2CF9AE}" pid="35" name="MSIP_Label_e00462cb-1b47-485e-830d-87ca0cc9766d_SiteId">
    <vt:lpwstr>84712536-f524-40a0-913b-5d25ba502732</vt:lpwstr>
  </property>
  <property fmtid="{D5CDD505-2E9C-101B-9397-08002B2CF9AE}" pid="36" name="MSIP_Label_e00462cb-1b47-485e-830d-87ca0cc9766d_ActionId">
    <vt:lpwstr>07e0dc6a-d998-4578-9526-a0713060ddc5</vt:lpwstr>
  </property>
  <property fmtid="{D5CDD505-2E9C-101B-9397-08002B2CF9AE}" pid="37" name="MSIP_Label_e00462cb-1b47-485e-830d-87ca0cc9766d_ContentBits">
    <vt:lpwstr>0</vt:lpwstr>
  </property>
</Properties>
</file>