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933" w:rsidRDefault="00034933" w14:paraId="75CAA4E4" w14:textId="77777777">
      <w:bookmarkStart w:name="_GoBack" w:id="0"/>
      <w:bookmarkEnd w:id="0"/>
    </w:p>
    <w:p w:rsidR="00034933" w:rsidRDefault="00034933" w14:paraId="6FFAB97B" w14:textId="77777777"/>
    <w:p w:rsidRPr="00A64A45" w:rsidR="00766C2D" w:rsidRDefault="00034933" w14:paraId="5F57F0CC" w14:textId="438735D9">
      <w:r>
        <w:br/>
      </w:r>
      <w:r>
        <w:br/>
      </w:r>
      <w:r w:rsidRPr="00A64A45">
        <w:t>Hierbij zend ik</w:t>
      </w:r>
      <w:r w:rsidRPr="00A64A45" w:rsidR="00D52E22">
        <w:t xml:space="preserve"> </w:t>
      </w:r>
      <w:r w:rsidRPr="00A64A45">
        <w:t xml:space="preserve">u de antwoorden op de Kamervragen van het lid Sneller (D66) over het bericht ‘De druppel die de emmer doet overlopen, naar een toekomstbestendige WETS-procedure voor overname van strafexecutie in Nederland de wetgever aan zet’. </w:t>
      </w:r>
      <w:r w:rsidRPr="00A64A45">
        <w:br/>
      </w:r>
      <w:r w:rsidRPr="00A64A45">
        <w:br/>
      </w:r>
      <w:r w:rsidRPr="00A64A45">
        <w:br/>
        <w:t>De Staatssecretaris van Justitie en Veiligheid,</w:t>
      </w:r>
    </w:p>
    <w:p w:rsidRPr="00A64A45" w:rsidR="00034933" w:rsidRDefault="00034933" w14:paraId="1124D66B" w14:textId="77777777"/>
    <w:p w:rsidRPr="00A64A45" w:rsidR="00034933" w:rsidRDefault="00034933" w14:paraId="0A457B0B" w14:textId="77777777"/>
    <w:p w:rsidR="00034933" w:rsidRDefault="00034933" w14:paraId="3107A5B8" w14:textId="77777777"/>
    <w:p w:rsidRPr="00A64A45" w:rsidR="003A091C" w:rsidRDefault="003A091C" w14:paraId="585B5EA6" w14:textId="77777777"/>
    <w:p w:rsidRPr="00A64A45" w:rsidR="00034933" w:rsidP="00034933" w:rsidRDefault="00034933" w14:paraId="340C7E26" w14:textId="4B813DCD">
      <w:r w:rsidRPr="00A64A45">
        <w:t>I. Coenradie</w:t>
      </w:r>
    </w:p>
    <w:p w:rsidRPr="00A64A45" w:rsidR="00766C2D" w:rsidRDefault="00766C2D" w14:paraId="4BBDB20D" w14:textId="77777777"/>
    <w:p w:rsidRPr="00A64A45" w:rsidR="00766C2D" w:rsidRDefault="00766C2D" w14:paraId="476484CC" w14:textId="77777777"/>
    <w:p w:rsidRPr="00A64A45" w:rsidR="00766C2D" w:rsidRDefault="00766C2D" w14:paraId="76476B69" w14:textId="77777777">
      <w:pPr>
        <w:pStyle w:val="WitregelW1bodytekst"/>
      </w:pPr>
    </w:p>
    <w:p w:rsidRPr="00A64A45" w:rsidR="00766C2D" w:rsidRDefault="00766C2D" w14:paraId="2CF08B2A" w14:textId="77777777"/>
    <w:p w:rsidRPr="00A64A45" w:rsidR="00766C2D" w:rsidRDefault="00766C2D" w14:paraId="23179304" w14:textId="77777777"/>
    <w:p w:rsidRPr="00A64A45" w:rsidR="00766C2D" w:rsidRDefault="00766C2D" w14:paraId="5A6FC23D" w14:textId="77777777"/>
    <w:p w:rsidRPr="00A64A45" w:rsidR="00034933" w:rsidRDefault="00034933" w14:paraId="3BF2A3FF" w14:textId="77777777"/>
    <w:p w:rsidRPr="00A64A45" w:rsidR="00034933" w:rsidRDefault="00034933" w14:paraId="60FEEF56" w14:textId="77777777"/>
    <w:p w:rsidRPr="00A64A45" w:rsidR="00034933" w:rsidRDefault="00034933" w14:paraId="786CE0C2" w14:textId="77777777"/>
    <w:p w:rsidRPr="00A64A45" w:rsidR="00034933" w:rsidRDefault="00034933" w14:paraId="46D4D082" w14:textId="77777777"/>
    <w:p w:rsidRPr="00A64A45" w:rsidR="00034933" w:rsidRDefault="00034933" w14:paraId="2FB71075" w14:textId="77777777"/>
    <w:p w:rsidRPr="00A64A45" w:rsidR="00034933" w:rsidRDefault="00034933" w14:paraId="03C57C75" w14:textId="77777777"/>
    <w:p w:rsidRPr="00A64A45" w:rsidR="00034933" w:rsidRDefault="00034933" w14:paraId="38453CF6" w14:textId="77777777"/>
    <w:p w:rsidRPr="00A64A45" w:rsidR="00034933" w:rsidRDefault="00034933" w14:paraId="6A7836A2" w14:textId="77777777"/>
    <w:p w:rsidRPr="00A64A45" w:rsidR="00034933" w:rsidRDefault="00034933" w14:paraId="2172A6A0" w14:textId="77777777"/>
    <w:p w:rsidRPr="00A64A45" w:rsidR="00034933" w:rsidRDefault="00034933" w14:paraId="2AC853D8" w14:textId="77777777"/>
    <w:p w:rsidRPr="00A64A45" w:rsidR="00034933" w:rsidRDefault="00034933" w14:paraId="16A056D4" w14:textId="77777777"/>
    <w:p w:rsidRPr="00A64A45" w:rsidR="00034933" w:rsidRDefault="00034933" w14:paraId="61F18C03" w14:textId="77777777"/>
    <w:p w:rsidRPr="00A64A45" w:rsidR="00034933" w:rsidRDefault="00034933" w14:paraId="1A0D6494" w14:textId="77777777"/>
    <w:p w:rsidRPr="00A64A45" w:rsidR="00034933" w:rsidRDefault="00034933" w14:paraId="1BF769BA" w14:textId="77777777"/>
    <w:p w:rsidRPr="00A64A45" w:rsidR="00034933" w:rsidRDefault="00034933" w14:paraId="74BD6682" w14:textId="77777777"/>
    <w:p w:rsidRPr="00A64A45" w:rsidR="00034933" w:rsidRDefault="00034933" w14:paraId="5FC48BFB" w14:textId="77777777"/>
    <w:p w:rsidRPr="00A64A45" w:rsidR="00034933" w:rsidRDefault="00034933" w14:paraId="7E588F2E" w14:textId="77777777"/>
    <w:p w:rsidRPr="00A64A45" w:rsidR="00034933" w:rsidP="00034933" w:rsidRDefault="00034933" w14:paraId="6AA0ACE4" w14:textId="369052AB">
      <w:pPr>
        <w:spacing w:line="240" w:lineRule="auto"/>
      </w:pPr>
      <w:r w:rsidRPr="00A64A45">
        <w:rPr>
          <w:b/>
          <w:bCs/>
        </w:rPr>
        <w:lastRenderedPageBreak/>
        <w:t>Vragen van het lid Sneller (D66) aan de minister en de staatssecretaris van Justitie en Veiligheid over het bericht ‘De druppel die de emmer doet overlopen, naar een toekomstbestendige WETS-procedure voor overname van strafexecutie in Nederland de wetgever aan zet’.</w:t>
      </w:r>
    </w:p>
    <w:p w:rsidRPr="00A64A45" w:rsidR="00034933" w:rsidP="00034933" w:rsidRDefault="00034933" w14:paraId="3115A4C9" w14:textId="78B3A91D">
      <w:pPr>
        <w:pBdr>
          <w:bottom w:val="single" w:color="auto" w:sz="6" w:space="1"/>
        </w:pBdr>
        <w:rPr>
          <w:b/>
          <w:bCs/>
        </w:rPr>
      </w:pPr>
      <w:r w:rsidRPr="00A64A45">
        <w:rPr>
          <w:b/>
          <w:bCs/>
        </w:rPr>
        <w:t>(ingezonden 14 januari 2025, 2025Z00285)</w:t>
      </w:r>
    </w:p>
    <w:p w:rsidRPr="00A64A45" w:rsidR="00034933" w:rsidP="00034933" w:rsidRDefault="00034933" w14:paraId="36DD3170" w14:textId="77777777">
      <w:pPr>
        <w:pStyle w:val="Standaardcursief"/>
        <w:rPr>
          <w:b/>
          <w:bCs/>
          <w:i w:val="0"/>
          <w:iCs/>
        </w:rPr>
      </w:pPr>
    </w:p>
    <w:p w:rsidR="003A091C" w:rsidP="00034933" w:rsidRDefault="003A091C" w14:paraId="0A9959AE" w14:textId="77777777">
      <w:pPr>
        <w:pStyle w:val="Standaardcursief"/>
        <w:rPr>
          <w:b/>
          <w:bCs/>
          <w:i w:val="0"/>
          <w:iCs/>
        </w:rPr>
      </w:pPr>
    </w:p>
    <w:p w:rsidRPr="00A64A45" w:rsidR="00034933" w:rsidP="00034933" w:rsidRDefault="00034933" w14:paraId="5EBE58AC" w14:textId="444AF4AD">
      <w:pPr>
        <w:pStyle w:val="Standaardcursief"/>
        <w:rPr>
          <w:b/>
          <w:bCs/>
          <w:i w:val="0"/>
          <w:iCs/>
        </w:rPr>
      </w:pPr>
      <w:r w:rsidRPr="00A64A45">
        <w:rPr>
          <w:b/>
          <w:bCs/>
          <w:i w:val="0"/>
          <w:iCs/>
        </w:rPr>
        <w:t>Vraag 1</w:t>
      </w:r>
    </w:p>
    <w:p w:rsidRPr="00A64A45" w:rsidR="00034933" w:rsidP="00034933" w:rsidRDefault="00034933" w14:paraId="16303E7F" w14:textId="4986AEB6">
      <w:pPr>
        <w:pStyle w:val="Standaardcursief"/>
        <w:rPr>
          <w:b/>
          <w:bCs/>
          <w:i w:val="0"/>
          <w:iCs/>
        </w:rPr>
      </w:pPr>
      <w:r w:rsidRPr="00A64A45">
        <w:rPr>
          <w:b/>
          <w:bCs/>
          <w:i w:val="0"/>
          <w:iCs/>
        </w:rPr>
        <w:t>Bent u bekend met het bericht ‘De druppel die de emmer doet overlopen, naar een toekomstbestendige WETS-procedure voor overname van strafexecutie in Nederland, de wetgever aan zet’</w:t>
      </w:r>
      <w:r w:rsidRPr="00A64A45" w:rsidR="00CA15EA">
        <w:rPr>
          <w:rStyle w:val="Voetnootmarkering"/>
          <w:b/>
          <w:bCs/>
          <w:i w:val="0"/>
          <w:iCs/>
        </w:rPr>
        <w:footnoteReference w:id="1"/>
      </w:r>
      <w:r w:rsidRPr="00A64A45">
        <w:rPr>
          <w:b/>
          <w:bCs/>
          <w:i w:val="0"/>
          <w:iCs/>
        </w:rPr>
        <w:t>?</w:t>
      </w:r>
      <w:r w:rsidRPr="00A64A45" w:rsidR="003F4631">
        <w:rPr>
          <w:b/>
          <w:bCs/>
          <w:i w:val="0"/>
          <w:iCs/>
        </w:rPr>
        <w:br/>
      </w:r>
      <w:r w:rsidRPr="00A64A45" w:rsidR="003F4631">
        <w:rPr>
          <w:i w:val="0"/>
          <w:iCs/>
        </w:rPr>
        <w:br/>
      </w:r>
      <w:r w:rsidRPr="00A64A45" w:rsidR="003F4631">
        <w:rPr>
          <w:b/>
          <w:bCs/>
          <w:i w:val="0"/>
          <w:iCs/>
        </w:rPr>
        <w:t>Antwoord op vraag 1</w:t>
      </w:r>
      <w:r w:rsidRPr="00A64A45" w:rsidR="003F4631">
        <w:rPr>
          <w:i w:val="0"/>
          <w:iCs/>
        </w:rPr>
        <w:br/>
        <w:t>Ja</w:t>
      </w:r>
      <w:r w:rsidRPr="00A64A45" w:rsidR="00055529">
        <w:rPr>
          <w:i w:val="0"/>
          <w:iCs/>
        </w:rPr>
        <w:t>.</w:t>
      </w:r>
      <w:r w:rsidRPr="00A64A45">
        <w:rPr>
          <w:b/>
          <w:bCs/>
          <w:i w:val="0"/>
          <w:iCs/>
        </w:rPr>
        <w:br/>
      </w:r>
    </w:p>
    <w:p w:rsidRPr="00A64A45" w:rsidR="00055529" w:rsidP="00055529" w:rsidRDefault="00034933" w14:paraId="19F46332" w14:textId="4F8E2AE3">
      <w:pPr>
        <w:pStyle w:val="Standaardcursief"/>
        <w:rPr>
          <w:b/>
          <w:bCs/>
          <w:i w:val="0"/>
          <w:iCs/>
        </w:rPr>
      </w:pPr>
      <w:r w:rsidRPr="00A64A45">
        <w:rPr>
          <w:b/>
          <w:bCs/>
          <w:i w:val="0"/>
          <w:iCs/>
        </w:rPr>
        <w:t>Vraag 2</w:t>
      </w:r>
      <w:r w:rsidRPr="00A64A45">
        <w:rPr>
          <w:b/>
          <w:bCs/>
          <w:i w:val="0"/>
          <w:iCs/>
        </w:rPr>
        <w:br/>
        <w:t>Wat is uw oordeel over de kwaliteit van rechtsbescherming van veroordeelden in de WETS erkenningsprocedure, waarbij de veroordeelde niet wordt gehoord en geen andere wettelijke mogelijkheid heeft om inbreng te leveren, terwijl de procedure wel effect kan hebben op de kwalificatie van het delict en de strafduur?</w:t>
      </w:r>
    </w:p>
    <w:p w:rsidRPr="00A64A45" w:rsidR="00DD5F9C" w:rsidP="00691A13" w:rsidRDefault="00DD5F9C" w14:paraId="535C0331" w14:textId="7822B199">
      <w:pPr>
        <w:pStyle w:val="Standaardcursief"/>
        <w:rPr>
          <w:i w:val="0"/>
          <w:iCs/>
        </w:rPr>
      </w:pPr>
    </w:p>
    <w:p w:rsidR="003A091C" w:rsidP="00034933" w:rsidRDefault="00CE7E1B" w14:paraId="2CED5BE2" w14:textId="58AFA62E">
      <w:pPr>
        <w:pStyle w:val="Standaardcursief"/>
        <w:rPr>
          <w:i w:val="0"/>
          <w:iCs/>
        </w:rPr>
      </w:pPr>
      <w:r w:rsidRPr="00A64A45">
        <w:rPr>
          <w:b/>
          <w:bCs/>
          <w:i w:val="0"/>
          <w:iCs/>
        </w:rPr>
        <w:t xml:space="preserve">Antwoord </w:t>
      </w:r>
      <w:r w:rsidR="003A091C">
        <w:rPr>
          <w:b/>
          <w:bCs/>
          <w:i w:val="0"/>
          <w:iCs/>
        </w:rPr>
        <w:t xml:space="preserve">op </w:t>
      </w:r>
      <w:r w:rsidRPr="00A64A45">
        <w:rPr>
          <w:b/>
          <w:bCs/>
          <w:i w:val="0"/>
          <w:iCs/>
        </w:rPr>
        <w:t>vraag 2</w:t>
      </w:r>
      <w:r w:rsidRPr="00A64A45">
        <w:rPr>
          <w:b/>
          <w:bCs/>
          <w:i w:val="0"/>
          <w:iCs/>
        </w:rPr>
        <w:br/>
      </w:r>
      <w:r w:rsidRPr="00A64A45" w:rsidR="00EE2073">
        <w:rPr>
          <w:i w:val="0"/>
          <w:iCs/>
        </w:rPr>
        <w:t>Bij de totstandkoming van de Wet wederzijdse erkenning en tenuitvoerlegging vrijheidsbenemende en voorwaardelijke sancties (W</w:t>
      </w:r>
      <w:r w:rsidRPr="00A64A45" w:rsidR="00150FBF">
        <w:rPr>
          <w:i w:val="0"/>
          <w:iCs/>
        </w:rPr>
        <w:t>ETS</w:t>
      </w:r>
      <w:r w:rsidRPr="00A64A45" w:rsidR="00EE2073">
        <w:rPr>
          <w:i w:val="0"/>
          <w:iCs/>
        </w:rPr>
        <w:t xml:space="preserve">) is de rechtsbescherming van de veroordeelde </w:t>
      </w:r>
      <w:r w:rsidRPr="00A64A45" w:rsidR="00B36E80">
        <w:rPr>
          <w:i w:val="0"/>
          <w:iCs/>
        </w:rPr>
        <w:t xml:space="preserve">een belangrijk </w:t>
      </w:r>
      <w:r w:rsidRPr="00A64A45" w:rsidR="00EE2073">
        <w:rPr>
          <w:i w:val="0"/>
          <w:iCs/>
        </w:rPr>
        <w:t xml:space="preserve">punt van aandacht geweest. Daarover is ook uitvoerig met </w:t>
      </w:r>
      <w:r w:rsidRPr="00A64A45" w:rsidR="00D52E22">
        <w:rPr>
          <w:i w:val="0"/>
          <w:iCs/>
        </w:rPr>
        <w:t>u</w:t>
      </w:r>
      <w:r w:rsidRPr="00A64A45" w:rsidR="00EE2073">
        <w:rPr>
          <w:i w:val="0"/>
          <w:iCs/>
        </w:rPr>
        <w:t>w Kamer van gedachten gewisseld. B</w:t>
      </w:r>
      <w:r w:rsidRPr="00A64A45" w:rsidR="00C61F75">
        <w:rPr>
          <w:i w:val="0"/>
          <w:iCs/>
        </w:rPr>
        <w:t xml:space="preserve">ij de implementatie van het </w:t>
      </w:r>
      <w:r w:rsidRPr="00A64A45" w:rsidR="00B8037B">
        <w:rPr>
          <w:i w:val="0"/>
          <w:iCs/>
        </w:rPr>
        <w:t>k</w:t>
      </w:r>
      <w:r w:rsidRPr="00A64A45" w:rsidR="00C61F75">
        <w:rPr>
          <w:i w:val="0"/>
          <w:iCs/>
        </w:rPr>
        <w:t xml:space="preserve">aderbesluit </w:t>
      </w:r>
      <w:r w:rsidRPr="00A64A45" w:rsidR="00E548F9">
        <w:rPr>
          <w:i w:val="0"/>
          <w:iCs/>
        </w:rPr>
        <w:t xml:space="preserve">2008/909/JBZ (kaderbesluit) </w:t>
      </w:r>
      <w:r w:rsidRPr="00A64A45" w:rsidR="00EE2073">
        <w:rPr>
          <w:i w:val="0"/>
          <w:iCs/>
        </w:rPr>
        <w:t xml:space="preserve">is – gelet op het belang van rechtsbescherming </w:t>
      </w:r>
      <w:r w:rsidRPr="00A64A45" w:rsidR="00C05347">
        <w:rPr>
          <w:i w:val="0"/>
          <w:iCs/>
        </w:rPr>
        <w:t xml:space="preserve">– </w:t>
      </w:r>
      <w:r w:rsidRPr="00A64A45" w:rsidR="00C61F75">
        <w:rPr>
          <w:i w:val="0"/>
          <w:iCs/>
        </w:rPr>
        <w:t>besloten om een aantal vanuit het perspectief van de veroordeelde meest wezenlijke onderdelen van de erkenningsbeslissing voor te leggen aan</w:t>
      </w:r>
      <w:r w:rsidRPr="00A64A45" w:rsidR="00B8037B">
        <w:rPr>
          <w:i w:val="0"/>
          <w:iCs/>
        </w:rPr>
        <w:t xml:space="preserve"> de penitentiaire kamer van</w:t>
      </w:r>
      <w:r w:rsidRPr="00A64A45" w:rsidR="00C61F75">
        <w:rPr>
          <w:i w:val="0"/>
          <w:iCs/>
        </w:rPr>
        <w:t xml:space="preserve"> het gerechtshof Arnhem-Leeuwarden</w:t>
      </w:r>
      <w:r w:rsidRPr="00A64A45" w:rsidR="00F176AF">
        <w:rPr>
          <w:i w:val="0"/>
          <w:iCs/>
        </w:rPr>
        <w:t xml:space="preserve"> (het gerechtshof)</w:t>
      </w:r>
      <w:r w:rsidRPr="00A64A45" w:rsidR="00C61F75">
        <w:rPr>
          <w:i w:val="0"/>
          <w:iCs/>
        </w:rPr>
        <w:t xml:space="preserve">. </w:t>
      </w:r>
      <w:r w:rsidRPr="00A64A45" w:rsidR="00DD5F9C">
        <w:rPr>
          <w:i w:val="0"/>
          <w:iCs/>
        </w:rPr>
        <w:t xml:space="preserve">Dit betreft de kwalificatie van het gepleegde strafbare feit naar Nederlands recht, de verenigbaarheid van de straf met het Nederlands recht en een eventuele aanpassing van de straf. </w:t>
      </w:r>
      <w:r w:rsidRPr="00A64A45" w:rsidR="00FD07A2">
        <w:rPr>
          <w:i w:val="0"/>
          <w:iCs/>
        </w:rPr>
        <w:t>De afdeling Internationale Overdracht Strafvonnissen (IOS) van de Dienst Justitiële Inrichtingen (DJI)</w:t>
      </w:r>
      <w:r w:rsidRPr="00A64A45" w:rsidR="0076735F">
        <w:rPr>
          <w:i w:val="0"/>
          <w:iCs/>
        </w:rPr>
        <w:t xml:space="preserve"> besluit vervolgens </w:t>
      </w:r>
      <w:r w:rsidRPr="00A64A45" w:rsidR="00FD07A2">
        <w:rPr>
          <w:i w:val="0"/>
          <w:iCs/>
        </w:rPr>
        <w:t xml:space="preserve">namens mij </w:t>
      </w:r>
      <w:r w:rsidRPr="00A64A45" w:rsidR="0076735F">
        <w:rPr>
          <w:i w:val="0"/>
          <w:iCs/>
        </w:rPr>
        <w:t>over de erkenning</w:t>
      </w:r>
      <w:r w:rsidRPr="00A64A45" w:rsidR="00EE2073">
        <w:rPr>
          <w:i w:val="0"/>
          <w:iCs/>
        </w:rPr>
        <w:t xml:space="preserve"> en </w:t>
      </w:r>
      <w:r w:rsidRPr="00A64A45" w:rsidR="003F2A33">
        <w:rPr>
          <w:i w:val="0"/>
          <w:iCs/>
        </w:rPr>
        <w:t>neem</w:t>
      </w:r>
      <w:r w:rsidRPr="00A64A45" w:rsidR="00B36E80">
        <w:rPr>
          <w:i w:val="0"/>
          <w:iCs/>
        </w:rPr>
        <w:t>t</w:t>
      </w:r>
      <w:r w:rsidRPr="00A64A45" w:rsidR="003F2A33">
        <w:rPr>
          <w:i w:val="0"/>
          <w:iCs/>
        </w:rPr>
        <w:t xml:space="preserve"> </w:t>
      </w:r>
      <w:r w:rsidRPr="00A64A45" w:rsidR="00EE2073">
        <w:rPr>
          <w:i w:val="0"/>
          <w:iCs/>
        </w:rPr>
        <w:t>daarbij het oordeel van het gerechtshof</w:t>
      </w:r>
      <w:r w:rsidRPr="00A64A45" w:rsidR="003F2A33">
        <w:rPr>
          <w:i w:val="0"/>
          <w:iCs/>
        </w:rPr>
        <w:t xml:space="preserve"> in acht</w:t>
      </w:r>
      <w:r w:rsidRPr="00A64A45" w:rsidR="00C05347">
        <w:rPr>
          <w:i w:val="0"/>
          <w:iCs/>
        </w:rPr>
        <w:t>.</w:t>
      </w:r>
      <w:r w:rsidRPr="00A64A45" w:rsidR="006D4700">
        <w:rPr>
          <w:rStyle w:val="Voetnootmarkering"/>
          <w:i w:val="0"/>
          <w:iCs/>
        </w:rPr>
        <w:footnoteReference w:id="2"/>
      </w:r>
      <w:r w:rsidRPr="00A64A45" w:rsidR="0076735F">
        <w:rPr>
          <w:i w:val="0"/>
          <w:iCs/>
        </w:rPr>
        <w:t xml:space="preserve"> </w:t>
      </w:r>
      <w:r w:rsidRPr="00A64A45" w:rsidR="00EE2073">
        <w:rPr>
          <w:i w:val="0"/>
          <w:iCs/>
        </w:rPr>
        <w:t xml:space="preserve">De wetgever was van oordeel dat daarmee </w:t>
      </w:r>
      <w:r w:rsidRPr="00A64A45" w:rsidR="00C05347">
        <w:rPr>
          <w:i w:val="0"/>
          <w:iCs/>
        </w:rPr>
        <w:t xml:space="preserve">bij de implementatie </w:t>
      </w:r>
      <w:r w:rsidRPr="00A64A45" w:rsidR="00EE2073">
        <w:rPr>
          <w:i w:val="0"/>
          <w:iCs/>
        </w:rPr>
        <w:t>is</w:t>
      </w:r>
      <w:r w:rsidRPr="00A64A45" w:rsidR="00DD5F9C">
        <w:rPr>
          <w:i w:val="0"/>
          <w:iCs/>
        </w:rPr>
        <w:t xml:space="preserve"> voorzien in een adequate en met voldoende waarborgen omklede procedure die aansluit bij de nationale verhoudingen.</w:t>
      </w:r>
      <w:r w:rsidRPr="00A64A45" w:rsidR="000D0D17">
        <w:rPr>
          <w:rStyle w:val="Voetnootmarkering"/>
          <w:i w:val="0"/>
          <w:iCs/>
        </w:rPr>
        <w:footnoteReference w:id="3"/>
      </w:r>
      <w:r w:rsidRPr="00A64A45" w:rsidR="00DD5F9C">
        <w:rPr>
          <w:i w:val="0"/>
          <w:iCs/>
        </w:rPr>
        <w:t xml:space="preserve"> Of er aanleiding bestaat om de </w:t>
      </w:r>
      <w:r w:rsidRPr="00A64A45" w:rsidR="00B8037B">
        <w:rPr>
          <w:i w:val="0"/>
          <w:iCs/>
        </w:rPr>
        <w:t>erkennings</w:t>
      </w:r>
      <w:r w:rsidRPr="00A64A45" w:rsidR="00DD5F9C">
        <w:rPr>
          <w:i w:val="0"/>
          <w:iCs/>
        </w:rPr>
        <w:t>procedure, wat betreft de rechtsbescherming van de veroordeelde, te herzien, is onderwerp van het reeds aangekondigde onderzoek van het Wetenschappelijk Onderzoek- en D</w:t>
      </w:r>
      <w:r w:rsidRPr="00A64A45" w:rsidR="00C05347">
        <w:rPr>
          <w:i w:val="0"/>
          <w:iCs/>
        </w:rPr>
        <w:t>ata</w:t>
      </w:r>
      <w:r w:rsidRPr="00A64A45" w:rsidR="00DD5F9C">
        <w:rPr>
          <w:i w:val="0"/>
          <w:iCs/>
        </w:rPr>
        <w:t xml:space="preserve">centrum (WODC). </w:t>
      </w:r>
    </w:p>
    <w:p w:rsidRPr="00A64A45" w:rsidR="00034933" w:rsidP="00034933" w:rsidRDefault="00DD5F9C" w14:paraId="53DA5731" w14:textId="381230F8">
      <w:pPr>
        <w:pStyle w:val="Standaardcursief"/>
        <w:rPr>
          <w:i w:val="0"/>
          <w:iCs/>
        </w:rPr>
      </w:pPr>
      <w:r w:rsidRPr="00A64A45">
        <w:rPr>
          <w:i w:val="0"/>
          <w:iCs/>
        </w:rPr>
        <w:t>Ik licht de reikwijdte van dat onderzoek verder toe</w:t>
      </w:r>
      <w:r w:rsidRPr="00A64A45" w:rsidR="00C61F75">
        <w:rPr>
          <w:i w:val="0"/>
          <w:iCs/>
        </w:rPr>
        <w:t xml:space="preserve"> in de beantwoording van de vragen 8 </w:t>
      </w:r>
      <w:r w:rsidRPr="00A64A45" w:rsidR="000D0D17">
        <w:rPr>
          <w:i w:val="0"/>
          <w:iCs/>
        </w:rPr>
        <w:t>tot en met</w:t>
      </w:r>
      <w:r w:rsidRPr="00A64A45" w:rsidR="00C61F75">
        <w:rPr>
          <w:i w:val="0"/>
          <w:iCs/>
        </w:rPr>
        <w:t xml:space="preserve"> 10.</w:t>
      </w:r>
      <w:r w:rsidRPr="00A64A45" w:rsidR="000D0D17">
        <w:rPr>
          <w:i w:val="0"/>
          <w:iCs/>
        </w:rPr>
        <w:t xml:space="preserve"> </w:t>
      </w:r>
      <w:r w:rsidRPr="00A64A45" w:rsidR="00034933">
        <w:rPr>
          <w:i w:val="0"/>
          <w:iCs/>
        </w:rPr>
        <w:br/>
      </w:r>
    </w:p>
    <w:p w:rsidRPr="00A64A45" w:rsidR="00034933" w:rsidP="00034933" w:rsidRDefault="00034933" w14:paraId="7A4FD075" w14:textId="4CDD5CDF">
      <w:pPr>
        <w:pStyle w:val="Standaardcursief"/>
        <w:rPr>
          <w:b/>
          <w:bCs/>
          <w:i w:val="0"/>
          <w:iCs/>
        </w:rPr>
      </w:pPr>
      <w:r w:rsidRPr="00A64A45">
        <w:rPr>
          <w:b/>
          <w:bCs/>
          <w:i w:val="0"/>
          <w:iCs/>
        </w:rPr>
        <w:t>Vraag 3</w:t>
      </w:r>
      <w:r w:rsidRPr="00A64A45">
        <w:rPr>
          <w:b/>
          <w:bCs/>
          <w:i w:val="0"/>
          <w:iCs/>
        </w:rPr>
        <w:br/>
        <w:t>Erkent u dat het feit dat veroordeelden zich alleen kunnen verdedigen via de civiele rechter, die een beperkte toetsingsmaatstaf heeft omdat zij uitsluitend bevoegd is zover sprake is van een vordering uit onrechtmatige daad, in de praktijk leidt tot een problematische situatie voor veroordeelden?</w:t>
      </w:r>
      <w:r w:rsidRPr="00A64A45">
        <w:rPr>
          <w:b/>
          <w:bCs/>
          <w:i w:val="0"/>
          <w:iCs/>
        </w:rPr>
        <w:br/>
      </w:r>
    </w:p>
    <w:p w:rsidRPr="00A64A45" w:rsidR="00034933" w:rsidP="00034933" w:rsidRDefault="00034933" w14:paraId="11DC3C49" w14:textId="77777777">
      <w:pPr>
        <w:pStyle w:val="Standaardcursief"/>
        <w:rPr>
          <w:b/>
          <w:bCs/>
          <w:i w:val="0"/>
          <w:iCs/>
        </w:rPr>
      </w:pPr>
      <w:r w:rsidRPr="00A64A45">
        <w:rPr>
          <w:b/>
          <w:bCs/>
          <w:i w:val="0"/>
          <w:iCs/>
        </w:rPr>
        <w:t>Vraag 4</w:t>
      </w:r>
    </w:p>
    <w:p w:rsidRPr="00A64A45" w:rsidR="00A9013B" w:rsidP="0089051E" w:rsidRDefault="00034933" w14:paraId="2CCBA6D3" w14:textId="5971D2D0">
      <w:pPr>
        <w:pStyle w:val="Standaardcursief"/>
        <w:rPr>
          <w:i w:val="0"/>
          <w:iCs/>
          <w:color w:val="auto"/>
        </w:rPr>
      </w:pPr>
      <w:r w:rsidRPr="00A64A45">
        <w:rPr>
          <w:b/>
          <w:bCs/>
          <w:i w:val="0"/>
          <w:iCs/>
        </w:rPr>
        <w:t>Is de civiele rechter op dit moment bevoegd om zich uit te laten over de beslissing van de minister en/of het oordeel van het Gerechtshof Arnhem-Leeuwarden als de beslissing middels een civielrechtelijke procedure aan bod komt?</w:t>
      </w:r>
      <w:r w:rsidRPr="00A64A45" w:rsidR="006B3DE9">
        <w:rPr>
          <w:b/>
          <w:bCs/>
          <w:i w:val="0"/>
          <w:iCs/>
        </w:rPr>
        <w:br/>
      </w:r>
      <w:r w:rsidRPr="00A64A45" w:rsidR="006B3DE9">
        <w:rPr>
          <w:b/>
          <w:bCs/>
          <w:i w:val="0"/>
          <w:iCs/>
        </w:rPr>
        <w:br/>
        <w:t>Antwoord</w:t>
      </w:r>
      <w:r w:rsidR="003A091C">
        <w:rPr>
          <w:b/>
          <w:bCs/>
          <w:i w:val="0"/>
          <w:iCs/>
        </w:rPr>
        <w:t xml:space="preserve"> op </w:t>
      </w:r>
      <w:r w:rsidRPr="00A64A45" w:rsidR="006B3DE9">
        <w:rPr>
          <w:b/>
          <w:bCs/>
          <w:i w:val="0"/>
          <w:iCs/>
        </w:rPr>
        <w:t>vragen 3 en 4</w:t>
      </w:r>
      <w:r w:rsidRPr="00A64A45" w:rsidR="006B3DE9">
        <w:rPr>
          <w:b/>
          <w:bCs/>
          <w:i w:val="0"/>
          <w:iCs/>
          <w:color w:val="auto"/>
        </w:rPr>
        <w:br/>
      </w:r>
      <w:r w:rsidRPr="00A64A45" w:rsidR="00C906B1">
        <w:rPr>
          <w:i w:val="0"/>
          <w:iCs/>
          <w:color w:val="auto"/>
        </w:rPr>
        <w:t xml:space="preserve">Nee, dat erken ik niet. </w:t>
      </w:r>
      <w:r w:rsidRPr="00A64A45" w:rsidR="00AE6CA6">
        <w:rPr>
          <w:i w:val="0"/>
          <w:iCs/>
          <w:color w:val="auto"/>
        </w:rPr>
        <w:t xml:space="preserve">Wanneer een veroordeelde meent dat de Staat door de erkenning van een vonnis onrechtmatig heeft gehandeld in de zin van artikel 6:162 BW, kan hij zich tot de civiele rechter wenden. </w:t>
      </w:r>
      <w:r w:rsidRPr="00A64A45" w:rsidR="006B3DE9">
        <w:rPr>
          <w:i w:val="0"/>
          <w:iCs/>
          <w:color w:val="auto"/>
        </w:rPr>
        <w:t xml:space="preserve">Hij kan </w:t>
      </w:r>
      <w:r w:rsidRPr="00A64A45" w:rsidR="00EE2073">
        <w:rPr>
          <w:i w:val="0"/>
          <w:iCs/>
          <w:color w:val="auto"/>
        </w:rPr>
        <w:t xml:space="preserve">dan </w:t>
      </w:r>
      <w:r w:rsidRPr="00A64A45" w:rsidR="006B3DE9">
        <w:rPr>
          <w:i w:val="0"/>
          <w:iCs/>
          <w:color w:val="auto"/>
        </w:rPr>
        <w:t xml:space="preserve">bij de civiele rechter vorderen dit vast te stellen en de erkenningsbeslissing te doen heroverwegen of aan te passen. </w:t>
      </w:r>
      <w:r w:rsidRPr="00A64A45" w:rsidR="00EE2073">
        <w:rPr>
          <w:i w:val="0"/>
          <w:iCs/>
          <w:color w:val="auto"/>
        </w:rPr>
        <w:t xml:space="preserve">De civiele rechter is bevoegd hierover te oordelen. </w:t>
      </w:r>
      <w:r w:rsidRPr="00A64A45" w:rsidR="00BF2501">
        <w:rPr>
          <w:i w:val="0"/>
          <w:iCs/>
          <w:color w:val="auto"/>
        </w:rPr>
        <w:t>Of een veroordeelde ontvankelijk is</w:t>
      </w:r>
      <w:r w:rsidRPr="00A64A45" w:rsidR="004D6B8F">
        <w:rPr>
          <w:i w:val="0"/>
          <w:iCs/>
          <w:color w:val="auto"/>
        </w:rPr>
        <w:t xml:space="preserve"> in</w:t>
      </w:r>
      <w:r w:rsidRPr="00A64A45" w:rsidR="00BF2501">
        <w:rPr>
          <w:i w:val="0"/>
          <w:iCs/>
          <w:color w:val="auto"/>
        </w:rPr>
        <w:t xml:space="preserve"> zijn vordering en hoever de mate van toetsing reikt, is ter beoordeling van de civiele rechter.</w:t>
      </w:r>
      <w:r w:rsidRPr="00A64A45" w:rsidR="00F265AD">
        <w:rPr>
          <w:i w:val="0"/>
          <w:iCs/>
          <w:color w:val="auto"/>
        </w:rPr>
        <w:t xml:space="preserve"> </w:t>
      </w:r>
    </w:p>
    <w:p w:rsidRPr="00A64A45" w:rsidR="007917F5" w:rsidP="007917F5" w:rsidRDefault="007917F5" w14:paraId="1D2E29D9" w14:textId="77777777"/>
    <w:p w:rsidRPr="00A64A45" w:rsidR="00034933" w:rsidP="0089051E" w:rsidRDefault="00034933" w14:paraId="4C264F58" w14:textId="25E095D8">
      <w:pPr>
        <w:pStyle w:val="Standaardcursief"/>
        <w:rPr>
          <w:b/>
          <w:bCs/>
          <w:iCs/>
        </w:rPr>
      </w:pPr>
      <w:r w:rsidRPr="00A64A45">
        <w:rPr>
          <w:b/>
          <w:bCs/>
          <w:i w:val="0"/>
          <w:iCs/>
        </w:rPr>
        <w:t>Vraag 5</w:t>
      </w:r>
    </w:p>
    <w:p w:rsidRPr="00A64A45" w:rsidR="006F0068" w:rsidP="0089051E" w:rsidRDefault="00034933" w14:paraId="0E0F1C99" w14:textId="49CF73EB">
      <w:pPr>
        <w:rPr>
          <w:i/>
        </w:rPr>
      </w:pPr>
      <w:r w:rsidRPr="00A64A45">
        <w:rPr>
          <w:b/>
          <w:bCs/>
          <w:iCs/>
        </w:rPr>
        <w:t>Zijn er afspraken (op papier of in een andere vorm) in de praktijk waarin veroordeelden ruimte wordt geboden inbreng te leveren voor de procedure? Zo ja, welke afspraken zijn dit?</w:t>
      </w:r>
      <w:r w:rsidRPr="00A64A45" w:rsidR="00182662">
        <w:rPr>
          <w:b/>
          <w:bCs/>
          <w:iCs/>
        </w:rPr>
        <w:br/>
      </w:r>
      <w:r w:rsidRPr="00A64A45" w:rsidR="00182662">
        <w:rPr>
          <w:b/>
          <w:bCs/>
          <w:iCs/>
        </w:rPr>
        <w:br/>
        <w:t xml:space="preserve">Antwoord </w:t>
      </w:r>
      <w:r w:rsidR="003A091C">
        <w:rPr>
          <w:b/>
          <w:bCs/>
          <w:iCs/>
        </w:rPr>
        <w:t xml:space="preserve">op </w:t>
      </w:r>
      <w:r w:rsidRPr="00A64A45" w:rsidR="00182662">
        <w:rPr>
          <w:b/>
          <w:bCs/>
          <w:iCs/>
        </w:rPr>
        <w:t>vraag 5</w:t>
      </w:r>
      <w:r w:rsidRPr="00A64A45" w:rsidR="00182662">
        <w:rPr>
          <w:b/>
          <w:bCs/>
          <w:iCs/>
        </w:rPr>
        <w:br/>
      </w:r>
      <w:r w:rsidRPr="00A64A45" w:rsidR="00182662">
        <w:rPr>
          <w:iCs/>
        </w:rPr>
        <w:t>In de praktijk is de</w:t>
      </w:r>
      <w:r w:rsidRPr="00A64A45" w:rsidR="009B0775">
        <w:rPr>
          <w:iCs/>
        </w:rPr>
        <w:t xml:space="preserve"> </w:t>
      </w:r>
      <w:r w:rsidRPr="00A64A45" w:rsidR="006F0068">
        <w:rPr>
          <w:iCs/>
        </w:rPr>
        <w:t xml:space="preserve">ongeschreven </w:t>
      </w:r>
      <w:r w:rsidRPr="00A64A45" w:rsidR="00182662">
        <w:rPr>
          <w:iCs/>
        </w:rPr>
        <w:t>werkwijze ontstaan dat een veroordeelde een schriftelijke zienswijze kan indienen</w:t>
      </w:r>
      <w:r w:rsidRPr="00A64A45" w:rsidR="008D25B5">
        <w:rPr>
          <w:iCs/>
        </w:rPr>
        <w:t xml:space="preserve"> </w:t>
      </w:r>
      <w:r w:rsidRPr="00A64A45" w:rsidR="00EE2073">
        <w:rPr>
          <w:iCs/>
        </w:rPr>
        <w:t xml:space="preserve">bij </w:t>
      </w:r>
      <w:r w:rsidRPr="00A64A45" w:rsidR="00182662">
        <w:rPr>
          <w:iCs/>
        </w:rPr>
        <w:t xml:space="preserve">de </w:t>
      </w:r>
      <w:r w:rsidRPr="00A64A45" w:rsidR="00B00445">
        <w:rPr>
          <w:iCs/>
        </w:rPr>
        <w:t>afdeling Internationale Overdracht Strafvonnissen (IOS) van de Dienst Justitiële Inrichtingen (DJI), die namens mij besluit over de erkenning van vrijheidsbenemende vonnissen. De</w:t>
      </w:r>
      <w:r w:rsidRPr="00A64A45" w:rsidR="00182662">
        <w:rPr>
          <w:iCs/>
        </w:rPr>
        <w:t xml:space="preserve"> zienswijze </w:t>
      </w:r>
      <w:r w:rsidRPr="00A64A45" w:rsidR="00B00445">
        <w:rPr>
          <w:iCs/>
        </w:rPr>
        <w:t xml:space="preserve">wordt door hen </w:t>
      </w:r>
      <w:r w:rsidRPr="00A64A45" w:rsidR="00182662">
        <w:rPr>
          <w:iCs/>
        </w:rPr>
        <w:t>door</w:t>
      </w:r>
      <w:r w:rsidRPr="00A64A45" w:rsidR="00B00445">
        <w:rPr>
          <w:iCs/>
        </w:rPr>
        <w:t>gezonden</w:t>
      </w:r>
      <w:r w:rsidRPr="00A64A45" w:rsidR="00182662">
        <w:rPr>
          <w:iCs/>
        </w:rPr>
        <w:t xml:space="preserve"> naar het gerechtshof Arnhem-Leeuwarden. Het gerechtshof betrekt de zienswijze bij </w:t>
      </w:r>
      <w:r w:rsidRPr="00A64A45" w:rsidR="009B0775">
        <w:rPr>
          <w:iCs/>
        </w:rPr>
        <w:t>zijn</w:t>
      </w:r>
      <w:r w:rsidRPr="00A64A45" w:rsidR="00182662">
        <w:rPr>
          <w:iCs/>
        </w:rPr>
        <w:t xml:space="preserve"> beoordeling. Ook</w:t>
      </w:r>
      <w:r w:rsidRPr="00A64A45" w:rsidR="00B00445">
        <w:rPr>
          <w:iCs/>
        </w:rPr>
        <w:t xml:space="preserve"> IOS </w:t>
      </w:r>
      <w:r w:rsidRPr="00A64A45" w:rsidR="00892CC8">
        <w:rPr>
          <w:iCs/>
        </w:rPr>
        <w:t>betrekt de inbreng</w:t>
      </w:r>
      <w:r w:rsidRPr="00A64A45" w:rsidR="00182662">
        <w:rPr>
          <w:iCs/>
        </w:rPr>
        <w:t xml:space="preserve"> bij </w:t>
      </w:r>
      <w:r w:rsidRPr="00A64A45" w:rsidR="00B00445">
        <w:rPr>
          <w:iCs/>
        </w:rPr>
        <w:t xml:space="preserve">de </w:t>
      </w:r>
      <w:r w:rsidRPr="00A64A45" w:rsidR="00182662">
        <w:rPr>
          <w:iCs/>
        </w:rPr>
        <w:t xml:space="preserve">beslissing omtrent </w:t>
      </w:r>
      <w:r w:rsidRPr="00A64A45" w:rsidR="00E14D61">
        <w:rPr>
          <w:iCs/>
        </w:rPr>
        <w:t xml:space="preserve">de </w:t>
      </w:r>
      <w:r w:rsidRPr="00A64A45" w:rsidR="00182662">
        <w:rPr>
          <w:iCs/>
        </w:rPr>
        <w:t>erkenning van het vonnis</w:t>
      </w:r>
      <w:r w:rsidRPr="00A64A45" w:rsidR="00892CC8">
        <w:rPr>
          <w:iCs/>
        </w:rPr>
        <w:t>, binnen de reikwijdte van het kaderbesluit. Het komt ook voor dat IOS een veroordeelde de gelegenheid biedt nadere stukken aan te leveren omtrent diens binding met Nederland, wanneer IOS het verzoek om die reden heeft afgewezen of voornemens is af te wijzen.</w:t>
      </w:r>
      <w:r w:rsidRPr="00A64A45" w:rsidR="00182662">
        <w:rPr>
          <w:iCs/>
        </w:rPr>
        <w:br/>
      </w:r>
    </w:p>
    <w:p w:rsidRPr="00A64A45" w:rsidR="00034933" w:rsidP="00034933" w:rsidRDefault="00034933" w14:paraId="2EA73FFA" w14:textId="77777777">
      <w:pPr>
        <w:pStyle w:val="Standaardcursief"/>
        <w:rPr>
          <w:b/>
          <w:bCs/>
          <w:i w:val="0"/>
          <w:iCs/>
        </w:rPr>
      </w:pPr>
      <w:r w:rsidRPr="00A64A45">
        <w:rPr>
          <w:b/>
          <w:bCs/>
          <w:i w:val="0"/>
          <w:iCs/>
        </w:rPr>
        <w:t>Vraag 6</w:t>
      </w:r>
    </w:p>
    <w:p w:rsidRPr="00A64A45" w:rsidR="009B0775" w:rsidP="00034933" w:rsidRDefault="00034933" w14:paraId="58EA8819" w14:textId="77777777">
      <w:pPr>
        <w:pStyle w:val="Standaardcursief"/>
      </w:pPr>
      <w:r w:rsidRPr="00A64A45">
        <w:rPr>
          <w:b/>
          <w:bCs/>
          <w:i w:val="0"/>
          <w:iCs/>
        </w:rPr>
        <w:t>Selecteert u de gevallen waarin tegemoet wordt gekomen aan een verzoek tot herbeoordeling van de veroordeelde? Zo ja, op welke criteria berust deze selectie?</w:t>
      </w:r>
      <w:r w:rsidRPr="00A64A45">
        <w:rPr>
          <w:b/>
          <w:bCs/>
          <w:i w:val="0"/>
          <w:iCs/>
        </w:rPr>
        <w:br/>
      </w:r>
    </w:p>
    <w:p w:rsidRPr="00A64A45" w:rsidR="009B0775" w:rsidP="00034933" w:rsidRDefault="009B0775" w14:paraId="58454D86" w14:textId="0BB00933">
      <w:pPr>
        <w:pStyle w:val="Standaardcursief"/>
        <w:rPr>
          <w:b/>
          <w:bCs/>
          <w:i w:val="0"/>
          <w:iCs/>
        </w:rPr>
      </w:pPr>
      <w:r w:rsidRPr="00A64A45">
        <w:rPr>
          <w:b/>
          <w:bCs/>
          <w:i w:val="0"/>
          <w:iCs/>
        </w:rPr>
        <w:t xml:space="preserve">Antwoord </w:t>
      </w:r>
      <w:r w:rsidR="003A091C">
        <w:rPr>
          <w:b/>
          <w:bCs/>
          <w:i w:val="0"/>
          <w:iCs/>
        </w:rPr>
        <w:t xml:space="preserve">op </w:t>
      </w:r>
      <w:r w:rsidRPr="00A64A45">
        <w:rPr>
          <w:b/>
          <w:bCs/>
          <w:i w:val="0"/>
          <w:iCs/>
        </w:rPr>
        <w:t>vraag 6</w:t>
      </w:r>
    </w:p>
    <w:p w:rsidRPr="00A64A45" w:rsidR="006456B0" w:rsidP="00034933" w:rsidRDefault="005240FC" w14:paraId="4CFE9ADB" w14:textId="4D33FC40">
      <w:pPr>
        <w:pStyle w:val="Standaardcursief"/>
        <w:rPr>
          <w:i w:val="0"/>
          <w:iCs/>
        </w:rPr>
      </w:pPr>
      <w:r w:rsidRPr="00A64A45">
        <w:rPr>
          <w:i w:val="0"/>
          <w:iCs/>
        </w:rPr>
        <w:t>IOS</w:t>
      </w:r>
      <w:r w:rsidRPr="00A64A45" w:rsidR="009B0775">
        <w:rPr>
          <w:i w:val="0"/>
          <w:iCs/>
        </w:rPr>
        <w:t xml:space="preserve"> bekijkt of </w:t>
      </w:r>
      <w:r w:rsidRPr="00A64A45">
        <w:rPr>
          <w:i w:val="0"/>
          <w:iCs/>
        </w:rPr>
        <w:t>zij</w:t>
      </w:r>
      <w:r w:rsidRPr="00A64A45" w:rsidR="009B0775">
        <w:rPr>
          <w:i w:val="0"/>
          <w:iCs/>
        </w:rPr>
        <w:t xml:space="preserve"> de redenen op grond waarvan om een herbeoordeling wordt gevraagd zelf k</w:t>
      </w:r>
      <w:r w:rsidRPr="00A64A45">
        <w:rPr>
          <w:i w:val="0"/>
          <w:iCs/>
        </w:rPr>
        <w:t>u</w:t>
      </w:r>
      <w:r w:rsidRPr="00A64A45" w:rsidR="009B0775">
        <w:rPr>
          <w:i w:val="0"/>
          <w:iCs/>
        </w:rPr>
        <w:t>n</w:t>
      </w:r>
      <w:r w:rsidRPr="00A64A45">
        <w:rPr>
          <w:i w:val="0"/>
          <w:iCs/>
        </w:rPr>
        <w:t>nen</w:t>
      </w:r>
      <w:r w:rsidRPr="00A64A45" w:rsidR="009B0775">
        <w:rPr>
          <w:i w:val="0"/>
          <w:iCs/>
        </w:rPr>
        <w:t xml:space="preserve"> beoordelen of dat die betrekking hebben op de aspecten die het gerechtshof </w:t>
      </w:r>
      <w:r w:rsidRPr="00A64A45" w:rsidR="00042E6A">
        <w:rPr>
          <w:i w:val="0"/>
          <w:iCs/>
        </w:rPr>
        <w:t xml:space="preserve">Arnhem-Leeuwarden </w:t>
      </w:r>
      <w:r w:rsidRPr="00A64A45" w:rsidR="009B0775">
        <w:rPr>
          <w:i w:val="0"/>
          <w:iCs/>
        </w:rPr>
        <w:t xml:space="preserve">beoordeelt. Ook gaat </w:t>
      </w:r>
      <w:r w:rsidRPr="00A64A45">
        <w:rPr>
          <w:i w:val="0"/>
          <w:iCs/>
        </w:rPr>
        <w:t>IOS</w:t>
      </w:r>
      <w:r w:rsidRPr="00A64A45" w:rsidR="009B0775">
        <w:rPr>
          <w:i w:val="0"/>
          <w:iCs/>
        </w:rPr>
        <w:t xml:space="preserve"> na of er in de zienswijze iets wordt aangevoerd dat de veroordeelde niet eerder naar voren heeft gebracht </w:t>
      </w:r>
      <w:r w:rsidRPr="00A64A45" w:rsidR="00EE2073">
        <w:rPr>
          <w:i w:val="0"/>
          <w:iCs/>
        </w:rPr>
        <w:t>dat relevant kan zijn voor diens beoordeling</w:t>
      </w:r>
      <w:r w:rsidRPr="00A64A45" w:rsidR="00C5319A">
        <w:rPr>
          <w:i w:val="0"/>
          <w:iCs/>
        </w:rPr>
        <w:t>.</w:t>
      </w:r>
      <w:r w:rsidRPr="00A64A45" w:rsidR="00EE2073">
        <w:rPr>
          <w:i w:val="0"/>
          <w:iCs/>
        </w:rPr>
        <w:t xml:space="preserve"> </w:t>
      </w:r>
      <w:r w:rsidRPr="00A64A45" w:rsidR="009B0775">
        <w:rPr>
          <w:i w:val="0"/>
          <w:iCs/>
        </w:rPr>
        <w:t xml:space="preserve">In de praktijk stuurt </w:t>
      </w:r>
      <w:r w:rsidRPr="00A64A45">
        <w:rPr>
          <w:i w:val="0"/>
          <w:iCs/>
        </w:rPr>
        <w:t>IOS</w:t>
      </w:r>
      <w:r w:rsidRPr="00A64A45" w:rsidR="009B0775">
        <w:rPr>
          <w:i w:val="0"/>
          <w:iCs/>
        </w:rPr>
        <w:t xml:space="preserve"> bij zo’n “nieuw” element de zienswijze door aan het gerechtshof. Het gerechtshof toets</w:t>
      </w:r>
      <w:r w:rsidRPr="00A64A45" w:rsidR="003F2A33">
        <w:rPr>
          <w:i w:val="0"/>
          <w:iCs/>
        </w:rPr>
        <w:t>t</w:t>
      </w:r>
      <w:r w:rsidRPr="00A64A45" w:rsidR="009B0775">
        <w:rPr>
          <w:i w:val="0"/>
          <w:iCs/>
        </w:rPr>
        <w:t xml:space="preserve"> dan of de zienswijze tot een aanpassing van zijn oorspronkelijk oordeel moet leiden. De herbeoordeling is dus beperkt tot elementen die niet eerder door de veroordeelde naar voren zijn gebracht en behelst geen volledig nieuwe beoordeling</w:t>
      </w:r>
      <w:r w:rsidRPr="00A64A45" w:rsidR="008D25B5">
        <w:rPr>
          <w:i w:val="0"/>
          <w:iCs/>
        </w:rPr>
        <w:t>.</w:t>
      </w:r>
      <w:r w:rsidRPr="00A64A45" w:rsidR="009B0775">
        <w:rPr>
          <w:i w:val="0"/>
          <w:iCs/>
        </w:rPr>
        <w:t xml:space="preserve"> </w:t>
      </w:r>
      <w:r w:rsidRPr="00A64A45" w:rsidR="009C081E">
        <w:rPr>
          <w:i w:val="0"/>
          <w:iCs/>
        </w:rPr>
        <w:t>Voor een veroordeelde staat altijd de weg naar de civiele rechter open als hij meent dat</w:t>
      </w:r>
      <w:r w:rsidRPr="00A64A45" w:rsidR="0013252C">
        <w:rPr>
          <w:i w:val="0"/>
          <w:iCs/>
        </w:rPr>
        <w:t xml:space="preserve"> </w:t>
      </w:r>
      <w:r w:rsidRPr="00A64A45" w:rsidR="001D0D65">
        <w:rPr>
          <w:i w:val="0"/>
          <w:iCs/>
        </w:rPr>
        <w:t>de</w:t>
      </w:r>
      <w:r w:rsidRPr="00A64A45" w:rsidR="0013252C">
        <w:rPr>
          <w:i w:val="0"/>
          <w:iCs/>
        </w:rPr>
        <w:t xml:space="preserve"> geleverde inbreng niet tot het gewenste resultaat heeft geleid en</w:t>
      </w:r>
      <w:r w:rsidRPr="00A64A45" w:rsidR="009C081E">
        <w:rPr>
          <w:i w:val="0"/>
          <w:iCs/>
        </w:rPr>
        <w:t xml:space="preserve"> de Staat door de erkenning van het vonnis onrechtmatig heeft gehandeld.</w:t>
      </w:r>
      <w:r w:rsidRPr="00A64A45" w:rsidR="009C081E">
        <w:rPr>
          <w:i w:val="0"/>
          <w:iCs/>
        </w:rPr>
        <w:br/>
      </w:r>
    </w:p>
    <w:p w:rsidRPr="00A64A45" w:rsidR="0089051E" w:rsidP="00822D72" w:rsidRDefault="00EE2073" w14:paraId="62222D37" w14:textId="77777777">
      <w:pPr>
        <w:pStyle w:val="Standaardcursief"/>
        <w:rPr>
          <w:i w:val="0"/>
          <w:iCs/>
        </w:rPr>
      </w:pPr>
      <w:bookmarkStart w:name="_Hlk189559237" w:id="1"/>
      <w:r w:rsidRPr="00A64A45">
        <w:rPr>
          <w:b/>
          <w:bCs/>
          <w:i w:val="0"/>
          <w:iCs/>
        </w:rPr>
        <w:t>Vraag 7</w:t>
      </w:r>
      <w:bookmarkEnd w:id="1"/>
      <w:r w:rsidRPr="00A64A45">
        <w:rPr>
          <w:b/>
          <w:bCs/>
          <w:i w:val="0"/>
          <w:iCs/>
        </w:rPr>
        <w:br/>
        <w:t xml:space="preserve">Heeft </w:t>
      </w:r>
      <w:r w:rsidRPr="00A64A45" w:rsidR="00034933">
        <w:rPr>
          <w:b/>
          <w:bCs/>
          <w:i w:val="0"/>
          <w:iCs/>
        </w:rPr>
        <w:t>u berichten ontvangen van de betrokken instanties (waaronder de rechtspraak en het Gerechtshof Arnhem-Leeuwarden) waarin zij uiten dat het wenselijk voor veroordeelden om inbreng te hebben in de erkenningsprocedure? Zo ja, wat is uw reactie hierop?</w:t>
      </w:r>
      <w:r w:rsidRPr="00A64A45" w:rsidR="003F4631">
        <w:rPr>
          <w:b/>
          <w:bCs/>
          <w:i w:val="0"/>
          <w:iCs/>
        </w:rPr>
        <w:br/>
      </w:r>
    </w:p>
    <w:p w:rsidRPr="00A64A45" w:rsidR="0089051E" w:rsidP="00034933" w:rsidRDefault="0089051E" w14:paraId="5F571157" w14:textId="1F7CBE5F">
      <w:pPr>
        <w:pStyle w:val="Standaardcursief"/>
        <w:rPr>
          <w:i w:val="0"/>
          <w:iCs/>
        </w:rPr>
      </w:pPr>
      <w:r w:rsidRPr="00A64A45">
        <w:rPr>
          <w:b/>
          <w:bCs/>
          <w:i w:val="0"/>
          <w:iCs/>
        </w:rPr>
        <w:t xml:space="preserve">Antwoord </w:t>
      </w:r>
      <w:r w:rsidR="003A091C">
        <w:rPr>
          <w:b/>
          <w:bCs/>
          <w:i w:val="0"/>
          <w:iCs/>
        </w:rPr>
        <w:t xml:space="preserve">op </w:t>
      </w:r>
      <w:r w:rsidRPr="00A64A45">
        <w:rPr>
          <w:b/>
          <w:bCs/>
          <w:i w:val="0"/>
          <w:iCs/>
        </w:rPr>
        <w:t>vraag 7</w:t>
      </w:r>
      <w:r w:rsidRPr="00A64A45">
        <w:rPr>
          <w:i w:val="0"/>
          <w:iCs/>
        </w:rPr>
        <w:br/>
      </w:r>
      <w:r w:rsidRPr="00A64A45" w:rsidR="00822D72">
        <w:rPr>
          <w:i w:val="0"/>
          <w:iCs/>
        </w:rPr>
        <w:t>Het is mij</w:t>
      </w:r>
      <w:r w:rsidRPr="00A64A45" w:rsidR="00892CC8">
        <w:rPr>
          <w:i w:val="0"/>
          <w:iCs/>
        </w:rPr>
        <w:t xml:space="preserve"> bekend dat het hof aanpassing van wetgeving, met het oog op de rechtsbescherming van veroordeelden, noodzakelijk acht</w:t>
      </w:r>
      <w:r w:rsidRPr="00A64A45" w:rsidR="00822D72">
        <w:rPr>
          <w:i w:val="0"/>
          <w:iCs/>
        </w:rPr>
        <w:t>.</w:t>
      </w:r>
      <w:r w:rsidRPr="00A64A45" w:rsidR="003C365E">
        <w:rPr>
          <w:i w:val="0"/>
          <w:iCs/>
        </w:rPr>
        <w:t xml:space="preserve"> In dit kader verwijs ik in het bijzonder naar het eindoordeel van het gerechtshof Arnhem-Leeuwarden met kenmerk ECLI:NL:GHARL:2024:5819.</w:t>
      </w:r>
      <w:r w:rsidRPr="00A64A45" w:rsidR="00822D72">
        <w:rPr>
          <w:i w:val="0"/>
          <w:iCs/>
        </w:rPr>
        <w:t xml:space="preserve"> Zoals ik hiervoor al aangaf, </w:t>
      </w:r>
      <w:r w:rsidRPr="00A64A45" w:rsidR="00DD1423">
        <w:rPr>
          <w:i w:val="0"/>
          <w:iCs/>
        </w:rPr>
        <w:t>zal het reeds aangekondigde WODC-onderzoek zich ook op dit aspect van de erkenningsprocedure richten.</w:t>
      </w:r>
    </w:p>
    <w:p w:rsidRPr="00A64A45" w:rsidR="00214013" w:rsidP="00034933" w:rsidRDefault="00822D72" w14:paraId="23A0DEBE" w14:textId="2371C9CA">
      <w:pPr>
        <w:pStyle w:val="Standaardcursief"/>
        <w:rPr>
          <w:b/>
          <w:bCs/>
          <w:i w:val="0"/>
          <w:iCs/>
        </w:rPr>
      </w:pPr>
      <w:r w:rsidRPr="00A64A45">
        <w:rPr>
          <w:i w:val="0"/>
          <w:iCs/>
        </w:rPr>
        <w:br/>
      </w:r>
      <w:r w:rsidRPr="00A64A45" w:rsidR="00034933">
        <w:rPr>
          <w:b/>
          <w:bCs/>
          <w:i w:val="0"/>
          <w:iCs/>
        </w:rPr>
        <w:t>Vraag 8</w:t>
      </w:r>
      <w:r w:rsidRPr="00A64A45" w:rsidR="00034933">
        <w:rPr>
          <w:b/>
          <w:bCs/>
          <w:i w:val="0"/>
          <w:iCs/>
        </w:rPr>
        <w:br/>
        <w:t>Ziet u, in het licht van het niet-ontvankelijk verklaren van het Gerechtshof Arnhem-Leeuwarden om prejudiciële vragen te stellen aan het Europese Hof, reden om de erkenningsprocedure aan te passen? Zo ja, welke aanpassingen vindt u wenselijk?</w:t>
      </w:r>
    </w:p>
    <w:p w:rsidRPr="00A64A45" w:rsidR="00034933" w:rsidP="00034933" w:rsidRDefault="00034933" w14:paraId="5EA87D43" w14:textId="5544A114">
      <w:pPr>
        <w:pStyle w:val="Standaardcursief"/>
        <w:rPr>
          <w:i w:val="0"/>
          <w:iCs/>
        </w:rPr>
      </w:pPr>
    </w:p>
    <w:p w:rsidRPr="00A64A45" w:rsidR="00034933" w:rsidP="00034933" w:rsidRDefault="00034933" w14:paraId="00DA6383" w14:textId="23612AF0">
      <w:pPr>
        <w:pStyle w:val="Standaardcursief"/>
        <w:rPr>
          <w:b/>
          <w:bCs/>
          <w:i w:val="0"/>
          <w:iCs/>
        </w:rPr>
      </w:pPr>
      <w:r w:rsidRPr="00A64A45">
        <w:rPr>
          <w:b/>
          <w:bCs/>
          <w:i w:val="0"/>
          <w:iCs/>
        </w:rPr>
        <w:t>Vraag 9</w:t>
      </w:r>
      <w:r w:rsidRPr="00A64A45">
        <w:rPr>
          <w:b/>
          <w:bCs/>
          <w:i w:val="0"/>
          <w:iCs/>
        </w:rPr>
        <w:br/>
        <w:t>Hoe kijkt u naar uw eigen rol in de erkenningsprocedure van de WETS nu het Gerechtshof Arnhem-Leeuwarden niet ontvankelijk is verklaard om prejudiciële vragen te stellen? Bent u bereid uw eigen rol te wijzigen, zodat de beslissingsbevoegdheid kan worden neergelegd bij het Gerechtshof Arnhem-Leeuwarden?</w:t>
      </w:r>
      <w:r w:rsidRPr="00A64A45">
        <w:rPr>
          <w:b/>
          <w:bCs/>
          <w:i w:val="0"/>
          <w:iCs/>
        </w:rPr>
        <w:br/>
      </w:r>
    </w:p>
    <w:p w:rsidRPr="00A64A45" w:rsidR="00034933" w:rsidP="00CA15EA" w:rsidRDefault="00034933" w14:paraId="1F83A5CB" w14:textId="23FC5E8C">
      <w:pPr>
        <w:pStyle w:val="Standaardcursief"/>
      </w:pPr>
      <w:r w:rsidRPr="00A64A45">
        <w:rPr>
          <w:b/>
          <w:bCs/>
          <w:i w:val="0"/>
          <w:iCs/>
        </w:rPr>
        <w:t>Vraag 10</w:t>
      </w:r>
      <w:r w:rsidRPr="00A64A45">
        <w:rPr>
          <w:b/>
          <w:bCs/>
          <w:i w:val="0"/>
          <w:iCs/>
        </w:rPr>
        <w:br/>
        <w:t>Bent u bereid de Nederlandse erkenningsprocedure aan te passen naar voorbeeld van de procedures in België, Frankrijk en Duitsland, waar wel beroeps- en cassatiemogelijkheden openstaan tegen de erkenningsprocedure?  </w:t>
      </w:r>
      <w:r w:rsidRPr="00A64A45" w:rsidR="003F4631">
        <w:rPr>
          <w:i w:val="0"/>
          <w:iCs/>
        </w:rPr>
        <w:br/>
      </w:r>
      <w:r w:rsidRPr="00A64A45">
        <w:rPr>
          <w:b/>
          <w:bCs/>
          <w:i w:val="0"/>
          <w:iCs/>
        </w:rPr>
        <w:t> </w:t>
      </w:r>
    </w:p>
    <w:p w:rsidRPr="00A64A45" w:rsidR="00EE2073" w:rsidP="00EE2073" w:rsidRDefault="00EE2073" w14:paraId="600A693A" w14:textId="6F9E5B2B">
      <w:pPr>
        <w:pStyle w:val="Standaardcursief"/>
        <w:rPr>
          <w:b/>
          <w:bCs/>
          <w:i w:val="0"/>
          <w:iCs/>
        </w:rPr>
      </w:pPr>
      <w:r w:rsidRPr="00A64A45">
        <w:rPr>
          <w:b/>
          <w:bCs/>
          <w:i w:val="0"/>
          <w:iCs/>
        </w:rPr>
        <w:t>Antwoord</w:t>
      </w:r>
      <w:r w:rsidR="003A091C">
        <w:rPr>
          <w:b/>
          <w:bCs/>
          <w:i w:val="0"/>
          <w:iCs/>
        </w:rPr>
        <w:t xml:space="preserve"> op</w:t>
      </w:r>
      <w:r w:rsidRPr="00A64A45">
        <w:rPr>
          <w:b/>
          <w:bCs/>
          <w:i w:val="0"/>
          <w:iCs/>
        </w:rPr>
        <w:t xml:space="preserve"> vragen 8, 9, en 10 </w:t>
      </w:r>
    </w:p>
    <w:p w:rsidRPr="00A64A45" w:rsidR="00853805" w:rsidP="00214013" w:rsidRDefault="00853805" w14:paraId="0B4AECFE" w14:textId="6F383B11">
      <w:r w:rsidRPr="00A64A45">
        <w:t xml:space="preserve">Besluiten over de erkenning van vrijheidsbenemende vonnissen worden namens mij door DJI </w:t>
      </w:r>
      <w:r w:rsidRPr="00A64A45" w:rsidR="00DC0C5D">
        <w:t xml:space="preserve">(IOS) </w:t>
      </w:r>
      <w:r w:rsidRPr="00A64A45">
        <w:t>genomen. Mijn bevoegdheid in deze</w:t>
      </w:r>
      <w:r w:rsidRPr="00A64A45" w:rsidR="00D818CC">
        <w:t>n</w:t>
      </w:r>
      <w:r w:rsidRPr="00A64A45">
        <w:t xml:space="preserve"> ligt in lijn met de Nederlandse rechtsorde, waarin ik verantwoordelijk ben voor de tenuitvoerlegging van vrijheidsstraffen en vrijheidsbenemende </w:t>
      </w:r>
      <w:r w:rsidRPr="00A64A45" w:rsidR="00EE2073">
        <w:t>maatregelen.</w:t>
      </w:r>
    </w:p>
    <w:p w:rsidRPr="00A64A45" w:rsidR="00D56700" w:rsidP="00214013" w:rsidRDefault="00D56700" w14:paraId="7B588FC5" w14:textId="77777777"/>
    <w:p w:rsidRPr="00A64A45" w:rsidR="008A0E7E" w:rsidP="00FC051D" w:rsidRDefault="00D56700" w14:paraId="2271C7F3" w14:textId="3342C165">
      <w:r w:rsidRPr="00A64A45">
        <w:t xml:space="preserve">Gelet op de evaluatie die in opdracht van de Raad van de Europese Unie is uitgevoerd naar de toepassing van (onder meer) het kaderbesluit in de verschillende landen in de Europese Unie, </w:t>
      </w:r>
      <w:r w:rsidRPr="00A64A45" w:rsidR="000D0D17">
        <w:t>waaronder Nederland, bestaat</w:t>
      </w:r>
      <w:r w:rsidRPr="00A64A45">
        <w:t xml:space="preserve"> evenwel aanleiding om wetenschappelijk onderzoek te laten verrichten naar de erkenningsprocedure.</w:t>
      </w:r>
      <w:r w:rsidRPr="00A64A45" w:rsidR="0089051E">
        <w:t xml:space="preserve"> </w:t>
      </w:r>
      <w:r w:rsidRPr="00A64A45" w:rsidR="008A0E7E">
        <w:t xml:space="preserve">De aanbevelingen </w:t>
      </w:r>
      <w:r w:rsidRPr="00A64A45" w:rsidR="00EE2073">
        <w:t xml:space="preserve">in het rapport ten aanzien van Nederland </w:t>
      </w:r>
      <w:r w:rsidRPr="00A64A45" w:rsidR="008A0E7E">
        <w:t>vormen, zoals mijn ambtsvoorganger reeds heeft aangekondigd in de beleidsreactie op de EU-evaluatie</w:t>
      </w:r>
      <w:r w:rsidRPr="00A64A45" w:rsidR="005734F0">
        <w:rPr>
          <w:rStyle w:val="Voetnootmarkering"/>
        </w:rPr>
        <w:footnoteReference w:id="4"/>
      </w:r>
      <w:r w:rsidRPr="00A64A45" w:rsidR="008A0E7E">
        <w:t xml:space="preserve">, de primaire aanleiding </w:t>
      </w:r>
      <w:r w:rsidRPr="00A64A45" w:rsidR="00DC0C5D">
        <w:t>om dit onderzoek te laten verrichten</w:t>
      </w:r>
      <w:r w:rsidRPr="00A64A45" w:rsidR="008A0E7E">
        <w:t xml:space="preserve">. Het onderzoek zal zowel betrekking hebben op de rol- en bevoegdheidsverdeling </w:t>
      </w:r>
      <w:r w:rsidRPr="00A64A45" w:rsidR="00185FFE">
        <w:t>in</w:t>
      </w:r>
      <w:r w:rsidRPr="00A64A45" w:rsidR="008A0E7E">
        <w:t xml:space="preserve"> de erkenningsprocedure, als ook op de rechtsbescherming van de veroordeelde in die procedure. Ook </w:t>
      </w:r>
      <w:r w:rsidRPr="00A64A45" w:rsidR="00D818CC">
        <w:t>ontwikkelingen in de jurisprudentie</w:t>
      </w:r>
      <w:r w:rsidRPr="00A64A45" w:rsidR="008D25B5">
        <w:t xml:space="preserve"> </w:t>
      </w:r>
      <w:r w:rsidRPr="00A64A45" w:rsidR="00D818CC">
        <w:t>sinds de totstandkoming en implementatie van het kaderbesluit</w:t>
      </w:r>
      <w:r w:rsidRPr="00A64A45" w:rsidR="008A0E7E">
        <w:t>, waaronder onder meer jurisprudentie over het niet bevoegd zijn van het gerechtshof Arnhem-Leeuwarden tot het stellen van prejudiciële vragen, z</w:t>
      </w:r>
      <w:r w:rsidRPr="00A64A45" w:rsidR="00DC0C5D">
        <w:t>u</w:t>
      </w:r>
      <w:r w:rsidRPr="00A64A45" w:rsidR="008A0E7E">
        <w:t>l</w:t>
      </w:r>
      <w:r w:rsidRPr="00A64A45" w:rsidR="00DC0C5D">
        <w:t>len</w:t>
      </w:r>
      <w:r w:rsidRPr="00A64A45" w:rsidR="008A0E7E">
        <w:t xml:space="preserve"> in het onderzoek worden betrokken.</w:t>
      </w:r>
    </w:p>
    <w:p w:rsidRPr="00A64A45" w:rsidR="008A0E7E" w:rsidP="00FC051D" w:rsidRDefault="008A0E7E" w14:paraId="54437234" w14:textId="77777777"/>
    <w:p w:rsidRPr="00A64A45" w:rsidR="008A0E7E" w:rsidP="00FC051D" w:rsidRDefault="005734F0" w14:paraId="1D5EC41D" w14:textId="7E37EC78">
      <w:r w:rsidRPr="00A64A45">
        <w:t>Het WODC is ook gevraagd om</w:t>
      </w:r>
      <w:r w:rsidRPr="00A64A45" w:rsidR="008A0E7E">
        <w:t>, voor zover aanpassingen met betrekking tot de erkenningsprocedure</w:t>
      </w:r>
      <w:r w:rsidRPr="00A64A45" w:rsidR="00185FFE">
        <w:t xml:space="preserve"> in de optiek van de onderzoekers</w:t>
      </w:r>
      <w:r w:rsidRPr="00A64A45" w:rsidR="008A0E7E">
        <w:t xml:space="preserve"> nodig worden geacht,</w:t>
      </w:r>
      <w:r w:rsidRPr="00A64A45" w:rsidR="00055529">
        <w:t xml:space="preserve"> daartoe oplossingsrichtingen in kaar</w:t>
      </w:r>
      <w:r w:rsidRPr="00A64A45" w:rsidR="00185FFE">
        <w:t>t</w:t>
      </w:r>
      <w:r w:rsidRPr="00A64A45" w:rsidR="00055529">
        <w:t xml:space="preserve"> te brengen, waarbij ook de vraag voorligt of er andere landen, zoals bijvoorbeeld Frankijk, hierbij als voorbeeld kunnen dienen. </w:t>
      </w:r>
    </w:p>
    <w:p w:rsidRPr="00A64A45" w:rsidR="00055529" w:rsidP="00FC051D" w:rsidRDefault="00055529" w14:paraId="617E8AA7" w14:textId="77777777"/>
    <w:p w:rsidRPr="00A64A45" w:rsidR="00055529" w:rsidP="00FC051D" w:rsidRDefault="00055529" w14:paraId="09C2F456" w14:textId="1D4E0F78">
      <w:r w:rsidRPr="00A64A45">
        <w:t>Ik wil niet vooruitlopen op de uitkomsten van dit onderzoek</w:t>
      </w:r>
      <w:r w:rsidRPr="00A64A45" w:rsidR="00DB7EA9">
        <w:t>, dat zich op dit moment in de opstartende fase bevindt</w:t>
      </w:r>
      <w:r w:rsidRPr="00A64A45">
        <w:t>. Op grond van de onderzoeksresultaten zal ik een geïnformeerde beslissing nemen of, en in hoeverre, wijziging van de hu</w:t>
      </w:r>
      <w:r w:rsidRPr="00A64A45" w:rsidR="005734F0">
        <w:t xml:space="preserve">idige </w:t>
      </w:r>
      <w:r w:rsidRPr="00A64A45">
        <w:t xml:space="preserve">WETS-procedure, voor wat betreft de erkenning en tenuitvoerlegging van buitenlandse rechterlijke uitspraken tot oplegging van een vrijheidsbenemende sanctie in Nederland, aangewezen is. </w:t>
      </w:r>
    </w:p>
    <w:p w:rsidRPr="00A64A45" w:rsidR="00055529" w:rsidP="00FC051D" w:rsidRDefault="00055529" w14:paraId="4D0E5C3E" w14:textId="77777777"/>
    <w:p w:rsidRPr="00A64A45" w:rsidR="0089051E" w:rsidP="00FA5D0A" w:rsidRDefault="00EE2073" w14:paraId="79C4CD1E" w14:textId="77777777">
      <w:pPr>
        <w:pStyle w:val="Standaardcursief"/>
        <w:rPr>
          <w:i w:val="0"/>
          <w:iCs/>
        </w:rPr>
      </w:pPr>
      <w:r w:rsidRPr="00A64A45">
        <w:rPr>
          <w:b/>
          <w:bCs/>
          <w:i w:val="0"/>
          <w:iCs/>
        </w:rPr>
        <w:t>Vraag 11</w:t>
      </w:r>
      <w:r w:rsidRPr="00A64A45" w:rsidR="00503DC5">
        <w:rPr>
          <w:b/>
          <w:bCs/>
          <w:i w:val="0"/>
          <w:iCs/>
        </w:rPr>
        <w:br/>
        <w:t>Ziet u, gezien het eerdere standpunt van het ministerie dat er geen aanleiding was om het functioneren van de WETS-procedure te onderzoeken, het niet ontvankelijk verklaren van het Gerechtshof Arnhem-Leeuwarden om prejudiciële vragen te stellen aanleiding voor u om een dergelijk onderzoek alsnog op te starten?</w:t>
      </w:r>
      <w:r w:rsidRPr="00A64A45" w:rsidR="00503DC5">
        <w:rPr>
          <w:rStyle w:val="Voetnootmarkering"/>
          <w:b/>
          <w:bCs/>
          <w:i w:val="0"/>
          <w:iCs/>
        </w:rPr>
        <w:footnoteReference w:id="5"/>
      </w:r>
      <w:r w:rsidRPr="00A64A45" w:rsidR="00503DC5">
        <w:rPr>
          <w:b/>
          <w:bCs/>
          <w:i w:val="0"/>
          <w:iCs/>
        </w:rPr>
        <w:br/>
      </w:r>
    </w:p>
    <w:p w:rsidR="00D56700" w:rsidP="00FA5D0A" w:rsidRDefault="0089051E" w14:paraId="22FFBD11" w14:textId="6EC04228">
      <w:pPr>
        <w:pStyle w:val="Standaardcursief"/>
      </w:pPr>
      <w:r w:rsidRPr="00A64A45">
        <w:rPr>
          <w:b/>
          <w:bCs/>
          <w:i w:val="0"/>
          <w:iCs/>
        </w:rPr>
        <w:t xml:space="preserve">Antwoord </w:t>
      </w:r>
      <w:r w:rsidR="003A091C">
        <w:rPr>
          <w:b/>
          <w:bCs/>
          <w:i w:val="0"/>
          <w:iCs/>
        </w:rPr>
        <w:t xml:space="preserve">op </w:t>
      </w:r>
      <w:r w:rsidRPr="00A64A45">
        <w:rPr>
          <w:b/>
          <w:bCs/>
          <w:i w:val="0"/>
          <w:iCs/>
        </w:rPr>
        <w:t>vraag 11</w:t>
      </w:r>
      <w:r w:rsidRPr="00A64A45">
        <w:rPr>
          <w:i w:val="0"/>
          <w:iCs/>
        </w:rPr>
        <w:br/>
      </w:r>
      <w:r w:rsidRPr="00A64A45" w:rsidR="00185FFE">
        <w:rPr>
          <w:i w:val="0"/>
          <w:iCs/>
        </w:rPr>
        <w:t xml:space="preserve">Zoals ik in de beantwoording van de vragen 8, 9 en 10 heb aangegeven, zal door het WODC onderzoek worden verricht naar </w:t>
      </w:r>
      <w:r w:rsidRPr="00A64A45" w:rsidR="005734F0">
        <w:rPr>
          <w:i w:val="0"/>
          <w:iCs/>
        </w:rPr>
        <w:t xml:space="preserve">(onderdelen van) </w:t>
      </w:r>
      <w:r w:rsidRPr="00A64A45" w:rsidR="00185FFE">
        <w:rPr>
          <w:i w:val="0"/>
          <w:iCs/>
        </w:rPr>
        <w:t xml:space="preserve">de erkenningsprocedure van de WETS. </w:t>
      </w:r>
      <w:r w:rsidRPr="00A64A45" w:rsidR="007917F5">
        <w:rPr>
          <w:i w:val="0"/>
          <w:iCs/>
        </w:rPr>
        <w:t>De beleidsreactie op dit onderzoek zal met uw Kamer worden gedeeld.</w:t>
      </w:r>
    </w:p>
    <w:p w:rsidR="00D56700" w:rsidP="00FC051D" w:rsidRDefault="00D56700" w14:paraId="01358B22" w14:textId="77777777"/>
    <w:sectPr w:rsidR="00D56700">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195B62" w14:textId="77777777" w:rsidR="006C1587" w:rsidRDefault="006C1587">
      <w:pPr>
        <w:spacing w:line="240" w:lineRule="auto"/>
      </w:pPr>
      <w:r>
        <w:separator/>
      </w:r>
    </w:p>
  </w:endnote>
  <w:endnote w:type="continuationSeparator" w:id="0">
    <w:p w14:paraId="0E3D5728" w14:textId="77777777" w:rsidR="006C1587" w:rsidRDefault="006C15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6AD4B" w14:textId="77777777" w:rsidR="003A091C" w:rsidRDefault="003A091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7A1E7" w14:textId="77777777" w:rsidR="00766C2D" w:rsidRDefault="00766C2D">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D8596" w14:textId="77777777" w:rsidR="003A091C" w:rsidRDefault="003A091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26483C" w14:textId="77777777" w:rsidR="006C1587" w:rsidRDefault="006C1587">
      <w:pPr>
        <w:spacing w:line="240" w:lineRule="auto"/>
      </w:pPr>
      <w:r>
        <w:separator/>
      </w:r>
    </w:p>
  </w:footnote>
  <w:footnote w:type="continuationSeparator" w:id="0">
    <w:p w14:paraId="3E894332" w14:textId="77777777" w:rsidR="006C1587" w:rsidRDefault="006C1587">
      <w:pPr>
        <w:spacing w:line="240" w:lineRule="auto"/>
      </w:pPr>
      <w:r>
        <w:continuationSeparator/>
      </w:r>
    </w:p>
  </w:footnote>
  <w:footnote w:id="1">
    <w:p w14:paraId="5329A957" w14:textId="2A68F1F0" w:rsidR="00CA15EA" w:rsidRPr="00CA15EA" w:rsidRDefault="00CA15EA">
      <w:pPr>
        <w:pStyle w:val="Voetnoottekst"/>
      </w:pPr>
      <w:r>
        <w:rPr>
          <w:rStyle w:val="Voetnootmarkering"/>
        </w:rPr>
        <w:footnoteRef/>
      </w:r>
      <w:r>
        <w:t xml:space="preserve"> </w:t>
      </w:r>
      <w:r w:rsidRPr="00CA15EA">
        <w:rPr>
          <w:sz w:val="16"/>
          <w:szCs w:val="16"/>
        </w:rPr>
        <w:t>Ouwekerk, 23 december 2024, ‘De druppel die de emmer doet overlopen, naar een toekomstbestendige WETS-procedure voor overname van strafexecutie in Nederland de wetgever aan zet’ in Delikt en Delinkwent.</w:t>
      </w:r>
    </w:p>
  </w:footnote>
  <w:footnote w:id="2">
    <w:p w14:paraId="6A74056A" w14:textId="1A85798A" w:rsidR="006D4700" w:rsidRPr="006D4700" w:rsidRDefault="006D4700">
      <w:pPr>
        <w:pStyle w:val="Voetnoottekst"/>
        <w:rPr>
          <w:sz w:val="16"/>
          <w:szCs w:val="16"/>
        </w:rPr>
      </w:pPr>
      <w:r w:rsidRPr="006D4700">
        <w:rPr>
          <w:rStyle w:val="Voetnootmarkering"/>
          <w:sz w:val="16"/>
          <w:szCs w:val="16"/>
        </w:rPr>
        <w:footnoteRef/>
      </w:r>
      <w:r w:rsidRPr="006D4700">
        <w:rPr>
          <w:sz w:val="16"/>
          <w:szCs w:val="16"/>
        </w:rPr>
        <w:t xml:space="preserve"> In de WETS wordt verwezen naar </w:t>
      </w:r>
      <w:r w:rsidRPr="006D4700">
        <w:rPr>
          <w:i/>
          <w:iCs/>
          <w:sz w:val="16"/>
          <w:szCs w:val="16"/>
        </w:rPr>
        <w:t xml:space="preserve">onze minister, </w:t>
      </w:r>
      <w:r w:rsidRPr="006D4700">
        <w:rPr>
          <w:sz w:val="16"/>
          <w:szCs w:val="16"/>
        </w:rPr>
        <w:t xml:space="preserve">waarmee gedoeld wordt op de Minister van </w:t>
      </w:r>
      <w:r>
        <w:rPr>
          <w:sz w:val="16"/>
          <w:szCs w:val="16"/>
        </w:rPr>
        <w:t xml:space="preserve">Justitie en Veiligheid. Gelet op de portefeuilleverdeling, betreft het in de praktijk de Staatssecretaris van Justitie en Veiligheid die is belast met </w:t>
      </w:r>
      <w:r w:rsidR="003077F2">
        <w:rPr>
          <w:sz w:val="16"/>
          <w:szCs w:val="16"/>
        </w:rPr>
        <w:t>de erkenning van buitenlandse rechterlijke uitspraken in Nederland.</w:t>
      </w:r>
      <w:r w:rsidR="00B57AD8">
        <w:rPr>
          <w:sz w:val="16"/>
          <w:szCs w:val="16"/>
        </w:rPr>
        <w:t xml:space="preserve"> In de praktijk besluit de afdeling Internationale Overdracht Strafvonnissen (IOS) van de Dienst Justitiële Inrichtingen (DJI) namens </w:t>
      </w:r>
      <w:r w:rsidR="00C05347">
        <w:rPr>
          <w:sz w:val="16"/>
          <w:szCs w:val="16"/>
        </w:rPr>
        <w:t xml:space="preserve">de Staatssecretaris </w:t>
      </w:r>
      <w:r w:rsidR="00B57AD8">
        <w:rPr>
          <w:sz w:val="16"/>
          <w:szCs w:val="16"/>
        </w:rPr>
        <w:t>over de erkenning van vrijheidsbenemende vonnissen.</w:t>
      </w:r>
    </w:p>
  </w:footnote>
  <w:footnote w:id="3">
    <w:p w14:paraId="6385C9B6" w14:textId="6327E7BC" w:rsidR="000D0D17" w:rsidRPr="00EE2073" w:rsidRDefault="000D0D17">
      <w:pPr>
        <w:pStyle w:val="Voetnoottekst"/>
      </w:pPr>
      <w:r>
        <w:rPr>
          <w:rStyle w:val="Voetnootmarkering"/>
        </w:rPr>
        <w:footnoteRef/>
      </w:r>
      <w:r>
        <w:t xml:space="preserve"> </w:t>
      </w:r>
      <w:r w:rsidRPr="00637BD7">
        <w:rPr>
          <w:i/>
          <w:iCs/>
          <w:sz w:val="16"/>
          <w:szCs w:val="16"/>
        </w:rPr>
        <w:t>Kamerstukken II</w:t>
      </w:r>
      <w:r>
        <w:rPr>
          <w:sz w:val="16"/>
          <w:szCs w:val="16"/>
        </w:rPr>
        <w:t>, 2010/11, 32885, nr. 3</w:t>
      </w:r>
      <w:r w:rsidR="00EE2073">
        <w:rPr>
          <w:sz w:val="16"/>
          <w:szCs w:val="16"/>
        </w:rPr>
        <w:t xml:space="preserve">, p. 22 en </w:t>
      </w:r>
      <w:r w:rsidR="00EE2073">
        <w:rPr>
          <w:i/>
          <w:iCs/>
          <w:sz w:val="16"/>
          <w:szCs w:val="16"/>
        </w:rPr>
        <w:t xml:space="preserve">Kamerstukken II, </w:t>
      </w:r>
      <w:r w:rsidR="00EE2073" w:rsidRPr="008D25B5">
        <w:rPr>
          <w:sz w:val="16"/>
          <w:szCs w:val="16"/>
        </w:rPr>
        <w:t xml:space="preserve">2010/11, </w:t>
      </w:r>
      <w:r w:rsidR="00C05347">
        <w:rPr>
          <w:sz w:val="16"/>
          <w:szCs w:val="16"/>
        </w:rPr>
        <w:t xml:space="preserve">32885, </w:t>
      </w:r>
      <w:r w:rsidR="00EE2073" w:rsidRPr="008D25B5">
        <w:rPr>
          <w:sz w:val="16"/>
          <w:szCs w:val="16"/>
        </w:rPr>
        <w:t>nr. 7, p. 18 e.v.</w:t>
      </w:r>
    </w:p>
  </w:footnote>
  <w:footnote w:id="4">
    <w:p w14:paraId="329AE175" w14:textId="40CDBC72" w:rsidR="005734F0" w:rsidRDefault="005734F0">
      <w:pPr>
        <w:pStyle w:val="Voetnoottekst"/>
      </w:pPr>
      <w:r>
        <w:rPr>
          <w:rStyle w:val="Voetnootmarkering"/>
        </w:rPr>
        <w:footnoteRef/>
      </w:r>
      <w:r>
        <w:t xml:space="preserve"> </w:t>
      </w:r>
      <w:r w:rsidRPr="005734F0">
        <w:rPr>
          <w:i/>
          <w:iCs/>
          <w:sz w:val="16"/>
          <w:szCs w:val="16"/>
        </w:rPr>
        <w:t>Kamerstukken II</w:t>
      </w:r>
      <w:r w:rsidRPr="005734F0">
        <w:rPr>
          <w:sz w:val="16"/>
          <w:szCs w:val="16"/>
        </w:rPr>
        <w:t>, 2023/24, 32885, nr. 14.</w:t>
      </w:r>
    </w:p>
  </w:footnote>
  <w:footnote w:id="5">
    <w:p w14:paraId="3CD2ABFA" w14:textId="77777777" w:rsidR="00503DC5" w:rsidRPr="00CA15EA" w:rsidRDefault="00503DC5" w:rsidP="00503DC5">
      <w:pPr>
        <w:pStyle w:val="Voetnoottekst"/>
        <w:rPr>
          <w:sz w:val="16"/>
          <w:szCs w:val="16"/>
        </w:rPr>
      </w:pPr>
      <w:r w:rsidRPr="00CA15EA">
        <w:rPr>
          <w:rStyle w:val="Voetnootmarkering"/>
          <w:sz w:val="16"/>
          <w:szCs w:val="16"/>
        </w:rPr>
        <w:footnoteRef/>
      </w:r>
      <w:r w:rsidRPr="00CA15EA">
        <w:rPr>
          <w:sz w:val="16"/>
          <w:szCs w:val="16"/>
        </w:rPr>
        <w:t xml:space="preserve"> Aanhangsel Handelingen II, vergaderjaar 2022-2023, nr. 2080.</w:t>
      </w:r>
      <w:r w:rsidRPr="00CA15EA">
        <w:rPr>
          <w:b/>
          <w:bCs/>
          <w:sz w:val="16"/>
          <w:szCs w:val="16"/>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762B7" w14:textId="77777777" w:rsidR="003A091C" w:rsidRDefault="003A091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EE330" w14:textId="77777777" w:rsidR="00766C2D" w:rsidRDefault="00F42811">
    <w:r>
      <w:rPr>
        <w:noProof/>
      </w:rPr>
      <mc:AlternateContent>
        <mc:Choice Requires="wps">
          <w:drawing>
            <wp:anchor distT="0" distB="0" distL="0" distR="0" simplePos="0" relativeHeight="251652608" behindDoc="0" locked="1" layoutInCell="1" allowOverlap="1" wp14:anchorId="2EBBD621" wp14:editId="77126F73">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FA1F49E" w14:textId="77777777" w:rsidR="00766C2D" w:rsidRDefault="00F42811">
                          <w:pPr>
                            <w:pStyle w:val="Referentiegegevensbold"/>
                          </w:pPr>
                          <w:r>
                            <w:t>Directoraat-Generaal Straffen en Beschermen</w:t>
                          </w:r>
                        </w:p>
                        <w:p w14:paraId="03324F95" w14:textId="77777777" w:rsidR="00766C2D" w:rsidRDefault="00F42811">
                          <w:pPr>
                            <w:pStyle w:val="Referentiegegevens"/>
                          </w:pPr>
                          <w:r>
                            <w:t>Directie Sanctie- en Slachtofferbeleid</w:t>
                          </w:r>
                        </w:p>
                        <w:p w14:paraId="3C23B61C" w14:textId="77777777" w:rsidR="00766C2D" w:rsidRDefault="00F42811">
                          <w:pPr>
                            <w:pStyle w:val="Referentiegegevens"/>
                          </w:pPr>
                          <w:r>
                            <w:t>Sancties Intramuraal</w:t>
                          </w:r>
                        </w:p>
                        <w:p w14:paraId="410E25BE" w14:textId="77777777" w:rsidR="00766C2D" w:rsidRDefault="00766C2D">
                          <w:pPr>
                            <w:pStyle w:val="WitregelW2"/>
                          </w:pPr>
                        </w:p>
                        <w:p w14:paraId="56CAC523" w14:textId="77777777" w:rsidR="00766C2D" w:rsidRDefault="00F42811">
                          <w:pPr>
                            <w:pStyle w:val="Referentiegegevensbold"/>
                          </w:pPr>
                          <w:r>
                            <w:t>Datum</w:t>
                          </w:r>
                        </w:p>
                        <w:p w14:paraId="3BF9A4C2" w14:textId="532BDFF6" w:rsidR="00766C2D" w:rsidRDefault="00630D08">
                          <w:pPr>
                            <w:pStyle w:val="Referentiegegevens"/>
                          </w:pPr>
                          <w:sdt>
                            <w:sdtPr>
                              <w:id w:val="1330629765"/>
                              <w:date w:fullDate="2025-02-21T00:00:00Z">
                                <w:dateFormat w:val="d MMMM yyyy"/>
                                <w:lid w:val="nl"/>
                                <w:storeMappedDataAs w:val="dateTime"/>
                                <w:calendar w:val="gregorian"/>
                              </w:date>
                            </w:sdtPr>
                            <w:sdtEndPr/>
                            <w:sdtContent>
                              <w:r w:rsidR="00A64A45">
                                <w:rPr>
                                  <w:lang w:val="nl"/>
                                </w:rPr>
                                <w:t>2</w:t>
                              </w:r>
                              <w:r w:rsidR="00D81857">
                                <w:rPr>
                                  <w:lang w:val="nl"/>
                                </w:rPr>
                                <w:t>1 februari 2025</w:t>
                              </w:r>
                            </w:sdtContent>
                          </w:sdt>
                        </w:p>
                        <w:p w14:paraId="73328688" w14:textId="77777777" w:rsidR="00766C2D" w:rsidRDefault="00766C2D">
                          <w:pPr>
                            <w:pStyle w:val="WitregelW1"/>
                          </w:pPr>
                        </w:p>
                        <w:p w14:paraId="74600A5C" w14:textId="77777777" w:rsidR="00766C2D" w:rsidRDefault="00F42811">
                          <w:pPr>
                            <w:pStyle w:val="Referentiegegevensbold"/>
                          </w:pPr>
                          <w:r>
                            <w:t>Onze referentie</w:t>
                          </w:r>
                        </w:p>
                        <w:p w14:paraId="237A6E79" w14:textId="77777777" w:rsidR="00766C2D" w:rsidRDefault="00F42811">
                          <w:pPr>
                            <w:pStyle w:val="Referentiegegevens"/>
                          </w:pPr>
                          <w:r>
                            <w:t>6177038</w:t>
                          </w:r>
                        </w:p>
                      </w:txbxContent>
                    </wps:txbx>
                    <wps:bodyPr vert="horz" wrap="square" lIns="0" tIns="0" rIns="0" bIns="0" anchor="t" anchorCtr="0"/>
                  </wps:wsp>
                </a:graphicData>
              </a:graphic>
            </wp:anchor>
          </w:drawing>
        </mc:Choice>
        <mc:Fallback>
          <w:pict>
            <v:shapetype w14:anchorId="2EBBD621"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7FA1F49E" w14:textId="77777777" w:rsidR="00766C2D" w:rsidRDefault="00F42811">
                    <w:pPr>
                      <w:pStyle w:val="Referentiegegevensbold"/>
                    </w:pPr>
                    <w:r>
                      <w:t>Directoraat-Generaal Straffen en Beschermen</w:t>
                    </w:r>
                  </w:p>
                  <w:p w14:paraId="03324F95" w14:textId="77777777" w:rsidR="00766C2D" w:rsidRDefault="00F42811">
                    <w:pPr>
                      <w:pStyle w:val="Referentiegegevens"/>
                    </w:pPr>
                    <w:r>
                      <w:t>Directie Sanctie- en Slachtofferbeleid</w:t>
                    </w:r>
                  </w:p>
                  <w:p w14:paraId="3C23B61C" w14:textId="77777777" w:rsidR="00766C2D" w:rsidRDefault="00F42811">
                    <w:pPr>
                      <w:pStyle w:val="Referentiegegevens"/>
                    </w:pPr>
                    <w:r>
                      <w:t>Sancties Intramuraal</w:t>
                    </w:r>
                  </w:p>
                  <w:p w14:paraId="410E25BE" w14:textId="77777777" w:rsidR="00766C2D" w:rsidRDefault="00766C2D">
                    <w:pPr>
                      <w:pStyle w:val="WitregelW2"/>
                    </w:pPr>
                  </w:p>
                  <w:p w14:paraId="56CAC523" w14:textId="77777777" w:rsidR="00766C2D" w:rsidRDefault="00F42811">
                    <w:pPr>
                      <w:pStyle w:val="Referentiegegevensbold"/>
                    </w:pPr>
                    <w:r>
                      <w:t>Datum</w:t>
                    </w:r>
                  </w:p>
                  <w:p w14:paraId="3BF9A4C2" w14:textId="532BDFF6" w:rsidR="00766C2D" w:rsidRDefault="00630D08">
                    <w:pPr>
                      <w:pStyle w:val="Referentiegegevens"/>
                    </w:pPr>
                    <w:sdt>
                      <w:sdtPr>
                        <w:id w:val="1330629765"/>
                        <w:date w:fullDate="2025-02-21T00:00:00Z">
                          <w:dateFormat w:val="d MMMM yyyy"/>
                          <w:lid w:val="nl"/>
                          <w:storeMappedDataAs w:val="dateTime"/>
                          <w:calendar w:val="gregorian"/>
                        </w:date>
                      </w:sdtPr>
                      <w:sdtEndPr/>
                      <w:sdtContent>
                        <w:r w:rsidR="00A64A45">
                          <w:rPr>
                            <w:lang w:val="nl"/>
                          </w:rPr>
                          <w:t>2</w:t>
                        </w:r>
                        <w:r w:rsidR="00D81857">
                          <w:rPr>
                            <w:lang w:val="nl"/>
                          </w:rPr>
                          <w:t>1 februari 2025</w:t>
                        </w:r>
                      </w:sdtContent>
                    </w:sdt>
                  </w:p>
                  <w:p w14:paraId="73328688" w14:textId="77777777" w:rsidR="00766C2D" w:rsidRDefault="00766C2D">
                    <w:pPr>
                      <w:pStyle w:val="WitregelW1"/>
                    </w:pPr>
                  </w:p>
                  <w:p w14:paraId="74600A5C" w14:textId="77777777" w:rsidR="00766C2D" w:rsidRDefault="00F42811">
                    <w:pPr>
                      <w:pStyle w:val="Referentiegegevensbold"/>
                    </w:pPr>
                    <w:r>
                      <w:t>Onze referentie</w:t>
                    </w:r>
                  </w:p>
                  <w:p w14:paraId="237A6E79" w14:textId="77777777" w:rsidR="00766C2D" w:rsidRDefault="00F42811">
                    <w:pPr>
                      <w:pStyle w:val="Referentiegegevens"/>
                    </w:pPr>
                    <w:r>
                      <w:t>6177038</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94A8936" wp14:editId="5B7EAEF6">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D3EC537" w14:textId="77777777" w:rsidR="00EB41A4" w:rsidRDefault="00EB41A4"/>
                      </w:txbxContent>
                    </wps:txbx>
                    <wps:bodyPr vert="horz" wrap="square" lIns="0" tIns="0" rIns="0" bIns="0" anchor="t" anchorCtr="0"/>
                  </wps:wsp>
                </a:graphicData>
              </a:graphic>
            </wp:anchor>
          </w:drawing>
        </mc:Choice>
        <mc:Fallback>
          <w:pict>
            <v:shape w14:anchorId="194A8936"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5D3EC537" w14:textId="77777777" w:rsidR="00EB41A4" w:rsidRDefault="00EB41A4"/>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60B051C" wp14:editId="0FCFD2AD">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BBFD48D" w14:textId="30871C5F" w:rsidR="00766C2D" w:rsidRDefault="00F42811">
                          <w:pPr>
                            <w:pStyle w:val="Referentiegegevens"/>
                          </w:pPr>
                          <w:r>
                            <w:t xml:space="preserve">Pagina </w:t>
                          </w:r>
                          <w:r>
                            <w:fldChar w:fldCharType="begin"/>
                          </w:r>
                          <w:r>
                            <w:instrText>PAGE</w:instrText>
                          </w:r>
                          <w:r>
                            <w:fldChar w:fldCharType="separate"/>
                          </w:r>
                          <w:r w:rsidR="000D1236">
                            <w:rPr>
                              <w:noProof/>
                            </w:rPr>
                            <w:t>5</w:t>
                          </w:r>
                          <w:r>
                            <w:fldChar w:fldCharType="end"/>
                          </w:r>
                          <w:r>
                            <w:t xml:space="preserve"> van </w:t>
                          </w:r>
                          <w:r>
                            <w:fldChar w:fldCharType="begin"/>
                          </w:r>
                          <w:r>
                            <w:instrText>NUMPAGES</w:instrText>
                          </w:r>
                          <w:r>
                            <w:fldChar w:fldCharType="separate"/>
                          </w:r>
                          <w:r w:rsidR="000D1236">
                            <w:rPr>
                              <w:noProof/>
                            </w:rPr>
                            <w:t>5</w:t>
                          </w:r>
                          <w:r>
                            <w:fldChar w:fldCharType="end"/>
                          </w:r>
                        </w:p>
                      </w:txbxContent>
                    </wps:txbx>
                    <wps:bodyPr vert="horz" wrap="square" lIns="0" tIns="0" rIns="0" bIns="0" anchor="t" anchorCtr="0"/>
                  </wps:wsp>
                </a:graphicData>
              </a:graphic>
            </wp:anchor>
          </w:drawing>
        </mc:Choice>
        <mc:Fallback>
          <w:pict>
            <v:shape w14:anchorId="260B051C"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1BBFD48D" w14:textId="30871C5F" w:rsidR="00766C2D" w:rsidRDefault="00F42811">
                    <w:pPr>
                      <w:pStyle w:val="Referentiegegevens"/>
                    </w:pPr>
                    <w:r>
                      <w:t xml:space="preserve">Pagina </w:t>
                    </w:r>
                    <w:r>
                      <w:fldChar w:fldCharType="begin"/>
                    </w:r>
                    <w:r>
                      <w:instrText>PAGE</w:instrText>
                    </w:r>
                    <w:r>
                      <w:fldChar w:fldCharType="separate"/>
                    </w:r>
                    <w:r w:rsidR="000D1236">
                      <w:rPr>
                        <w:noProof/>
                      </w:rPr>
                      <w:t>5</w:t>
                    </w:r>
                    <w:r>
                      <w:fldChar w:fldCharType="end"/>
                    </w:r>
                    <w:r>
                      <w:t xml:space="preserve"> van </w:t>
                    </w:r>
                    <w:r>
                      <w:fldChar w:fldCharType="begin"/>
                    </w:r>
                    <w:r>
                      <w:instrText>NUMPAGES</w:instrText>
                    </w:r>
                    <w:r>
                      <w:fldChar w:fldCharType="separate"/>
                    </w:r>
                    <w:r w:rsidR="000D1236">
                      <w:rPr>
                        <w:noProof/>
                      </w:rPr>
                      <w:t>5</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00FE8" w14:textId="77777777" w:rsidR="00766C2D" w:rsidRDefault="00F42811">
    <w:pPr>
      <w:spacing w:after="6377" w:line="14" w:lineRule="exact"/>
    </w:pPr>
    <w:r>
      <w:rPr>
        <w:noProof/>
      </w:rPr>
      <mc:AlternateContent>
        <mc:Choice Requires="wps">
          <w:drawing>
            <wp:anchor distT="0" distB="0" distL="0" distR="0" simplePos="0" relativeHeight="251655680" behindDoc="0" locked="1" layoutInCell="1" allowOverlap="1" wp14:anchorId="32D1DF9C" wp14:editId="387C3652">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8292A7E" w14:textId="77777777" w:rsidR="003A091C" w:rsidRDefault="00F42811">
                          <w:r>
                            <w:t>Aan de Voorzitter van de Tweede Kamer</w:t>
                          </w:r>
                        </w:p>
                        <w:p w14:paraId="11D453A6" w14:textId="1E4FFB84" w:rsidR="00766C2D" w:rsidRDefault="00F42811">
                          <w:r>
                            <w:t>der Staten-Generaal</w:t>
                          </w:r>
                        </w:p>
                        <w:p w14:paraId="1999CCC4" w14:textId="77777777" w:rsidR="00766C2D" w:rsidRDefault="00F42811">
                          <w:r>
                            <w:t xml:space="preserve">Postbus 20018 </w:t>
                          </w:r>
                        </w:p>
                        <w:p w14:paraId="3C513D4A" w14:textId="77777777" w:rsidR="00766C2D" w:rsidRDefault="00F42811">
                          <w:r>
                            <w:t>2500 EA  DEN HAAG</w:t>
                          </w:r>
                        </w:p>
                      </w:txbxContent>
                    </wps:txbx>
                    <wps:bodyPr vert="horz" wrap="square" lIns="0" tIns="0" rIns="0" bIns="0" anchor="t" anchorCtr="0"/>
                  </wps:wsp>
                </a:graphicData>
              </a:graphic>
            </wp:anchor>
          </w:drawing>
        </mc:Choice>
        <mc:Fallback>
          <w:pict>
            <v:shapetype w14:anchorId="32D1DF9C"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38292A7E" w14:textId="77777777" w:rsidR="003A091C" w:rsidRDefault="00F42811">
                    <w:r>
                      <w:t>Aan de Voorzitter van de Tweede Kamer</w:t>
                    </w:r>
                  </w:p>
                  <w:p w14:paraId="11D453A6" w14:textId="1E4FFB84" w:rsidR="00766C2D" w:rsidRDefault="00F42811">
                    <w:r>
                      <w:t>der Staten-Generaal</w:t>
                    </w:r>
                  </w:p>
                  <w:p w14:paraId="1999CCC4" w14:textId="77777777" w:rsidR="00766C2D" w:rsidRDefault="00F42811">
                    <w:r>
                      <w:t xml:space="preserve">Postbus 20018 </w:t>
                    </w:r>
                  </w:p>
                  <w:p w14:paraId="3C513D4A" w14:textId="77777777" w:rsidR="00766C2D" w:rsidRDefault="00F42811">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03CA8AE" wp14:editId="6BB95D63">
              <wp:simplePos x="0" y="0"/>
              <wp:positionH relativeFrom="page">
                <wp:posOffset>1000125</wp:posOffset>
              </wp:positionH>
              <wp:positionV relativeFrom="page">
                <wp:posOffset>3352800</wp:posOffset>
              </wp:positionV>
              <wp:extent cx="4787900" cy="100012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10001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766C2D" w14:paraId="11A779B6" w14:textId="77777777">
                            <w:trPr>
                              <w:trHeight w:val="240"/>
                            </w:trPr>
                            <w:tc>
                              <w:tcPr>
                                <w:tcW w:w="1140" w:type="dxa"/>
                              </w:tcPr>
                              <w:p w14:paraId="5A7D522B" w14:textId="77777777" w:rsidR="00766C2D" w:rsidRDefault="00F42811">
                                <w:r>
                                  <w:t>Datum</w:t>
                                </w:r>
                              </w:p>
                            </w:tc>
                            <w:tc>
                              <w:tcPr>
                                <w:tcW w:w="5918" w:type="dxa"/>
                              </w:tcPr>
                              <w:p w14:paraId="14C62C8A" w14:textId="11980934" w:rsidR="00766C2D" w:rsidRDefault="00630D08">
                                <w:sdt>
                                  <w:sdtPr>
                                    <w:id w:val="1430618902"/>
                                    <w:date w:fullDate="2025-02-21T00:00:00Z">
                                      <w:dateFormat w:val="d MMMM yyyy"/>
                                      <w:lid w:val="nl"/>
                                      <w:storeMappedDataAs w:val="dateTime"/>
                                      <w:calendar w:val="gregorian"/>
                                    </w:date>
                                  </w:sdtPr>
                                  <w:sdtEndPr/>
                                  <w:sdtContent>
                                    <w:r w:rsidR="00A64A45">
                                      <w:rPr>
                                        <w:lang w:val="nl"/>
                                      </w:rPr>
                                      <w:t>2</w:t>
                                    </w:r>
                                    <w:r w:rsidR="00D81857">
                                      <w:rPr>
                                        <w:lang w:val="nl"/>
                                      </w:rPr>
                                      <w:t>1 februari 2025</w:t>
                                    </w:r>
                                  </w:sdtContent>
                                </w:sdt>
                              </w:p>
                            </w:tc>
                          </w:tr>
                          <w:tr w:rsidR="00766C2D" w14:paraId="3BF16BAF" w14:textId="77777777">
                            <w:trPr>
                              <w:trHeight w:val="240"/>
                            </w:trPr>
                            <w:tc>
                              <w:tcPr>
                                <w:tcW w:w="1140" w:type="dxa"/>
                              </w:tcPr>
                              <w:p w14:paraId="60F4EAD8" w14:textId="77777777" w:rsidR="00766C2D" w:rsidRDefault="00F42811">
                                <w:r>
                                  <w:t>Betreft</w:t>
                                </w:r>
                              </w:p>
                            </w:tc>
                            <w:tc>
                              <w:tcPr>
                                <w:tcW w:w="5918" w:type="dxa"/>
                              </w:tcPr>
                              <w:p w14:paraId="2EE2555C" w14:textId="120BBDBA" w:rsidR="00766C2D" w:rsidRDefault="00F42811">
                                <w:r>
                                  <w:t xml:space="preserve">Antwoorden Kamervragen </w:t>
                                </w:r>
                                <w:r w:rsidR="003A091C">
                                  <w:t>over h</w:t>
                                </w:r>
                                <w:r w:rsidR="00034933">
                                  <w:t xml:space="preserve">et bericht ‘De druppel die de emmer doet overlopen, naar een toekomstbestendige WETS-procedure voor overname van strafexecutie in Nederland de wetgever aan zet’ </w:t>
                                </w:r>
                              </w:p>
                            </w:tc>
                          </w:tr>
                          <w:tr w:rsidR="00034933" w14:paraId="3C6C5487" w14:textId="77777777">
                            <w:trPr>
                              <w:trHeight w:val="240"/>
                            </w:trPr>
                            <w:tc>
                              <w:tcPr>
                                <w:tcW w:w="1140" w:type="dxa"/>
                              </w:tcPr>
                              <w:p w14:paraId="13F6FB48" w14:textId="77777777" w:rsidR="00034933" w:rsidRDefault="00034933"/>
                            </w:tc>
                            <w:tc>
                              <w:tcPr>
                                <w:tcW w:w="5918" w:type="dxa"/>
                              </w:tcPr>
                              <w:p w14:paraId="0512C716" w14:textId="77777777" w:rsidR="00034933" w:rsidRDefault="00034933"/>
                            </w:tc>
                          </w:tr>
                        </w:tbl>
                        <w:p w14:paraId="37BCFA6E" w14:textId="77777777" w:rsidR="00EB41A4" w:rsidRDefault="00EB41A4"/>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03CA8AE" id="46feebd0-aa3c-11ea-a756-beb5f67e67be" o:spid="_x0000_s1030" type="#_x0000_t202" style="position:absolute;margin-left:78.75pt;margin-top:264pt;width:377pt;height:78.7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766C2D" w14:paraId="11A779B6" w14:textId="77777777">
                      <w:trPr>
                        <w:trHeight w:val="240"/>
                      </w:trPr>
                      <w:tc>
                        <w:tcPr>
                          <w:tcW w:w="1140" w:type="dxa"/>
                        </w:tcPr>
                        <w:p w14:paraId="5A7D522B" w14:textId="77777777" w:rsidR="00766C2D" w:rsidRDefault="00F42811">
                          <w:r>
                            <w:t>Datum</w:t>
                          </w:r>
                        </w:p>
                      </w:tc>
                      <w:tc>
                        <w:tcPr>
                          <w:tcW w:w="5918" w:type="dxa"/>
                        </w:tcPr>
                        <w:p w14:paraId="14C62C8A" w14:textId="11980934" w:rsidR="00766C2D" w:rsidRDefault="00630D08">
                          <w:sdt>
                            <w:sdtPr>
                              <w:id w:val="1430618902"/>
                              <w:date w:fullDate="2025-02-21T00:00:00Z">
                                <w:dateFormat w:val="d MMMM yyyy"/>
                                <w:lid w:val="nl"/>
                                <w:storeMappedDataAs w:val="dateTime"/>
                                <w:calendar w:val="gregorian"/>
                              </w:date>
                            </w:sdtPr>
                            <w:sdtEndPr/>
                            <w:sdtContent>
                              <w:r w:rsidR="00A64A45">
                                <w:rPr>
                                  <w:lang w:val="nl"/>
                                </w:rPr>
                                <w:t>2</w:t>
                              </w:r>
                              <w:r w:rsidR="00D81857">
                                <w:rPr>
                                  <w:lang w:val="nl"/>
                                </w:rPr>
                                <w:t>1 februari 2025</w:t>
                              </w:r>
                            </w:sdtContent>
                          </w:sdt>
                        </w:p>
                      </w:tc>
                    </w:tr>
                    <w:tr w:rsidR="00766C2D" w14:paraId="3BF16BAF" w14:textId="77777777">
                      <w:trPr>
                        <w:trHeight w:val="240"/>
                      </w:trPr>
                      <w:tc>
                        <w:tcPr>
                          <w:tcW w:w="1140" w:type="dxa"/>
                        </w:tcPr>
                        <w:p w14:paraId="60F4EAD8" w14:textId="77777777" w:rsidR="00766C2D" w:rsidRDefault="00F42811">
                          <w:r>
                            <w:t>Betreft</w:t>
                          </w:r>
                        </w:p>
                      </w:tc>
                      <w:tc>
                        <w:tcPr>
                          <w:tcW w:w="5918" w:type="dxa"/>
                        </w:tcPr>
                        <w:p w14:paraId="2EE2555C" w14:textId="120BBDBA" w:rsidR="00766C2D" w:rsidRDefault="00F42811">
                          <w:r>
                            <w:t xml:space="preserve">Antwoorden Kamervragen </w:t>
                          </w:r>
                          <w:r w:rsidR="003A091C">
                            <w:t>over h</w:t>
                          </w:r>
                          <w:r w:rsidR="00034933">
                            <w:t xml:space="preserve">et bericht ‘De druppel die de emmer doet overlopen, naar een toekomstbestendige WETS-procedure voor overname van strafexecutie in Nederland de wetgever aan zet’ </w:t>
                          </w:r>
                        </w:p>
                      </w:tc>
                    </w:tr>
                    <w:tr w:rsidR="00034933" w14:paraId="3C6C5487" w14:textId="77777777">
                      <w:trPr>
                        <w:trHeight w:val="240"/>
                      </w:trPr>
                      <w:tc>
                        <w:tcPr>
                          <w:tcW w:w="1140" w:type="dxa"/>
                        </w:tcPr>
                        <w:p w14:paraId="13F6FB48" w14:textId="77777777" w:rsidR="00034933" w:rsidRDefault="00034933"/>
                      </w:tc>
                      <w:tc>
                        <w:tcPr>
                          <w:tcW w:w="5918" w:type="dxa"/>
                        </w:tcPr>
                        <w:p w14:paraId="0512C716" w14:textId="77777777" w:rsidR="00034933" w:rsidRDefault="00034933"/>
                      </w:tc>
                    </w:tr>
                  </w:tbl>
                  <w:p w14:paraId="37BCFA6E" w14:textId="77777777" w:rsidR="00EB41A4" w:rsidRDefault="00EB41A4"/>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1B03B3B2" wp14:editId="78117839">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EAB6667" w14:textId="77777777" w:rsidR="00766C2D" w:rsidRDefault="00F42811">
                          <w:pPr>
                            <w:pStyle w:val="Referentiegegevensbold"/>
                          </w:pPr>
                          <w:r>
                            <w:t>Directoraat-Generaal Straffen en Beschermen</w:t>
                          </w:r>
                        </w:p>
                        <w:p w14:paraId="30844D5E" w14:textId="77777777" w:rsidR="00766C2D" w:rsidRDefault="00F42811">
                          <w:pPr>
                            <w:pStyle w:val="Referentiegegevens"/>
                          </w:pPr>
                          <w:r>
                            <w:t>Directie Sanctie- en Slachtofferbeleid</w:t>
                          </w:r>
                        </w:p>
                        <w:p w14:paraId="5E98E1B8" w14:textId="77777777" w:rsidR="00766C2D" w:rsidRDefault="00F42811">
                          <w:pPr>
                            <w:pStyle w:val="Referentiegegevens"/>
                          </w:pPr>
                          <w:r>
                            <w:t>Sancties Intramuraal</w:t>
                          </w:r>
                        </w:p>
                        <w:p w14:paraId="2A183021" w14:textId="77777777" w:rsidR="00766C2D" w:rsidRDefault="00766C2D">
                          <w:pPr>
                            <w:pStyle w:val="WitregelW1"/>
                          </w:pPr>
                        </w:p>
                        <w:p w14:paraId="7CFB251F" w14:textId="77777777" w:rsidR="00766C2D" w:rsidRDefault="00F42811">
                          <w:pPr>
                            <w:pStyle w:val="Referentiegegevens"/>
                          </w:pPr>
                          <w:r>
                            <w:t>Turfmarkt 147</w:t>
                          </w:r>
                        </w:p>
                        <w:p w14:paraId="49CC0CDF" w14:textId="77777777" w:rsidR="00766C2D" w:rsidRDefault="00F42811">
                          <w:pPr>
                            <w:pStyle w:val="Referentiegegevens"/>
                          </w:pPr>
                          <w:r>
                            <w:t>2511 DP   Den Haag</w:t>
                          </w:r>
                        </w:p>
                        <w:p w14:paraId="3416B588" w14:textId="77777777" w:rsidR="00766C2D" w:rsidRPr="00B36E80" w:rsidRDefault="00F42811">
                          <w:pPr>
                            <w:pStyle w:val="Referentiegegevens"/>
                            <w:rPr>
                              <w:lang w:val="de-DE"/>
                            </w:rPr>
                          </w:pPr>
                          <w:r w:rsidRPr="00B36E80">
                            <w:rPr>
                              <w:lang w:val="de-DE"/>
                            </w:rPr>
                            <w:t>Postbus 20301</w:t>
                          </w:r>
                        </w:p>
                        <w:p w14:paraId="663EF92C" w14:textId="77777777" w:rsidR="00766C2D" w:rsidRPr="00B36E80" w:rsidRDefault="00F42811">
                          <w:pPr>
                            <w:pStyle w:val="Referentiegegevens"/>
                            <w:rPr>
                              <w:lang w:val="de-DE"/>
                            </w:rPr>
                          </w:pPr>
                          <w:r w:rsidRPr="00B36E80">
                            <w:rPr>
                              <w:lang w:val="de-DE"/>
                            </w:rPr>
                            <w:t>2500 EH   Den Haag</w:t>
                          </w:r>
                        </w:p>
                        <w:p w14:paraId="18E9F3DD" w14:textId="77777777" w:rsidR="00766C2D" w:rsidRPr="00B36E80" w:rsidRDefault="00F42811">
                          <w:pPr>
                            <w:pStyle w:val="Referentiegegevens"/>
                            <w:rPr>
                              <w:lang w:val="de-DE"/>
                            </w:rPr>
                          </w:pPr>
                          <w:r w:rsidRPr="00B36E80">
                            <w:rPr>
                              <w:lang w:val="de-DE"/>
                            </w:rPr>
                            <w:t>www.rijksoverheid.nl/jenv</w:t>
                          </w:r>
                        </w:p>
                        <w:p w14:paraId="623D27D2" w14:textId="77777777" w:rsidR="00766C2D" w:rsidRPr="00B36E80" w:rsidRDefault="00766C2D">
                          <w:pPr>
                            <w:pStyle w:val="WitregelW2"/>
                            <w:rPr>
                              <w:lang w:val="de-DE"/>
                            </w:rPr>
                          </w:pPr>
                        </w:p>
                        <w:p w14:paraId="5F2D8884" w14:textId="77777777" w:rsidR="00766C2D" w:rsidRPr="00C906B1" w:rsidRDefault="00F42811">
                          <w:pPr>
                            <w:pStyle w:val="Referentiegegevensbold"/>
                          </w:pPr>
                          <w:r w:rsidRPr="00C906B1">
                            <w:t>Onze referentie</w:t>
                          </w:r>
                        </w:p>
                        <w:p w14:paraId="70DB1900" w14:textId="77777777" w:rsidR="00766C2D" w:rsidRDefault="00F42811">
                          <w:pPr>
                            <w:pStyle w:val="Referentiegegevens"/>
                          </w:pPr>
                          <w:r w:rsidRPr="00C906B1">
                            <w:t>6177038</w:t>
                          </w:r>
                        </w:p>
                      </w:txbxContent>
                    </wps:txbx>
                    <wps:bodyPr vert="horz" wrap="square" lIns="0" tIns="0" rIns="0" bIns="0" anchor="t" anchorCtr="0"/>
                  </wps:wsp>
                </a:graphicData>
              </a:graphic>
            </wp:anchor>
          </w:drawing>
        </mc:Choice>
        <mc:Fallback>
          <w:pict>
            <v:shape w14:anchorId="1B03B3B2"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1EAB6667" w14:textId="77777777" w:rsidR="00766C2D" w:rsidRDefault="00F42811">
                    <w:pPr>
                      <w:pStyle w:val="Referentiegegevensbold"/>
                    </w:pPr>
                    <w:r>
                      <w:t>Directoraat-Generaal Straffen en Beschermen</w:t>
                    </w:r>
                  </w:p>
                  <w:p w14:paraId="30844D5E" w14:textId="77777777" w:rsidR="00766C2D" w:rsidRDefault="00F42811">
                    <w:pPr>
                      <w:pStyle w:val="Referentiegegevens"/>
                    </w:pPr>
                    <w:r>
                      <w:t>Directie Sanctie- en Slachtofferbeleid</w:t>
                    </w:r>
                  </w:p>
                  <w:p w14:paraId="5E98E1B8" w14:textId="77777777" w:rsidR="00766C2D" w:rsidRDefault="00F42811">
                    <w:pPr>
                      <w:pStyle w:val="Referentiegegevens"/>
                    </w:pPr>
                    <w:r>
                      <w:t>Sancties Intramuraal</w:t>
                    </w:r>
                  </w:p>
                  <w:p w14:paraId="2A183021" w14:textId="77777777" w:rsidR="00766C2D" w:rsidRDefault="00766C2D">
                    <w:pPr>
                      <w:pStyle w:val="WitregelW1"/>
                    </w:pPr>
                  </w:p>
                  <w:p w14:paraId="7CFB251F" w14:textId="77777777" w:rsidR="00766C2D" w:rsidRDefault="00F42811">
                    <w:pPr>
                      <w:pStyle w:val="Referentiegegevens"/>
                    </w:pPr>
                    <w:r>
                      <w:t>Turfmarkt 147</w:t>
                    </w:r>
                  </w:p>
                  <w:p w14:paraId="49CC0CDF" w14:textId="77777777" w:rsidR="00766C2D" w:rsidRDefault="00F42811">
                    <w:pPr>
                      <w:pStyle w:val="Referentiegegevens"/>
                    </w:pPr>
                    <w:r>
                      <w:t>2511 DP   Den Haag</w:t>
                    </w:r>
                  </w:p>
                  <w:p w14:paraId="3416B588" w14:textId="77777777" w:rsidR="00766C2D" w:rsidRPr="00B36E80" w:rsidRDefault="00F42811">
                    <w:pPr>
                      <w:pStyle w:val="Referentiegegevens"/>
                      <w:rPr>
                        <w:lang w:val="de-DE"/>
                      </w:rPr>
                    </w:pPr>
                    <w:r w:rsidRPr="00B36E80">
                      <w:rPr>
                        <w:lang w:val="de-DE"/>
                      </w:rPr>
                      <w:t>Postbus 20301</w:t>
                    </w:r>
                  </w:p>
                  <w:p w14:paraId="663EF92C" w14:textId="77777777" w:rsidR="00766C2D" w:rsidRPr="00B36E80" w:rsidRDefault="00F42811">
                    <w:pPr>
                      <w:pStyle w:val="Referentiegegevens"/>
                      <w:rPr>
                        <w:lang w:val="de-DE"/>
                      </w:rPr>
                    </w:pPr>
                    <w:r w:rsidRPr="00B36E80">
                      <w:rPr>
                        <w:lang w:val="de-DE"/>
                      </w:rPr>
                      <w:t>2500 EH   Den Haag</w:t>
                    </w:r>
                  </w:p>
                  <w:p w14:paraId="18E9F3DD" w14:textId="77777777" w:rsidR="00766C2D" w:rsidRPr="00B36E80" w:rsidRDefault="00F42811">
                    <w:pPr>
                      <w:pStyle w:val="Referentiegegevens"/>
                      <w:rPr>
                        <w:lang w:val="de-DE"/>
                      </w:rPr>
                    </w:pPr>
                    <w:r w:rsidRPr="00B36E80">
                      <w:rPr>
                        <w:lang w:val="de-DE"/>
                      </w:rPr>
                      <w:t>www.rijksoverheid.nl/jenv</w:t>
                    </w:r>
                  </w:p>
                  <w:p w14:paraId="623D27D2" w14:textId="77777777" w:rsidR="00766C2D" w:rsidRPr="00B36E80" w:rsidRDefault="00766C2D">
                    <w:pPr>
                      <w:pStyle w:val="WitregelW2"/>
                      <w:rPr>
                        <w:lang w:val="de-DE"/>
                      </w:rPr>
                    </w:pPr>
                  </w:p>
                  <w:p w14:paraId="5F2D8884" w14:textId="77777777" w:rsidR="00766C2D" w:rsidRPr="00C906B1" w:rsidRDefault="00F42811">
                    <w:pPr>
                      <w:pStyle w:val="Referentiegegevensbold"/>
                    </w:pPr>
                    <w:r w:rsidRPr="00C906B1">
                      <w:t>Onze referentie</w:t>
                    </w:r>
                  </w:p>
                  <w:p w14:paraId="70DB1900" w14:textId="77777777" w:rsidR="00766C2D" w:rsidRDefault="00F42811">
                    <w:pPr>
                      <w:pStyle w:val="Referentiegegevens"/>
                    </w:pPr>
                    <w:r w:rsidRPr="00C906B1">
                      <w:t>6177038</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13E1B44" wp14:editId="56A8E395">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F551423" w14:textId="77777777" w:rsidR="00EB41A4" w:rsidRDefault="00EB41A4"/>
                      </w:txbxContent>
                    </wps:txbx>
                    <wps:bodyPr vert="horz" wrap="square" lIns="0" tIns="0" rIns="0" bIns="0" anchor="t" anchorCtr="0"/>
                  </wps:wsp>
                </a:graphicData>
              </a:graphic>
            </wp:anchor>
          </w:drawing>
        </mc:Choice>
        <mc:Fallback>
          <w:pict>
            <v:shape w14:anchorId="513E1B44"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5F551423" w14:textId="77777777" w:rsidR="00EB41A4" w:rsidRDefault="00EB41A4"/>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282FA9D7" wp14:editId="4793675C">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AC92C3A" w14:textId="7F773A30" w:rsidR="00766C2D" w:rsidRDefault="00F42811">
                          <w:pPr>
                            <w:pStyle w:val="Referentiegegevens"/>
                          </w:pPr>
                          <w:r>
                            <w:t xml:space="preserve">Pagina </w:t>
                          </w:r>
                          <w:r>
                            <w:fldChar w:fldCharType="begin"/>
                          </w:r>
                          <w:r>
                            <w:instrText>PAGE</w:instrText>
                          </w:r>
                          <w:r>
                            <w:fldChar w:fldCharType="separate"/>
                          </w:r>
                          <w:r w:rsidR="00630D08">
                            <w:rPr>
                              <w:noProof/>
                            </w:rPr>
                            <w:t>1</w:t>
                          </w:r>
                          <w:r>
                            <w:fldChar w:fldCharType="end"/>
                          </w:r>
                          <w:r>
                            <w:t xml:space="preserve"> van </w:t>
                          </w:r>
                          <w:r>
                            <w:fldChar w:fldCharType="begin"/>
                          </w:r>
                          <w:r>
                            <w:instrText>NUMPAGES</w:instrText>
                          </w:r>
                          <w:r>
                            <w:fldChar w:fldCharType="separate"/>
                          </w:r>
                          <w:r w:rsidR="00630D08">
                            <w:rPr>
                              <w:noProof/>
                            </w:rPr>
                            <w:t>1</w:t>
                          </w:r>
                          <w:r>
                            <w:fldChar w:fldCharType="end"/>
                          </w:r>
                        </w:p>
                      </w:txbxContent>
                    </wps:txbx>
                    <wps:bodyPr vert="horz" wrap="square" lIns="0" tIns="0" rIns="0" bIns="0" anchor="t" anchorCtr="0"/>
                  </wps:wsp>
                </a:graphicData>
              </a:graphic>
            </wp:anchor>
          </w:drawing>
        </mc:Choice>
        <mc:Fallback>
          <w:pict>
            <v:shape w14:anchorId="282FA9D7"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3AC92C3A" w14:textId="7F773A30" w:rsidR="00766C2D" w:rsidRDefault="00F42811">
                    <w:pPr>
                      <w:pStyle w:val="Referentiegegevens"/>
                    </w:pPr>
                    <w:r>
                      <w:t xml:space="preserve">Pagina </w:t>
                    </w:r>
                    <w:r>
                      <w:fldChar w:fldCharType="begin"/>
                    </w:r>
                    <w:r>
                      <w:instrText>PAGE</w:instrText>
                    </w:r>
                    <w:r>
                      <w:fldChar w:fldCharType="separate"/>
                    </w:r>
                    <w:r w:rsidR="00630D08">
                      <w:rPr>
                        <w:noProof/>
                      </w:rPr>
                      <w:t>1</w:t>
                    </w:r>
                    <w:r>
                      <w:fldChar w:fldCharType="end"/>
                    </w:r>
                    <w:r>
                      <w:t xml:space="preserve"> van </w:t>
                    </w:r>
                    <w:r>
                      <w:fldChar w:fldCharType="begin"/>
                    </w:r>
                    <w:r>
                      <w:instrText>NUMPAGES</w:instrText>
                    </w:r>
                    <w:r>
                      <w:fldChar w:fldCharType="separate"/>
                    </w:r>
                    <w:r w:rsidR="00630D08">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CF10E7B" wp14:editId="46C591A0">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3B823CC" w14:textId="77777777" w:rsidR="00766C2D" w:rsidRDefault="00F42811">
                          <w:pPr>
                            <w:spacing w:line="240" w:lineRule="auto"/>
                          </w:pPr>
                          <w:r>
                            <w:rPr>
                              <w:noProof/>
                            </w:rPr>
                            <w:drawing>
                              <wp:inline distT="0" distB="0" distL="0" distR="0" wp14:anchorId="0FE2DD0B" wp14:editId="0D46B9DA">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CF10E7B"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23B823CC" w14:textId="77777777" w:rsidR="00766C2D" w:rsidRDefault="00F42811">
                    <w:pPr>
                      <w:spacing w:line="240" w:lineRule="auto"/>
                    </w:pPr>
                    <w:r>
                      <w:rPr>
                        <w:noProof/>
                      </w:rPr>
                      <w:drawing>
                        <wp:inline distT="0" distB="0" distL="0" distR="0" wp14:anchorId="0FE2DD0B" wp14:editId="0D46B9DA">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470743A" wp14:editId="0927AB64">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1612E36" w14:textId="77777777" w:rsidR="00766C2D" w:rsidRDefault="00F42811">
                          <w:pPr>
                            <w:spacing w:line="240" w:lineRule="auto"/>
                          </w:pPr>
                          <w:r>
                            <w:rPr>
                              <w:noProof/>
                            </w:rPr>
                            <w:drawing>
                              <wp:inline distT="0" distB="0" distL="0" distR="0" wp14:anchorId="6D54A547" wp14:editId="635580C3">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470743A"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01612E36" w14:textId="77777777" w:rsidR="00766C2D" w:rsidRDefault="00F42811">
                    <w:pPr>
                      <w:spacing w:line="240" w:lineRule="auto"/>
                    </w:pPr>
                    <w:r>
                      <w:rPr>
                        <w:noProof/>
                      </w:rPr>
                      <w:drawing>
                        <wp:inline distT="0" distB="0" distL="0" distR="0" wp14:anchorId="6D54A547" wp14:editId="635580C3">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1E6D865" wp14:editId="200875F5">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C627A25" w14:textId="77777777" w:rsidR="00766C2D" w:rsidRDefault="00F42811">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51E6D865"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2C627A25" w14:textId="77777777" w:rsidR="00766C2D" w:rsidRDefault="00F42811">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01AE7BB"/>
    <w:multiLevelType w:val="multilevel"/>
    <w:tmpl w:val="32F7D67A"/>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F6BB1A71"/>
    <w:multiLevelType w:val="multilevel"/>
    <w:tmpl w:val="CE075F2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A2B4875"/>
    <w:multiLevelType w:val="hybridMultilevel"/>
    <w:tmpl w:val="1A6C19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C2475E5"/>
    <w:multiLevelType w:val="hybridMultilevel"/>
    <w:tmpl w:val="13783D20"/>
    <w:lvl w:ilvl="0" w:tplc="90A46124">
      <w:numFmt w:val="bullet"/>
      <w:lvlText w:val="-"/>
      <w:lvlJc w:val="left"/>
      <w:pPr>
        <w:ind w:left="720" w:hanging="360"/>
      </w:pPr>
      <w:rPr>
        <w:rFonts w:ascii="Verdana" w:eastAsia="DejaVu Sans" w:hAnsi="Verdana" w:cs="Lohit Hind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4F11757"/>
    <w:multiLevelType w:val="hybridMultilevel"/>
    <w:tmpl w:val="2E18A16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325DD4"/>
    <w:multiLevelType w:val="hybridMultilevel"/>
    <w:tmpl w:val="AACCBDE2"/>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A20456D"/>
    <w:multiLevelType w:val="hybridMultilevel"/>
    <w:tmpl w:val="78E0B71A"/>
    <w:lvl w:ilvl="0" w:tplc="0C78AFF4">
      <w:start w:val="1"/>
      <w:numFmt w:val="decimal"/>
      <w:lvlText w:val="%1."/>
      <w:lvlJc w:val="left"/>
      <w:pPr>
        <w:ind w:left="720" w:hanging="360"/>
      </w:pPr>
    </w:lvl>
    <w:lvl w:ilvl="1" w:tplc="D02CCE06">
      <w:start w:val="1"/>
      <w:numFmt w:val="lowerLetter"/>
      <w:lvlText w:val="%2."/>
      <w:lvlJc w:val="left"/>
      <w:pPr>
        <w:ind w:left="1440" w:hanging="360"/>
      </w:pPr>
    </w:lvl>
    <w:lvl w:ilvl="2" w:tplc="5A5CFB36">
      <w:start w:val="1"/>
      <w:numFmt w:val="lowerRoman"/>
      <w:lvlText w:val="%3."/>
      <w:lvlJc w:val="right"/>
      <w:pPr>
        <w:ind w:left="2160" w:hanging="180"/>
      </w:pPr>
    </w:lvl>
    <w:lvl w:ilvl="3" w:tplc="F908629C">
      <w:start w:val="1"/>
      <w:numFmt w:val="decimal"/>
      <w:lvlText w:val="%4."/>
      <w:lvlJc w:val="left"/>
      <w:pPr>
        <w:ind w:left="2880" w:hanging="360"/>
      </w:pPr>
    </w:lvl>
    <w:lvl w:ilvl="4" w:tplc="67DA9D46">
      <w:start w:val="1"/>
      <w:numFmt w:val="lowerLetter"/>
      <w:lvlText w:val="%5."/>
      <w:lvlJc w:val="left"/>
      <w:pPr>
        <w:ind w:left="3600" w:hanging="360"/>
      </w:pPr>
    </w:lvl>
    <w:lvl w:ilvl="5" w:tplc="0B1A697A">
      <w:start w:val="1"/>
      <w:numFmt w:val="lowerRoman"/>
      <w:lvlText w:val="%6."/>
      <w:lvlJc w:val="right"/>
      <w:pPr>
        <w:ind w:left="4320" w:hanging="180"/>
      </w:pPr>
    </w:lvl>
    <w:lvl w:ilvl="6" w:tplc="DD220760">
      <w:start w:val="1"/>
      <w:numFmt w:val="decimal"/>
      <w:lvlText w:val="%7."/>
      <w:lvlJc w:val="left"/>
      <w:pPr>
        <w:ind w:left="5040" w:hanging="360"/>
      </w:pPr>
    </w:lvl>
    <w:lvl w:ilvl="7" w:tplc="30D81EA8">
      <w:start w:val="1"/>
      <w:numFmt w:val="lowerLetter"/>
      <w:lvlText w:val="%8."/>
      <w:lvlJc w:val="left"/>
      <w:pPr>
        <w:ind w:left="5760" w:hanging="360"/>
      </w:pPr>
    </w:lvl>
    <w:lvl w:ilvl="8" w:tplc="8766E92E">
      <w:start w:val="1"/>
      <w:numFmt w:val="lowerRoman"/>
      <w:lvlText w:val="%9."/>
      <w:lvlJc w:val="right"/>
      <w:pPr>
        <w:ind w:left="6480" w:hanging="180"/>
      </w:pPr>
    </w:lvl>
  </w:abstractNum>
  <w:abstractNum w:abstractNumId="7" w15:restartNumberingAfterBreak="0">
    <w:nsid w:val="2DEB53A0"/>
    <w:multiLevelType w:val="hybridMultilevel"/>
    <w:tmpl w:val="06449F4C"/>
    <w:lvl w:ilvl="0" w:tplc="D1789D4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EBE64B8"/>
    <w:multiLevelType w:val="hybridMultilevel"/>
    <w:tmpl w:val="BF441A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2CAFEB2"/>
    <w:multiLevelType w:val="multilevel"/>
    <w:tmpl w:val="6D1DB370"/>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0" w15:restartNumberingAfterBreak="0">
    <w:nsid w:val="40A98C2A"/>
    <w:multiLevelType w:val="multilevel"/>
    <w:tmpl w:val="C578F13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1" w15:restartNumberingAfterBreak="0">
    <w:nsid w:val="417F6E9B"/>
    <w:multiLevelType w:val="hybridMultilevel"/>
    <w:tmpl w:val="E02A3FDE"/>
    <w:lvl w:ilvl="0" w:tplc="049072F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D7C18DC"/>
    <w:multiLevelType w:val="multilevel"/>
    <w:tmpl w:val="7B3BAFD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50F069C9"/>
    <w:multiLevelType w:val="multilevel"/>
    <w:tmpl w:val="297A7A5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4" w15:restartNumberingAfterBreak="0">
    <w:nsid w:val="5C7655BF"/>
    <w:multiLevelType w:val="hybridMultilevel"/>
    <w:tmpl w:val="8572E446"/>
    <w:lvl w:ilvl="0" w:tplc="10C0F2E6">
      <w:start w:val="1"/>
      <w:numFmt w:val="bullet"/>
      <w:lvlText w:val=""/>
      <w:lvlJc w:val="left"/>
      <w:pPr>
        <w:ind w:left="1440" w:hanging="360"/>
      </w:pPr>
      <w:rPr>
        <w:rFonts w:ascii="Symbol" w:hAnsi="Symbol"/>
      </w:rPr>
    </w:lvl>
    <w:lvl w:ilvl="1" w:tplc="F5D6933A">
      <w:start w:val="1"/>
      <w:numFmt w:val="bullet"/>
      <w:lvlText w:val=""/>
      <w:lvlJc w:val="left"/>
      <w:pPr>
        <w:ind w:left="1440" w:hanging="360"/>
      </w:pPr>
      <w:rPr>
        <w:rFonts w:ascii="Symbol" w:hAnsi="Symbol"/>
      </w:rPr>
    </w:lvl>
    <w:lvl w:ilvl="2" w:tplc="833AB544">
      <w:start w:val="1"/>
      <w:numFmt w:val="bullet"/>
      <w:lvlText w:val=""/>
      <w:lvlJc w:val="left"/>
      <w:pPr>
        <w:ind w:left="1440" w:hanging="360"/>
      </w:pPr>
      <w:rPr>
        <w:rFonts w:ascii="Symbol" w:hAnsi="Symbol"/>
      </w:rPr>
    </w:lvl>
    <w:lvl w:ilvl="3" w:tplc="7F344E66">
      <w:start w:val="1"/>
      <w:numFmt w:val="bullet"/>
      <w:lvlText w:val=""/>
      <w:lvlJc w:val="left"/>
      <w:pPr>
        <w:ind w:left="1440" w:hanging="360"/>
      </w:pPr>
      <w:rPr>
        <w:rFonts w:ascii="Symbol" w:hAnsi="Symbol"/>
      </w:rPr>
    </w:lvl>
    <w:lvl w:ilvl="4" w:tplc="0ACEBCF2">
      <w:start w:val="1"/>
      <w:numFmt w:val="bullet"/>
      <w:lvlText w:val=""/>
      <w:lvlJc w:val="left"/>
      <w:pPr>
        <w:ind w:left="1440" w:hanging="360"/>
      </w:pPr>
      <w:rPr>
        <w:rFonts w:ascii="Symbol" w:hAnsi="Symbol"/>
      </w:rPr>
    </w:lvl>
    <w:lvl w:ilvl="5" w:tplc="3E4A0BE4">
      <w:start w:val="1"/>
      <w:numFmt w:val="bullet"/>
      <w:lvlText w:val=""/>
      <w:lvlJc w:val="left"/>
      <w:pPr>
        <w:ind w:left="1440" w:hanging="360"/>
      </w:pPr>
      <w:rPr>
        <w:rFonts w:ascii="Symbol" w:hAnsi="Symbol"/>
      </w:rPr>
    </w:lvl>
    <w:lvl w:ilvl="6" w:tplc="A3CE8A28">
      <w:start w:val="1"/>
      <w:numFmt w:val="bullet"/>
      <w:lvlText w:val=""/>
      <w:lvlJc w:val="left"/>
      <w:pPr>
        <w:ind w:left="1440" w:hanging="360"/>
      </w:pPr>
      <w:rPr>
        <w:rFonts w:ascii="Symbol" w:hAnsi="Symbol"/>
      </w:rPr>
    </w:lvl>
    <w:lvl w:ilvl="7" w:tplc="9162E648">
      <w:start w:val="1"/>
      <w:numFmt w:val="bullet"/>
      <w:lvlText w:val=""/>
      <w:lvlJc w:val="left"/>
      <w:pPr>
        <w:ind w:left="1440" w:hanging="360"/>
      </w:pPr>
      <w:rPr>
        <w:rFonts w:ascii="Symbol" w:hAnsi="Symbol"/>
      </w:rPr>
    </w:lvl>
    <w:lvl w:ilvl="8" w:tplc="DACEBF38">
      <w:start w:val="1"/>
      <w:numFmt w:val="bullet"/>
      <w:lvlText w:val=""/>
      <w:lvlJc w:val="left"/>
      <w:pPr>
        <w:ind w:left="1440" w:hanging="360"/>
      </w:pPr>
      <w:rPr>
        <w:rFonts w:ascii="Symbol" w:hAnsi="Symbol"/>
      </w:rPr>
    </w:lvl>
  </w:abstractNum>
  <w:abstractNum w:abstractNumId="15" w15:restartNumberingAfterBreak="0">
    <w:nsid w:val="5CC37EA5"/>
    <w:multiLevelType w:val="multilevel"/>
    <w:tmpl w:val="9662D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6864D1"/>
    <w:multiLevelType w:val="hybridMultilevel"/>
    <w:tmpl w:val="0944DDDE"/>
    <w:lvl w:ilvl="0" w:tplc="19E24F58">
      <w:start w:val="1"/>
      <w:numFmt w:val="decimal"/>
      <w:lvlText w:val="%1."/>
      <w:lvlJc w:val="left"/>
      <w:pPr>
        <w:ind w:left="1440" w:hanging="360"/>
      </w:pPr>
    </w:lvl>
    <w:lvl w:ilvl="1" w:tplc="7B6C41B0">
      <w:start w:val="1"/>
      <w:numFmt w:val="decimal"/>
      <w:lvlText w:val="%2."/>
      <w:lvlJc w:val="left"/>
      <w:pPr>
        <w:ind w:left="1440" w:hanging="360"/>
      </w:pPr>
    </w:lvl>
    <w:lvl w:ilvl="2" w:tplc="8C38E5F8">
      <w:start w:val="1"/>
      <w:numFmt w:val="decimal"/>
      <w:lvlText w:val="%3."/>
      <w:lvlJc w:val="left"/>
      <w:pPr>
        <w:ind w:left="1440" w:hanging="360"/>
      </w:pPr>
    </w:lvl>
    <w:lvl w:ilvl="3" w:tplc="16DEC732">
      <w:start w:val="1"/>
      <w:numFmt w:val="decimal"/>
      <w:lvlText w:val="%4."/>
      <w:lvlJc w:val="left"/>
      <w:pPr>
        <w:ind w:left="1440" w:hanging="360"/>
      </w:pPr>
    </w:lvl>
    <w:lvl w:ilvl="4" w:tplc="81344ED4">
      <w:start w:val="1"/>
      <w:numFmt w:val="decimal"/>
      <w:lvlText w:val="%5."/>
      <w:lvlJc w:val="left"/>
      <w:pPr>
        <w:ind w:left="1440" w:hanging="360"/>
      </w:pPr>
    </w:lvl>
    <w:lvl w:ilvl="5" w:tplc="734A3DB2">
      <w:start w:val="1"/>
      <w:numFmt w:val="decimal"/>
      <w:lvlText w:val="%6."/>
      <w:lvlJc w:val="left"/>
      <w:pPr>
        <w:ind w:left="1440" w:hanging="360"/>
      </w:pPr>
    </w:lvl>
    <w:lvl w:ilvl="6" w:tplc="5C0225F8">
      <w:start w:val="1"/>
      <w:numFmt w:val="decimal"/>
      <w:lvlText w:val="%7."/>
      <w:lvlJc w:val="left"/>
      <w:pPr>
        <w:ind w:left="1440" w:hanging="360"/>
      </w:pPr>
    </w:lvl>
    <w:lvl w:ilvl="7" w:tplc="E82A513C">
      <w:start w:val="1"/>
      <w:numFmt w:val="decimal"/>
      <w:lvlText w:val="%8."/>
      <w:lvlJc w:val="left"/>
      <w:pPr>
        <w:ind w:left="1440" w:hanging="360"/>
      </w:pPr>
    </w:lvl>
    <w:lvl w:ilvl="8" w:tplc="C7A24CC2">
      <w:start w:val="1"/>
      <w:numFmt w:val="decimal"/>
      <w:lvlText w:val="%9."/>
      <w:lvlJc w:val="left"/>
      <w:pPr>
        <w:ind w:left="1440" w:hanging="360"/>
      </w:pPr>
    </w:lvl>
  </w:abstractNum>
  <w:num w:numId="1">
    <w:abstractNumId w:val="0"/>
  </w:num>
  <w:num w:numId="2">
    <w:abstractNumId w:val="9"/>
  </w:num>
  <w:num w:numId="3">
    <w:abstractNumId w:val="12"/>
  </w:num>
  <w:num w:numId="4">
    <w:abstractNumId w:val="13"/>
  </w:num>
  <w:num w:numId="5">
    <w:abstractNumId w:val="10"/>
  </w:num>
  <w:num w:numId="6">
    <w:abstractNumId w:val="1"/>
  </w:num>
  <w:num w:numId="7">
    <w:abstractNumId w:val="11"/>
  </w:num>
  <w:num w:numId="8">
    <w:abstractNumId w:val="6"/>
  </w:num>
  <w:num w:numId="9">
    <w:abstractNumId w:val="3"/>
  </w:num>
  <w:num w:numId="10">
    <w:abstractNumId w:val="4"/>
  </w:num>
  <w:num w:numId="11">
    <w:abstractNumId w:val="5"/>
  </w:num>
  <w:num w:numId="12">
    <w:abstractNumId w:val="2"/>
  </w:num>
  <w:num w:numId="13">
    <w:abstractNumId w:val="8"/>
  </w:num>
  <w:num w:numId="14">
    <w:abstractNumId w:val="16"/>
  </w:num>
  <w:num w:numId="15">
    <w:abstractNumId w:val="7"/>
  </w:num>
  <w:num w:numId="16">
    <w:abstractNumId w:val="1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933"/>
    <w:rsid w:val="000042AA"/>
    <w:rsid w:val="0000537C"/>
    <w:rsid w:val="00014B5F"/>
    <w:rsid w:val="000242A6"/>
    <w:rsid w:val="00034933"/>
    <w:rsid w:val="00042E6A"/>
    <w:rsid w:val="00045F0D"/>
    <w:rsid w:val="00055529"/>
    <w:rsid w:val="0005598D"/>
    <w:rsid w:val="00065BE6"/>
    <w:rsid w:val="000746A6"/>
    <w:rsid w:val="00095996"/>
    <w:rsid w:val="000A5845"/>
    <w:rsid w:val="000C58C3"/>
    <w:rsid w:val="000D04DB"/>
    <w:rsid w:val="000D0D17"/>
    <w:rsid w:val="000D1236"/>
    <w:rsid w:val="000F0CEF"/>
    <w:rsid w:val="0012389F"/>
    <w:rsid w:val="0013252C"/>
    <w:rsid w:val="001337FF"/>
    <w:rsid w:val="0013502B"/>
    <w:rsid w:val="00146567"/>
    <w:rsid w:val="00150B99"/>
    <w:rsid w:val="00150FBF"/>
    <w:rsid w:val="00154949"/>
    <w:rsid w:val="00171E6C"/>
    <w:rsid w:val="001723F2"/>
    <w:rsid w:val="001809A0"/>
    <w:rsid w:val="00182662"/>
    <w:rsid w:val="00185FFE"/>
    <w:rsid w:val="001D0D65"/>
    <w:rsid w:val="001D79F5"/>
    <w:rsid w:val="0020302D"/>
    <w:rsid w:val="00214013"/>
    <w:rsid w:val="00247254"/>
    <w:rsid w:val="00263EE8"/>
    <w:rsid w:val="00272F2F"/>
    <w:rsid w:val="00283394"/>
    <w:rsid w:val="002D29DE"/>
    <w:rsid w:val="002E046E"/>
    <w:rsid w:val="003077F2"/>
    <w:rsid w:val="003111C7"/>
    <w:rsid w:val="0033095E"/>
    <w:rsid w:val="00336060"/>
    <w:rsid w:val="00366F28"/>
    <w:rsid w:val="003709E7"/>
    <w:rsid w:val="00383281"/>
    <w:rsid w:val="003A091C"/>
    <w:rsid w:val="003A5035"/>
    <w:rsid w:val="003C365E"/>
    <w:rsid w:val="003F2A33"/>
    <w:rsid w:val="003F4631"/>
    <w:rsid w:val="00404F7B"/>
    <w:rsid w:val="0043550E"/>
    <w:rsid w:val="00463648"/>
    <w:rsid w:val="004653D5"/>
    <w:rsid w:val="00466910"/>
    <w:rsid w:val="00494692"/>
    <w:rsid w:val="004C7780"/>
    <w:rsid w:val="004C7EEB"/>
    <w:rsid w:val="004D5B7C"/>
    <w:rsid w:val="004D6B8F"/>
    <w:rsid w:val="004F793A"/>
    <w:rsid w:val="00503DC5"/>
    <w:rsid w:val="005240FC"/>
    <w:rsid w:val="005310D4"/>
    <w:rsid w:val="00547691"/>
    <w:rsid w:val="00561A2C"/>
    <w:rsid w:val="005734F0"/>
    <w:rsid w:val="00573ADD"/>
    <w:rsid w:val="00576CF3"/>
    <w:rsid w:val="005D422A"/>
    <w:rsid w:val="005E0EF6"/>
    <w:rsid w:val="005E5502"/>
    <w:rsid w:val="00630D08"/>
    <w:rsid w:val="00637BD7"/>
    <w:rsid w:val="00640C96"/>
    <w:rsid w:val="006456B0"/>
    <w:rsid w:val="006551A4"/>
    <w:rsid w:val="0068702C"/>
    <w:rsid w:val="00691A13"/>
    <w:rsid w:val="0069440C"/>
    <w:rsid w:val="006A2344"/>
    <w:rsid w:val="006B3DE9"/>
    <w:rsid w:val="006C1587"/>
    <w:rsid w:val="006D44F5"/>
    <w:rsid w:val="006D4700"/>
    <w:rsid w:val="006D60CD"/>
    <w:rsid w:val="006F0068"/>
    <w:rsid w:val="00724EB0"/>
    <w:rsid w:val="00766C2D"/>
    <w:rsid w:val="0076735F"/>
    <w:rsid w:val="007917F5"/>
    <w:rsid w:val="00792005"/>
    <w:rsid w:val="007C1720"/>
    <w:rsid w:val="007C6F44"/>
    <w:rsid w:val="008129D8"/>
    <w:rsid w:val="00817A60"/>
    <w:rsid w:val="00822D72"/>
    <w:rsid w:val="0084295A"/>
    <w:rsid w:val="00853805"/>
    <w:rsid w:val="00877426"/>
    <w:rsid w:val="00885B34"/>
    <w:rsid w:val="00886D2C"/>
    <w:rsid w:val="0089051E"/>
    <w:rsid w:val="00892CC8"/>
    <w:rsid w:val="008A0E7E"/>
    <w:rsid w:val="008D25B5"/>
    <w:rsid w:val="008D2F0F"/>
    <w:rsid w:val="008D4E70"/>
    <w:rsid w:val="008F285C"/>
    <w:rsid w:val="00934077"/>
    <w:rsid w:val="00964185"/>
    <w:rsid w:val="00975F42"/>
    <w:rsid w:val="009820FA"/>
    <w:rsid w:val="009872E7"/>
    <w:rsid w:val="00996568"/>
    <w:rsid w:val="009A02F4"/>
    <w:rsid w:val="009A22B9"/>
    <w:rsid w:val="009B0775"/>
    <w:rsid w:val="009C081E"/>
    <w:rsid w:val="009C4EEE"/>
    <w:rsid w:val="00A32EB5"/>
    <w:rsid w:val="00A64A45"/>
    <w:rsid w:val="00A9013B"/>
    <w:rsid w:val="00A9216F"/>
    <w:rsid w:val="00AA6D33"/>
    <w:rsid w:val="00AE6CA6"/>
    <w:rsid w:val="00B00445"/>
    <w:rsid w:val="00B0119D"/>
    <w:rsid w:val="00B1007E"/>
    <w:rsid w:val="00B36E80"/>
    <w:rsid w:val="00B47CA8"/>
    <w:rsid w:val="00B5133B"/>
    <w:rsid w:val="00B57AD8"/>
    <w:rsid w:val="00B60398"/>
    <w:rsid w:val="00B7152D"/>
    <w:rsid w:val="00B8037B"/>
    <w:rsid w:val="00B9081D"/>
    <w:rsid w:val="00B93A3E"/>
    <w:rsid w:val="00BA264D"/>
    <w:rsid w:val="00BA2915"/>
    <w:rsid w:val="00BC1E73"/>
    <w:rsid w:val="00BC2C18"/>
    <w:rsid w:val="00BC796D"/>
    <w:rsid w:val="00BE1F96"/>
    <w:rsid w:val="00BF2501"/>
    <w:rsid w:val="00BF6427"/>
    <w:rsid w:val="00C01010"/>
    <w:rsid w:val="00C05347"/>
    <w:rsid w:val="00C5319A"/>
    <w:rsid w:val="00C61F75"/>
    <w:rsid w:val="00C6202F"/>
    <w:rsid w:val="00C906B1"/>
    <w:rsid w:val="00CA15EA"/>
    <w:rsid w:val="00CA48C0"/>
    <w:rsid w:val="00CC42FC"/>
    <w:rsid w:val="00CD2F55"/>
    <w:rsid w:val="00CE3682"/>
    <w:rsid w:val="00CE683B"/>
    <w:rsid w:val="00CE7E1B"/>
    <w:rsid w:val="00CF15BB"/>
    <w:rsid w:val="00D01DDD"/>
    <w:rsid w:val="00D04027"/>
    <w:rsid w:val="00D33DE2"/>
    <w:rsid w:val="00D52E22"/>
    <w:rsid w:val="00D56700"/>
    <w:rsid w:val="00D81857"/>
    <w:rsid w:val="00D818CC"/>
    <w:rsid w:val="00DA3DA1"/>
    <w:rsid w:val="00DA41AA"/>
    <w:rsid w:val="00DA41AD"/>
    <w:rsid w:val="00DB73C0"/>
    <w:rsid w:val="00DB7EA9"/>
    <w:rsid w:val="00DC0C5D"/>
    <w:rsid w:val="00DD1423"/>
    <w:rsid w:val="00DD3C28"/>
    <w:rsid w:val="00DD5F9C"/>
    <w:rsid w:val="00DE3AF7"/>
    <w:rsid w:val="00DF663E"/>
    <w:rsid w:val="00E14D61"/>
    <w:rsid w:val="00E43AE7"/>
    <w:rsid w:val="00E548F9"/>
    <w:rsid w:val="00E672C0"/>
    <w:rsid w:val="00E929D2"/>
    <w:rsid w:val="00E94A20"/>
    <w:rsid w:val="00E9544C"/>
    <w:rsid w:val="00EB41A4"/>
    <w:rsid w:val="00EE2073"/>
    <w:rsid w:val="00EE2527"/>
    <w:rsid w:val="00EE2C8E"/>
    <w:rsid w:val="00EE79EE"/>
    <w:rsid w:val="00F174E7"/>
    <w:rsid w:val="00F176AF"/>
    <w:rsid w:val="00F265AD"/>
    <w:rsid w:val="00F42811"/>
    <w:rsid w:val="00F47BA5"/>
    <w:rsid w:val="00F7263E"/>
    <w:rsid w:val="00F72F2C"/>
    <w:rsid w:val="00F752EA"/>
    <w:rsid w:val="00F805D6"/>
    <w:rsid w:val="00FA5D0A"/>
    <w:rsid w:val="00FB131A"/>
    <w:rsid w:val="00FB2BEC"/>
    <w:rsid w:val="00FC051D"/>
    <w:rsid w:val="00FD07A2"/>
    <w:rsid w:val="00FE161B"/>
    <w:rsid w:val="00FE752E"/>
    <w:rsid w:val="00FF3C29"/>
    <w:rsid w:val="00FF6B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6F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03493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34933"/>
    <w:rPr>
      <w:rFonts w:ascii="Verdana" w:hAnsi="Verdana"/>
      <w:color w:val="000000"/>
      <w:sz w:val="18"/>
      <w:szCs w:val="18"/>
    </w:rPr>
  </w:style>
  <w:style w:type="paragraph" w:styleId="Lijstalinea">
    <w:name w:val="List Paragraph"/>
    <w:basedOn w:val="Standaard"/>
    <w:uiPriority w:val="34"/>
    <w:qFormat/>
    <w:rsid w:val="00034933"/>
    <w:pPr>
      <w:ind w:left="720"/>
      <w:contextualSpacing/>
    </w:pPr>
  </w:style>
  <w:style w:type="paragraph" w:styleId="Voetnoottekst">
    <w:name w:val="footnote text"/>
    <w:basedOn w:val="Standaard"/>
    <w:link w:val="VoetnoottekstChar"/>
    <w:semiHidden/>
    <w:unhideWhenUsed/>
    <w:rsid w:val="00CA15EA"/>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CA15EA"/>
    <w:rPr>
      <w:rFonts w:ascii="Verdana" w:hAnsi="Verdana"/>
      <w:color w:val="000000"/>
    </w:rPr>
  </w:style>
  <w:style w:type="character" w:styleId="Voetnootmarkering">
    <w:name w:val="footnote reference"/>
    <w:basedOn w:val="Standaardalinea-lettertype"/>
    <w:semiHidden/>
    <w:unhideWhenUsed/>
    <w:rsid w:val="00CA15EA"/>
    <w:rPr>
      <w:vertAlign w:val="superscript"/>
    </w:rPr>
  </w:style>
  <w:style w:type="character" w:styleId="Verwijzingopmerking">
    <w:name w:val="annotation reference"/>
    <w:basedOn w:val="Standaardalinea-lettertype"/>
    <w:uiPriority w:val="99"/>
    <w:semiHidden/>
    <w:unhideWhenUsed/>
    <w:rsid w:val="003F4631"/>
    <w:rPr>
      <w:sz w:val="16"/>
      <w:szCs w:val="16"/>
    </w:rPr>
  </w:style>
  <w:style w:type="paragraph" w:styleId="Tekstopmerking">
    <w:name w:val="annotation text"/>
    <w:basedOn w:val="Standaard"/>
    <w:link w:val="TekstopmerkingChar"/>
    <w:uiPriority w:val="99"/>
    <w:unhideWhenUsed/>
    <w:rsid w:val="003F4631"/>
    <w:pPr>
      <w:spacing w:line="240" w:lineRule="auto"/>
    </w:pPr>
    <w:rPr>
      <w:sz w:val="20"/>
      <w:szCs w:val="20"/>
    </w:rPr>
  </w:style>
  <w:style w:type="character" w:customStyle="1" w:styleId="TekstopmerkingChar">
    <w:name w:val="Tekst opmerking Char"/>
    <w:basedOn w:val="Standaardalinea-lettertype"/>
    <w:link w:val="Tekstopmerking"/>
    <w:uiPriority w:val="99"/>
    <w:rsid w:val="003F4631"/>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3F4631"/>
    <w:rPr>
      <w:b/>
      <w:bCs/>
    </w:rPr>
  </w:style>
  <w:style w:type="character" w:customStyle="1" w:styleId="OnderwerpvanopmerkingChar">
    <w:name w:val="Onderwerp van opmerking Char"/>
    <w:basedOn w:val="TekstopmerkingChar"/>
    <w:link w:val="Onderwerpvanopmerking"/>
    <w:uiPriority w:val="99"/>
    <w:semiHidden/>
    <w:rsid w:val="003F4631"/>
    <w:rPr>
      <w:rFonts w:ascii="Verdana" w:hAnsi="Verdana"/>
      <w:b/>
      <w:bCs/>
      <w:color w:val="000000"/>
    </w:rPr>
  </w:style>
  <w:style w:type="character" w:styleId="Nadruk">
    <w:name w:val="Emphasis"/>
    <w:basedOn w:val="Standaardalinea-lettertype"/>
    <w:uiPriority w:val="20"/>
    <w:qFormat/>
    <w:rsid w:val="00637BD7"/>
    <w:rPr>
      <w:i/>
      <w:iCs/>
    </w:rPr>
  </w:style>
  <w:style w:type="paragraph" w:styleId="Revisie">
    <w:name w:val="Revision"/>
    <w:hidden/>
    <w:uiPriority w:val="99"/>
    <w:semiHidden/>
    <w:rsid w:val="00EE2073"/>
    <w:pPr>
      <w:autoSpaceDN/>
      <w:textAlignment w:val="auto"/>
    </w:pPr>
    <w:rPr>
      <w:rFonts w:ascii="Verdana" w:hAnsi="Verdana"/>
      <w:color w:val="000000"/>
      <w:sz w:val="18"/>
      <w:szCs w:val="18"/>
    </w:rPr>
  </w:style>
  <w:style w:type="paragraph" w:styleId="Ballontekst">
    <w:name w:val="Balloon Text"/>
    <w:basedOn w:val="Standaard"/>
    <w:link w:val="BallontekstChar"/>
    <w:uiPriority w:val="99"/>
    <w:semiHidden/>
    <w:unhideWhenUsed/>
    <w:rsid w:val="00F42811"/>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F42811"/>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25750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1551</ap:Words>
  <ap:Characters>8531</ap:Characters>
  <ap:DocSecurity>0</ap:DocSecurity>
  <ap:Lines>71</ap:Lines>
  <ap:Paragraphs>20</ap:Paragraphs>
  <ap:ScaleCrop>false</ap:ScaleCrop>
  <ap:HeadingPairs>
    <vt:vector baseType="variant" size="2">
      <vt:variant>
        <vt:lpstr>Titel</vt:lpstr>
      </vt:variant>
      <vt:variant>
        <vt:i4>1</vt:i4>
      </vt:variant>
    </vt:vector>
  </ap:HeadingPairs>
  <ap:TitlesOfParts>
    <vt:vector baseType="lpstr" size="1">
      <vt:lpstr>Brief aan Parlement - Antwoorden Kamervragen over de WETS-procedure</vt:lpstr>
    </vt:vector>
  </ap:TitlesOfParts>
  <ap:LinksUpToDate>false</ap:LinksUpToDate>
  <ap:CharactersWithSpaces>10062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2025-02-21T14:30:00.0000000Z</dcterms:created>
  <dcterms:modified xsi:type="dcterms:W3CDTF">2025-02-21T14:30:00.0000000Z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Antwoorden Kamervragen over de WETS-procedure</vt:lpwstr>
  </property>
  <property fmtid="{D5CDD505-2E9C-101B-9397-08002B2CF9AE}" pid="5" name="Publicatiedatum">
    <vt:lpwstr/>
  </property>
  <property fmtid="{D5CDD505-2E9C-101B-9397-08002B2CF9AE}" pid="6" name="Verantwoordelijke organisatie">
    <vt:lpwstr>Directie Sanctie- en Slachtofferbeleid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20 januari 2025</vt:lpwstr>
  </property>
  <property fmtid="{D5CDD505-2E9C-101B-9397-08002B2CF9AE}" pid="13" name="Opgesteld door, Naam">
    <vt:lpwstr>W. Jansen</vt:lpwstr>
  </property>
  <property fmtid="{D5CDD505-2E9C-101B-9397-08002B2CF9AE}" pid="14" name="Opgesteld door, Telefoonnummer">
    <vt:lpwstr/>
  </property>
  <property fmtid="{D5CDD505-2E9C-101B-9397-08002B2CF9AE}" pid="15" name="Kenmerk">
    <vt:lpwstr>6177038</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