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441" w:rsidP="00D8779E" w:rsidRDefault="39E7DE5B" w14:paraId="6D0DF074" w14:textId="03D7417B">
      <w:r>
        <w:t xml:space="preserve">Geachte Voorzitter, </w:t>
      </w:r>
    </w:p>
    <w:p w:rsidR="00D22441" w:rsidP="00D8779E" w:rsidRDefault="00D22441" w14:paraId="4D64BC8C" w14:textId="322CAA25"/>
    <w:p w:rsidR="00D22441" w:rsidP="00D8779E" w:rsidRDefault="39E7DE5B" w14:paraId="7C38FCAA" w14:textId="46CBE368">
      <w:r>
        <w:t>Met deze brief informeer</w:t>
      </w:r>
      <w:r w:rsidR="0064241E">
        <w:t>t</w:t>
      </w:r>
      <w:r>
        <w:t xml:space="preserve"> </w:t>
      </w:r>
      <w:r w:rsidR="00797023">
        <w:t>het kabinet</w:t>
      </w:r>
      <w:r>
        <w:t xml:space="preserve"> </w:t>
      </w:r>
      <w:r w:rsidR="00BE6DAB">
        <w:t>de</w:t>
      </w:r>
      <w:r>
        <w:t xml:space="preserve"> Kamer over de aankomende openstellingsronde van de SDE++. Conform het regeerprogramma heeft het kabinet zich bij de</w:t>
      </w:r>
      <w:r w:rsidR="734F7AA5">
        <w:t xml:space="preserve"> </w:t>
      </w:r>
      <w:r>
        <w:t>uitwerking van beleidsmaatregelen ten doel gesteld om de uitstoot van</w:t>
      </w:r>
      <w:r w:rsidR="4A8F2399">
        <w:t xml:space="preserve"> </w:t>
      </w:r>
      <w:r>
        <w:t>broeikasgassen te verminderen</w:t>
      </w:r>
      <w:r w:rsidRPr="00613BD6">
        <w:t xml:space="preserve">. De SDE++ levert een belangrijke bijdrage aan het kosteneffectief realiseren hiervan. </w:t>
      </w:r>
      <w:r w:rsidRPr="00C15280">
        <w:t xml:space="preserve">Als eerste </w:t>
      </w:r>
      <w:r w:rsidRPr="00C15280" w:rsidR="00F96728">
        <w:t>wordt ingegaan</w:t>
      </w:r>
      <w:r w:rsidRPr="00C15280">
        <w:t xml:space="preserve"> op het openstellingsbudget</w:t>
      </w:r>
      <w:r w:rsidRPr="00C15280" w:rsidR="00195B32">
        <w:t>,</w:t>
      </w:r>
      <w:r w:rsidRPr="00C15280">
        <w:t xml:space="preserve"> de openstellingsdata</w:t>
      </w:r>
      <w:r w:rsidRPr="00C15280" w:rsidR="00195B32">
        <w:t xml:space="preserve"> en</w:t>
      </w:r>
      <w:r w:rsidRPr="00C15280">
        <w:t xml:space="preserve"> de hoogte van de hekjes.</w:t>
      </w:r>
      <w:r w:rsidR="0082662E">
        <w:t xml:space="preserve"> </w:t>
      </w:r>
      <w:r w:rsidR="002358FD">
        <w:t>Met de hekjes wordt budget gereserveerd voor</w:t>
      </w:r>
      <w:r w:rsidR="00C427F4">
        <w:t xml:space="preserve"> duur</w:t>
      </w:r>
      <w:r w:rsidR="0047347A">
        <w:t>dere</w:t>
      </w:r>
      <w:r w:rsidR="0082662E">
        <w:t xml:space="preserve"> technieken die</w:t>
      </w:r>
      <w:r w:rsidR="0047347A">
        <w:t xml:space="preserve"> noodzakelijk zijn voor de energietransitie</w:t>
      </w:r>
      <w:r w:rsidR="00834C92">
        <w:t>, waardoor er meer kans is dat subsidie aan deze technieken wordt toegekend</w:t>
      </w:r>
      <w:r w:rsidR="0082662E">
        <w:t>.</w:t>
      </w:r>
      <w:r w:rsidRPr="00C15280">
        <w:t xml:space="preserve"> Daarna </w:t>
      </w:r>
      <w:r w:rsidRPr="00C15280" w:rsidR="00BA6424">
        <w:t>volgt een toelichting op</w:t>
      </w:r>
      <w:r w:rsidRPr="00C15280" w:rsidR="6792FD69">
        <w:t xml:space="preserve"> </w:t>
      </w:r>
      <w:r w:rsidRPr="00C15280">
        <w:t>de categorieën die in 202</w:t>
      </w:r>
      <w:r w:rsidRPr="00C15280" w:rsidR="74DB83D5">
        <w:t>5</w:t>
      </w:r>
      <w:r w:rsidRPr="00C15280">
        <w:t xml:space="preserve"> worden opengesteld. De vormgeving van categorieën in de SDE++ in 202</w:t>
      </w:r>
      <w:r w:rsidRPr="00C15280" w:rsidR="1EE52E9F">
        <w:t>5</w:t>
      </w:r>
      <w:r w:rsidRPr="00C15280">
        <w:t xml:space="preserve"> is gebaseerd op het advies van het Planbureau voor de Leefomgeving (hierna: PBL)</w:t>
      </w:r>
      <w:r w:rsidRPr="00C15280" w:rsidR="003957AA">
        <w:rPr>
          <w:rStyle w:val="Voetnootmarkering"/>
        </w:rPr>
        <w:footnoteReference w:id="2"/>
      </w:r>
      <w:r w:rsidRPr="00C15280">
        <w:t xml:space="preserve">. Dit advies is als bijlage bij deze brief gevoegd. </w:t>
      </w:r>
      <w:r w:rsidRPr="00C15280" w:rsidR="009B54DA">
        <w:t xml:space="preserve">Tot slot </w:t>
      </w:r>
      <w:r w:rsidRPr="00C15280">
        <w:t>geef</w:t>
      </w:r>
      <w:r w:rsidRPr="00C15280" w:rsidR="009B54DA">
        <w:t>t het kabinet</w:t>
      </w:r>
      <w:r w:rsidRPr="00C15280">
        <w:t xml:space="preserve"> een toelichting op overige</w:t>
      </w:r>
      <w:r w:rsidRPr="00C15280" w:rsidR="210ED9A2">
        <w:t xml:space="preserve"> </w:t>
      </w:r>
      <w:r w:rsidRPr="00C15280">
        <w:t>aandachtspunten voor en ontwikkelingen van de SDE++</w:t>
      </w:r>
      <w:r w:rsidRPr="00C15280" w:rsidR="009B54DA">
        <w:t xml:space="preserve"> en</w:t>
      </w:r>
      <w:r w:rsidRPr="00C15280">
        <w:t xml:space="preserve"> </w:t>
      </w:r>
      <w:r w:rsidRPr="00C15280" w:rsidR="007B6437">
        <w:t>deelt het</w:t>
      </w:r>
      <w:r w:rsidR="00E201A5">
        <w:t xml:space="preserve"> </w:t>
      </w:r>
      <w:r w:rsidRPr="00C15280">
        <w:t>de stand</w:t>
      </w:r>
      <w:r w:rsidRPr="00C15280" w:rsidR="00CE6ABA">
        <w:t xml:space="preserve"> </w:t>
      </w:r>
      <w:r w:rsidRPr="00C15280">
        <w:t>van zaken met betrekking tot een aantal toezeggingen</w:t>
      </w:r>
      <w:r w:rsidRPr="00C15280" w:rsidR="007B6437">
        <w:t xml:space="preserve"> en moties</w:t>
      </w:r>
      <w:r w:rsidRPr="00C15280">
        <w:t>.</w:t>
      </w:r>
    </w:p>
    <w:p w:rsidR="0001048E" w:rsidP="00D8779E" w:rsidRDefault="0001048E" w14:paraId="7941F525" w14:textId="77777777"/>
    <w:p w:rsidR="0001048E" w:rsidP="00D8779E" w:rsidRDefault="00BA21D9" w14:paraId="7CD5E097" w14:textId="1E287F9A">
      <w:r>
        <w:t xml:space="preserve">In de bijlage van deze brief staat </w:t>
      </w:r>
      <w:r w:rsidR="006B7A30">
        <w:t xml:space="preserve">een nadere toelichting </w:t>
      </w:r>
      <w:r w:rsidR="00B52AAC">
        <w:t xml:space="preserve">op de belangrijkste wijzigingen </w:t>
      </w:r>
      <w:r w:rsidR="009D27F6">
        <w:t>en aandachts</w:t>
      </w:r>
      <w:r w:rsidR="002F5615">
        <w:t xml:space="preserve">punten voor de 2025-openstellingsronde. </w:t>
      </w:r>
      <w:r w:rsidR="007D0082">
        <w:t>Partijen die geïnteresseerd</w:t>
      </w:r>
      <w:r w:rsidR="002D07C6">
        <w:t xml:space="preserve"> zijn in de SDE++ kunnen </w:t>
      </w:r>
      <w:r w:rsidR="00EF167A">
        <w:t>aan de hand van deze informatie</w:t>
      </w:r>
      <w:r w:rsidR="002D07C6">
        <w:t xml:space="preserve"> </w:t>
      </w:r>
      <w:r w:rsidR="00665ED9">
        <w:t>starten met het voorbereiden van hun subsidieaanvraag</w:t>
      </w:r>
      <w:r w:rsidR="0048584E">
        <w:t>, wat bijdraagt aan een voorspoedig verloop van de openstellingsronde.</w:t>
      </w:r>
      <w:r w:rsidR="00022540">
        <w:t xml:space="preserve"> De definitieve voorwaarden worden in de SDE</w:t>
      </w:r>
      <w:r w:rsidR="008657ED">
        <w:t>++</w:t>
      </w:r>
      <w:r w:rsidR="00022540">
        <w:t>-regelingen vastgelegd en vervolgens door RVO gecommuniceerd.</w:t>
      </w:r>
    </w:p>
    <w:p w:rsidR="21B1E0C4" w:rsidP="00D8779E" w:rsidRDefault="21B1E0C4" w14:paraId="22E4AC4E" w14:textId="7162CEA8"/>
    <w:p w:rsidR="6DA635F5" w:rsidP="00D8779E" w:rsidRDefault="45046885" w14:paraId="7923B746" w14:textId="7F211565">
      <w:r w:rsidRPr="21B1E0C4">
        <w:rPr>
          <w:b/>
          <w:bCs/>
        </w:rPr>
        <w:t>Openstellingsbudget en -data</w:t>
      </w:r>
    </w:p>
    <w:p w:rsidR="005436FD" w:rsidP="00D8779E" w:rsidRDefault="005436FD" w14:paraId="026B9DB6" w14:textId="77777777">
      <w:r w:rsidRPr="00C15280">
        <w:t xml:space="preserve">Het openstellingsbudget voor de komende openstellingsronde is </w:t>
      </w:r>
      <w:r w:rsidRPr="00572E62">
        <w:t xml:space="preserve">€ 8 miljard. Zoals gebruikelijk wordt voor het bepalen van het openstellingsbudget rekening gehouden met de te verwachten projecten en beschikbare kasruimte. Omdat er veel belangstelling wordt verwacht voor de SDE++-openstellingsronde van 2025 is er bij een openstellingsbudget van </w:t>
      </w:r>
      <w:r w:rsidRPr="008D7993">
        <w:t>€ 8 miljard</w:t>
      </w:r>
      <w:r w:rsidRPr="00572E62">
        <w:t xml:space="preserve"> naar verwachting voldoende concurrentie tussen indieners. </w:t>
      </w:r>
      <w:r>
        <w:t xml:space="preserve">Deze openstellingsronde levert een belangrijke bijdrage aan het realiseren van de nationale en Europese 2030-doelstellingen voor </w:t>
      </w:r>
      <w:r>
        <w:lastRenderedPageBreak/>
        <w:t>CO</w:t>
      </w:r>
      <w:r w:rsidRPr="00C15280">
        <w:rPr>
          <w:vertAlign w:val="subscript"/>
        </w:rPr>
        <w:t>2</w:t>
      </w:r>
      <w:r>
        <w:t xml:space="preserve">-reductie en hernieuwbare energie. Aangezien SDE++-projecten meestal een realisatietermijn van drie tot zes jaar hebben, is de 2025-ronde de laatste ronde die nog volledig aan de 2030-doelstellingen kan bijdragen. Ook helpt deze openstellingsronde bij het realiseren van een betrouwbaar, betaalbaar en duurzaam energiesysteem. </w:t>
      </w:r>
    </w:p>
    <w:p w:rsidR="005436FD" w:rsidP="00D8779E" w:rsidRDefault="005436FD" w14:paraId="57AD4908" w14:textId="77777777"/>
    <w:p w:rsidR="005436FD" w:rsidP="00D8779E" w:rsidRDefault="005436FD" w14:paraId="758E080F" w14:textId="53CFE791">
      <w:r>
        <w:t>De door het PBL geraamde energie- en CO</w:t>
      </w:r>
      <w:r>
        <w:rPr>
          <w:vertAlign w:val="subscript"/>
        </w:rPr>
        <w:t>2</w:t>
      </w:r>
      <w:r>
        <w:t xml:space="preserve">-prijzen zijn fors lager dan vorig jaar, waardoor de SDE(+)(+)-uitgaven toenemen. </w:t>
      </w:r>
      <w:r w:rsidRPr="00572E62">
        <w:t>Op basis van de meest recente raming zijn voldoende middelen beschikbaar voor een openstellingsbudget van</w:t>
      </w:r>
      <w:r w:rsidR="00D8779E">
        <w:t> </w:t>
      </w:r>
      <w:r w:rsidRPr="008D7993">
        <w:t>€</w:t>
      </w:r>
      <w:r w:rsidR="00D8779E">
        <w:t> </w:t>
      </w:r>
      <w:r w:rsidRPr="008D7993">
        <w:t>8</w:t>
      </w:r>
      <w:r w:rsidR="00D8779E">
        <w:t> </w:t>
      </w:r>
      <w:r w:rsidRPr="008D7993">
        <w:t>miljard</w:t>
      </w:r>
      <w:r w:rsidRPr="00572E62">
        <w:t xml:space="preserve">. </w:t>
      </w:r>
      <w:r>
        <w:t>Op basis van deze ramingen is m</w:t>
      </w:r>
      <w:r w:rsidRPr="00572E62">
        <w:t>et de resterende</w:t>
      </w:r>
      <w:r>
        <w:t xml:space="preserve"> financiële middelen onvoldoende ruimte voor een openstelling in 2026. Voor de zomer informeert het kabinet </w:t>
      </w:r>
      <w:r w:rsidR="00BE5FAA">
        <w:t>de</w:t>
      </w:r>
      <w:r>
        <w:t xml:space="preserve"> Kamer over de mogelijkheden voor een openstelling in 2026. Over de precieze kenmerken van de openstellingsronde van 2026 wordt </w:t>
      </w:r>
      <w:r w:rsidR="00BE5FAA">
        <w:t>de</w:t>
      </w:r>
      <w:r>
        <w:t xml:space="preserve"> Kamer begin volgend jaar geïnformeerd, waarbij ook een nieuwe raming zal worden gehanteerd. </w:t>
      </w:r>
    </w:p>
    <w:p w:rsidR="6DA635F5" w:rsidP="00D8779E" w:rsidRDefault="6DA635F5" w14:paraId="4731F11F" w14:textId="1064B766"/>
    <w:p w:rsidR="6DA635F5" w:rsidP="00D8779E" w:rsidRDefault="00A24C70" w14:paraId="6A56F6E4" w14:textId="334CE845">
      <w:r>
        <w:t xml:space="preserve">Het voornemen is om </w:t>
      </w:r>
      <w:r w:rsidR="2E9A70CF">
        <w:t xml:space="preserve">de openstellingsronde van de SDE++ plaats te laten vinden van </w:t>
      </w:r>
      <w:r w:rsidR="00417EFD">
        <w:t>7</w:t>
      </w:r>
      <w:r w:rsidR="2E9A70CF">
        <w:t xml:space="preserve"> oktober tot en met 6 november 2025.</w:t>
      </w:r>
      <w:r w:rsidR="007803C4">
        <w:t xml:space="preserve"> Hierdoor</w:t>
      </w:r>
      <w:r w:rsidR="006469BC">
        <w:t xml:space="preserve"> </w:t>
      </w:r>
      <w:r w:rsidR="00B27C15">
        <w:t xml:space="preserve">krijgen </w:t>
      </w:r>
      <w:r w:rsidR="001E5781">
        <w:t>aanvragers en de uitvoering voldoende tijd</w:t>
      </w:r>
      <w:r w:rsidR="00EB6992">
        <w:t xml:space="preserve"> om zich voor te be</w:t>
      </w:r>
      <w:r w:rsidR="00FB22D9">
        <w:t>reiden</w:t>
      </w:r>
      <w:r w:rsidR="00E01BAB">
        <w:t>, wat</w:t>
      </w:r>
      <w:r w:rsidR="00D87BD4">
        <w:t xml:space="preserve"> nodig is om</w:t>
      </w:r>
      <w:r w:rsidR="00E01BAB">
        <w:t xml:space="preserve"> de kwaliteit van de SDE++-aanvragen te</w:t>
      </w:r>
      <w:r w:rsidR="00F1234F">
        <w:t xml:space="preserve"> wa</w:t>
      </w:r>
      <w:r w:rsidR="00AA5B5E">
        <w:t xml:space="preserve">arborgen. </w:t>
      </w:r>
      <w:r w:rsidR="00022540">
        <w:t>De ronde</w:t>
      </w:r>
      <w:r w:rsidR="009F41C5">
        <w:t xml:space="preserve"> wordt zoals gebruikelijk gefaseerd</w:t>
      </w:r>
      <w:r w:rsidR="00022540">
        <w:t xml:space="preserve"> </w:t>
      </w:r>
      <w:r w:rsidR="009F41C5">
        <w:t xml:space="preserve">opengesteld </w:t>
      </w:r>
      <w:r w:rsidR="00022540">
        <w:t xml:space="preserve">om de kosteneffectiviteit van de regeling te bevorderen. </w:t>
      </w:r>
    </w:p>
    <w:p w:rsidR="21B1E0C4" w:rsidP="00D8779E" w:rsidRDefault="21B1E0C4" w14:paraId="36E272E4" w14:textId="1C84E1E2"/>
    <w:p w:rsidR="72CF1ABD" w:rsidP="00D8779E" w:rsidRDefault="72CF1ABD" w14:paraId="4A079410" w14:textId="1455469D">
      <w:r>
        <w:t>Tabel 1: Openstellingsdata en fasegrenzen SDE++ 2025</w:t>
      </w:r>
    </w:p>
    <w:tbl>
      <w:tblPr>
        <w:tblW w:w="7508" w:type="dxa"/>
        <w:tblInd w:w="75" w:type="dxa"/>
        <w:tblCellMar>
          <w:left w:w="70" w:type="dxa"/>
          <w:right w:w="70" w:type="dxa"/>
        </w:tblCellMar>
        <w:tblLook w:val="04A0" w:firstRow="1" w:lastRow="0" w:firstColumn="1" w:lastColumn="0" w:noHBand="0" w:noVBand="1"/>
      </w:tblPr>
      <w:tblGrid>
        <w:gridCol w:w="1460"/>
        <w:gridCol w:w="2363"/>
        <w:gridCol w:w="3685"/>
      </w:tblGrid>
      <w:tr w:rsidRPr="00222942" w:rsidR="005E0C89" w:rsidTr="00BA7965" w14:paraId="16B4B0D3" w14:textId="77777777">
        <w:trPr>
          <w:trHeight w:val="300"/>
        </w:trPr>
        <w:tc>
          <w:tcPr>
            <w:tcW w:w="14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A7965" w:rsidR="00222942" w:rsidP="00D8779E" w:rsidRDefault="00222942" w14:paraId="637FB512" w14:textId="77777777">
            <w:pPr>
              <w:rPr>
                <w:rFonts w:ascii="Calibri" w:hAnsi="Calibri" w:cs="Calibri"/>
                <w:b/>
                <w:bCs/>
                <w:color w:val="000000"/>
                <w:sz w:val="22"/>
                <w:szCs w:val="22"/>
              </w:rPr>
            </w:pPr>
            <w:r w:rsidRPr="00BA7965">
              <w:rPr>
                <w:rFonts w:ascii="Calibri" w:hAnsi="Calibri" w:cs="Calibri"/>
                <w:b/>
                <w:bCs/>
                <w:color w:val="000000"/>
                <w:sz w:val="22"/>
                <w:szCs w:val="22"/>
              </w:rPr>
              <w:t>Fase</w:t>
            </w:r>
          </w:p>
        </w:tc>
        <w:tc>
          <w:tcPr>
            <w:tcW w:w="2363" w:type="dxa"/>
            <w:tcBorders>
              <w:top w:val="single" w:color="auto" w:sz="4" w:space="0"/>
              <w:left w:val="nil"/>
              <w:bottom w:val="single" w:color="auto" w:sz="4" w:space="0"/>
              <w:right w:val="single" w:color="auto" w:sz="4" w:space="0"/>
            </w:tcBorders>
            <w:shd w:val="clear" w:color="auto" w:fill="auto"/>
            <w:noWrap/>
            <w:vAlign w:val="bottom"/>
            <w:hideMark/>
          </w:tcPr>
          <w:p w:rsidRPr="00BA7965" w:rsidR="00222942" w:rsidP="00D8779E" w:rsidRDefault="00A32A76" w14:paraId="3552571F" w14:textId="4284BDA2">
            <w:pPr>
              <w:rPr>
                <w:rFonts w:ascii="Calibri" w:hAnsi="Calibri" w:cs="Calibri"/>
                <w:b/>
                <w:bCs/>
                <w:color w:val="000000"/>
                <w:sz w:val="22"/>
                <w:szCs w:val="22"/>
              </w:rPr>
            </w:pPr>
            <w:r w:rsidRPr="00BA7965">
              <w:rPr>
                <w:rFonts w:ascii="Calibri" w:hAnsi="Calibri" w:cs="Calibri"/>
                <w:b/>
                <w:bCs/>
                <w:color w:val="000000"/>
                <w:sz w:val="22"/>
                <w:szCs w:val="22"/>
              </w:rPr>
              <w:t>Fasegrens</w:t>
            </w:r>
          </w:p>
        </w:tc>
        <w:tc>
          <w:tcPr>
            <w:tcW w:w="3685" w:type="dxa"/>
            <w:tcBorders>
              <w:top w:val="single" w:color="auto" w:sz="4" w:space="0"/>
              <w:left w:val="nil"/>
              <w:bottom w:val="single" w:color="auto" w:sz="4" w:space="0"/>
              <w:right w:val="single" w:color="auto" w:sz="4" w:space="0"/>
            </w:tcBorders>
            <w:shd w:val="clear" w:color="auto" w:fill="auto"/>
            <w:noWrap/>
            <w:vAlign w:val="bottom"/>
            <w:hideMark/>
          </w:tcPr>
          <w:p w:rsidRPr="00BA7965" w:rsidR="00222942" w:rsidP="00D8779E" w:rsidRDefault="00646F4A" w14:paraId="32E50319" w14:textId="41C92E1E">
            <w:pPr>
              <w:rPr>
                <w:rFonts w:ascii="Calibri" w:hAnsi="Calibri" w:cs="Calibri"/>
                <w:b/>
                <w:bCs/>
                <w:color w:val="000000"/>
                <w:sz w:val="22"/>
                <w:szCs w:val="22"/>
              </w:rPr>
            </w:pPr>
            <w:r w:rsidRPr="00BA7965">
              <w:rPr>
                <w:rFonts w:ascii="Calibri" w:hAnsi="Calibri" w:cs="Calibri"/>
                <w:b/>
                <w:bCs/>
                <w:color w:val="000000"/>
                <w:sz w:val="22"/>
                <w:szCs w:val="22"/>
              </w:rPr>
              <w:t>O</w:t>
            </w:r>
            <w:r w:rsidRPr="00BA7965" w:rsidR="00222942">
              <w:rPr>
                <w:rFonts w:ascii="Calibri" w:hAnsi="Calibri" w:cs="Calibri"/>
                <w:b/>
                <w:bCs/>
                <w:color w:val="000000"/>
                <w:sz w:val="22"/>
                <w:szCs w:val="22"/>
              </w:rPr>
              <w:t>penstelling</w:t>
            </w:r>
          </w:p>
        </w:tc>
      </w:tr>
      <w:tr w:rsidRPr="00222942" w:rsidR="005E0C89" w:rsidTr="00BA7965" w14:paraId="3FA9FACC"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222942" w:rsidR="00222942" w:rsidP="00D8779E" w:rsidRDefault="00DE1AC1" w14:paraId="2CF040DB" w14:textId="1449BE2A">
            <w:pPr>
              <w:rPr>
                <w:rFonts w:ascii="Calibri" w:hAnsi="Calibri" w:cs="Calibri"/>
                <w:color w:val="000000"/>
                <w:sz w:val="22"/>
                <w:szCs w:val="22"/>
              </w:rPr>
            </w:pPr>
            <w:r>
              <w:rPr>
                <w:rFonts w:ascii="Calibri" w:hAnsi="Calibri" w:cs="Calibri"/>
                <w:color w:val="000000"/>
                <w:sz w:val="22"/>
                <w:szCs w:val="22"/>
              </w:rPr>
              <w:t xml:space="preserve">Fase </w:t>
            </w:r>
            <w:r w:rsidRPr="00222942" w:rsidR="00222942">
              <w:rPr>
                <w:rFonts w:ascii="Calibri" w:hAnsi="Calibri" w:cs="Calibri"/>
                <w:color w:val="000000"/>
                <w:sz w:val="22"/>
                <w:szCs w:val="22"/>
              </w:rPr>
              <w:t>1</w:t>
            </w:r>
          </w:p>
        </w:tc>
        <w:tc>
          <w:tcPr>
            <w:tcW w:w="2363" w:type="dxa"/>
            <w:tcBorders>
              <w:top w:val="nil"/>
              <w:left w:val="nil"/>
              <w:bottom w:val="single" w:color="auto" w:sz="4" w:space="0"/>
              <w:right w:val="single" w:color="auto" w:sz="4" w:space="0"/>
            </w:tcBorders>
            <w:shd w:val="clear" w:color="auto" w:fill="auto"/>
            <w:noWrap/>
            <w:vAlign w:val="bottom"/>
            <w:hideMark/>
          </w:tcPr>
          <w:p w:rsidRPr="00C66E66" w:rsidR="00222942" w:rsidP="00D8779E" w:rsidRDefault="00DE1AC1" w14:paraId="17F4DFDD" w14:textId="5F41338C">
            <w:pPr>
              <w:rPr>
                <w:rFonts w:ascii="Calibri" w:hAnsi="Calibri" w:cs="Calibri"/>
                <w:color w:val="000000"/>
                <w:sz w:val="22"/>
                <w:szCs w:val="22"/>
              </w:rPr>
            </w:pPr>
            <w:r>
              <w:rPr>
                <w:rFonts w:ascii="Calibri" w:hAnsi="Calibri" w:cs="Calibri"/>
                <w:color w:val="000000"/>
                <w:sz w:val="22"/>
                <w:szCs w:val="22"/>
              </w:rPr>
              <w:t xml:space="preserve"> € </w:t>
            </w:r>
            <w:r w:rsidRPr="00222942" w:rsidR="00222942">
              <w:rPr>
                <w:rFonts w:ascii="Calibri" w:hAnsi="Calibri" w:cs="Calibri"/>
                <w:color w:val="000000"/>
                <w:sz w:val="22"/>
                <w:szCs w:val="22"/>
              </w:rPr>
              <w:t>75</w:t>
            </w:r>
            <w:r w:rsidR="00827C53">
              <w:rPr>
                <w:rFonts w:ascii="Calibri" w:hAnsi="Calibri" w:cs="Calibri"/>
                <w:color w:val="000000"/>
                <w:sz w:val="22"/>
                <w:szCs w:val="22"/>
              </w:rPr>
              <w:t xml:space="preserve"> / ton </w:t>
            </w:r>
            <w:r w:rsidR="00C66E66">
              <w:rPr>
                <w:rFonts w:ascii="Calibri" w:hAnsi="Calibri" w:cs="Calibri"/>
                <w:color w:val="000000"/>
                <w:sz w:val="22"/>
                <w:szCs w:val="22"/>
              </w:rPr>
              <w:t>CO</w:t>
            </w:r>
            <w:r w:rsidR="00C66E66">
              <w:rPr>
                <w:rFonts w:ascii="Calibri" w:hAnsi="Calibri" w:cs="Calibri"/>
                <w:color w:val="000000"/>
                <w:sz w:val="22"/>
                <w:szCs w:val="22"/>
                <w:vertAlign w:val="subscript"/>
              </w:rPr>
              <w:t>2</w:t>
            </w:r>
            <w:r w:rsidR="00C66E66">
              <w:rPr>
                <w:rFonts w:ascii="Calibri" w:hAnsi="Calibri" w:cs="Calibri"/>
                <w:color w:val="000000"/>
                <w:sz w:val="22"/>
                <w:szCs w:val="22"/>
              </w:rPr>
              <w:t xml:space="preserve"> </w:t>
            </w:r>
          </w:p>
        </w:tc>
        <w:tc>
          <w:tcPr>
            <w:tcW w:w="3685"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222942" w14:paraId="283CCDA5" w14:textId="38787BC4">
            <w:pPr>
              <w:rPr>
                <w:rFonts w:ascii="Calibri" w:hAnsi="Calibri" w:cs="Calibri"/>
                <w:color w:val="000000"/>
                <w:sz w:val="22"/>
                <w:szCs w:val="22"/>
              </w:rPr>
            </w:pPr>
            <w:r w:rsidRPr="00222942">
              <w:rPr>
                <w:rFonts w:ascii="Calibri" w:hAnsi="Calibri" w:cs="Calibri"/>
                <w:color w:val="000000"/>
                <w:sz w:val="22"/>
                <w:szCs w:val="22"/>
              </w:rPr>
              <w:t>7-10-2025 9:00 tot 13-10-2025 17:00</w:t>
            </w:r>
          </w:p>
        </w:tc>
      </w:tr>
      <w:tr w:rsidRPr="00222942" w:rsidR="005E0C89" w:rsidTr="00BA7965" w14:paraId="0B862D5F"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222942" w:rsidR="00222942" w:rsidP="00D8779E" w:rsidRDefault="00DE1AC1" w14:paraId="7707455D" w14:textId="3E779EA3">
            <w:pPr>
              <w:rPr>
                <w:rFonts w:ascii="Calibri" w:hAnsi="Calibri" w:cs="Calibri"/>
                <w:color w:val="000000"/>
                <w:sz w:val="22"/>
                <w:szCs w:val="22"/>
              </w:rPr>
            </w:pPr>
            <w:r>
              <w:rPr>
                <w:rFonts w:ascii="Calibri" w:hAnsi="Calibri" w:cs="Calibri"/>
                <w:color w:val="000000"/>
                <w:sz w:val="22"/>
                <w:szCs w:val="22"/>
              </w:rPr>
              <w:t xml:space="preserve">Fase </w:t>
            </w:r>
            <w:r w:rsidRPr="00222942" w:rsidR="00222942">
              <w:rPr>
                <w:rFonts w:ascii="Calibri" w:hAnsi="Calibri" w:cs="Calibri"/>
                <w:color w:val="000000"/>
                <w:sz w:val="22"/>
                <w:szCs w:val="22"/>
              </w:rPr>
              <w:t>2</w:t>
            </w:r>
          </w:p>
        </w:tc>
        <w:tc>
          <w:tcPr>
            <w:tcW w:w="2363"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C66E66" w14:paraId="6CFCF825" w14:textId="5BB44864">
            <w:pPr>
              <w:rPr>
                <w:rFonts w:ascii="Calibri" w:hAnsi="Calibri" w:cs="Calibri"/>
                <w:color w:val="000000"/>
                <w:sz w:val="22"/>
                <w:szCs w:val="22"/>
              </w:rPr>
            </w:pPr>
            <w:r>
              <w:rPr>
                <w:rFonts w:ascii="Calibri" w:hAnsi="Calibri" w:cs="Calibri"/>
                <w:color w:val="000000"/>
                <w:sz w:val="22"/>
                <w:szCs w:val="22"/>
              </w:rPr>
              <w:t>€ 150 / ton CO</w:t>
            </w:r>
            <w:r>
              <w:rPr>
                <w:rFonts w:ascii="Calibri" w:hAnsi="Calibri" w:cs="Calibri"/>
                <w:color w:val="000000"/>
                <w:sz w:val="22"/>
                <w:szCs w:val="22"/>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222942" w14:paraId="3FC88AEB" w14:textId="3E036AB1">
            <w:pPr>
              <w:rPr>
                <w:rFonts w:ascii="Calibri" w:hAnsi="Calibri" w:cs="Calibri"/>
                <w:color w:val="000000"/>
                <w:sz w:val="22"/>
                <w:szCs w:val="22"/>
              </w:rPr>
            </w:pPr>
            <w:r w:rsidRPr="00222942">
              <w:rPr>
                <w:rFonts w:ascii="Calibri" w:hAnsi="Calibri" w:cs="Calibri"/>
                <w:color w:val="000000"/>
                <w:sz w:val="22"/>
                <w:szCs w:val="22"/>
              </w:rPr>
              <w:t>13-10-2025 17:00 tot 20-10-1025 17:00</w:t>
            </w:r>
          </w:p>
        </w:tc>
      </w:tr>
      <w:tr w:rsidRPr="00222942" w:rsidR="005E0C89" w:rsidTr="00BA7965" w14:paraId="143D3901"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222942" w:rsidR="00222942" w:rsidP="00D8779E" w:rsidRDefault="00DE1AC1" w14:paraId="35873A61" w14:textId="2EF6A479">
            <w:pPr>
              <w:rPr>
                <w:rFonts w:ascii="Calibri" w:hAnsi="Calibri" w:cs="Calibri"/>
                <w:color w:val="000000"/>
                <w:sz w:val="22"/>
                <w:szCs w:val="22"/>
              </w:rPr>
            </w:pPr>
            <w:r>
              <w:rPr>
                <w:rFonts w:ascii="Calibri" w:hAnsi="Calibri" w:cs="Calibri"/>
                <w:color w:val="000000"/>
                <w:sz w:val="22"/>
                <w:szCs w:val="22"/>
              </w:rPr>
              <w:t xml:space="preserve">Fase </w:t>
            </w:r>
            <w:r w:rsidRPr="00222942" w:rsidR="00222942">
              <w:rPr>
                <w:rFonts w:ascii="Calibri" w:hAnsi="Calibri" w:cs="Calibri"/>
                <w:color w:val="000000"/>
                <w:sz w:val="22"/>
                <w:szCs w:val="22"/>
              </w:rPr>
              <w:t>3</w:t>
            </w:r>
          </w:p>
        </w:tc>
        <w:tc>
          <w:tcPr>
            <w:tcW w:w="2363"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C66E66" w14:paraId="1FD75CCE" w14:textId="31E6D08F">
            <w:pPr>
              <w:rPr>
                <w:rFonts w:ascii="Calibri" w:hAnsi="Calibri" w:cs="Calibri"/>
                <w:color w:val="000000"/>
                <w:sz w:val="22"/>
                <w:szCs w:val="22"/>
              </w:rPr>
            </w:pPr>
            <w:r>
              <w:rPr>
                <w:rFonts w:ascii="Calibri" w:hAnsi="Calibri" w:cs="Calibri"/>
                <w:color w:val="000000"/>
                <w:sz w:val="22"/>
                <w:szCs w:val="22"/>
              </w:rPr>
              <w:t>€ 225 / ton CO</w:t>
            </w:r>
            <w:r>
              <w:rPr>
                <w:rFonts w:ascii="Calibri" w:hAnsi="Calibri" w:cs="Calibri"/>
                <w:color w:val="000000"/>
                <w:sz w:val="22"/>
                <w:szCs w:val="22"/>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222942" w14:paraId="240FFBD7" w14:textId="73A21F3D">
            <w:pPr>
              <w:rPr>
                <w:rFonts w:ascii="Calibri" w:hAnsi="Calibri" w:cs="Calibri"/>
                <w:color w:val="000000"/>
                <w:sz w:val="22"/>
                <w:szCs w:val="22"/>
              </w:rPr>
            </w:pPr>
            <w:r w:rsidRPr="00222942">
              <w:rPr>
                <w:rFonts w:ascii="Calibri" w:hAnsi="Calibri" w:cs="Calibri"/>
                <w:color w:val="000000"/>
                <w:sz w:val="22"/>
                <w:szCs w:val="22"/>
              </w:rPr>
              <w:t>20-10-2025 17:00 tot 27-10-2025 17:00</w:t>
            </w:r>
          </w:p>
        </w:tc>
      </w:tr>
      <w:tr w:rsidRPr="00222942" w:rsidR="005E0C89" w:rsidTr="00BA7965" w14:paraId="541E854E"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222942" w:rsidR="00222942" w:rsidP="00D8779E" w:rsidRDefault="00DE1AC1" w14:paraId="0BC0A34C" w14:textId="1E5E541A">
            <w:pPr>
              <w:rPr>
                <w:rFonts w:ascii="Calibri" w:hAnsi="Calibri" w:cs="Calibri"/>
                <w:color w:val="000000"/>
                <w:sz w:val="22"/>
                <w:szCs w:val="22"/>
              </w:rPr>
            </w:pPr>
            <w:r>
              <w:rPr>
                <w:rFonts w:ascii="Calibri" w:hAnsi="Calibri" w:cs="Calibri"/>
                <w:color w:val="000000"/>
                <w:sz w:val="22"/>
                <w:szCs w:val="22"/>
              </w:rPr>
              <w:t xml:space="preserve">Fase </w:t>
            </w:r>
            <w:r w:rsidRPr="00222942" w:rsidR="00222942">
              <w:rPr>
                <w:rFonts w:ascii="Calibri" w:hAnsi="Calibri" w:cs="Calibri"/>
                <w:color w:val="000000"/>
                <w:sz w:val="22"/>
                <w:szCs w:val="22"/>
              </w:rPr>
              <w:t>4</w:t>
            </w:r>
          </w:p>
        </w:tc>
        <w:tc>
          <w:tcPr>
            <w:tcW w:w="2363"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C66E66" w14:paraId="78455C78" w14:textId="37459C5B">
            <w:pPr>
              <w:rPr>
                <w:rFonts w:ascii="Calibri" w:hAnsi="Calibri" w:cs="Calibri"/>
                <w:color w:val="000000"/>
                <w:sz w:val="22"/>
                <w:szCs w:val="22"/>
              </w:rPr>
            </w:pPr>
            <w:r>
              <w:rPr>
                <w:rFonts w:ascii="Calibri" w:hAnsi="Calibri" w:cs="Calibri"/>
                <w:color w:val="000000"/>
                <w:sz w:val="22"/>
                <w:szCs w:val="22"/>
              </w:rPr>
              <w:t>€ 300 / ton CO</w:t>
            </w:r>
            <w:r>
              <w:rPr>
                <w:rFonts w:ascii="Calibri" w:hAnsi="Calibri" w:cs="Calibri"/>
                <w:color w:val="000000"/>
                <w:sz w:val="22"/>
                <w:szCs w:val="22"/>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222942" w14:paraId="17F95AD6" w14:textId="4CADDBA6">
            <w:pPr>
              <w:rPr>
                <w:rFonts w:ascii="Calibri" w:hAnsi="Calibri" w:cs="Calibri"/>
                <w:color w:val="000000"/>
                <w:sz w:val="22"/>
                <w:szCs w:val="22"/>
              </w:rPr>
            </w:pPr>
            <w:r w:rsidRPr="00222942">
              <w:rPr>
                <w:rFonts w:ascii="Calibri" w:hAnsi="Calibri" w:cs="Calibri"/>
                <w:color w:val="000000"/>
                <w:sz w:val="22"/>
                <w:szCs w:val="22"/>
              </w:rPr>
              <w:t>27-10-2023 17:00 tot 3-11-2025 17:00</w:t>
            </w:r>
          </w:p>
        </w:tc>
      </w:tr>
      <w:tr w:rsidRPr="00222942" w:rsidR="005E0C89" w:rsidTr="00BA7965" w14:paraId="304954CA" w14:textId="77777777">
        <w:trPr>
          <w:trHeight w:val="30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222942" w:rsidR="00222942" w:rsidP="00D8779E" w:rsidRDefault="00DE1AC1" w14:paraId="31ECD8B4" w14:textId="68008861">
            <w:pPr>
              <w:rPr>
                <w:rFonts w:ascii="Calibri" w:hAnsi="Calibri" w:cs="Calibri"/>
                <w:color w:val="000000"/>
                <w:sz w:val="22"/>
                <w:szCs w:val="22"/>
              </w:rPr>
            </w:pPr>
            <w:r>
              <w:rPr>
                <w:rFonts w:ascii="Calibri" w:hAnsi="Calibri" w:cs="Calibri"/>
                <w:color w:val="000000"/>
                <w:sz w:val="22"/>
                <w:szCs w:val="22"/>
              </w:rPr>
              <w:t xml:space="preserve">Fase </w:t>
            </w:r>
            <w:r w:rsidRPr="00222942" w:rsidR="00222942">
              <w:rPr>
                <w:rFonts w:ascii="Calibri" w:hAnsi="Calibri" w:cs="Calibri"/>
                <w:color w:val="000000"/>
                <w:sz w:val="22"/>
                <w:szCs w:val="22"/>
              </w:rPr>
              <w:t>5</w:t>
            </w:r>
          </w:p>
        </w:tc>
        <w:tc>
          <w:tcPr>
            <w:tcW w:w="2363"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C66E66" w14:paraId="66424349" w14:textId="336C07D9">
            <w:pPr>
              <w:rPr>
                <w:rFonts w:ascii="Calibri" w:hAnsi="Calibri" w:cs="Calibri"/>
                <w:color w:val="000000"/>
                <w:sz w:val="22"/>
                <w:szCs w:val="22"/>
              </w:rPr>
            </w:pPr>
            <w:r>
              <w:rPr>
                <w:rFonts w:ascii="Calibri" w:hAnsi="Calibri" w:cs="Calibri"/>
                <w:color w:val="000000"/>
                <w:sz w:val="22"/>
                <w:szCs w:val="22"/>
              </w:rPr>
              <w:t>€ 400 / ton CO</w:t>
            </w:r>
            <w:r>
              <w:rPr>
                <w:rFonts w:ascii="Calibri" w:hAnsi="Calibri" w:cs="Calibri"/>
                <w:color w:val="000000"/>
                <w:sz w:val="22"/>
                <w:szCs w:val="22"/>
                <w:vertAlign w:val="subscript"/>
              </w:rPr>
              <w:t>2</w:t>
            </w:r>
          </w:p>
        </w:tc>
        <w:tc>
          <w:tcPr>
            <w:tcW w:w="3685" w:type="dxa"/>
            <w:tcBorders>
              <w:top w:val="nil"/>
              <w:left w:val="nil"/>
              <w:bottom w:val="single" w:color="auto" w:sz="4" w:space="0"/>
              <w:right w:val="single" w:color="auto" w:sz="4" w:space="0"/>
            </w:tcBorders>
            <w:shd w:val="clear" w:color="auto" w:fill="auto"/>
            <w:noWrap/>
            <w:vAlign w:val="bottom"/>
            <w:hideMark/>
          </w:tcPr>
          <w:p w:rsidRPr="00222942" w:rsidR="00222942" w:rsidP="00D8779E" w:rsidRDefault="00222942" w14:paraId="171C35D1" w14:textId="1CF1B0C1">
            <w:pPr>
              <w:rPr>
                <w:rFonts w:ascii="Calibri" w:hAnsi="Calibri" w:cs="Calibri"/>
                <w:color w:val="000000"/>
                <w:sz w:val="22"/>
                <w:szCs w:val="22"/>
              </w:rPr>
            </w:pPr>
            <w:r w:rsidRPr="00222942">
              <w:rPr>
                <w:rFonts w:ascii="Calibri" w:hAnsi="Calibri" w:cs="Calibri"/>
                <w:color w:val="000000"/>
                <w:sz w:val="22"/>
                <w:szCs w:val="22"/>
              </w:rPr>
              <w:t>3-11-2025 17:00 tot 6-11-2025 17:00</w:t>
            </w:r>
          </w:p>
        </w:tc>
      </w:tr>
    </w:tbl>
    <w:p w:rsidR="21B1E0C4" w:rsidP="00D8779E" w:rsidRDefault="21B1E0C4" w14:paraId="5EFFAFE9" w14:textId="2EB249F1"/>
    <w:p w:rsidR="72CF1ABD" w:rsidP="00D8779E" w:rsidRDefault="72CF1ABD" w14:paraId="1FA7CD0B" w14:textId="25CA65B4">
      <w:pPr>
        <w:rPr>
          <w:b/>
          <w:bCs/>
        </w:rPr>
      </w:pPr>
      <w:r w:rsidRPr="21B1E0C4">
        <w:rPr>
          <w:b/>
          <w:bCs/>
        </w:rPr>
        <w:t>Hekjes</w:t>
      </w:r>
    </w:p>
    <w:p w:rsidR="00D22441" w:rsidP="00D8779E" w:rsidRDefault="72CF1ABD" w14:paraId="3141FC4C" w14:textId="4D852CC8">
      <w:r>
        <w:t>Sinds de ronde van 2023 worden er in SDE++ hekjes gebruikt</w:t>
      </w:r>
      <w:r w:rsidRPr="00B66D29" w:rsidR="00B66D29">
        <w:t xml:space="preserve"> </w:t>
      </w:r>
      <w:r w:rsidR="00B66D29">
        <w:t xml:space="preserve">voor </w:t>
      </w:r>
      <w:r w:rsidR="008478BA">
        <w:t xml:space="preserve">subsidieaanvragen voor </w:t>
      </w:r>
      <w:r w:rsidR="00B66D29">
        <w:t>domeinen Lagetemperatuurwarmte, Hogetemperatuurwarmte en Moleculen</w:t>
      </w:r>
      <w:r w:rsidR="30E0E250">
        <w:t>.</w:t>
      </w:r>
      <w:r>
        <w:t xml:space="preserve"> Een hekje in de SDE++ reserveert budget voor</w:t>
      </w:r>
      <w:r w:rsidR="00121951">
        <w:t xml:space="preserve"> dergelijke</w:t>
      </w:r>
      <w:r>
        <w:t xml:space="preserve"> technieken, waardoor deze eerder aan bod komen. Dit zijn technieken die weliswaar op de korte termijn minder kosteneffectief zijn, maar op de langere termijn noodzakelijk voor de energietransitie</w:t>
      </w:r>
      <w:r w:rsidR="000808FD">
        <w:t xml:space="preserve"> zijn</w:t>
      </w:r>
      <w:r>
        <w:t xml:space="preserve"> en waarvan de kosten kunnen dalen naarmate ze meer worden ingezet. Hekjes verlagen daarmee de kosteneffectiviteit van de SDE++ op de korte termijn, maar kunnen de kosteneffectiviteit van de energietransitie op de</w:t>
      </w:r>
      <w:r w:rsidR="2BD6D555">
        <w:t xml:space="preserve"> </w:t>
      </w:r>
      <w:r>
        <w:t>langere termijn verhogen. In 202</w:t>
      </w:r>
      <w:r w:rsidR="06F90447">
        <w:t>4</w:t>
      </w:r>
      <w:r>
        <w:t xml:space="preserve"> is gekozen voor hekjes van € 1 miljard.</w:t>
      </w:r>
      <w:r w:rsidR="5010DFAE">
        <w:t xml:space="preserve"> </w:t>
      </w:r>
      <w:r w:rsidR="0094500A">
        <w:t xml:space="preserve">Vanwege het feit dat het </w:t>
      </w:r>
      <w:r w:rsidR="00B7340A">
        <w:t xml:space="preserve">totale openstellingsbudget in 2025 lager is dan in 2024, </w:t>
      </w:r>
      <w:r w:rsidR="003B3F88">
        <w:t>hanteert</w:t>
      </w:r>
      <w:r w:rsidR="00FA70FC">
        <w:t xml:space="preserve"> het kabinet</w:t>
      </w:r>
      <w:r w:rsidR="00B7340A">
        <w:t xml:space="preserve"> v</w:t>
      </w:r>
      <w:r w:rsidR="5010DFAE">
        <w:t xml:space="preserve">oor de SDE++-ronde van 2025 </w:t>
      </w:r>
      <w:r w:rsidRPr="00E4585F" w:rsidR="5010DFAE">
        <w:t xml:space="preserve">hekjes van € </w:t>
      </w:r>
      <w:r w:rsidRPr="00E4585F" w:rsidR="0094500A">
        <w:t>750</w:t>
      </w:r>
      <w:r w:rsidRPr="00E4585F" w:rsidR="5010DFAE">
        <w:t xml:space="preserve"> </w:t>
      </w:r>
      <w:r w:rsidRPr="00E4585F" w:rsidR="0094500A">
        <w:t>miljoen</w:t>
      </w:r>
      <w:r w:rsidRPr="00E4585F" w:rsidR="00E4585F">
        <w:t xml:space="preserve"> </w:t>
      </w:r>
      <w:r w:rsidRPr="00E4585F" w:rsidR="5010DFAE">
        <w:t>voor</w:t>
      </w:r>
      <w:r w:rsidR="5010DFAE">
        <w:t xml:space="preserve"> </w:t>
      </w:r>
      <w:r w:rsidR="003416C3">
        <w:t>d</w:t>
      </w:r>
      <w:r w:rsidR="5010DFAE">
        <w:t>e domeinen Lagetemperatuurwarmte, Hogetemperatuurwarmte en Moleculen.</w:t>
      </w:r>
      <w:r w:rsidR="00FF3064">
        <w:t xml:space="preserve"> </w:t>
      </w:r>
      <w:r w:rsidR="00A8078F">
        <w:t xml:space="preserve">Naar verwachting </w:t>
      </w:r>
      <w:r w:rsidR="00326BD1">
        <w:t xml:space="preserve">is er bij deze hoogte ook voldoende concurrentie binnen de hekjes. </w:t>
      </w:r>
    </w:p>
    <w:p w:rsidR="00D22441" w:rsidP="00D8779E" w:rsidRDefault="00D22441" w14:paraId="4B78B0DF" w14:textId="77777777"/>
    <w:p w:rsidR="00D22441" w:rsidP="00D8779E" w:rsidRDefault="1B4DB5FC" w14:paraId="70263CDE" w14:textId="48A75641">
      <w:pPr>
        <w:rPr>
          <w:b/>
          <w:bCs/>
        </w:rPr>
      </w:pPr>
      <w:r w:rsidRPr="21B1E0C4">
        <w:rPr>
          <w:b/>
          <w:bCs/>
        </w:rPr>
        <w:t>Categorieën 2025</w:t>
      </w:r>
      <w:r w:rsidR="00967267">
        <w:rPr>
          <w:b/>
          <w:bCs/>
        </w:rPr>
        <w:t xml:space="preserve"> en overige aandachtspunten en ontwikkelingen</w:t>
      </w:r>
    </w:p>
    <w:p w:rsidR="00AE2DC2" w:rsidP="00D8779E" w:rsidRDefault="00747885" w14:paraId="1535511A" w14:textId="34AEE701">
      <w:r>
        <w:t xml:space="preserve">De basis </w:t>
      </w:r>
      <w:r w:rsidR="00967BAE">
        <w:t xml:space="preserve">voor iedere openstellingsronde is het advies dat het PBL jaarlijks </w:t>
      </w:r>
      <w:r w:rsidR="00B63477">
        <w:t xml:space="preserve">uitbrengt </w:t>
      </w:r>
      <w:r w:rsidR="00B22202">
        <w:t>voor de SDE++</w:t>
      </w:r>
      <w:r w:rsidR="0043643F">
        <w:t xml:space="preserve"> </w:t>
      </w:r>
      <w:r w:rsidR="00D17790">
        <w:t xml:space="preserve">over wat passende subsidiebedragen </w:t>
      </w:r>
      <w:r w:rsidR="007D0131">
        <w:t>zijn voor verscheidene CO</w:t>
      </w:r>
      <w:r w:rsidR="007D0131">
        <w:rPr>
          <w:vertAlign w:val="subscript"/>
        </w:rPr>
        <w:t>2</w:t>
      </w:r>
      <w:r w:rsidR="007D0131">
        <w:t xml:space="preserve">-reducerende technieken. </w:t>
      </w:r>
      <w:r w:rsidR="00D323F7">
        <w:t>Het kabinet geeft het PBL beleidsmatige uitgangspunten mee waarna</w:t>
      </w:r>
      <w:r w:rsidR="00FF15FB">
        <w:t xml:space="preserve"> het PBL onafhankelijk zijn advies opstelt. </w:t>
      </w:r>
      <w:r w:rsidR="00522E4F">
        <w:t xml:space="preserve">Een belangrijk onderdeel </w:t>
      </w:r>
      <w:r w:rsidR="003B23C7">
        <w:t xml:space="preserve">van het proces van PBL is de jaarlijkse marktconsultatie, waarin </w:t>
      </w:r>
      <w:r w:rsidR="001476AE">
        <w:t>(markt)</w:t>
      </w:r>
      <w:r w:rsidR="00147E6A">
        <w:t>partijen</w:t>
      </w:r>
      <w:r w:rsidR="009A081B">
        <w:t xml:space="preserve"> informatie kunnen de</w:t>
      </w:r>
      <w:r w:rsidR="00867B55">
        <w:t>l</w:t>
      </w:r>
      <w:r w:rsidR="009A081B">
        <w:t xml:space="preserve">en </w:t>
      </w:r>
      <w:r w:rsidR="00867B55">
        <w:t>en</w:t>
      </w:r>
      <w:r w:rsidR="00147E6A">
        <w:t xml:space="preserve"> voorstellen kunnen doen</w:t>
      </w:r>
      <w:r w:rsidR="007D0131">
        <w:t xml:space="preserve"> </w:t>
      </w:r>
      <w:r w:rsidR="00867B55">
        <w:t>voor nieuwe technieken voor in de SDE++.</w:t>
      </w:r>
    </w:p>
    <w:p w:rsidR="00867B55" w:rsidP="00D8779E" w:rsidRDefault="00867B55" w14:paraId="3E082848" w14:textId="77777777"/>
    <w:p w:rsidR="1B4DB5FC" w:rsidP="00D8779E" w:rsidRDefault="1B4DB5FC" w14:paraId="56583844" w14:textId="1A912CFB">
      <w:r>
        <w:t xml:space="preserve">De </w:t>
      </w:r>
      <w:r w:rsidR="00AE3AA1">
        <w:t>cate</w:t>
      </w:r>
      <w:r w:rsidR="00D053D6">
        <w:t>gorieën voor in</w:t>
      </w:r>
      <w:r>
        <w:t xml:space="preserve"> de komende openstellingsronde v</w:t>
      </w:r>
      <w:r w:rsidR="00F22F63">
        <w:t>an</w:t>
      </w:r>
      <w:r>
        <w:t xml:space="preserve"> de SDE++ </w:t>
      </w:r>
      <w:r w:rsidR="00D053D6">
        <w:t>komen in grote mate overeen met</w:t>
      </w:r>
      <w:r>
        <w:t xml:space="preserve"> categorieën die ook al in 2024 en </w:t>
      </w:r>
      <w:r w:rsidR="00104E0B">
        <w:t xml:space="preserve">in </w:t>
      </w:r>
      <w:r>
        <w:t xml:space="preserve">eerdere jaren voor subsidie in aanmerking kwamen. Zo staat de SDE++ opnieuw open voor: zon-PV, wind, </w:t>
      </w:r>
      <w:r w:rsidRPr="00FC740A">
        <w:t>waterkracht</w:t>
      </w:r>
      <w:r>
        <w:t>, lucht</w:t>
      </w:r>
      <w:r w:rsidR="19A31215">
        <w:t>-</w:t>
      </w:r>
      <w:r>
        <w:t>water-warmtepomp</w:t>
      </w:r>
      <w:r w:rsidR="00AA30F1">
        <w:t>en</w:t>
      </w:r>
      <w:r>
        <w:t>, biomassavergisting, -verbranding en -vergassing,</w:t>
      </w:r>
      <w:r w:rsidR="01998883">
        <w:t xml:space="preserve"> </w:t>
      </w:r>
      <w:r>
        <w:t>zonthermie, PVT, slibvergisting, compostering, geothermie, aquathermie,</w:t>
      </w:r>
      <w:r w:rsidR="10BD473A">
        <w:t xml:space="preserve"> </w:t>
      </w:r>
      <w:r>
        <w:t>elektrische boilers, warmtepompen, restwarmte, waterstof,</w:t>
      </w:r>
      <w:r w:rsidR="55A921E8">
        <w:t xml:space="preserve"> </w:t>
      </w:r>
      <w:r>
        <w:t>geavanceerde hernieuwbare brandstof</w:t>
      </w:r>
      <w:r w:rsidR="00AA30F1">
        <w:t>productie</w:t>
      </w:r>
      <w:r>
        <w:t>, CCS en CCU.</w:t>
      </w:r>
    </w:p>
    <w:p w:rsidR="21B1E0C4" w:rsidP="00D8779E" w:rsidRDefault="21B1E0C4" w14:paraId="10D62CF4" w14:textId="5CAE5BF7"/>
    <w:p w:rsidR="00EA5E07" w:rsidP="00D8779E" w:rsidRDefault="720D6278" w14:paraId="2DAD5B17" w14:textId="21293D4C">
      <w:r>
        <w:t xml:space="preserve">Door het PBL is ook geadviseerd over een aantal nieuwe categorieën. </w:t>
      </w:r>
      <w:r w:rsidR="007F5C32">
        <w:t>Het voornemen is</w:t>
      </w:r>
      <w:r>
        <w:t xml:space="preserve"> </w:t>
      </w:r>
      <w:r w:rsidR="007A2171">
        <w:t xml:space="preserve">een aantal </w:t>
      </w:r>
      <w:r w:rsidR="000603E5">
        <w:t>van deze</w:t>
      </w:r>
      <w:r w:rsidR="00760E07">
        <w:t xml:space="preserve"> </w:t>
      </w:r>
      <w:r>
        <w:t xml:space="preserve">categorieën </w:t>
      </w:r>
      <w:r w:rsidR="2BF90D26">
        <w:t xml:space="preserve">(deels) </w:t>
      </w:r>
      <w:r>
        <w:t>open te stellen, mits d</w:t>
      </w:r>
      <w:r w:rsidR="00827F4A">
        <w:t>it</w:t>
      </w:r>
      <w:r>
        <w:t xml:space="preserve"> uitvoerbaar </w:t>
      </w:r>
      <w:r w:rsidR="003355DB">
        <w:t>is</w:t>
      </w:r>
      <w:r w:rsidR="006322EE">
        <w:t xml:space="preserve"> (</w:t>
      </w:r>
      <w:r>
        <w:t xml:space="preserve">zoals </w:t>
      </w:r>
      <w:r w:rsidR="00A544B4">
        <w:t>in de bijlage</w:t>
      </w:r>
      <w:r>
        <w:t xml:space="preserve"> bij een aantal categorieën wordt toegelicht</w:t>
      </w:r>
      <w:r w:rsidR="009B6D2D">
        <w:t>)</w:t>
      </w:r>
      <w:r w:rsidR="00C3221A">
        <w:t>. Het betreft de volgende categorieën</w:t>
      </w:r>
      <w:r>
        <w:t>:</w:t>
      </w:r>
      <w:r w:rsidR="00D8779E">
        <w:t xml:space="preserve"> </w:t>
      </w:r>
      <w:r w:rsidR="18C71F42">
        <w:t>direct air capture</w:t>
      </w:r>
      <w:r w:rsidR="00022540">
        <w:t>;</w:t>
      </w:r>
      <w:r w:rsidR="18C71F42">
        <w:t xml:space="preserve"> de productie van waterstof uit afval</w:t>
      </w:r>
      <w:r w:rsidR="00F577DB">
        <w:t>,</w:t>
      </w:r>
      <w:r w:rsidR="004B797D">
        <w:t xml:space="preserve"> de elektrische boiler met alleen operationele kosten</w:t>
      </w:r>
      <w:r w:rsidR="00F577DB">
        <w:t xml:space="preserve"> en ni</w:t>
      </w:r>
      <w:r w:rsidR="00B17440">
        <w:t>euwe zon-PV-varianten</w:t>
      </w:r>
      <w:r>
        <w:t>.</w:t>
      </w:r>
      <w:r w:rsidR="37459AED">
        <w:t xml:space="preserve"> </w:t>
      </w:r>
      <w:r w:rsidR="00D03CD1">
        <w:t>Een aantal categorieën wordt niet opengesteld in 2025</w:t>
      </w:r>
      <w:r w:rsidR="00594ECE">
        <w:t xml:space="preserve">. </w:t>
      </w:r>
      <w:r w:rsidR="00483146">
        <w:t>B</w:t>
      </w:r>
      <w:r w:rsidR="00EF065E">
        <w:t>ep</w:t>
      </w:r>
      <w:r w:rsidR="007D02B9">
        <w:t xml:space="preserve">erkt zicht op realiseerbare </w:t>
      </w:r>
      <w:r w:rsidR="00EC7D95">
        <w:t>projecten</w:t>
      </w:r>
      <w:r w:rsidR="00896FB4">
        <w:t>, ondoelmatigheid</w:t>
      </w:r>
      <w:r w:rsidR="00EC7D95">
        <w:t xml:space="preserve"> </w:t>
      </w:r>
      <w:r w:rsidR="001D08F0">
        <w:t>en onuitvoerbaarheid zijn b</w:t>
      </w:r>
      <w:r w:rsidR="00980A44">
        <w:t>elangrijke redenen voor het niet openstellen van bepaalde categorieën</w:t>
      </w:r>
      <w:r w:rsidR="00FE7277">
        <w:t xml:space="preserve">. Per categorie staat </w:t>
      </w:r>
      <w:r w:rsidR="00022540">
        <w:t xml:space="preserve">ook hiervoor </w:t>
      </w:r>
      <w:r w:rsidR="00FE7277">
        <w:t xml:space="preserve">een nadere toelichting in de bijlage. </w:t>
      </w:r>
      <w:r w:rsidR="00022540">
        <w:t xml:space="preserve">Ook worden </w:t>
      </w:r>
      <w:r w:rsidR="00DD6BC7">
        <w:t>er</w:t>
      </w:r>
      <w:r w:rsidR="51C24D1F">
        <w:t xml:space="preserve"> een aantal categorieën geschrapt waarin de laatste jare</w:t>
      </w:r>
      <w:r w:rsidR="310B520A">
        <w:t>n</w:t>
      </w:r>
      <w:r w:rsidR="51C24D1F">
        <w:t xml:space="preserve"> geen aanvragen zijn gedaan.</w:t>
      </w:r>
      <w:r w:rsidR="206317D6">
        <w:t xml:space="preserve"> </w:t>
      </w:r>
      <w:r w:rsidR="00C514DE">
        <w:t xml:space="preserve">Dit draagt bij </w:t>
      </w:r>
      <w:r w:rsidR="00393A3C">
        <w:t xml:space="preserve">aan het overzichtelijk en </w:t>
      </w:r>
      <w:r w:rsidR="00022540">
        <w:t>uitvoerbaar</w:t>
      </w:r>
      <w:r w:rsidR="00393A3C">
        <w:t xml:space="preserve"> houden van de SDE++ voor </w:t>
      </w:r>
      <w:r w:rsidR="008B5B86">
        <w:t xml:space="preserve">marktpartijen, PBL en </w:t>
      </w:r>
      <w:r w:rsidR="00022540">
        <w:t>RVO</w:t>
      </w:r>
      <w:r w:rsidR="008B5B86">
        <w:t xml:space="preserve">. </w:t>
      </w:r>
    </w:p>
    <w:p w:rsidR="00EA5E07" w:rsidP="00D8779E" w:rsidRDefault="00EA5E07" w14:paraId="416815DE" w14:textId="77777777"/>
    <w:p w:rsidR="00EA5E07" w:rsidP="00D8779E" w:rsidRDefault="004D2AF1" w14:paraId="06D205BF" w14:textId="09A663FD">
      <w:r>
        <w:t xml:space="preserve">Tenslotte </w:t>
      </w:r>
      <w:r w:rsidR="00B36FBC">
        <w:t xml:space="preserve">wordt de </w:t>
      </w:r>
      <w:r w:rsidR="0083388C">
        <w:t xml:space="preserve">SDE++ </w:t>
      </w:r>
      <w:r w:rsidR="00C24D29">
        <w:t xml:space="preserve">in 2025 op een aantal manieren verbreed en verdiept, met name om </w:t>
      </w:r>
      <w:r w:rsidR="006931EE">
        <w:t xml:space="preserve">projecten </w:t>
      </w:r>
      <w:r w:rsidR="007E2708">
        <w:t>beter en passender te ondersteunen in de energietransitie</w:t>
      </w:r>
      <w:r w:rsidR="00870F5D">
        <w:t>.</w:t>
      </w:r>
      <w:r w:rsidR="00DB6209">
        <w:t xml:space="preserve"> Met het oog op netcongestie wordt d</w:t>
      </w:r>
      <w:r w:rsidR="00F92EE4">
        <w:t>e SDE++ aangepast om</w:t>
      </w:r>
      <w:r w:rsidR="005D3BF5">
        <w:t xml:space="preserve"> de netbelasting van nieuwe projecten </w:t>
      </w:r>
      <w:r w:rsidR="00D20B46">
        <w:t xml:space="preserve">zo veel mogelijk te beperken. </w:t>
      </w:r>
      <w:r w:rsidR="002C0810">
        <w:t xml:space="preserve">Zo wordt het mogelijk om </w:t>
      </w:r>
      <w:r w:rsidR="008E273C">
        <w:t xml:space="preserve">subsidie aan te vragen voor verticale zonnepanelen, die een </w:t>
      </w:r>
      <w:r w:rsidR="000B37C5">
        <w:t>gunstiger opwekkingsprofiel hebbe</w:t>
      </w:r>
      <w:r w:rsidR="006118F9">
        <w:t>n</w:t>
      </w:r>
      <w:r w:rsidR="000B37C5">
        <w:t>,</w:t>
      </w:r>
      <w:r w:rsidR="009D4F80">
        <w:t xml:space="preserve"> en gaat de SDE++ sturen </w:t>
      </w:r>
      <w:r w:rsidR="00392BDC">
        <w:t xml:space="preserve">op </w:t>
      </w:r>
      <w:r w:rsidR="00B25676">
        <w:t>contracten die flexibel stroomverbruik stimuleren.</w:t>
      </w:r>
      <w:r w:rsidR="000B37C5">
        <w:t xml:space="preserve"> </w:t>
      </w:r>
      <w:r w:rsidR="007D7D5E">
        <w:t xml:space="preserve">Ook wordt </w:t>
      </w:r>
      <w:r w:rsidR="00865D0E">
        <w:t xml:space="preserve">voor </w:t>
      </w:r>
      <w:r w:rsidR="00C7298B">
        <w:t xml:space="preserve">een aantal </w:t>
      </w:r>
      <w:r w:rsidR="006F450B">
        <w:t>technieken</w:t>
      </w:r>
      <w:r w:rsidR="00E4128D">
        <w:t xml:space="preserve"> een extra categorie toegevoegd</w:t>
      </w:r>
      <w:r w:rsidR="0053761C">
        <w:t xml:space="preserve">, </w:t>
      </w:r>
      <w:r w:rsidR="009732DE">
        <w:t xml:space="preserve">bijvoorbeeld </w:t>
      </w:r>
      <w:r w:rsidR="003D7CC2">
        <w:t xml:space="preserve">voor de industriële warmtepomp, waardoor de SDE++ </w:t>
      </w:r>
      <w:r w:rsidR="006E561C">
        <w:t>aan</w:t>
      </w:r>
      <w:r w:rsidR="000953ED">
        <w:t xml:space="preserve">sluit bij de situatie van een groter aantal bedrijven. </w:t>
      </w:r>
      <w:r w:rsidR="00F717B6">
        <w:t>Tot slot</w:t>
      </w:r>
      <w:r w:rsidR="00505549">
        <w:t xml:space="preserve"> word</w:t>
      </w:r>
      <w:r w:rsidR="00E53DCE">
        <w:t xml:space="preserve">en de mogelijkheden voor het hergebruik van </w:t>
      </w:r>
      <w:r w:rsidR="00335420">
        <w:t>materialen v</w:t>
      </w:r>
      <w:r w:rsidR="009A445D">
        <w:t>erruimd</w:t>
      </w:r>
      <w:r w:rsidR="00335420">
        <w:t>, waa</w:t>
      </w:r>
      <w:r w:rsidR="000114D1">
        <w:t>rdoor de SDE++ ee</w:t>
      </w:r>
      <w:r w:rsidR="006A4A43">
        <w:t>n</w:t>
      </w:r>
      <w:r w:rsidR="00534536">
        <w:t xml:space="preserve"> grotere</w:t>
      </w:r>
      <w:r w:rsidR="006A4A43">
        <w:t xml:space="preserve"> bijdrage </w:t>
      </w:r>
      <w:r w:rsidR="00534536">
        <w:t>kan leveren</w:t>
      </w:r>
      <w:r w:rsidR="006A4A43">
        <w:t xml:space="preserve"> aan de circulaire economie. Alle </w:t>
      </w:r>
      <w:r w:rsidR="00FF10FE">
        <w:t>aa</w:t>
      </w:r>
      <w:r w:rsidR="002F358A">
        <w:t>npassingen en ontwikkelingen worden in de bijlage nader toegelicht.</w:t>
      </w:r>
      <w:r w:rsidR="00D8779E">
        <w:t xml:space="preserve"> </w:t>
      </w:r>
    </w:p>
    <w:p w:rsidR="00EB5FC7" w:rsidP="00D8779E" w:rsidRDefault="00EB5FC7" w14:paraId="73A66EA9" w14:textId="77777777"/>
    <w:p w:rsidRPr="00FA141F" w:rsidR="6952EB7C" w:rsidP="00D8779E" w:rsidRDefault="00E85C10" w14:paraId="6C048409" w14:textId="25ADF21B">
      <w:pPr>
        <w:rPr>
          <w:b/>
          <w:bCs/>
        </w:rPr>
      </w:pPr>
      <w:r w:rsidRPr="00FA141F">
        <w:rPr>
          <w:b/>
          <w:bCs/>
        </w:rPr>
        <w:t xml:space="preserve">Moties en toezeggingen </w:t>
      </w:r>
    </w:p>
    <w:p w:rsidRPr="00BA7965" w:rsidR="005C0D95" w:rsidP="00D8779E" w:rsidRDefault="002B72E0" w14:paraId="4FBBCD34" w14:textId="47FA6677">
      <w:r>
        <w:t xml:space="preserve">Hieronder </w:t>
      </w:r>
      <w:r w:rsidR="00E37E0D">
        <w:t xml:space="preserve">wordt ingegaan op een aantal moties en toezeggingen. </w:t>
      </w:r>
      <w:r w:rsidR="00DF3A85">
        <w:t>V</w:t>
      </w:r>
      <w:r w:rsidR="00F76000">
        <w:t>anwege het techniekspecifieke karakter van twee toezegginen, die aan het lid Bontenbal</w:t>
      </w:r>
      <w:r w:rsidR="000C18EF">
        <w:rPr>
          <w:rStyle w:val="Voetnootmarkering"/>
        </w:rPr>
        <w:footnoteReference w:id="3"/>
      </w:r>
      <w:r w:rsidR="00F76000">
        <w:t xml:space="preserve"> en die aan het lid Grinwis</w:t>
      </w:r>
      <w:r w:rsidR="008C5034">
        <w:rPr>
          <w:rStyle w:val="Voetnootmarkering"/>
        </w:rPr>
        <w:footnoteReference w:id="4"/>
      </w:r>
      <w:r w:rsidR="00F76000">
        <w:t>,</w:t>
      </w:r>
      <w:r w:rsidR="00C45409">
        <w:t xml:space="preserve"> is de toelichting hierop </w:t>
      </w:r>
      <w:r w:rsidR="0072278B">
        <w:t>opgenomen in de bijlage.</w:t>
      </w:r>
      <w:r w:rsidR="00D8779E">
        <w:t xml:space="preserve"> </w:t>
      </w:r>
    </w:p>
    <w:p w:rsidR="005C0D95" w:rsidP="00D8779E" w:rsidRDefault="005C0D95" w14:paraId="5146C44C" w14:textId="77777777">
      <w:pPr>
        <w:rPr>
          <w:i/>
          <w:iCs/>
        </w:rPr>
      </w:pPr>
    </w:p>
    <w:p w:rsidRPr="00FA141F" w:rsidR="0072261B" w:rsidP="00D8779E" w:rsidRDefault="00CB7F7F" w14:paraId="1E7FB242" w14:textId="63370850">
      <w:pPr>
        <w:rPr>
          <w:i/>
          <w:iCs/>
        </w:rPr>
      </w:pPr>
      <w:r w:rsidRPr="00FA141F">
        <w:rPr>
          <w:i/>
          <w:iCs/>
        </w:rPr>
        <w:t>Motie CO</w:t>
      </w:r>
      <w:r w:rsidRPr="00FA141F">
        <w:rPr>
          <w:i/>
          <w:iCs/>
          <w:vertAlign w:val="subscript"/>
        </w:rPr>
        <w:t>2</w:t>
      </w:r>
      <w:r w:rsidRPr="00FA141F">
        <w:rPr>
          <w:i/>
          <w:iCs/>
        </w:rPr>
        <w:t>-opslag in het buitenland</w:t>
      </w:r>
    </w:p>
    <w:p w:rsidRPr="00C15280" w:rsidR="00CB7F7F" w:rsidP="00D8779E" w:rsidRDefault="00CB7F7F" w14:paraId="2A74F123" w14:textId="7C5101A4">
      <w:r w:rsidRPr="00EB5FC7">
        <w:t>In de 2025-ronde zal het niet mogelijk</w:t>
      </w:r>
      <w:r w:rsidRPr="00C15280">
        <w:t xml:space="preserve"> worden gemaakt om SDE++ aan te vragen voor het opslaan van CO</w:t>
      </w:r>
      <w:r w:rsidRPr="00C15280">
        <w:rPr>
          <w:vertAlign w:val="subscript"/>
        </w:rPr>
        <w:t>2</w:t>
      </w:r>
      <w:r w:rsidRPr="00C15280">
        <w:t xml:space="preserve"> in het buitenland. Hiermee wordt uitvoering gegeven aan de motie van de leden Postma en Kröger</w:t>
      </w:r>
      <w:r>
        <w:rPr>
          <w:rStyle w:val="Voetnootmarkering"/>
        </w:rPr>
        <w:footnoteReference w:id="5"/>
      </w:r>
      <w:r w:rsidRPr="00C15280">
        <w:t>, die verzoekt om de focus van de SDE++ te behouden op projecten die bijdragen aan CO</w:t>
      </w:r>
      <w:r w:rsidRPr="00C15280">
        <w:rPr>
          <w:vertAlign w:val="subscript"/>
        </w:rPr>
        <w:t>2</w:t>
      </w:r>
      <w:r w:rsidRPr="00C15280">
        <w:t>-reductie binnen Nederland en hierom de SDE++ niet open te stellen voor CO</w:t>
      </w:r>
      <w:r w:rsidRPr="00C15280">
        <w:rPr>
          <w:vertAlign w:val="subscript"/>
        </w:rPr>
        <w:t>2</w:t>
      </w:r>
      <w:r w:rsidRPr="00C15280">
        <w:t>-opslag in het buitenland.</w:t>
      </w:r>
      <w:r w:rsidR="00D8779E">
        <w:t xml:space="preserve"> </w:t>
      </w:r>
    </w:p>
    <w:p w:rsidRPr="00C15280" w:rsidR="00CB7F7F" w:rsidP="00D8779E" w:rsidRDefault="00CB7F7F" w14:paraId="63539FA2" w14:textId="77777777"/>
    <w:p w:rsidRPr="00CB7F7F" w:rsidR="00CB7F7F" w:rsidP="00D8779E" w:rsidRDefault="00CB7F7F" w14:paraId="6B1DF1E2" w14:textId="523E6054">
      <w:r w:rsidRPr="00C15280">
        <w:t>Het afvangen van CO</w:t>
      </w:r>
      <w:r w:rsidRPr="00C15280">
        <w:rPr>
          <w:vertAlign w:val="subscript"/>
        </w:rPr>
        <w:t>2</w:t>
      </w:r>
      <w:r w:rsidRPr="00C15280">
        <w:t xml:space="preserve"> bij bedrijven in Nederland en vervolgens opslaan hiervan in het buitenland zou wel bijdragen aan de Nederlandse klimaatdoelstellingen</w:t>
      </w:r>
      <w:r>
        <w:rPr>
          <w:rStyle w:val="Voetnootmarkering"/>
        </w:rPr>
        <w:footnoteReference w:id="6"/>
      </w:r>
      <w:r w:rsidRPr="00C15280">
        <w:t xml:space="preserve"> en de Nederlandse industrie extra mogelijkheden geven om te verduurzamen.</w:t>
      </w:r>
      <w:r w:rsidR="00E928A1">
        <w:t xml:space="preserve"> Indien </w:t>
      </w:r>
      <w:r w:rsidR="009E32CD">
        <w:t>CO</w:t>
      </w:r>
      <w:r w:rsidR="009E32CD">
        <w:rPr>
          <w:vertAlign w:val="subscript"/>
        </w:rPr>
        <w:t>2</w:t>
      </w:r>
      <w:r w:rsidR="009E32CD">
        <w:t xml:space="preserve">-opslag in het buitenland in </w:t>
      </w:r>
      <w:r w:rsidR="00E928A1">
        <w:t>de SDE++</w:t>
      </w:r>
      <w:r w:rsidR="009E32CD">
        <w:t xml:space="preserve"> mogel</w:t>
      </w:r>
      <w:r w:rsidR="00E54BAB">
        <w:t>i</w:t>
      </w:r>
      <w:r w:rsidR="009E32CD">
        <w:t xml:space="preserve">jk zou worden gemaakt, </w:t>
      </w:r>
      <w:r w:rsidR="001A030A">
        <w:t xml:space="preserve">dan </w:t>
      </w:r>
      <w:r w:rsidR="00EA43FD">
        <w:t>zouden</w:t>
      </w:r>
      <w:r w:rsidR="001A030A">
        <w:t xml:space="preserve"> enkel Nederlandse bedrijven </w:t>
      </w:r>
      <w:r w:rsidR="00E406CF">
        <w:t>hiervan gebruik kunnen maken.</w:t>
      </w:r>
      <w:r w:rsidRPr="00C15280">
        <w:t xml:space="preserve"> </w:t>
      </w:r>
      <w:r>
        <w:t>H</w:t>
      </w:r>
      <w:r w:rsidRPr="00C15280">
        <w:t xml:space="preserve">et stimuleren </w:t>
      </w:r>
      <w:r w:rsidR="00D1416B">
        <w:t xml:space="preserve">van </w:t>
      </w:r>
      <w:r w:rsidR="00E406CF">
        <w:t>CO</w:t>
      </w:r>
      <w:r w:rsidR="00E406CF">
        <w:rPr>
          <w:vertAlign w:val="subscript"/>
        </w:rPr>
        <w:t>2</w:t>
      </w:r>
      <w:r w:rsidR="00E406CF">
        <w:t>-opslag in het buitenland</w:t>
      </w:r>
      <w:r w:rsidRPr="00C15280" w:rsidR="00E406CF">
        <w:t xml:space="preserve"> </w:t>
      </w:r>
      <w:r>
        <w:t xml:space="preserve">zou tevens </w:t>
      </w:r>
      <w:r w:rsidRPr="00C15280">
        <w:t>een bijdrage leveren aan de marktontwikkeling voor CO</w:t>
      </w:r>
      <w:r w:rsidRPr="00C15280">
        <w:rPr>
          <w:vertAlign w:val="subscript"/>
        </w:rPr>
        <w:t>2</w:t>
      </w:r>
      <w:r w:rsidRPr="00C15280">
        <w:t>-transport en -opslag, wat ertoe kan leiden dat CCS-projecten op termijn minder subsidie nodig zouden hebben</w:t>
      </w:r>
      <w:r>
        <w:t>.</w:t>
      </w:r>
      <w:r w:rsidRPr="00C15280">
        <w:t xml:space="preserve"> Tegelijkertijd zou het te vroeg verbreden van de CCS-markt risico’s met zich mee kunnen brengen voor de totstandkoming van de eerste Nederlandse </w:t>
      </w:r>
      <w:r>
        <w:t>CO</w:t>
      </w:r>
      <w:r>
        <w:rPr>
          <w:vertAlign w:val="subscript"/>
        </w:rPr>
        <w:t>2</w:t>
      </w:r>
      <w:r>
        <w:t>-transport- en -opslag</w:t>
      </w:r>
      <w:r w:rsidRPr="00C15280">
        <w:t>projecten.</w:t>
      </w:r>
      <w:r w:rsidR="00A76206">
        <w:t xml:space="preserve"> Gelet op de motie maakt het kabinet het</w:t>
      </w:r>
      <w:r w:rsidR="00332E2C">
        <w:t xml:space="preserve"> dus</w:t>
      </w:r>
      <w:r w:rsidR="00A76206">
        <w:t xml:space="preserve"> nu niet mogelijk </w:t>
      </w:r>
      <w:r w:rsidR="00AE54E1">
        <w:t>om met de SDE++</w:t>
      </w:r>
      <w:r w:rsidR="00A76206">
        <w:t xml:space="preserve"> </w:t>
      </w:r>
      <w:r w:rsidR="00AE54E1">
        <w:t>CO</w:t>
      </w:r>
      <w:r w:rsidR="00AE54E1">
        <w:rPr>
          <w:vertAlign w:val="subscript"/>
        </w:rPr>
        <w:t>2</w:t>
      </w:r>
      <w:r w:rsidR="00AE54E1">
        <w:t xml:space="preserve"> in het buitenland op te slaan</w:t>
      </w:r>
      <w:r w:rsidR="008E7C1F">
        <w:t xml:space="preserve"> en</w:t>
      </w:r>
      <w:r>
        <w:t xml:space="preserve"> blijft</w:t>
      </w:r>
      <w:r w:rsidR="008E7C1F">
        <w:t xml:space="preserve"> het</w:t>
      </w:r>
      <w:r>
        <w:t xml:space="preserve"> de ontwikkeling van de CCS-markt nauwlettend volgen </w:t>
      </w:r>
      <w:r w:rsidRPr="00A97A2B">
        <w:t>en monitoren</w:t>
      </w:r>
      <w:r>
        <w:t>.</w:t>
      </w:r>
      <w:r w:rsidRPr="00C15280">
        <w:t xml:space="preserve"> </w:t>
      </w:r>
    </w:p>
    <w:p w:rsidR="0072261B" w:rsidP="00D8779E" w:rsidRDefault="0072261B" w14:paraId="797DD493" w14:textId="77777777">
      <w:pPr>
        <w:rPr>
          <w:b/>
          <w:bCs/>
          <w:highlight w:val="yellow"/>
        </w:rPr>
      </w:pPr>
    </w:p>
    <w:p w:rsidRPr="00FA141F" w:rsidR="6668BB61" w:rsidP="00D8779E" w:rsidRDefault="6668BB61" w14:paraId="7253DDB2" w14:textId="2C5CA6F5">
      <w:pPr>
        <w:rPr>
          <w:i/>
          <w:iCs/>
        </w:rPr>
      </w:pPr>
      <w:r w:rsidRPr="00FA141F">
        <w:rPr>
          <w:i/>
          <w:iCs/>
        </w:rPr>
        <w:t>Motie flexi</w:t>
      </w:r>
      <w:r w:rsidRPr="00FA141F" w:rsidR="007A3BA9">
        <w:rPr>
          <w:i/>
          <w:iCs/>
        </w:rPr>
        <w:t>bi</w:t>
      </w:r>
      <w:r w:rsidRPr="00FA141F">
        <w:rPr>
          <w:i/>
          <w:iCs/>
        </w:rPr>
        <w:t>lisering industriële st</w:t>
      </w:r>
      <w:r w:rsidRPr="00FA141F" w:rsidR="007A3BA9">
        <w:rPr>
          <w:i/>
          <w:iCs/>
        </w:rPr>
        <w:t>r</w:t>
      </w:r>
      <w:r w:rsidRPr="00FA141F">
        <w:rPr>
          <w:i/>
          <w:iCs/>
        </w:rPr>
        <w:t>oomvraag</w:t>
      </w:r>
    </w:p>
    <w:p w:rsidR="00B5416F" w:rsidP="00D8779E" w:rsidRDefault="6668BB61" w14:paraId="1D7E24BF" w14:textId="06639931">
      <w:pPr>
        <w:rPr>
          <w:rFonts w:eastAsia="Verdana" w:cs="Verdana"/>
        </w:rPr>
      </w:pPr>
      <w:bookmarkStart w:name="_Hlk187936942" w:id="0"/>
      <w:r w:rsidRPr="73FDFB18">
        <w:rPr>
          <w:rFonts w:eastAsia="Verdana" w:cs="Verdana"/>
        </w:rPr>
        <w:t>Op 19 december jl. is de motie</w:t>
      </w:r>
      <w:r w:rsidR="00D8779E">
        <w:rPr>
          <w:rFonts w:eastAsia="Verdana" w:cs="Verdana"/>
        </w:rPr>
        <w:t>-</w:t>
      </w:r>
      <w:r w:rsidRPr="73FDFB18">
        <w:rPr>
          <w:rFonts w:eastAsia="Verdana" w:cs="Verdana"/>
        </w:rPr>
        <w:t>Erkens over de stimulering van de flexibilisering van de industriële stroomvraag aangenomen</w:t>
      </w:r>
      <w:r w:rsidR="000306D0">
        <w:rPr>
          <w:rStyle w:val="Voetnootmarkering"/>
          <w:rFonts w:eastAsia="Verdana" w:cs="Verdana"/>
        </w:rPr>
        <w:footnoteReference w:id="7"/>
      </w:r>
      <w:r w:rsidRPr="73FDFB18">
        <w:rPr>
          <w:rFonts w:eastAsia="Verdana" w:cs="Verdana"/>
        </w:rPr>
        <w:t>. Deze motie vraagt om</w:t>
      </w:r>
      <w:r w:rsidR="003B622D">
        <w:rPr>
          <w:rFonts w:eastAsia="Verdana" w:cs="Verdana"/>
        </w:rPr>
        <w:t xml:space="preserve"> bij de eerstvolgende </w:t>
      </w:r>
      <w:r w:rsidR="00F04BCA">
        <w:rPr>
          <w:rFonts w:eastAsia="Verdana" w:cs="Verdana"/>
        </w:rPr>
        <w:t>openstellingsronde</w:t>
      </w:r>
      <w:r w:rsidR="0072272F">
        <w:rPr>
          <w:rFonts w:eastAsia="Verdana" w:cs="Verdana"/>
        </w:rPr>
        <w:t xml:space="preserve"> van de SDE++ hierop</w:t>
      </w:r>
      <w:r w:rsidR="00F04BCA">
        <w:rPr>
          <w:rFonts w:eastAsia="Verdana" w:cs="Verdana"/>
        </w:rPr>
        <w:t xml:space="preserve"> meer in te zetten</w:t>
      </w:r>
      <w:r w:rsidR="002B6A3E">
        <w:rPr>
          <w:rFonts w:eastAsia="Verdana" w:cs="Verdana"/>
        </w:rPr>
        <w:t xml:space="preserve"> en</w:t>
      </w:r>
      <w:r w:rsidR="001F572E">
        <w:rPr>
          <w:rFonts w:eastAsia="Verdana" w:cs="Verdana"/>
        </w:rPr>
        <w:t xml:space="preserve"> vraagt</w:t>
      </w:r>
      <w:r w:rsidR="002B6A3E">
        <w:rPr>
          <w:rFonts w:eastAsia="Verdana" w:cs="Verdana"/>
        </w:rPr>
        <w:t xml:space="preserve"> </w:t>
      </w:r>
      <w:r w:rsidR="003554E5">
        <w:rPr>
          <w:rFonts w:eastAsia="Verdana" w:cs="Verdana"/>
        </w:rPr>
        <w:t xml:space="preserve">om </w:t>
      </w:r>
      <w:r w:rsidR="001B6FFA">
        <w:rPr>
          <w:rFonts w:eastAsia="Verdana" w:cs="Verdana"/>
        </w:rPr>
        <w:t>in die ronde</w:t>
      </w:r>
      <w:r w:rsidR="00572CB0">
        <w:rPr>
          <w:rFonts w:eastAsia="Verdana" w:cs="Verdana"/>
        </w:rPr>
        <w:t xml:space="preserve"> met een toevoeging van een nieuwe categorie</w:t>
      </w:r>
      <w:r w:rsidR="001B6FFA">
        <w:rPr>
          <w:rFonts w:eastAsia="Verdana" w:cs="Verdana"/>
        </w:rPr>
        <w:t xml:space="preserve"> </w:t>
      </w:r>
      <w:r w:rsidR="002B6A3E">
        <w:rPr>
          <w:rFonts w:eastAsia="Verdana" w:cs="Verdana"/>
        </w:rPr>
        <w:t>specifiek</w:t>
      </w:r>
      <w:r w:rsidR="00CA5C8C">
        <w:rPr>
          <w:rFonts w:eastAsia="Verdana" w:cs="Verdana"/>
        </w:rPr>
        <w:t xml:space="preserve"> subsidie aan te k</w:t>
      </w:r>
      <w:r w:rsidR="00596FF9">
        <w:rPr>
          <w:rFonts w:eastAsia="Verdana" w:cs="Verdana"/>
        </w:rPr>
        <w:t>unnen vragen voor flexibilisering van de industriële stroomvraag.</w:t>
      </w:r>
    </w:p>
    <w:p w:rsidR="00B5416F" w:rsidP="00D8779E" w:rsidRDefault="00B5416F" w14:paraId="5F453D2C" w14:textId="77777777">
      <w:pPr>
        <w:rPr>
          <w:rFonts w:eastAsia="Verdana" w:cs="Verdana"/>
        </w:rPr>
      </w:pPr>
    </w:p>
    <w:p w:rsidR="00B5416F" w:rsidP="00D8779E" w:rsidRDefault="00B5416F" w14:paraId="481DECC5" w14:textId="7858ECD3">
      <w:pPr>
        <w:rPr>
          <w:rFonts w:eastAsia="Verdana" w:cs="Verdana"/>
        </w:rPr>
      </w:pPr>
      <w:r>
        <w:rPr>
          <w:rFonts w:eastAsia="Verdana" w:cs="Verdana"/>
        </w:rPr>
        <w:t xml:space="preserve">Het </w:t>
      </w:r>
      <w:r w:rsidR="00F41029">
        <w:rPr>
          <w:rFonts w:eastAsia="Verdana" w:cs="Verdana"/>
        </w:rPr>
        <w:t>kabinet ondersch</w:t>
      </w:r>
      <w:r w:rsidR="00737E34">
        <w:rPr>
          <w:rFonts w:eastAsia="Verdana" w:cs="Verdana"/>
        </w:rPr>
        <w:t xml:space="preserve">rijft het belang van </w:t>
      </w:r>
      <w:r w:rsidR="00F820DD">
        <w:rPr>
          <w:rFonts w:eastAsia="Verdana" w:cs="Verdana"/>
        </w:rPr>
        <w:t xml:space="preserve">het helpen van bedrijven </w:t>
      </w:r>
      <w:r w:rsidR="00CE18A8">
        <w:rPr>
          <w:rFonts w:eastAsia="Verdana" w:cs="Verdana"/>
        </w:rPr>
        <w:t>bij electrificatie</w:t>
      </w:r>
      <w:r w:rsidR="00D72A87">
        <w:rPr>
          <w:rFonts w:eastAsia="Verdana" w:cs="Verdana"/>
        </w:rPr>
        <w:t xml:space="preserve"> en </w:t>
      </w:r>
      <w:r w:rsidR="00CE18A8">
        <w:rPr>
          <w:rFonts w:eastAsia="Verdana" w:cs="Verdana"/>
        </w:rPr>
        <w:t>bij de flexibilisering van hun</w:t>
      </w:r>
      <w:r w:rsidR="00D72A87">
        <w:rPr>
          <w:rFonts w:eastAsia="Verdana" w:cs="Verdana"/>
        </w:rPr>
        <w:t xml:space="preserve"> stroomvraag </w:t>
      </w:r>
      <w:r w:rsidR="0085710D">
        <w:rPr>
          <w:rFonts w:eastAsia="Verdana" w:cs="Verdana"/>
        </w:rPr>
        <w:t>en heeft hier meerdere maatregelen voor</w:t>
      </w:r>
      <w:r w:rsidR="00D72A87">
        <w:rPr>
          <w:rFonts w:eastAsia="Verdana" w:cs="Verdana"/>
        </w:rPr>
        <w:t xml:space="preserve">. </w:t>
      </w:r>
      <w:r w:rsidR="0085710D">
        <w:rPr>
          <w:rFonts w:eastAsia="Verdana" w:cs="Verdana"/>
        </w:rPr>
        <w:t xml:space="preserve">Het </w:t>
      </w:r>
      <w:r w:rsidR="008F61D3">
        <w:rPr>
          <w:rFonts w:eastAsia="Verdana" w:cs="Verdana"/>
        </w:rPr>
        <w:t xml:space="preserve">openstellen van een aparte categorie </w:t>
      </w:r>
      <w:r w:rsidR="00FF2AEE">
        <w:rPr>
          <w:rFonts w:eastAsia="Verdana" w:cs="Verdana"/>
        </w:rPr>
        <w:t xml:space="preserve">hiervoor in de SDE++, waar de motie om vraagt, </w:t>
      </w:r>
      <w:r w:rsidR="004A31EB">
        <w:rPr>
          <w:rFonts w:eastAsia="Verdana" w:cs="Verdana"/>
        </w:rPr>
        <w:t xml:space="preserve">is echter technisch niet </w:t>
      </w:r>
      <w:r w:rsidR="00B2473E">
        <w:rPr>
          <w:rFonts w:eastAsia="Verdana" w:cs="Verdana"/>
        </w:rPr>
        <w:t xml:space="preserve">meer </w:t>
      </w:r>
      <w:r w:rsidR="004A31EB">
        <w:rPr>
          <w:rFonts w:eastAsia="Verdana" w:cs="Verdana"/>
        </w:rPr>
        <w:t xml:space="preserve">mogelijk. </w:t>
      </w:r>
      <w:r w:rsidR="008E7C76">
        <w:rPr>
          <w:rFonts w:eastAsia="Verdana" w:cs="Verdana"/>
        </w:rPr>
        <w:t xml:space="preserve">Om </w:t>
      </w:r>
      <w:r w:rsidR="000B504A">
        <w:rPr>
          <w:rFonts w:eastAsia="Verdana" w:cs="Verdana"/>
        </w:rPr>
        <w:t xml:space="preserve">een nieuwe </w:t>
      </w:r>
      <w:r w:rsidR="003B4C34">
        <w:rPr>
          <w:rFonts w:eastAsia="Verdana" w:cs="Verdana"/>
        </w:rPr>
        <w:t>categorie in de SDE++ open te stellen</w:t>
      </w:r>
      <w:r w:rsidR="00824F47">
        <w:rPr>
          <w:rFonts w:eastAsia="Verdana" w:cs="Verdana"/>
        </w:rPr>
        <w:t xml:space="preserve"> moet het PBL </w:t>
      </w:r>
      <w:r w:rsidR="007579E8">
        <w:rPr>
          <w:rFonts w:eastAsia="Verdana" w:cs="Verdana"/>
        </w:rPr>
        <w:t>eerst adviseren wat een passend subsidiebedrag is</w:t>
      </w:r>
      <w:r w:rsidR="00A048F7">
        <w:rPr>
          <w:rFonts w:eastAsia="Verdana" w:cs="Verdana"/>
        </w:rPr>
        <w:t>.</w:t>
      </w:r>
      <w:r w:rsidR="00B8280C">
        <w:rPr>
          <w:rFonts w:eastAsia="Verdana" w:cs="Verdana"/>
        </w:rPr>
        <w:t xml:space="preserve"> </w:t>
      </w:r>
      <w:r w:rsidR="0053729D">
        <w:rPr>
          <w:rFonts w:eastAsia="Verdana" w:cs="Verdana"/>
        </w:rPr>
        <w:t xml:space="preserve">Het PBL </w:t>
      </w:r>
      <w:r w:rsidR="009D7FA4">
        <w:rPr>
          <w:rFonts w:eastAsia="Verdana" w:cs="Verdana"/>
        </w:rPr>
        <w:t>doet dit</w:t>
      </w:r>
      <w:r w:rsidR="00B30DC2">
        <w:rPr>
          <w:rFonts w:eastAsia="Verdana" w:cs="Verdana"/>
        </w:rPr>
        <w:t xml:space="preserve"> onafhankelijk</w:t>
      </w:r>
      <w:r w:rsidR="00EA4D3C">
        <w:rPr>
          <w:rFonts w:eastAsia="Verdana" w:cs="Verdana"/>
        </w:rPr>
        <w:t xml:space="preserve"> en aan de hand</w:t>
      </w:r>
      <w:r w:rsidR="009D7FA4">
        <w:rPr>
          <w:rFonts w:eastAsia="Verdana" w:cs="Verdana"/>
        </w:rPr>
        <w:t xml:space="preserve"> van concrete voorstellen van bedrijven. </w:t>
      </w:r>
      <w:r w:rsidR="004D415C">
        <w:rPr>
          <w:rFonts w:eastAsia="Verdana" w:cs="Verdana"/>
        </w:rPr>
        <w:t>Het 2025-advies</w:t>
      </w:r>
      <w:r w:rsidR="00E25075">
        <w:rPr>
          <w:rFonts w:eastAsia="Verdana" w:cs="Verdana"/>
        </w:rPr>
        <w:t xml:space="preserve">, dat </w:t>
      </w:r>
      <w:r w:rsidR="00243276">
        <w:rPr>
          <w:rFonts w:eastAsia="Verdana" w:cs="Verdana"/>
        </w:rPr>
        <w:t>ten tijde van</w:t>
      </w:r>
      <w:r w:rsidR="00E25075">
        <w:rPr>
          <w:rFonts w:eastAsia="Verdana" w:cs="Verdana"/>
        </w:rPr>
        <w:t xml:space="preserve"> indiening </w:t>
      </w:r>
      <w:r w:rsidR="00A32A8D">
        <w:rPr>
          <w:rFonts w:eastAsia="Verdana" w:cs="Verdana"/>
        </w:rPr>
        <w:t xml:space="preserve">van de motie al </w:t>
      </w:r>
      <w:r w:rsidR="00492CFD">
        <w:rPr>
          <w:rFonts w:eastAsia="Verdana" w:cs="Verdana"/>
        </w:rPr>
        <w:t xml:space="preserve">nagenoeg </w:t>
      </w:r>
      <w:r w:rsidR="00A32A8D">
        <w:rPr>
          <w:rFonts w:eastAsia="Verdana" w:cs="Verdana"/>
        </w:rPr>
        <w:t>afgerond was</w:t>
      </w:r>
      <w:r w:rsidR="00492CFD">
        <w:rPr>
          <w:rFonts w:eastAsia="Verdana" w:cs="Verdana"/>
        </w:rPr>
        <w:t>, bevat g</w:t>
      </w:r>
      <w:r w:rsidR="00295FAE">
        <w:rPr>
          <w:rFonts w:eastAsia="Verdana" w:cs="Verdana"/>
        </w:rPr>
        <w:t xml:space="preserve">een </w:t>
      </w:r>
      <w:r w:rsidR="00860A58">
        <w:rPr>
          <w:rFonts w:eastAsia="Verdana" w:cs="Verdana"/>
        </w:rPr>
        <w:t xml:space="preserve">advies voor de </w:t>
      </w:r>
      <w:r w:rsidR="00B2473E">
        <w:rPr>
          <w:rFonts w:eastAsia="Verdana" w:cs="Verdana"/>
        </w:rPr>
        <w:t xml:space="preserve">specifieke </w:t>
      </w:r>
      <w:r w:rsidR="00860A58">
        <w:rPr>
          <w:rFonts w:eastAsia="Verdana" w:cs="Verdana"/>
        </w:rPr>
        <w:t xml:space="preserve">categorie waar de motie om verzoekt. </w:t>
      </w:r>
    </w:p>
    <w:p w:rsidR="001E3AA9" w:rsidP="00D8779E" w:rsidRDefault="001E3AA9" w14:paraId="7925DC5F" w14:textId="77777777">
      <w:pPr>
        <w:rPr>
          <w:rFonts w:eastAsia="Verdana" w:cs="Verdana"/>
        </w:rPr>
      </w:pPr>
    </w:p>
    <w:p w:rsidR="001E4A80" w:rsidP="00D8779E" w:rsidRDefault="00823835" w14:paraId="7D337B7D" w14:textId="49FC6177">
      <w:pPr>
        <w:rPr>
          <w:rFonts w:eastAsia="Verdana" w:cs="Verdana"/>
        </w:rPr>
      </w:pPr>
      <w:r>
        <w:rPr>
          <w:rFonts w:eastAsia="Verdana" w:cs="Verdana"/>
        </w:rPr>
        <w:t xml:space="preserve">Het kabinet geeft als volgt uitvoering aan de </w:t>
      </w:r>
      <w:r w:rsidR="00F55194">
        <w:rPr>
          <w:rFonts w:eastAsia="Verdana" w:cs="Verdana"/>
        </w:rPr>
        <w:t>motie. D</w:t>
      </w:r>
      <w:r w:rsidR="00812B98">
        <w:rPr>
          <w:rFonts w:eastAsia="Verdana" w:cs="Verdana"/>
        </w:rPr>
        <w:t>e SDE++</w:t>
      </w:r>
      <w:r w:rsidR="00DF3CB7">
        <w:rPr>
          <w:rFonts w:eastAsia="Verdana" w:cs="Verdana"/>
        </w:rPr>
        <w:t xml:space="preserve"> </w:t>
      </w:r>
      <w:r w:rsidR="00F55194">
        <w:rPr>
          <w:rFonts w:eastAsia="Verdana" w:cs="Verdana"/>
        </w:rPr>
        <w:t>stimuleert</w:t>
      </w:r>
      <w:r w:rsidR="00B2473E">
        <w:rPr>
          <w:rFonts w:eastAsia="Verdana" w:cs="Verdana"/>
        </w:rPr>
        <w:t xml:space="preserve"> in toenemende mate </w:t>
      </w:r>
      <w:r w:rsidR="00036211">
        <w:rPr>
          <w:rFonts w:eastAsia="Verdana" w:cs="Verdana"/>
        </w:rPr>
        <w:t xml:space="preserve">de flexibilisering van de industriële stroomvraag. </w:t>
      </w:r>
      <w:r w:rsidRPr="73FDFB18" w:rsidR="6668BB61">
        <w:rPr>
          <w:rFonts w:eastAsia="Verdana" w:cs="Verdana"/>
        </w:rPr>
        <w:t xml:space="preserve">Het gaat hierbij bijvoorbeeld om </w:t>
      </w:r>
      <w:r w:rsidR="002F28A0">
        <w:rPr>
          <w:rFonts w:eastAsia="Verdana" w:cs="Verdana"/>
        </w:rPr>
        <w:t xml:space="preserve">grootschalige </w:t>
      </w:r>
      <w:r w:rsidRPr="73FDFB18" w:rsidR="6668BB61">
        <w:rPr>
          <w:rFonts w:eastAsia="Verdana" w:cs="Verdana"/>
        </w:rPr>
        <w:t>elektrische boilers en de uitgestelde levering van warmte</w:t>
      </w:r>
      <w:r w:rsidR="002F28A0">
        <w:rPr>
          <w:rFonts w:eastAsia="Verdana" w:cs="Verdana"/>
        </w:rPr>
        <w:t xml:space="preserve"> aan industriële productieprocessen</w:t>
      </w:r>
      <w:r w:rsidRPr="73FDFB18" w:rsidR="6668BB61">
        <w:rPr>
          <w:rFonts w:eastAsia="Verdana" w:cs="Verdana"/>
        </w:rPr>
        <w:t xml:space="preserve"> door middel van hoge-temperatuur-opslag. Deze technieken stel</w:t>
      </w:r>
      <w:r w:rsidR="00F703B3">
        <w:rPr>
          <w:rFonts w:eastAsia="Verdana" w:cs="Verdana"/>
        </w:rPr>
        <w:t>t het kabinet</w:t>
      </w:r>
      <w:r w:rsidRPr="73FDFB18" w:rsidR="6668BB61">
        <w:rPr>
          <w:rFonts w:eastAsia="Verdana" w:cs="Verdana"/>
        </w:rPr>
        <w:t xml:space="preserve"> in 2025 opnieuw open.</w:t>
      </w:r>
      <w:r w:rsidR="001A482B">
        <w:rPr>
          <w:rFonts w:eastAsia="Verdana" w:cs="Verdana"/>
        </w:rPr>
        <w:t xml:space="preserve"> </w:t>
      </w:r>
      <w:r w:rsidR="00922FFD">
        <w:rPr>
          <w:rFonts w:eastAsia="Verdana" w:cs="Verdana"/>
        </w:rPr>
        <w:t xml:space="preserve">Ik roep marktpartijen op om voor het PBL-advies voor de 2026-ronde </w:t>
      </w:r>
      <w:r w:rsidR="009C712A">
        <w:rPr>
          <w:rFonts w:eastAsia="Verdana" w:cs="Verdana"/>
        </w:rPr>
        <w:t xml:space="preserve">met concrete voorstellen te komen </w:t>
      </w:r>
      <w:r w:rsidR="00922FFD">
        <w:rPr>
          <w:rFonts w:eastAsia="Verdana" w:cs="Verdana"/>
        </w:rPr>
        <w:t>voor technieken die de industriële stroomvraag flexibiliseren. Als</w:t>
      </w:r>
      <w:r w:rsidR="008A1BDF">
        <w:rPr>
          <w:rFonts w:eastAsia="Verdana" w:cs="Verdana"/>
        </w:rPr>
        <w:t xml:space="preserve"> het PBL vervolgens positief adviseert</w:t>
      </w:r>
      <w:r w:rsidR="00922FFD">
        <w:rPr>
          <w:rFonts w:eastAsia="Verdana" w:cs="Verdana"/>
        </w:rPr>
        <w:t xml:space="preserve"> over deze voorstellen</w:t>
      </w:r>
      <w:r w:rsidR="008A1BDF">
        <w:rPr>
          <w:rFonts w:eastAsia="Verdana" w:cs="Verdana"/>
        </w:rPr>
        <w:t xml:space="preserve">, dan zouden die </w:t>
      </w:r>
      <w:r w:rsidR="00345F33">
        <w:rPr>
          <w:rFonts w:eastAsia="Verdana" w:cs="Verdana"/>
        </w:rPr>
        <w:t>(</w:t>
      </w:r>
      <w:r w:rsidR="00922FFD">
        <w:rPr>
          <w:rFonts w:eastAsia="Verdana" w:cs="Verdana"/>
        </w:rPr>
        <w:t>op zijn vroegst</w:t>
      </w:r>
      <w:r w:rsidR="00345F33">
        <w:rPr>
          <w:rFonts w:eastAsia="Verdana" w:cs="Verdana"/>
        </w:rPr>
        <w:t>)</w:t>
      </w:r>
      <w:r w:rsidR="00922FFD">
        <w:rPr>
          <w:rFonts w:eastAsia="Verdana" w:cs="Verdana"/>
        </w:rPr>
        <w:t xml:space="preserve"> in 2026</w:t>
      </w:r>
      <w:r w:rsidR="008A1BDF">
        <w:rPr>
          <w:rFonts w:eastAsia="Verdana" w:cs="Verdana"/>
        </w:rPr>
        <w:t xml:space="preserve"> aan de SDE++ toegevoegd kunnen worden.</w:t>
      </w:r>
      <w:r w:rsidRPr="73FDFB18" w:rsidR="6668BB61">
        <w:rPr>
          <w:rFonts w:eastAsia="Verdana" w:cs="Verdana"/>
        </w:rPr>
        <w:t xml:space="preserve"> </w:t>
      </w:r>
      <w:r w:rsidR="008A1BDF">
        <w:rPr>
          <w:rFonts w:eastAsia="Verdana" w:cs="Verdana"/>
        </w:rPr>
        <w:t>Ook</w:t>
      </w:r>
      <w:r w:rsidRPr="73FDFB18" w:rsidR="00A42FE4">
        <w:rPr>
          <w:rFonts w:eastAsia="Verdana" w:cs="Verdana"/>
        </w:rPr>
        <w:t xml:space="preserve"> </w:t>
      </w:r>
      <w:r w:rsidRPr="73FDFB18" w:rsidR="6668BB61">
        <w:rPr>
          <w:rFonts w:eastAsia="Verdana" w:cs="Verdana"/>
        </w:rPr>
        <w:t xml:space="preserve">is er een nieuwe subsidie </w:t>
      </w:r>
      <w:r w:rsidR="0050566C">
        <w:rPr>
          <w:rFonts w:eastAsia="Verdana" w:cs="Verdana"/>
        </w:rPr>
        <w:t>van</w:t>
      </w:r>
      <w:r w:rsidR="003B14EB">
        <w:rPr>
          <w:rFonts w:eastAsia="Verdana" w:cs="Verdana"/>
        </w:rPr>
        <w:t xml:space="preserve"> ca. </w:t>
      </w:r>
      <w:r w:rsidR="00873C2A">
        <w:rPr>
          <w:rFonts w:eastAsia="Verdana" w:cs="Verdana"/>
        </w:rPr>
        <w:t xml:space="preserve">€ </w:t>
      </w:r>
      <w:r w:rsidR="003B14EB">
        <w:rPr>
          <w:rFonts w:eastAsia="Verdana" w:cs="Verdana"/>
        </w:rPr>
        <w:t>60</w:t>
      </w:r>
      <w:r w:rsidR="00873C2A">
        <w:rPr>
          <w:rFonts w:eastAsia="Verdana" w:cs="Verdana"/>
        </w:rPr>
        <w:t xml:space="preserve"> m</w:t>
      </w:r>
      <w:r w:rsidR="00D8779E">
        <w:rPr>
          <w:rFonts w:eastAsia="Verdana" w:cs="Verdana"/>
        </w:rPr>
        <w:t>iljoen</w:t>
      </w:r>
      <w:r w:rsidR="00873C2A">
        <w:rPr>
          <w:rFonts w:eastAsia="Verdana" w:cs="Verdana"/>
        </w:rPr>
        <w:t xml:space="preserve"> </w:t>
      </w:r>
      <w:r w:rsidRPr="73FDFB18" w:rsidR="6668BB61">
        <w:rPr>
          <w:rFonts w:eastAsia="Verdana" w:cs="Verdana"/>
        </w:rPr>
        <w:t>in ontwikkeling die flexibel elektriciteitsverbruik bij grootverbruikers ondersteunt en stimuleert: de flex-e-regeling. Het doel van de regeling is om door middel van flexibel elektriciteitsverbruik de effecten van netcongestie te verminderen bij grootverbruikers. Deze regeling biedt subsidie voor flexibiliteitsscans, haalbaarheidsstudies voor flexibiliteitsmaatregelen en voor investeringskosten voor de realisatie van flexibiliteit. Deze regeling wordt naar verwachting geopend in het tweede kwartaal van 2025 en zal lopen tot eind 2026.</w:t>
      </w:r>
      <w:r w:rsidRPr="73FDFB18" w:rsidR="355C49E7">
        <w:rPr>
          <w:rFonts w:eastAsia="Verdana" w:cs="Verdana"/>
        </w:rPr>
        <w:t xml:space="preserve"> </w:t>
      </w:r>
    </w:p>
    <w:bookmarkEnd w:id="0"/>
    <w:p w:rsidR="001E4A80" w:rsidP="00D8779E" w:rsidRDefault="001E4A80" w14:paraId="4C280C06" w14:textId="77777777">
      <w:pPr>
        <w:rPr>
          <w:b/>
          <w:bCs/>
          <w:highlight w:val="yellow"/>
        </w:rPr>
      </w:pPr>
    </w:p>
    <w:p w:rsidR="6FAB1E25" w:rsidP="00D8779E" w:rsidRDefault="001E4A80" w14:paraId="274FA98F" w14:textId="53162F08">
      <w:pPr>
        <w:rPr>
          <w:highlight w:val="yellow"/>
        </w:rPr>
      </w:pPr>
      <w:r w:rsidRPr="00FA141F">
        <w:rPr>
          <w:i/>
          <w:iCs/>
        </w:rPr>
        <w:t>Toezegging energiecoöperaties in de SDE++</w:t>
      </w:r>
    </w:p>
    <w:p w:rsidR="441F6E3C" w:rsidP="00D8779E" w:rsidRDefault="441F6E3C" w14:paraId="6F20BF63" w14:textId="33C07CFE">
      <w:r w:rsidRPr="6952EB7C">
        <w:rPr>
          <w:rFonts w:eastAsia="Verdana" w:cs="Verdana"/>
          <w:b/>
          <w:bCs/>
          <w:szCs w:val="18"/>
        </w:rPr>
        <w:t>Toezegging positie energiecoöperaties SDE++</w:t>
      </w:r>
      <w:r w:rsidR="00D8779E">
        <w:rPr>
          <w:rFonts w:eastAsia="Verdana" w:cs="Verdana"/>
          <w:color w:val="000000" w:themeColor="text1"/>
          <w:szCs w:val="18"/>
        </w:rPr>
        <w:t xml:space="preserve"> </w:t>
      </w:r>
    </w:p>
    <w:p w:rsidR="441F6E3C" w:rsidP="00D8779E" w:rsidRDefault="441F6E3C" w14:paraId="0B86A273" w14:textId="3D68FD3C">
      <w:r w:rsidRPr="73FDFB18">
        <w:rPr>
          <w:rFonts w:eastAsia="Verdana" w:cs="Verdana"/>
        </w:rPr>
        <w:t>In het Commissiedebat over Klimaat en Energie van 27 september 2023 is toegezegd dat zal worden onderzocht hoe de positie en mogelijkheden van energiecoöperaties in de SDE++ kunnen worden verbeterd</w:t>
      </w:r>
      <w:r w:rsidR="000306D0">
        <w:rPr>
          <w:rStyle w:val="Voetnootmarkering"/>
          <w:rFonts w:eastAsia="Verdana" w:cs="Verdana"/>
        </w:rPr>
        <w:footnoteReference w:id="8"/>
      </w:r>
      <w:r w:rsidRPr="73FDFB18">
        <w:rPr>
          <w:rFonts w:eastAsia="Verdana" w:cs="Verdana"/>
        </w:rPr>
        <w:t xml:space="preserve">. Naar aanleiding hiervan zijn de positie en mogelijkheden van energiecoöperaties in de SDE++ onderzocht. Hierbij </w:t>
      </w:r>
      <w:r w:rsidR="00F703B3">
        <w:rPr>
          <w:rFonts w:eastAsia="Verdana" w:cs="Verdana"/>
        </w:rPr>
        <w:t>is</w:t>
      </w:r>
      <w:r w:rsidRPr="73FDFB18">
        <w:rPr>
          <w:rFonts w:eastAsia="Verdana" w:cs="Verdana"/>
        </w:rPr>
        <w:t xml:space="preserve"> gekeken naar de resultaten van de laatste vijf openstellingsrondes. </w:t>
      </w:r>
    </w:p>
    <w:p w:rsidR="441F6E3C" w:rsidP="00D8779E" w:rsidRDefault="441F6E3C" w14:paraId="5DCBA5D6" w14:textId="567CD3D7">
      <w:r w:rsidRPr="21B1E0C4">
        <w:rPr>
          <w:rFonts w:ascii="Aptos" w:hAnsi="Aptos" w:eastAsia="Aptos" w:cs="Aptos"/>
          <w:i/>
          <w:iCs/>
          <w:color w:val="0E2841"/>
          <w:szCs w:val="18"/>
        </w:rPr>
        <w:t>Tabel 1: aanvragen door coöperaties in de SDE++</w:t>
      </w:r>
    </w:p>
    <w:tbl>
      <w:tblPr>
        <w:tblStyle w:val="Lijsttabel3-Accent1"/>
        <w:tblW w:w="0" w:type="auto"/>
        <w:tblLayout w:type="fixed"/>
        <w:tblLook w:val="04A0" w:firstRow="1" w:lastRow="0" w:firstColumn="1" w:lastColumn="0" w:noHBand="0" w:noVBand="1"/>
      </w:tblPr>
      <w:tblGrid>
        <w:gridCol w:w="2267"/>
        <w:gridCol w:w="1980"/>
        <w:gridCol w:w="1965"/>
      </w:tblGrid>
      <w:tr w:rsidR="21B1E0C4" w:rsidTr="21B1E0C4" w14:paraId="6D5FB72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267" w:type="dxa"/>
            <w:tcBorders>
              <w:top w:val="single" w:color="156082" w:sz="8" w:space="0"/>
              <w:left w:val="single" w:color="156082" w:sz="8" w:space="0"/>
            </w:tcBorders>
            <w:shd w:val="clear" w:color="auto" w:fill="156082"/>
            <w:tcMar>
              <w:left w:w="108" w:type="dxa"/>
              <w:right w:w="108" w:type="dxa"/>
            </w:tcMar>
          </w:tcPr>
          <w:p w:rsidR="21B1E0C4" w:rsidP="00D8779E" w:rsidRDefault="21B1E0C4" w14:paraId="328CA341" w14:textId="7FAFC744">
            <w:r w:rsidRPr="21B1E0C4">
              <w:rPr>
                <w:rFonts w:eastAsia="Verdana" w:cs="Verdana"/>
                <w:szCs w:val="18"/>
              </w:rPr>
              <w:t>Openstellingsronde</w:t>
            </w:r>
          </w:p>
        </w:tc>
        <w:tc>
          <w:tcPr>
            <w:tcW w:w="1980" w:type="dxa"/>
            <w:tcBorders>
              <w:top w:val="single" w:color="156082" w:sz="8" w:space="0"/>
              <w:left w:val="nil"/>
              <w:bottom w:val="nil"/>
              <w:right w:val="nil"/>
            </w:tcBorders>
            <w:shd w:val="clear" w:color="auto" w:fill="156082"/>
            <w:tcMar>
              <w:left w:w="108" w:type="dxa"/>
              <w:right w:w="108" w:type="dxa"/>
            </w:tcMar>
          </w:tcPr>
          <w:p w:rsidR="21B1E0C4" w:rsidP="00D8779E" w:rsidRDefault="21B1E0C4" w14:paraId="27025BB2" w14:textId="773C8BB6">
            <w:pPr>
              <w:cnfStyle w:val="100000000000" w:firstRow="1" w:lastRow="0" w:firstColumn="0" w:lastColumn="0" w:oddVBand="0" w:evenVBand="0" w:oddHBand="0" w:evenHBand="0" w:firstRowFirstColumn="0" w:firstRowLastColumn="0" w:lastRowFirstColumn="0" w:lastRowLastColumn="0"/>
            </w:pPr>
            <w:r w:rsidRPr="21B1E0C4">
              <w:rPr>
                <w:rFonts w:eastAsia="Verdana" w:cs="Verdana"/>
                <w:szCs w:val="18"/>
              </w:rPr>
              <w:t>Aantal projecten</w:t>
            </w:r>
          </w:p>
        </w:tc>
        <w:tc>
          <w:tcPr>
            <w:tcW w:w="1965" w:type="dxa"/>
            <w:tcBorders>
              <w:top w:val="single" w:color="156082" w:sz="8" w:space="0"/>
              <w:left w:val="nil"/>
              <w:bottom w:val="nil"/>
              <w:right w:val="single" w:color="156082" w:sz="8" w:space="0"/>
            </w:tcBorders>
            <w:shd w:val="clear" w:color="auto" w:fill="156082"/>
            <w:tcMar>
              <w:left w:w="108" w:type="dxa"/>
              <w:right w:w="108" w:type="dxa"/>
            </w:tcMar>
          </w:tcPr>
          <w:p w:rsidR="21B1E0C4" w:rsidP="00D8779E" w:rsidRDefault="21B1E0C4" w14:paraId="61B7A51F" w14:textId="5E350F12">
            <w:pPr>
              <w:cnfStyle w:val="100000000000" w:firstRow="1" w:lastRow="0" w:firstColumn="0" w:lastColumn="0" w:oddVBand="0" w:evenVBand="0" w:oddHBand="0" w:evenHBand="0" w:firstRowFirstColumn="0" w:firstRowLastColumn="0" w:lastRowFirstColumn="0" w:lastRowLastColumn="0"/>
            </w:pPr>
            <w:r w:rsidRPr="21B1E0C4">
              <w:rPr>
                <w:rFonts w:eastAsia="Verdana" w:cs="Verdana"/>
                <w:szCs w:val="18"/>
              </w:rPr>
              <w:t>Vermogen (MW)</w:t>
            </w:r>
          </w:p>
        </w:tc>
      </w:tr>
      <w:tr w:rsidR="21B1E0C4" w:rsidTr="21B1E0C4" w14:paraId="311DBD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21B1E0C4" w:rsidP="00D8779E" w:rsidRDefault="21B1E0C4" w14:paraId="0A4F459A" w14:textId="4A53CB3E">
            <w:r w:rsidRPr="21B1E0C4">
              <w:rPr>
                <w:rFonts w:eastAsia="Verdana" w:cs="Verdana"/>
                <w:color w:val="000000" w:themeColor="text1"/>
                <w:szCs w:val="18"/>
              </w:rPr>
              <w:t>2020</w:t>
            </w:r>
          </w:p>
        </w:tc>
        <w:tc>
          <w:tcPr>
            <w:tcW w:w="1980" w:type="dxa"/>
            <w:tcBorders>
              <w:top w:val="single" w:color="156082" w:sz="8" w:space="0"/>
              <w:left w:val="nil"/>
              <w:bottom w:val="single" w:color="156082" w:sz="8" w:space="0"/>
              <w:right w:val="nil"/>
            </w:tcBorders>
            <w:tcMar>
              <w:left w:w="108" w:type="dxa"/>
              <w:right w:w="108" w:type="dxa"/>
            </w:tcMar>
          </w:tcPr>
          <w:p w:rsidR="21B1E0C4" w:rsidP="00D8779E" w:rsidRDefault="21B1E0C4" w14:paraId="27419D31" w14:textId="075F47BB">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31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21B1E0C4" w:rsidP="00D8779E" w:rsidRDefault="21B1E0C4" w14:paraId="1BCB0D1A" w14:textId="1E2AE4C8">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35,1</w:t>
            </w:r>
          </w:p>
        </w:tc>
      </w:tr>
      <w:tr w:rsidR="21B1E0C4" w:rsidTr="21B1E0C4" w14:paraId="74BEE152" w14:textId="77777777">
        <w:trPr>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nil"/>
            </w:tcBorders>
            <w:tcMar>
              <w:left w:w="108" w:type="dxa"/>
              <w:right w:w="108" w:type="dxa"/>
            </w:tcMar>
          </w:tcPr>
          <w:p w:rsidR="21B1E0C4" w:rsidP="00D8779E" w:rsidRDefault="21B1E0C4" w14:paraId="0D7D0185" w14:textId="6391FDD5">
            <w:r w:rsidRPr="21B1E0C4">
              <w:rPr>
                <w:rFonts w:eastAsia="Verdana" w:cs="Verdana"/>
                <w:color w:val="000000" w:themeColor="text1"/>
                <w:szCs w:val="18"/>
              </w:rPr>
              <w:t>2021</w:t>
            </w:r>
          </w:p>
        </w:tc>
        <w:tc>
          <w:tcPr>
            <w:tcW w:w="1980" w:type="dxa"/>
            <w:tcBorders>
              <w:top w:val="single" w:color="156082" w:sz="8" w:space="0"/>
              <w:left w:val="nil"/>
              <w:bottom w:val="nil"/>
              <w:right w:val="nil"/>
            </w:tcBorders>
            <w:tcMar>
              <w:left w:w="108" w:type="dxa"/>
              <w:right w:w="108" w:type="dxa"/>
            </w:tcMar>
          </w:tcPr>
          <w:p w:rsidR="21B1E0C4" w:rsidP="00D8779E" w:rsidRDefault="21B1E0C4" w14:paraId="6CDBCC87" w14:textId="4A42F6D0">
            <w:pPr>
              <w:cnfStyle w:val="000000000000" w:firstRow="0" w:lastRow="0" w:firstColumn="0" w:lastColumn="0" w:oddVBand="0" w:evenVBand="0" w:oddHBand="0" w:evenHBand="0" w:firstRowFirstColumn="0" w:firstRowLastColumn="0" w:lastRowFirstColumn="0" w:lastRowLastColumn="0"/>
            </w:pPr>
            <w:r w:rsidRPr="21B1E0C4">
              <w:rPr>
                <w:rFonts w:eastAsia="Verdana" w:cs="Verdana"/>
                <w:szCs w:val="18"/>
              </w:rPr>
              <w:t>33</w:t>
            </w:r>
          </w:p>
        </w:tc>
        <w:tc>
          <w:tcPr>
            <w:tcW w:w="1965" w:type="dxa"/>
            <w:tcBorders>
              <w:top w:val="single" w:color="156082" w:sz="8" w:space="0"/>
              <w:left w:val="nil"/>
              <w:bottom w:val="nil"/>
              <w:right w:val="single" w:color="156082" w:sz="8" w:space="0"/>
            </w:tcBorders>
            <w:tcMar>
              <w:left w:w="108" w:type="dxa"/>
              <w:right w:w="108" w:type="dxa"/>
            </w:tcMar>
          </w:tcPr>
          <w:p w:rsidR="21B1E0C4" w:rsidP="00D8779E" w:rsidRDefault="21B1E0C4" w14:paraId="211390FF" w14:textId="7AFEB89F">
            <w:pPr>
              <w:cnfStyle w:val="000000000000" w:firstRow="0" w:lastRow="0" w:firstColumn="0" w:lastColumn="0" w:oddVBand="0" w:evenVBand="0" w:oddHBand="0" w:evenHBand="0" w:firstRowFirstColumn="0" w:firstRowLastColumn="0" w:lastRowFirstColumn="0" w:lastRowLastColumn="0"/>
            </w:pPr>
            <w:r w:rsidRPr="21B1E0C4">
              <w:rPr>
                <w:rFonts w:eastAsia="Verdana" w:cs="Verdana"/>
                <w:szCs w:val="18"/>
              </w:rPr>
              <w:t>19,1</w:t>
            </w:r>
          </w:p>
        </w:tc>
      </w:tr>
      <w:tr w:rsidR="21B1E0C4" w:rsidTr="21B1E0C4" w14:paraId="2641C1C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21B1E0C4" w:rsidP="00D8779E" w:rsidRDefault="21B1E0C4" w14:paraId="10CA39F1" w14:textId="1B132E05">
            <w:r w:rsidRPr="21B1E0C4">
              <w:rPr>
                <w:rFonts w:eastAsia="Verdana" w:cs="Verdana"/>
                <w:color w:val="000000" w:themeColor="text1"/>
                <w:szCs w:val="18"/>
              </w:rPr>
              <w:t>2022</w:t>
            </w:r>
          </w:p>
        </w:tc>
        <w:tc>
          <w:tcPr>
            <w:tcW w:w="1980" w:type="dxa"/>
            <w:tcBorders>
              <w:top w:val="single" w:color="156082" w:sz="8" w:space="0"/>
              <w:left w:val="nil"/>
              <w:bottom w:val="single" w:color="156082" w:sz="8" w:space="0"/>
              <w:right w:val="nil"/>
            </w:tcBorders>
            <w:tcMar>
              <w:left w:w="108" w:type="dxa"/>
              <w:right w:w="108" w:type="dxa"/>
            </w:tcMar>
          </w:tcPr>
          <w:p w:rsidR="21B1E0C4" w:rsidP="00D8779E" w:rsidRDefault="21B1E0C4" w14:paraId="43F799EB" w14:textId="0C87CD0E">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11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21B1E0C4" w:rsidP="00D8779E" w:rsidRDefault="21B1E0C4" w14:paraId="2091D8C9" w14:textId="44D1866D">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19,2</w:t>
            </w:r>
          </w:p>
        </w:tc>
      </w:tr>
      <w:tr w:rsidR="21B1E0C4" w:rsidTr="21B1E0C4" w14:paraId="3EA333D9" w14:textId="77777777">
        <w:trPr>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nil"/>
            </w:tcBorders>
            <w:tcMar>
              <w:left w:w="108" w:type="dxa"/>
              <w:right w:w="108" w:type="dxa"/>
            </w:tcMar>
          </w:tcPr>
          <w:p w:rsidR="21B1E0C4" w:rsidP="00D8779E" w:rsidRDefault="21B1E0C4" w14:paraId="10387FE4" w14:textId="5D281758">
            <w:r w:rsidRPr="21B1E0C4">
              <w:rPr>
                <w:rFonts w:eastAsia="Verdana" w:cs="Verdana"/>
                <w:color w:val="000000" w:themeColor="text1"/>
                <w:szCs w:val="18"/>
              </w:rPr>
              <w:t>2023</w:t>
            </w:r>
          </w:p>
        </w:tc>
        <w:tc>
          <w:tcPr>
            <w:tcW w:w="1980" w:type="dxa"/>
            <w:tcBorders>
              <w:top w:val="single" w:color="156082" w:sz="8" w:space="0"/>
              <w:left w:val="nil"/>
              <w:bottom w:val="nil"/>
              <w:right w:val="nil"/>
            </w:tcBorders>
            <w:tcMar>
              <w:left w:w="108" w:type="dxa"/>
              <w:right w:w="108" w:type="dxa"/>
            </w:tcMar>
          </w:tcPr>
          <w:p w:rsidR="21B1E0C4" w:rsidP="00D8779E" w:rsidRDefault="21B1E0C4" w14:paraId="085160D1" w14:textId="0C392690">
            <w:pPr>
              <w:cnfStyle w:val="000000000000" w:firstRow="0" w:lastRow="0" w:firstColumn="0" w:lastColumn="0" w:oddVBand="0" w:evenVBand="0" w:oddHBand="0" w:evenHBand="0" w:firstRowFirstColumn="0" w:firstRowLastColumn="0" w:lastRowFirstColumn="0" w:lastRowLastColumn="0"/>
            </w:pPr>
            <w:r w:rsidRPr="21B1E0C4">
              <w:rPr>
                <w:rFonts w:eastAsia="Verdana" w:cs="Verdana"/>
                <w:szCs w:val="18"/>
              </w:rPr>
              <w:t>17</w:t>
            </w:r>
          </w:p>
        </w:tc>
        <w:tc>
          <w:tcPr>
            <w:tcW w:w="1965" w:type="dxa"/>
            <w:tcBorders>
              <w:top w:val="single" w:color="156082" w:sz="8" w:space="0"/>
              <w:left w:val="nil"/>
              <w:bottom w:val="nil"/>
              <w:right w:val="single" w:color="156082" w:sz="8" w:space="0"/>
            </w:tcBorders>
            <w:tcMar>
              <w:left w:w="108" w:type="dxa"/>
              <w:right w:w="108" w:type="dxa"/>
            </w:tcMar>
          </w:tcPr>
          <w:p w:rsidR="21B1E0C4" w:rsidP="00D8779E" w:rsidRDefault="21B1E0C4" w14:paraId="13EA2D79" w14:textId="7218C2EC">
            <w:pPr>
              <w:cnfStyle w:val="000000000000" w:firstRow="0" w:lastRow="0" w:firstColumn="0" w:lastColumn="0" w:oddVBand="0" w:evenVBand="0" w:oddHBand="0" w:evenHBand="0" w:firstRowFirstColumn="0" w:firstRowLastColumn="0" w:lastRowFirstColumn="0" w:lastRowLastColumn="0"/>
            </w:pPr>
            <w:r w:rsidRPr="21B1E0C4">
              <w:rPr>
                <w:rFonts w:eastAsia="Verdana" w:cs="Verdana"/>
                <w:szCs w:val="18"/>
              </w:rPr>
              <w:t>39</w:t>
            </w:r>
          </w:p>
        </w:tc>
      </w:tr>
      <w:tr w:rsidR="21B1E0C4" w:rsidTr="21B1E0C4" w14:paraId="1BC2050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7" w:type="dxa"/>
            <w:tcBorders>
              <w:top w:val="single" w:color="156082" w:sz="8" w:space="0"/>
              <w:left w:val="single" w:color="156082" w:sz="8" w:space="0"/>
              <w:bottom w:val="single" w:color="156082" w:sz="8" w:space="0"/>
            </w:tcBorders>
            <w:tcMar>
              <w:left w:w="108" w:type="dxa"/>
              <w:right w:w="108" w:type="dxa"/>
            </w:tcMar>
          </w:tcPr>
          <w:p w:rsidR="21B1E0C4" w:rsidP="00D8779E" w:rsidRDefault="21B1E0C4" w14:paraId="26A0C195" w14:textId="30B3BB65">
            <w:r w:rsidRPr="21B1E0C4">
              <w:rPr>
                <w:rFonts w:eastAsia="Verdana" w:cs="Verdana"/>
                <w:color w:val="000000" w:themeColor="text1"/>
                <w:szCs w:val="18"/>
              </w:rPr>
              <w:t>2024</w:t>
            </w:r>
          </w:p>
        </w:tc>
        <w:tc>
          <w:tcPr>
            <w:tcW w:w="1980" w:type="dxa"/>
            <w:tcBorders>
              <w:top w:val="single" w:color="156082" w:sz="8" w:space="0"/>
              <w:left w:val="nil"/>
              <w:bottom w:val="single" w:color="156082" w:sz="8" w:space="0"/>
              <w:right w:val="nil"/>
            </w:tcBorders>
            <w:tcMar>
              <w:left w:w="108" w:type="dxa"/>
              <w:right w:w="108" w:type="dxa"/>
            </w:tcMar>
          </w:tcPr>
          <w:p w:rsidR="21B1E0C4" w:rsidP="00D8779E" w:rsidRDefault="21B1E0C4" w14:paraId="76DAB088" w14:textId="030E9A07">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1</w:t>
            </w:r>
          </w:p>
        </w:tc>
        <w:tc>
          <w:tcPr>
            <w:tcW w:w="1965" w:type="dxa"/>
            <w:tcBorders>
              <w:top w:val="single" w:color="156082" w:sz="8" w:space="0"/>
              <w:left w:val="nil"/>
              <w:bottom w:val="single" w:color="156082" w:sz="8" w:space="0"/>
              <w:right w:val="single" w:color="156082" w:sz="8" w:space="0"/>
            </w:tcBorders>
            <w:tcMar>
              <w:left w:w="108" w:type="dxa"/>
              <w:right w:w="108" w:type="dxa"/>
            </w:tcMar>
          </w:tcPr>
          <w:p w:rsidR="21B1E0C4" w:rsidP="00D8779E" w:rsidRDefault="21B1E0C4" w14:paraId="2A6EE85B" w14:textId="5B6B239A">
            <w:pPr>
              <w:cnfStyle w:val="000000100000" w:firstRow="0" w:lastRow="0" w:firstColumn="0" w:lastColumn="0" w:oddVBand="0" w:evenVBand="0" w:oddHBand="1" w:evenHBand="0" w:firstRowFirstColumn="0" w:firstRowLastColumn="0" w:lastRowFirstColumn="0" w:lastRowLastColumn="0"/>
            </w:pPr>
            <w:r w:rsidRPr="21B1E0C4">
              <w:rPr>
                <w:rFonts w:eastAsia="Verdana" w:cs="Verdana"/>
                <w:szCs w:val="18"/>
              </w:rPr>
              <w:t>1</w:t>
            </w:r>
          </w:p>
        </w:tc>
      </w:tr>
    </w:tbl>
    <w:p w:rsidR="0523C646" w:rsidP="00D8779E" w:rsidRDefault="0523C646" w14:paraId="4916E272" w14:textId="3808AA72">
      <w:r w:rsidRPr="21B1E0C4">
        <w:rPr>
          <w:rFonts w:eastAsia="Verdana" w:cs="Verdana"/>
          <w:szCs w:val="18"/>
        </w:rPr>
        <w:t xml:space="preserve"> </w:t>
      </w:r>
    </w:p>
    <w:p w:rsidR="0523C646" w:rsidP="00D8779E" w:rsidRDefault="0523C646" w14:paraId="6220F74B" w14:textId="7FC7AA74">
      <w:r w:rsidRPr="21B1E0C4">
        <w:rPr>
          <w:rFonts w:eastAsia="Verdana" w:cs="Verdana"/>
          <w:szCs w:val="18"/>
        </w:rPr>
        <w:t xml:space="preserve">Het aantal SDE++-aanvragen van energiecoöperaties in elke openstellingsronde van de SDE++ was beperkt. Gemiddeld gaat het om minder dan 1% van de totale aanvragen. Het aantal aanvragen door coöperaties was het grootst in 2020 en 2021 en daalde daarna, hoewel het opgeteld vermogen van de projecten in 2023 toenam ten opzichte van eerdere jaren. In 2024 was er slechts één aanvraag van een energiecoöperatie. Dit kan worden verklaard door een uitbreiding van vermogensgrenzen in de Subsidie Coöperatieve Energieopwekking (SCE). De daling kan daarnaast te maken hebben met de minder gunstige omstandigheden waarmee alle zon- en windprojecten in de SDE++ te maken hebben, zoals netcongestie en negatieve prijzen. </w:t>
      </w:r>
    </w:p>
    <w:p w:rsidR="0523C646" w:rsidP="00D8779E" w:rsidRDefault="0523C646" w14:paraId="1F699E64" w14:textId="6F0B32AF">
      <w:r w:rsidRPr="21B1E0C4">
        <w:rPr>
          <w:rFonts w:eastAsia="Verdana" w:cs="Verdana"/>
          <w:szCs w:val="18"/>
        </w:rPr>
        <w:t xml:space="preserve">RVO heeft op dit moment 30 coöperatieve SDE++-projecten in beheer, met een totaal vermogen van 45,8 MW. Dit betekent dat meer dan de twee derde van de projecten uit Tabel 1 inmiddels is ingetrokken. </w:t>
      </w:r>
      <w:r w:rsidRPr="73FDFB18">
        <w:rPr>
          <w:rFonts w:eastAsia="Verdana" w:cs="Verdana"/>
        </w:rPr>
        <w:t xml:space="preserve">Hoewel het aantal coöperatieve projecten in de SDE++ </w:t>
      </w:r>
      <w:r w:rsidR="003C414C">
        <w:rPr>
          <w:rFonts w:eastAsia="Verdana" w:cs="Verdana"/>
        </w:rPr>
        <w:t>relatief</w:t>
      </w:r>
      <w:r w:rsidRPr="73FDFB18">
        <w:rPr>
          <w:rFonts w:eastAsia="Verdana" w:cs="Verdana"/>
        </w:rPr>
        <w:t xml:space="preserve"> laag is, ziet RVO </w:t>
      </w:r>
      <w:r w:rsidR="00025432">
        <w:rPr>
          <w:rFonts w:eastAsia="Verdana" w:cs="Verdana"/>
        </w:rPr>
        <w:t xml:space="preserve">wel </w:t>
      </w:r>
      <w:r w:rsidRPr="73FDFB18">
        <w:rPr>
          <w:rFonts w:eastAsia="Verdana" w:cs="Verdana"/>
        </w:rPr>
        <w:t xml:space="preserve">dat er commerciële projecten worden ontwikkeld met 50% lokaal eigendom door energiecoöperaties. </w:t>
      </w:r>
    </w:p>
    <w:p w:rsidR="0523C646" w:rsidP="00D8779E" w:rsidRDefault="0523C646" w14:paraId="28DB2544" w14:textId="2AC8DB0F">
      <w:r w:rsidRPr="73FDFB18">
        <w:rPr>
          <w:rFonts w:eastAsia="Verdana" w:cs="Verdana"/>
        </w:rPr>
        <w:t xml:space="preserve">De SDE++ is beschikbaar voor verschillende typen aanvragers en maakt geen onderscheid tussen commerciële partijen en energiecoöperaties. Dit betekent ook dat het binnen de SDE++ </w:t>
      </w:r>
      <w:r w:rsidRPr="73FDFB18" w:rsidR="0F43091D">
        <w:rPr>
          <w:rFonts w:eastAsia="Verdana" w:cs="Verdana"/>
        </w:rPr>
        <w:t>minder</w:t>
      </w:r>
      <w:r w:rsidRPr="73FDFB18">
        <w:rPr>
          <w:rFonts w:eastAsia="Verdana" w:cs="Verdana"/>
        </w:rPr>
        <w:t xml:space="preserve"> goed mogelijk is om rekening te houden met </w:t>
      </w:r>
      <w:r w:rsidRPr="73FDFB18" w:rsidR="1BF4F4A3">
        <w:rPr>
          <w:rFonts w:eastAsia="Verdana" w:cs="Verdana"/>
        </w:rPr>
        <w:t>de specifieke wensen van</w:t>
      </w:r>
      <w:r w:rsidRPr="73FDFB18">
        <w:rPr>
          <w:rFonts w:eastAsia="Verdana" w:cs="Verdana"/>
        </w:rPr>
        <w:t xml:space="preserve"> energiecoöperaties. Speciaal voor coöperaties (en Verenigingen van Eigenaren) is er </w:t>
      </w:r>
      <w:r w:rsidRPr="73FDFB18" w:rsidR="7340AD03">
        <w:rPr>
          <w:rFonts w:eastAsia="Verdana" w:cs="Verdana"/>
        </w:rPr>
        <w:t xml:space="preserve">daarom </w:t>
      </w:r>
      <w:r w:rsidRPr="73FDFB18">
        <w:rPr>
          <w:rFonts w:eastAsia="Verdana" w:cs="Verdana"/>
        </w:rPr>
        <w:t>de SCE. Deze subsidieregeling houdt rekening met de specifieke omstandigheden en kosten waar energiecoöperaties mee te maken hebben. Dit uit zich in hogere basisbedragen ten opzichte van die uit de SDE++.</w:t>
      </w:r>
    </w:p>
    <w:p w:rsidR="0523C646" w:rsidP="00D8779E" w:rsidRDefault="0523C646" w14:paraId="66FDA3B6" w14:textId="7688A091">
      <w:r w:rsidRPr="016F20D0">
        <w:rPr>
          <w:rFonts w:eastAsia="Verdana" w:cs="Verdana"/>
        </w:rPr>
        <w:t>Tot en met 2023 waren de vermogensgrenzen van de SCE gemaximeerd op 500 kWp voor zon-pv en 1 MW voor wind. Uit Tabel 1 blijkt dat de gemiddelde omvang van coöperatieve projecten in de SDE++ groter is.</w:t>
      </w:r>
      <w:r w:rsidRPr="016F20D0">
        <w:rPr>
          <w:rStyle w:val="Voetnootmarkering"/>
          <w:rFonts w:eastAsia="Verdana" w:cs="Verdana"/>
        </w:rPr>
        <w:footnoteReference w:id="9"/>
      </w:r>
      <w:r w:rsidRPr="016F20D0">
        <w:rPr>
          <w:rFonts w:eastAsia="Verdana" w:cs="Verdana"/>
        </w:rPr>
        <w:t xml:space="preserve"> Met de uitbreiding van de vermogensgrenzen in 2024 naar 6 MW voor zon-pv en wind kunnen energiecoöperaties in de SCE</w:t>
      </w:r>
      <w:r w:rsidRPr="016F20D0" w:rsidR="060DA779">
        <w:rPr>
          <w:rFonts w:eastAsia="Verdana" w:cs="Verdana"/>
        </w:rPr>
        <w:t>-</w:t>
      </w:r>
      <w:r w:rsidRPr="016F20D0">
        <w:rPr>
          <w:rFonts w:eastAsia="Verdana" w:cs="Verdana"/>
        </w:rPr>
        <w:t xml:space="preserve">projecten realiseren die voorheen alleen in de SDE++ mogelijk waren. Daarmee is het belang van de SDE++ voor coöperaties naar verwachting afgenomen. Vanaf dit jaar worden ook gezamenlijke aanvragen van coöperaties met project-bv’s in de SCE toegestaan. Daarmee wordt de financierbaarheid van coöperatieve projecten verder vergroot. Op deze wijze draagt het kabinet bij aan een betere positie van energiecoöperaties bij het verwerven van subsidies. </w:t>
      </w:r>
      <w:r w:rsidR="00396A7A">
        <w:rPr>
          <w:rFonts w:eastAsia="Verdana" w:cs="Verdana"/>
        </w:rPr>
        <w:t>Het kabinet</w:t>
      </w:r>
      <w:r w:rsidRPr="016F20D0">
        <w:rPr>
          <w:rFonts w:eastAsia="Verdana" w:cs="Verdana"/>
        </w:rPr>
        <w:t xml:space="preserve"> beschouw</w:t>
      </w:r>
      <w:r w:rsidR="00396A7A">
        <w:rPr>
          <w:rFonts w:eastAsia="Verdana" w:cs="Verdana"/>
        </w:rPr>
        <w:t>t</w:t>
      </w:r>
      <w:r w:rsidRPr="016F20D0">
        <w:rPr>
          <w:rFonts w:eastAsia="Verdana" w:cs="Verdana"/>
        </w:rPr>
        <w:t xml:space="preserve"> de toezegging hiermee als afgedaan.</w:t>
      </w:r>
    </w:p>
    <w:p w:rsidRPr="00C431DF" w:rsidR="266621B6" w:rsidP="00D8779E" w:rsidRDefault="266621B6" w14:paraId="1F5CD314" w14:textId="7A737C6F">
      <w:pPr>
        <w:rPr>
          <w:rFonts w:eastAsia="Verdana" w:cs="Verdana"/>
          <w:i/>
          <w:iCs/>
        </w:rPr>
      </w:pPr>
      <w:r w:rsidRPr="00C431DF">
        <w:rPr>
          <w:rFonts w:eastAsia="Verdana" w:cs="Verdana"/>
          <w:i/>
          <w:iCs/>
        </w:rPr>
        <w:t>Toezeg</w:t>
      </w:r>
      <w:r w:rsidRPr="00C431DF" w:rsidR="2CE19EB7">
        <w:rPr>
          <w:rFonts w:eastAsia="Verdana" w:cs="Verdana"/>
          <w:i/>
          <w:iCs/>
        </w:rPr>
        <w:t>g</w:t>
      </w:r>
      <w:r w:rsidRPr="00C431DF">
        <w:rPr>
          <w:rFonts w:eastAsia="Verdana" w:cs="Verdana"/>
          <w:i/>
          <w:iCs/>
        </w:rPr>
        <w:t>in</w:t>
      </w:r>
      <w:r w:rsidRPr="00C431DF" w:rsidR="2CE19EB7">
        <w:rPr>
          <w:rFonts w:eastAsia="Verdana" w:cs="Verdana"/>
          <w:i/>
          <w:iCs/>
        </w:rPr>
        <w:t>g financiële middelen</w:t>
      </w:r>
    </w:p>
    <w:p w:rsidR="00571B31" w:rsidP="00D8779E" w:rsidRDefault="266621B6" w14:paraId="25E27435" w14:textId="4B984561">
      <w:pPr>
        <w:rPr>
          <w:rFonts w:eastAsia="Verdana" w:cs="Verdana"/>
        </w:rPr>
      </w:pPr>
      <w:r w:rsidRPr="4CEE5055">
        <w:rPr>
          <w:rFonts w:eastAsia="Verdana" w:cs="Verdana"/>
        </w:rPr>
        <w:t>In het debat van 29 januari jl. heb ik aan het lid Krõger toegezegd om in te gaan wat er gebeurt met de middelen van niet uitbetaalde subsidie</w:t>
      </w:r>
      <w:r w:rsidRPr="4CEE5055">
        <w:rPr>
          <w:rStyle w:val="Voetnootmarkering"/>
          <w:rFonts w:eastAsia="Verdana" w:cs="Verdana"/>
        </w:rPr>
        <w:footnoteReference w:id="10"/>
      </w:r>
      <w:r w:rsidRPr="4CEE5055">
        <w:rPr>
          <w:rFonts w:eastAsia="Verdana" w:cs="Verdana"/>
        </w:rPr>
        <w:t>. Het uitgangspunt van het lid Kr</w:t>
      </w:r>
      <w:r w:rsidR="00796776">
        <w:rPr>
          <w:rFonts w:eastAsia="Verdana" w:cs="Verdana"/>
        </w:rPr>
        <w:t>ö</w:t>
      </w:r>
      <w:r w:rsidRPr="4CEE5055" w:rsidR="7B174F9A">
        <w:rPr>
          <w:rFonts w:eastAsia="Verdana" w:cs="Verdana"/>
        </w:rPr>
        <w:t>ger was dat deze middelen niet zouden moeten vervallen en nog steeds voor verduurzaming ter beschikking zouden moeten staan.</w:t>
      </w:r>
      <w:r w:rsidRPr="4CEE5055" w:rsidR="5CA4F78C">
        <w:rPr>
          <w:rFonts w:eastAsia="Verdana" w:cs="Verdana"/>
        </w:rPr>
        <w:t xml:space="preserve"> Zowel in de SDE++ als de SCE wordt aan de hand van bepaalde subsidieparameters bepaald op hoeveel subsidie een project recht heeft. Gezien het debat interpreteer ik de vraag van het lid Kröger zodanig </w:t>
      </w:r>
      <w:r w:rsidRPr="4CEE5055" w:rsidR="2DBEDEEB">
        <w:rPr>
          <w:rFonts w:eastAsia="Verdana" w:cs="Verdana"/>
        </w:rPr>
        <w:t xml:space="preserve">dat het gaat om subsidiegeld dat wel beschikbaar is, maar niet wordt </w:t>
      </w:r>
      <w:r w:rsidRPr="4CEE5055" w:rsidR="622E0DB3">
        <w:rPr>
          <w:rFonts w:eastAsia="Verdana" w:cs="Verdana"/>
        </w:rPr>
        <w:t>uitgegeven</w:t>
      </w:r>
      <w:r w:rsidRPr="4CEE5055" w:rsidR="2DBEDEEB">
        <w:rPr>
          <w:rFonts w:eastAsia="Verdana" w:cs="Verdana"/>
        </w:rPr>
        <w:t xml:space="preserve">. Zo was er in 2024 sprake van onder-uitputting in de SDE++. Deze </w:t>
      </w:r>
      <w:r w:rsidRPr="4CEE5055" w:rsidR="48E3A38A">
        <w:rPr>
          <w:rFonts w:eastAsia="Verdana" w:cs="Verdana"/>
        </w:rPr>
        <w:t xml:space="preserve">onder-uitputting vloeit niet terug naar de algemene middelen, maar blijft </w:t>
      </w:r>
      <w:r w:rsidRPr="4CEE5055" w:rsidR="5A09FD0E">
        <w:rPr>
          <w:rFonts w:eastAsia="Verdana" w:cs="Verdana"/>
        </w:rPr>
        <w:t xml:space="preserve">via </w:t>
      </w:r>
      <w:r w:rsidRPr="4CEE5055" w:rsidR="48E3A38A">
        <w:rPr>
          <w:rFonts w:eastAsia="Verdana" w:cs="Verdana"/>
        </w:rPr>
        <w:t>de begroting</w:t>
      </w:r>
      <w:r w:rsidRPr="4CEE5055" w:rsidR="573B3DD5">
        <w:rPr>
          <w:rFonts w:eastAsia="Verdana" w:cs="Verdana"/>
        </w:rPr>
        <w:t>sreserve duurzame energie en klimaattransitie</w:t>
      </w:r>
      <w:r w:rsidRPr="4CEE5055" w:rsidR="48E3A38A">
        <w:rPr>
          <w:rFonts w:eastAsia="Verdana" w:cs="Verdana"/>
        </w:rPr>
        <w:t xml:space="preserve"> </w:t>
      </w:r>
      <w:r w:rsidRPr="4CEE5055" w:rsidR="2DBEDEEB">
        <w:rPr>
          <w:rFonts w:eastAsia="Verdana" w:cs="Verdana"/>
        </w:rPr>
        <w:t xml:space="preserve">beschikbaar </w:t>
      </w:r>
      <w:r w:rsidRPr="4CEE5055" w:rsidR="014F42D3">
        <w:rPr>
          <w:rFonts w:eastAsia="Verdana" w:cs="Verdana"/>
        </w:rPr>
        <w:t xml:space="preserve">voor </w:t>
      </w:r>
      <w:r w:rsidRPr="4CEE5055" w:rsidR="5F254DA0">
        <w:rPr>
          <w:rFonts w:eastAsia="Verdana" w:cs="Verdana"/>
        </w:rPr>
        <w:t>alle uitgaven die zijn gerelateerd aan de SDE.</w:t>
      </w:r>
      <w:r w:rsidR="00571B31">
        <w:rPr>
          <w:rFonts w:eastAsia="Verdana" w:cs="Verdana"/>
        </w:rPr>
        <w:t xml:space="preserve">Voor de SCE geldt dat middelen die zijn begroot in een lopend jaar niet kunnen worden doorgeschoven conform reguliere begrotingssystematiek. Daarom bekijkt het kabinet jaarlijks welke middelen en aanpassingen in de SCE nodig zijn om de gestelde doelen te bereiken. </w:t>
      </w:r>
    </w:p>
    <w:p w:rsidR="266621B6" w:rsidP="00D8779E" w:rsidRDefault="266621B6" w14:paraId="73169234" w14:textId="7B90D2EB">
      <w:pPr>
        <w:rPr>
          <w:rFonts w:eastAsia="Verdana" w:cs="Verdana"/>
        </w:rPr>
      </w:pPr>
    </w:p>
    <w:p w:rsidR="441F6E3C" w:rsidP="00D8779E" w:rsidRDefault="4A4DDD5C" w14:paraId="6BC0520D" w14:textId="4E84A652">
      <w:pPr>
        <w:rPr>
          <w:b/>
          <w:bCs/>
        </w:rPr>
      </w:pPr>
      <w:r w:rsidRPr="6952EB7C">
        <w:rPr>
          <w:b/>
          <w:bCs/>
        </w:rPr>
        <w:t>T</w:t>
      </w:r>
      <w:r w:rsidRPr="6952EB7C" w:rsidR="441F6E3C">
        <w:rPr>
          <w:b/>
          <w:bCs/>
        </w:rPr>
        <w:t>ot slot</w:t>
      </w:r>
    </w:p>
    <w:p w:rsidR="3DE61B09" w:rsidP="00D8779E" w:rsidRDefault="007662C2" w14:paraId="519CA9B6" w14:textId="490E5557">
      <w:r>
        <w:t xml:space="preserve">Een goed verloop van de aankomende SDE++-ronde is van belang voor een voortvarend vervolg van de energietransitie. </w:t>
      </w:r>
      <w:r w:rsidR="00EF06D2">
        <w:t xml:space="preserve">Met deze brief geeft het kabinet duidelijkheid over </w:t>
      </w:r>
      <w:r w:rsidR="00235A6D">
        <w:t xml:space="preserve">de mogelijkheden van de </w:t>
      </w:r>
      <w:r w:rsidR="00C6273D">
        <w:t xml:space="preserve">SDE++ in 2025. </w:t>
      </w:r>
      <w:r w:rsidR="00396A7A">
        <w:t>Het</w:t>
      </w:r>
      <w:r w:rsidR="3DE61B09">
        <w:t xml:space="preserve"> </w:t>
      </w:r>
      <w:r w:rsidR="00396A7A">
        <w:t xml:space="preserve">kabinet </w:t>
      </w:r>
      <w:r w:rsidR="3DE61B09">
        <w:t>werk</w:t>
      </w:r>
      <w:r w:rsidR="00396A7A">
        <w:t>t</w:t>
      </w:r>
      <w:r w:rsidR="3DE61B09">
        <w:t xml:space="preserve"> al deze beleidsvoornemens uit in een regeling die </w:t>
      </w:r>
      <w:r w:rsidR="00DB2A34">
        <w:t>het voornemens is</w:t>
      </w:r>
      <w:r w:rsidR="3DE61B09">
        <w:t xml:space="preserve"> voor de zomer in de Staatscourant </w:t>
      </w:r>
      <w:r w:rsidR="00DB2A34">
        <w:t>te</w:t>
      </w:r>
      <w:r w:rsidR="3DE61B09">
        <w:t xml:space="preserve"> publiceren. Voor enkele wijzigingen </w:t>
      </w:r>
      <w:r w:rsidR="00DB2A34">
        <w:t>is</w:t>
      </w:r>
      <w:r w:rsidR="399ABAC8">
        <w:t xml:space="preserve"> nog goedkeuring nodig van de Europese Commissie in het kader van staatssteun</w:t>
      </w:r>
      <w:r w:rsidR="004E005C">
        <w:t>, zoals de categorie voor elektrische boilers waarbij alleen subsidie wordt gegeven voor operationele kosten</w:t>
      </w:r>
      <w:r w:rsidR="399ABAC8">
        <w:t xml:space="preserve">. De openstelling van die onderdelen </w:t>
      </w:r>
      <w:r w:rsidR="00EE271E">
        <w:t>in 202</w:t>
      </w:r>
      <w:r w:rsidR="00466F79">
        <w:t xml:space="preserve">5 </w:t>
      </w:r>
      <w:r w:rsidR="399ABAC8">
        <w:t>zijn onder voorbehoud van de tijdige afronding van deze trajecten.</w:t>
      </w:r>
      <w:r w:rsidR="00D8779E">
        <w:t xml:space="preserve"> </w:t>
      </w:r>
    </w:p>
    <w:p w:rsidR="6952EB7C" w:rsidP="00D8779E" w:rsidRDefault="6952EB7C" w14:paraId="514EEDA9" w14:textId="2371216D"/>
    <w:p w:rsidR="6952EB7C" w:rsidP="00D8779E" w:rsidRDefault="6952EB7C" w14:paraId="5F538BA3" w14:textId="2342E5C3"/>
    <w:p w:rsidR="6952EB7C" w:rsidP="00D8779E" w:rsidRDefault="6952EB7C" w14:paraId="19DA7D7F" w14:textId="56316BBB"/>
    <w:p w:rsidR="21B1E0C4" w:rsidP="00D8779E" w:rsidRDefault="21B1E0C4" w14:paraId="2FB88A09" w14:textId="164C84A4"/>
    <w:p w:rsidR="21B1E0C4" w:rsidP="00D8779E" w:rsidRDefault="21B1E0C4" w14:paraId="5582818F" w14:textId="2EA9693B"/>
    <w:p w:rsidR="21B1E0C4" w:rsidP="00D8779E" w:rsidRDefault="21B1E0C4" w14:paraId="260F5111" w14:textId="45C4310F"/>
    <w:p w:rsidR="00D22441" w:rsidP="00D8779E" w:rsidRDefault="00D22441" w14:paraId="05F9F308" w14:textId="77777777"/>
    <w:p w:rsidR="00D22441" w:rsidP="00D8779E" w:rsidRDefault="00EC04F4" w14:paraId="60ED4069" w14:textId="28C62BBF">
      <w:pPr>
        <w:rPr>
          <w:szCs w:val="18"/>
        </w:rPr>
      </w:pPr>
      <w:r w:rsidRPr="005461DA">
        <w:rPr>
          <w:szCs w:val="18"/>
        </w:rPr>
        <w:t>Sophie Hermans</w:t>
      </w:r>
    </w:p>
    <w:p w:rsidR="00BC222D" w:rsidP="00D8779E" w:rsidRDefault="6952EB7C" w14:paraId="0A3D6FDB" w14:textId="6C2724E4">
      <w:r>
        <w:t>Minister van Klimaat en Groene Groei</w:t>
      </w:r>
    </w:p>
    <w:p w:rsidR="00382807" w:rsidP="00D8779E" w:rsidRDefault="00382807" w14:paraId="6C881695" w14:textId="77777777"/>
    <w:p w:rsidR="00382807" w:rsidP="00D8779E" w:rsidRDefault="00382807" w14:paraId="06A57EFD" w14:textId="73128A83">
      <w:pPr>
        <w:rPr>
          <w:b/>
          <w:bCs/>
        </w:rPr>
      </w:pPr>
      <w:r>
        <w:rPr>
          <w:b/>
          <w:bCs/>
        </w:rPr>
        <w:br w:type="page"/>
      </w:r>
    </w:p>
    <w:p w:rsidR="00382807" w:rsidP="00D8779E" w:rsidRDefault="00D70BB2" w14:paraId="2958AD77" w14:textId="50F063EC">
      <w:pPr>
        <w:rPr>
          <w:b/>
          <w:bCs/>
          <w:szCs w:val="18"/>
        </w:rPr>
      </w:pPr>
      <w:r>
        <w:rPr>
          <w:b/>
          <w:bCs/>
          <w:szCs w:val="18"/>
        </w:rPr>
        <w:t>Bijlage – toelichting op bel</w:t>
      </w:r>
      <w:r w:rsidR="00C06F0B">
        <w:rPr>
          <w:b/>
          <w:bCs/>
          <w:szCs w:val="18"/>
        </w:rPr>
        <w:t>angrijkste besluiten SDE++-2025</w:t>
      </w:r>
    </w:p>
    <w:p w:rsidR="00D70BB2" w:rsidP="00D8779E" w:rsidRDefault="00D70BB2" w14:paraId="4298CE59" w14:textId="77777777">
      <w:pPr>
        <w:rPr>
          <w:b/>
          <w:bCs/>
          <w:szCs w:val="18"/>
        </w:rPr>
      </w:pPr>
    </w:p>
    <w:p w:rsidRPr="00C06F0B" w:rsidR="00C06F0B" w:rsidP="00D8779E" w:rsidRDefault="004E1D37" w14:paraId="11E881EA" w14:textId="0F8A4B1B">
      <w:pPr>
        <w:rPr>
          <w:b/>
          <w:bCs/>
        </w:rPr>
      </w:pPr>
      <w:r>
        <w:rPr>
          <w:b/>
          <w:bCs/>
        </w:rPr>
        <w:t>Nieuwe c</w:t>
      </w:r>
      <w:r w:rsidRPr="21B1E0C4" w:rsidR="00C06F0B">
        <w:rPr>
          <w:b/>
          <w:bCs/>
        </w:rPr>
        <w:t>ategorieën 2025</w:t>
      </w:r>
    </w:p>
    <w:p w:rsidRPr="00F04191" w:rsidR="00D70BB2" w:rsidP="00D8779E" w:rsidRDefault="00D70BB2" w14:paraId="5D3D11F9" w14:textId="77777777">
      <w:pPr>
        <w:rPr>
          <w:i/>
          <w:iCs/>
        </w:rPr>
      </w:pPr>
      <w:r w:rsidRPr="54D655F1">
        <w:rPr>
          <w:i/>
          <w:iCs/>
        </w:rPr>
        <w:t>Zon-PV (verticaal en éénassig zonvolgend)</w:t>
      </w:r>
    </w:p>
    <w:p w:rsidR="00D70BB2" w:rsidP="00D8779E" w:rsidRDefault="00D70BB2" w14:paraId="0AE772B0" w14:textId="29FC3B46">
      <w:pPr>
        <w:rPr>
          <w:rFonts w:eastAsia="Verdana" w:cs="Verdana"/>
          <w:color w:val="000000" w:themeColor="text1"/>
        </w:rPr>
      </w:pPr>
      <w:r w:rsidRPr="016F20D0">
        <w:rPr>
          <w:rFonts w:eastAsia="Verdana" w:cs="Verdana"/>
          <w:color w:val="000000" w:themeColor="text1"/>
        </w:rPr>
        <w:t xml:space="preserve">Het PBL heeft in het advies </w:t>
      </w:r>
      <w:r w:rsidRPr="19D1798A">
        <w:rPr>
          <w:rFonts w:eastAsia="Verdana" w:cs="Verdana"/>
          <w:color w:val="000000" w:themeColor="text1"/>
        </w:rPr>
        <w:t xml:space="preserve">gekeken naar </w:t>
      </w:r>
      <w:r w:rsidRPr="016F20D0">
        <w:rPr>
          <w:rFonts w:eastAsia="Verdana" w:cs="Verdana"/>
          <w:color w:val="000000" w:themeColor="text1"/>
        </w:rPr>
        <w:t xml:space="preserve">drie verschillende categorieën </w:t>
      </w:r>
      <w:r w:rsidRPr="19D1798A">
        <w:rPr>
          <w:rFonts w:eastAsia="Verdana" w:cs="Verdana"/>
          <w:color w:val="000000" w:themeColor="text1"/>
        </w:rPr>
        <w:t>die kunnen worden toegepast in combinatie met een substantiële agrarische functie</w:t>
      </w:r>
      <w:r w:rsidRPr="016F20D0">
        <w:rPr>
          <w:rFonts w:eastAsia="Verdana" w:cs="Verdana"/>
          <w:color w:val="000000" w:themeColor="text1"/>
        </w:rPr>
        <w:t>:</w:t>
      </w:r>
      <w:r w:rsidR="00D8779E">
        <w:rPr>
          <w:rFonts w:eastAsia="Verdana" w:cs="Verdana"/>
          <w:color w:val="000000" w:themeColor="text1"/>
        </w:rPr>
        <w:t xml:space="preserve"> </w:t>
      </w:r>
      <w:r w:rsidRPr="37F7701C">
        <w:rPr>
          <w:rFonts w:eastAsia="Verdana" w:cs="Verdana"/>
          <w:color w:val="000000" w:themeColor="text1"/>
        </w:rPr>
        <w:t>zon-PV op</w:t>
      </w:r>
      <w:r w:rsidRPr="016F20D0">
        <w:rPr>
          <w:rFonts w:eastAsia="Verdana" w:cs="Verdana"/>
          <w:color w:val="000000" w:themeColor="text1"/>
        </w:rPr>
        <w:t xml:space="preserve"> hoogte (boven de gewassen), verticaal </w:t>
      </w:r>
      <w:r w:rsidRPr="19D1798A">
        <w:rPr>
          <w:rFonts w:eastAsia="Verdana" w:cs="Verdana"/>
          <w:color w:val="000000" w:themeColor="text1"/>
        </w:rPr>
        <w:t>op land</w:t>
      </w:r>
      <w:r w:rsidRPr="016F20D0">
        <w:rPr>
          <w:rFonts w:eastAsia="Verdana" w:cs="Verdana"/>
          <w:color w:val="000000" w:themeColor="text1"/>
        </w:rPr>
        <w:t xml:space="preserve"> en éénassig zonvolgend. De eerste twee varianten zijn nieuw voorgestelde categorieën. De derde variant, éénassig zonvolgend, is een reeds bestaande categorie die ook </w:t>
      </w:r>
      <w:r w:rsidRPr="19D1798A">
        <w:rPr>
          <w:rFonts w:eastAsia="Verdana" w:cs="Verdana"/>
          <w:color w:val="000000" w:themeColor="text1"/>
        </w:rPr>
        <w:t>met een substantiële agrarische functie gecombineerd kan worden</w:t>
      </w:r>
      <w:r w:rsidRPr="016F20D0">
        <w:rPr>
          <w:rFonts w:eastAsia="Verdana" w:cs="Verdana"/>
          <w:color w:val="000000" w:themeColor="text1"/>
        </w:rPr>
        <w:t xml:space="preserve">. </w:t>
      </w:r>
    </w:p>
    <w:p w:rsidR="00D70BB2" w:rsidP="00D8779E" w:rsidRDefault="00D70BB2" w14:paraId="6C2787FA" w14:textId="77777777">
      <w:pPr>
        <w:rPr>
          <w:rFonts w:eastAsia="Verdana" w:cs="Verdana"/>
          <w:color w:val="000000" w:themeColor="text1"/>
        </w:rPr>
      </w:pPr>
    </w:p>
    <w:p w:rsidR="00D70BB2" w:rsidP="00D8779E" w:rsidRDefault="00D70BB2" w14:paraId="43986AF2" w14:textId="1DE42F4E">
      <w:pPr>
        <w:rPr>
          <w:rFonts w:eastAsia="Verdana" w:cs="Verdana"/>
          <w:color w:val="000000" w:themeColor="text1"/>
        </w:rPr>
      </w:pPr>
      <w:r w:rsidRPr="253E427C">
        <w:rPr>
          <w:rFonts w:eastAsia="Verdana" w:cs="Verdana"/>
          <w:color w:val="000000" w:themeColor="text1"/>
        </w:rPr>
        <w:t>Het kabinet heeft besloten om twee van de drie categorieën die door het PBL zijn doorgerekend voor bredere toepassing open te stellen. De agrarische functie is daarbij niet leidend, ook andere projecten komen voor deze categorieën in aanmerking. Wel worden deze categorieën meer dan gemiddeld geschikt geacht voor combinatie met agricultuur, en kunnen ze daarom bijdragen aan meervoudig ruimtegebruik. Het gaat hierbij om de reeds bestaande categorie voor éénassig zonvolgende zon-PV en de nieuwe categorie zon-PV verticaal op land. De verticaal opgestelde tweezijdige zonnepanelen hebben een gunstig productieprofiel voor netcongestie en negatieve uren, doordat zij met name produceren tijdens ochtend- en einde-middaguren, en een dip hebben rond het middaguur – wanneer andere zon-oriëntaties (met name zuid-opstellingen) juist pieken. De categorie agri-PV op hoogte (boven de gewassen) wordt in de 2025-ronde niet opengesteld. De kosten hiervan zijn vooralsnog groter en lastiger te berekenen door variabelen zoals paneelsoort (lichtdoorlatend of niet), paneeldichtheid op het perceel, en mogelijke voor-of nadelen voor de teelt.</w:t>
      </w:r>
      <w:r w:rsidRPr="4CEE5055" w:rsidR="29DDC3C7">
        <w:rPr>
          <w:rFonts w:eastAsia="Verdana" w:cs="Verdana"/>
          <w:color w:val="000000" w:themeColor="text1"/>
        </w:rPr>
        <w:t xml:space="preserve"> Met deze toelichting geef ik invulling aan mijn toezegging aan het lid Bontenbal tijdens het debat van 29 januari jl. om op de mogelijkheden van agri-PV in de SDE++ in 2025 in te gaan.</w:t>
      </w:r>
      <w:r w:rsidR="001B5933">
        <w:rPr>
          <w:rStyle w:val="Voetnootmarkering"/>
          <w:rFonts w:eastAsia="Verdana" w:cs="Verdana"/>
          <w:color w:val="000000" w:themeColor="text1"/>
        </w:rPr>
        <w:footnoteReference w:id="11"/>
      </w:r>
    </w:p>
    <w:p w:rsidR="00B01D26" w:rsidP="00D8779E" w:rsidRDefault="00B01D26" w14:paraId="35053943" w14:textId="77777777">
      <w:pPr>
        <w:rPr>
          <w:rFonts w:eastAsia="Verdana" w:cs="Verdana"/>
          <w:color w:val="000000" w:themeColor="text1"/>
        </w:rPr>
      </w:pPr>
    </w:p>
    <w:p w:rsidR="00B01D26" w:rsidP="00D8779E" w:rsidRDefault="00B01D26" w14:paraId="1E103004" w14:textId="77777777">
      <w:pPr>
        <w:rPr>
          <w:rFonts w:eastAsia="Verdana" w:cs="Verdana"/>
          <w:i/>
          <w:iCs/>
          <w:color w:val="000000" w:themeColor="text1"/>
        </w:rPr>
      </w:pPr>
      <w:r>
        <w:rPr>
          <w:rFonts w:eastAsia="Verdana" w:cs="Verdana"/>
          <w:i/>
          <w:iCs/>
          <w:color w:val="000000" w:themeColor="text1"/>
        </w:rPr>
        <w:t>Zon-PV op gevels met oost-west opstelling</w:t>
      </w:r>
    </w:p>
    <w:p w:rsidR="00B01D26" w:rsidP="00D8779E" w:rsidRDefault="00B01D26" w14:paraId="08201D2E" w14:textId="6E0EC58B">
      <w:pPr>
        <w:rPr>
          <w:rFonts w:eastAsia="Verdana" w:cs="Verdana"/>
          <w:color w:val="000000" w:themeColor="text1"/>
        </w:rPr>
      </w:pPr>
      <w:r>
        <w:rPr>
          <w:rFonts w:eastAsia="Verdana" w:cs="Verdana"/>
          <w:color w:val="000000" w:themeColor="text1"/>
        </w:rPr>
        <w:t xml:space="preserve">Het PBL heeft ook advies uitgebracht over een nieuwe categorie voor zon-PV op gevels met oost-west opstelling. Hiervoor bestaat een significant potentieel, met name bij hoogbouw biedt de gevels van een gebouw meer ruimte voor zon-PV dan het dak. In de voorkeursvolgorde zon staan gevels op trede 1. De oost-west opstelling van de zonnepanelen zorgen voor een gunstig opbrengstprofiel, met pieken in de ochtend en (late) middaguren en een dal wanneer de zon het hoogst staat en de meeste zonnepanelen maximaal produceren. Door dit profiel zullen projecten binnen deze categorie waarschijnlijk zeer beperkt bijdragen aan de problematiek rondom netcongestie en negatieve uren, terwijl zij wel hernieuwbare elektriciteit leveren. Hierom wordt deze categorie opengesteld in de SDE++. </w:t>
      </w:r>
    </w:p>
    <w:p w:rsidR="00D70BB2" w:rsidP="00D8779E" w:rsidRDefault="00D70BB2" w14:paraId="494B99C2" w14:textId="77777777">
      <w:pPr>
        <w:rPr>
          <w:rFonts w:eastAsia="Verdana" w:cs="Verdana"/>
          <w:color w:val="000000" w:themeColor="text1"/>
        </w:rPr>
      </w:pPr>
    </w:p>
    <w:p w:rsidR="00D70BB2" w:rsidP="00D8779E" w:rsidRDefault="00D70BB2" w14:paraId="74568B21" w14:textId="77777777">
      <w:pPr>
        <w:rPr>
          <w:i/>
          <w:iCs/>
        </w:rPr>
      </w:pPr>
      <w:r w:rsidRPr="21B1E0C4">
        <w:rPr>
          <w:i/>
          <w:iCs/>
        </w:rPr>
        <w:t>Direct Air Capture</w:t>
      </w:r>
    </w:p>
    <w:p w:rsidR="00D70BB2" w:rsidP="00D8779E" w:rsidRDefault="00D70BB2" w14:paraId="37246128" w14:textId="77777777">
      <w:pPr>
        <w:rPr>
          <w:rFonts w:eastAsia="Verdana" w:cs="Verdana"/>
          <w:color w:val="000000" w:themeColor="text1"/>
        </w:rPr>
      </w:pPr>
      <w:r>
        <w:t>Direct Air Capture (hierna: DAC) is een technologie, waarbij CO</w:t>
      </w:r>
      <w:r w:rsidRPr="00C15280">
        <w:rPr>
          <w:vertAlign w:val="subscript"/>
        </w:rPr>
        <w:t>2</w:t>
      </w:r>
      <w:r>
        <w:t xml:space="preserve"> wordt afgevangen uit omgevingslucht. De atmosferische CO</w:t>
      </w:r>
      <w:r w:rsidRPr="00C15280">
        <w:rPr>
          <w:vertAlign w:val="subscript"/>
        </w:rPr>
        <w:t>2</w:t>
      </w:r>
      <w:r>
        <w:t xml:space="preserve"> vormt een duurzame bron van koolstof die kan worden ingezet voor bijvoorbeeld de productie van synthetische brandstoffen of als meststof in de glastuinbouw. Omdat omgevingslucht de bron van CO</w:t>
      </w:r>
      <w:r w:rsidRPr="00C15280">
        <w:rPr>
          <w:vertAlign w:val="subscript"/>
        </w:rPr>
        <w:t>2</w:t>
      </w:r>
      <w:r>
        <w:t xml:space="preserve"> is, is de CO</w:t>
      </w:r>
      <w:r w:rsidRPr="00C15280">
        <w:rPr>
          <w:vertAlign w:val="subscript"/>
        </w:rPr>
        <w:t>2</w:t>
      </w:r>
      <w:r>
        <w:t xml:space="preserve"> op elk moment van het jaar beschikbaar en kan de tuinder het naar wens in de kas doseren. Door deze techniek wordt de inzet van aardgas bespaard. </w:t>
      </w:r>
      <w:r w:rsidRPr="7EFDC0B1">
        <w:rPr>
          <w:rFonts w:eastAsia="Verdana" w:cs="Verdana"/>
          <w:color w:val="000000" w:themeColor="text1"/>
        </w:rPr>
        <w:t>DAC kan een belangrijke bijdrage leveren aan het verduurzamen van de CO</w:t>
      </w:r>
      <w:r w:rsidRPr="7EFDC0B1">
        <w:rPr>
          <w:rFonts w:eastAsia="Verdana" w:cs="Verdana"/>
          <w:color w:val="000000" w:themeColor="text1"/>
          <w:vertAlign w:val="subscript"/>
        </w:rPr>
        <w:t>2</w:t>
      </w:r>
      <w:r w:rsidRPr="7EFDC0B1">
        <w:rPr>
          <w:rFonts w:eastAsia="Verdana" w:cs="Verdana"/>
          <w:color w:val="000000" w:themeColor="text1"/>
        </w:rPr>
        <w:t>-vraag van glastuinders, voor de invulling van vraag naar duurzame koolstof binnen het energiesysteem, en voor het realiseren van onze (lange termijn) doelen voor koolstofverwijdering. Tegelijkertijd is het nog geen technologie die op grote schaal wordt uitgerold. Hoe de technologie zich ontwikkelt, bijvoorbeeld wat betreft energievraag, zal bepalend zijn voor de mate waarin DAC een waardevolle rol kan spelen in Nederland, binnen de draagkracht van het energiesysteem.</w:t>
      </w:r>
    </w:p>
    <w:p w:rsidR="00D70BB2" w:rsidP="00D8779E" w:rsidRDefault="00D70BB2" w14:paraId="09B0123A" w14:textId="77777777">
      <w:pPr>
        <w:rPr>
          <w:rFonts w:eastAsia="Verdana" w:cs="Verdana"/>
          <w:color w:val="000000" w:themeColor="text1"/>
          <w:szCs w:val="18"/>
        </w:rPr>
      </w:pPr>
    </w:p>
    <w:p w:rsidR="00D70BB2" w:rsidP="00D8779E" w:rsidRDefault="00D70BB2" w14:paraId="42B7F49E" w14:textId="77777777">
      <w:pPr>
        <w:rPr>
          <w:rFonts w:eastAsia="Verdana"/>
        </w:rPr>
      </w:pPr>
      <w:r w:rsidRPr="21B1E0C4">
        <w:rPr>
          <w:rFonts w:eastAsia="Verdana"/>
        </w:rPr>
        <w:t>Het PBL adviseert over twee verschillende categorieën: op locatie bij de tuinder en bij bestaande CO</w:t>
      </w:r>
      <w:r w:rsidRPr="00576C5F">
        <w:rPr>
          <w:rFonts w:eastAsia="Verdana"/>
          <w:vertAlign w:val="subscript"/>
        </w:rPr>
        <w:t>2</w:t>
      </w:r>
      <w:r w:rsidRPr="21B1E0C4">
        <w:rPr>
          <w:rFonts w:eastAsia="Verdana"/>
        </w:rPr>
        <w:t>-transportinfrastructuur. Voor DAC wordt in 2025 alleen de categorie op locatie bij de tuinder opengesteld. Voor de categorie bij bestaande CO</w:t>
      </w:r>
      <w:r w:rsidRPr="00C15280">
        <w:rPr>
          <w:rFonts w:eastAsia="Verdana"/>
          <w:vertAlign w:val="subscript"/>
        </w:rPr>
        <w:t>2</w:t>
      </w:r>
      <w:r w:rsidRPr="21B1E0C4">
        <w:rPr>
          <w:rFonts w:eastAsia="Verdana"/>
        </w:rPr>
        <w:t xml:space="preserve">-transportinfrastructuur </w:t>
      </w:r>
      <w:r>
        <w:rPr>
          <w:rFonts w:eastAsia="Verdana"/>
        </w:rPr>
        <w:t xml:space="preserve">wordt het niet </w:t>
      </w:r>
      <w:r w:rsidRPr="21B1E0C4">
        <w:rPr>
          <w:rFonts w:eastAsia="Verdana"/>
        </w:rPr>
        <w:t xml:space="preserve">waarschijnlijk </w:t>
      </w:r>
      <w:r>
        <w:rPr>
          <w:rFonts w:eastAsia="Verdana"/>
        </w:rPr>
        <w:t xml:space="preserve">geacht </w:t>
      </w:r>
      <w:r w:rsidRPr="21B1E0C4">
        <w:rPr>
          <w:rFonts w:eastAsia="Verdana"/>
        </w:rPr>
        <w:t xml:space="preserve">dat er daadwerkelijk projecten binnen deze categorie gerealiseerd kunnen worden, omdat </w:t>
      </w:r>
      <w:r>
        <w:rPr>
          <w:rFonts w:eastAsia="Verdana"/>
        </w:rPr>
        <w:t>slechts een beperkt gedeelte</w:t>
      </w:r>
      <w:r w:rsidRPr="21B1E0C4">
        <w:rPr>
          <w:rFonts w:eastAsia="Verdana"/>
        </w:rPr>
        <w:t xml:space="preserve"> van de daadwerkelijke kosten worden vergoed.</w:t>
      </w:r>
      <w:r w:rsidRPr="4CEE5055">
        <w:rPr>
          <w:rStyle w:val="Voetnootmarkering"/>
          <w:rFonts w:eastAsia="Verdana" w:cs="Verdana"/>
          <w:color w:val="000000" w:themeColor="text1"/>
        </w:rPr>
        <w:footnoteReference w:id="12"/>
      </w:r>
      <w:r w:rsidRPr="21B1E0C4">
        <w:rPr>
          <w:rFonts w:eastAsia="Verdana"/>
        </w:rPr>
        <w:t xml:space="preserve"> </w:t>
      </w:r>
    </w:p>
    <w:p w:rsidR="00D70BB2" w:rsidP="00D8779E" w:rsidRDefault="00D70BB2" w14:paraId="2630180F" w14:textId="77777777"/>
    <w:p w:rsidR="00D70BB2" w:rsidP="00D8779E" w:rsidRDefault="00D70BB2" w14:paraId="1E17B5F1" w14:textId="77777777">
      <w:pPr>
        <w:rPr>
          <w:i/>
          <w:iCs/>
        </w:rPr>
      </w:pPr>
      <w:r w:rsidRPr="21B1E0C4">
        <w:rPr>
          <w:i/>
          <w:iCs/>
        </w:rPr>
        <w:t>Waterstof uit afval</w:t>
      </w:r>
    </w:p>
    <w:p w:rsidRPr="00D0192F" w:rsidR="00D70BB2" w:rsidP="00D8779E" w:rsidRDefault="00D70BB2" w14:paraId="0EABA4C3" w14:textId="1A9133B6">
      <w:r w:rsidRPr="00E000E9">
        <w:t>Het terugwinnen van waterstof door middel van het vergassen van restafval zorgt voor minder CO2 uitstoot t.o.v. de verbranding van gelijksoortig restafval in een afvalverbrandingsinstallatie. Net als voor het verbranden of storten van afval, moet er bij afvalvergassing gewaarborgd worden dat enkel afvalstromen worden ingezet die niet hoogwaardiger verwerkt hadden kunnen worden.</w:t>
      </w:r>
      <w:r>
        <w:t xml:space="preserve"> </w:t>
      </w:r>
      <w:r w:rsidRPr="00D0192F">
        <w:t>De betreffende regelgeving voor afvalverwerking staat momenteel omschreven in het Landelijk Afvalbeheerplan (LAP3). Binnen de SDE++ kan hierop worden toegezien door een indieningseis op te nemen voor de aanwezigheid van een vergunning waaruit blijkt dat de beoogde te verwerken afvalstoffen mogen worden verwerkt. Mocht er</w:t>
      </w:r>
      <w:r>
        <w:t xml:space="preserve"> door toekomstig waterstofbeleid</w:t>
      </w:r>
      <w:r w:rsidRPr="00D0192F">
        <w:t xml:space="preserve"> een premium op de marktwaarde van de geproduceerde waterstof uit vergassing van restafval ontstaan die kan worden vastgesteld door PBL, dan zal deze in mindering worden gebracht op de subsidie door deze op te nemen in het correctiebedrag.</w:t>
      </w:r>
      <w:r w:rsidR="00D8779E">
        <w:t xml:space="preserve"> </w:t>
      </w:r>
    </w:p>
    <w:p w:rsidR="00D70BB2" w:rsidP="00D8779E" w:rsidRDefault="00D70BB2" w14:paraId="69DC87E2" w14:textId="77777777"/>
    <w:p w:rsidRPr="001A5BE0" w:rsidR="00D70BB2" w:rsidP="00D8779E" w:rsidRDefault="00D70BB2" w14:paraId="4C55C809" w14:textId="77777777">
      <w:pPr>
        <w:rPr>
          <w:i/>
          <w:iCs/>
        </w:rPr>
      </w:pPr>
      <w:r w:rsidRPr="001A5BE0">
        <w:rPr>
          <w:i/>
          <w:iCs/>
        </w:rPr>
        <w:t>Elektrische boiler met alleen operationele kosten</w:t>
      </w:r>
    </w:p>
    <w:p w:rsidR="00D70BB2" w:rsidP="00D8779E" w:rsidRDefault="00D70BB2" w14:paraId="11E7E06E" w14:textId="77777777">
      <w:pPr>
        <w:rPr>
          <w:rFonts w:eastAsia="Verdana" w:cs="Verdana"/>
          <w:color w:val="000000" w:themeColor="text1"/>
          <w:szCs w:val="18"/>
        </w:rPr>
      </w:pPr>
      <w:r w:rsidRPr="6952EB7C">
        <w:rPr>
          <w:rFonts w:eastAsia="Verdana" w:cs="Verdana"/>
          <w:color w:val="000000" w:themeColor="text1"/>
          <w:szCs w:val="18"/>
        </w:rPr>
        <w:t xml:space="preserve">De categorie voor elektrische boilers kenmerkt zich door hoge operationele kosten. Hierbij zijn de hoogte van de elektriciteitsprijzen en de netwerkkosten zeer bepalend. Er zijn projecten met een bestaande subsidiebeschikking, maar die niet langer uitkunnen met de hierin opgenomen subsidieparameters; de kosten liggen voor de volledige subsidieduur vast in het basisbedrag. Dit leidt er in sommige situaties toe dat beschikte en reeds gerealiseerde elektrische boilers stilstaan. Een belangrijke reden daarvoor zijn de sterk gestegen netwerkkosten. De staatssteunkaders verbieden de mogelijkheid om opnieuw subsidie te verstrekken voor kapitaalkosten op het moment dat er al </w:t>
      </w:r>
      <w:r>
        <w:rPr>
          <w:rFonts w:eastAsia="Verdana" w:cs="Verdana"/>
          <w:color w:val="000000" w:themeColor="text1"/>
          <w:szCs w:val="18"/>
        </w:rPr>
        <w:t xml:space="preserve">onomkeerbare investeringsverplichtingen zijn aangegaan of </w:t>
      </w:r>
      <w:r w:rsidRPr="6952EB7C">
        <w:rPr>
          <w:rFonts w:eastAsia="Verdana" w:cs="Verdana"/>
          <w:color w:val="000000" w:themeColor="text1"/>
          <w:szCs w:val="18"/>
        </w:rPr>
        <w:t>een start van de werkzaamheden is geweest. Het stimulerende effect</w:t>
      </w:r>
      <w:r>
        <w:rPr>
          <w:rFonts w:eastAsia="Verdana" w:cs="Verdana"/>
          <w:color w:val="000000" w:themeColor="text1"/>
          <w:szCs w:val="18"/>
        </w:rPr>
        <w:t>, wat een voorwaarde is om subsidie te kunnen verstrekken,</w:t>
      </w:r>
      <w:r w:rsidRPr="6952EB7C">
        <w:rPr>
          <w:rFonts w:eastAsia="Verdana" w:cs="Verdana"/>
          <w:color w:val="000000" w:themeColor="text1"/>
          <w:szCs w:val="18"/>
        </w:rPr>
        <w:t xml:space="preserve"> ontbreekt dan.</w:t>
      </w:r>
    </w:p>
    <w:p w:rsidR="00D70BB2" w:rsidP="00D8779E" w:rsidRDefault="00D70BB2" w14:paraId="0799A9AA" w14:textId="77777777">
      <w:pPr>
        <w:rPr>
          <w:rFonts w:eastAsia="Verdana" w:cs="Verdana"/>
          <w:color w:val="000000" w:themeColor="text1"/>
          <w:szCs w:val="18"/>
        </w:rPr>
      </w:pPr>
    </w:p>
    <w:p w:rsidRPr="00FC740A" w:rsidR="00D70BB2" w:rsidP="00D8779E" w:rsidRDefault="00D70BB2" w14:paraId="2D0EA019" w14:textId="031A6219">
      <w:pPr>
        <w:rPr>
          <w:rFonts w:eastAsia="Verdana" w:cs="Verdana"/>
          <w:color w:val="000000" w:themeColor="text1"/>
        </w:rPr>
      </w:pPr>
      <w:r w:rsidRPr="69E7F730">
        <w:rPr>
          <w:rFonts w:eastAsia="Verdana" w:cs="Verdana"/>
          <w:color w:val="000000" w:themeColor="text1"/>
        </w:rPr>
        <w:t>Door de nieuwe categorie open te stellen kunnen reeds beschikte projecten opnieuw subsidie aanvragen. Zij leveren dan eerst hun oude beschikking in. De subsidielooptijd is beperkt tot 5 jaar. Hiermee kan worden bereikt dat elektrische boilers wel uit kunnen en gaan draaien (in plaats van stilstaan). Deze categorie is onder voorbehoud van goedkeuring van de Europese Commissie in het kader van staatssteun en er zullen in de regeling voorwaarden worden opgenomen waarmee alleen projecten die last hebben van bovengenoemde problematiek in aanmerking komen.</w:t>
      </w:r>
    </w:p>
    <w:p w:rsidR="00D70BB2" w:rsidP="00D8779E" w:rsidRDefault="00D70BB2" w14:paraId="2520A18C" w14:textId="77777777"/>
    <w:p w:rsidR="00D70BB2" w:rsidP="00D8779E" w:rsidRDefault="00D70BB2" w14:paraId="6FE22FC1" w14:textId="77777777">
      <w:r w:rsidRPr="6952EB7C">
        <w:rPr>
          <w:b/>
          <w:bCs/>
        </w:rPr>
        <w:t>Categorieën die in 2025 niet worden opengesteld</w:t>
      </w:r>
    </w:p>
    <w:p w:rsidR="00DB1967" w:rsidP="00D8779E" w:rsidRDefault="00DB1967" w14:paraId="38B97471" w14:textId="77777777">
      <w:pPr>
        <w:rPr>
          <w:i/>
          <w:iCs/>
        </w:rPr>
      </w:pPr>
      <w:r w:rsidRPr="6952EB7C">
        <w:rPr>
          <w:i/>
          <w:iCs/>
        </w:rPr>
        <w:t>Elektrificatie van offshore-boorplatforms</w:t>
      </w:r>
    </w:p>
    <w:p w:rsidR="00DB1967" w:rsidP="00D8779E" w:rsidRDefault="00DB1967" w14:paraId="3DB4EAF1" w14:textId="4FD3B77C">
      <w:pPr>
        <w:rPr>
          <w:rFonts w:eastAsia="Verdana" w:cs="Verdana"/>
        </w:rPr>
      </w:pPr>
      <w:r>
        <w:t>Het PBL heeft net als afgelopen jaren geadviseerd over de elektrificatie van offshore gas- en olieplatforms. Offshore olie- en gasproductieplatforms hebben de mogelijkheid een aansluiting op het stroomnet te realiseren en (een deel van) de gasgedreven productiemiddelen op het platform te vervangen door elektrisch gedreven eenheden. In het advies voor 2025 behandelt het PBL drie potentiële categorieën: offshore platforms die worden aangesloten op het net op zee (aparte categorieën voor bestaande of nieuwe platforms) en verder afgelegen offshore platforms die worden aangesloten op nieuw te installeren toegewijde windturbines. Op dit moment zijn er echter nog te grote onzekerheden om deze categorieën dit jaar al open te stellen met een passende stimulering of ontbreken de randvoorwaarden voor de kans op</w:t>
      </w:r>
      <w:r w:rsidR="1466B9B5">
        <w:t xml:space="preserve"> </w:t>
      </w:r>
      <w:r>
        <w:t>een volledige aanvraag met de benodigde vergunningen in de komende openstellingsronde. Zo zijn voor de categorieën met aansluiting op het net op zee de tarieven voor het net op zee nog niet bekend en zijn er nog onzekerheden over de vergunningverlening voor de categorie met toegewijde windturbines</w:t>
      </w:r>
      <w:r w:rsidRPr="69E7F730">
        <w:rPr>
          <w:rFonts w:eastAsia="Verdana" w:cs="Verdana"/>
        </w:rPr>
        <w:t>. Daarmee is het op dit moment niet opportuun deze categorieën dit jaar open te stellen. De onzekerheden maken het te complex om de categorieën nader uit te werken en brengen ook voor potentiële aanvragers risico’s met zich mee.</w:t>
      </w:r>
    </w:p>
    <w:p w:rsidR="00D70BB2" w:rsidP="00D8779E" w:rsidRDefault="00D70BB2" w14:paraId="39EEA01D" w14:textId="77777777"/>
    <w:p w:rsidR="00D70BB2" w:rsidP="00D8779E" w:rsidRDefault="00D70BB2" w14:paraId="12815693" w14:textId="77777777">
      <w:pPr>
        <w:rPr>
          <w:rFonts w:eastAsia="Verdana" w:cs="Verdana"/>
          <w:i/>
          <w:iCs/>
          <w:color w:val="000000" w:themeColor="text1"/>
          <w:szCs w:val="18"/>
        </w:rPr>
      </w:pPr>
      <w:r w:rsidRPr="6952EB7C">
        <w:rPr>
          <w:i/>
          <w:iCs/>
        </w:rPr>
        <w:t>Varianten zon-PV</w:t>
      </w:r>
    </w:p>
    <w:p w:rsidR="00582D70" w:rsidP="00D8779E" w:rsidRDefault="00582D70" w14:paraId="2144F986" w14:textId="2BAA80AB">
      <w:pPr>
        <w:pStyle w:val="Geenafstand"/>
        <w:spacing w:line="240" w:lineRule="atLeast"/>
        <w:rPr>
          <w:rFonts w:ascii="Verdana" w:hAnsi="Verdana" w:eastAsia="Verdana" w:cs="Verdana"/>
          <w:color w:val="000000" w:themeColor="text1"/>
          <w:sz w:val="18"/>
          <w:szCs w:val="18"/>
          <w:lang w:val="nl-NL"/>
        </w:rPr>
      </w:pPr>
      <w:r w:rsidRPr="016F20D0">
        <w:rPr>
          <w:rFonts w:ascii="Verdana" w:hAnsi="Verdana" w:eastAsia="Verdana" w:cs="Verdana"/>
          <w:color w:val="000000" w:themeColor="text1"/>
          <w:sz w:val="18"/>
          <w:szCs w:val="18"/>
          <w:lang w:val="nl-NL"/>
        </w:rPr>
        <w:t xml:space="preserve">Het PBL heeft, behalve naar </w:t>
      </w:r>
      <w:r w:rsidRPr="7A379F5E">
        <w:rPr>
          <w:rFonts w:ascii="Verdana" w:hAnsi="Verdana" w:eastAsia="Verdana" w:cs="Verdana"/>
          <w:color w:val="000000" w:themeColor="text1"/>
          <w:sz w:val="18"/>
          <w:szCs w:val="18"/>
          <w:lang w:val="nl-NL"/>
        </w:rPr>
        <w:t xml:space="preserve">de </w:t>
      </w:r>
      <w:r w:rsidRPr="0C7F588F">
        <w:rPr>
          <w:rFonts w:ascii="Verdana" w:hAnsi="Verdana" w:eastAsia="Verdana" w:cs="Verdana"/>
          <w:color w:val="000000" w:themeColor="text1"/>
          <w:sz w:val="18"/>
          <w:szCs w:val="18"/>
          <w:lang w:val="nl-NL"/>
        </w:rPr>
        <w:t xml:space="preserve">bovenstaand besproken </w:t>
      </w:r>
      <w:r w:rsidRPr="0B312461">
        <w:rPr>
          <w:rFonts w:ascii="Verdana" w:hAnsi="Verdana" w:eastAsia="Verdana" w:cs="Verdana"/>
          <w:color w:val="000000" w:themeColor="text1"/>
          <w:sz w:val="18"/>
          <w:szCs w:val="18"/>
          <w:lang w:val="nl-NL"/>
        </w:rPr>
        <w:t>categorieën</w:t>
      </w:r>
      <w:r w:rsidRPr="016F20D0">
        <w:rPr>
          <w:rFonts w:ascii="Verdana" w:hAnsi="Verdana" w:eastAsia="Verdana" w:cs="Verdana"/>
          <w:color w:val="000000" w:themeColor="text1"/>
          <w:sz w:val="18"/>
          <w:szCs w:val="18"/>
          <w:lang w:val="nl-NL"/>
        </w:rPr>
        <w:t>, ook naar een aantal andere nieuwe varianten van zon-PV gekeken. Een van die varianten is zon-PV op overkappingen boven parkeerplaatsen (‘solar carports’). Uit het advies van het PBL blijkt dat er momenteel weinig informatie beschikbaar is over de kosten en voordelen van dit type project. Hierdoor is er te veel onzekerheid en</w:t>
      </w:r>
      <w:r>
        <w:rPr>
          <w:rFonts w:ascii="Verdana" w:hAnsi="Verdana" w:eastAsia="Verdana" w:cs="Verdana"/>
          <w:color w:val="000000" w:themeColor="text1"/>
          <w:sz w:val="18"/>
          <w:szCs w:val="18"/>
          <w:lang w:val="nl-NL"/>
        </w:rPr>
        <w:t xml:space="preserve"> dit</w:t>
      </w:r>
      <w:r w:rsidRPr="016F20D0">
        <w:rPr>
          <w:rFonts w:ascii="Verdana" w:hAnsi="Verdana" w:eastAsia="Verdana" w:cs="Verdana"/>
          <w:color w:val="000000" w:themeColor="text1"/>
          <w:sz w:val="18"/>
          <w:szCs w:val="18"/>
          <w:lang w:val="nl-NL"/>
        </w:rPr>
        <w:t xml:space="preserve"> maakt de categorie kwetsbaar voor zowel over- als onder</w:t>
      </w:r>
      <w:r>
        <w:rPr>
          <w:rFonts w:ascii="Verdana" w:hAnsi="Verdana" w:eastAsia="Verdana" w:cs="Verdana"/>
          <w:color w:val="000000" w:themeColor="text1"/>
          <w:sz w:val="18"/>
          <w:szCs w:val="18"/>
          <w:lang w:val="nl-NL"/>
        </w:rPr>
        <w:t>stimulering</w:t>
      </w:r>
      <w:r w:rsidRPr="016F20D0">
        <w:rPr>
          <w:rFonts w:ascii="Verdana" w:hAnsi="Verdana" w:eastAsia="Verdana" w:cs="Verdana"/>
          <w:color w:val="000000" w:themeColor="text1"/>
          <w:sz w:val="18"/>
          <w:szCs w:val="18"/>
          <w:lang w:val="nl-NL"/>
        </w:rPr>
        <w:t>. Daarbij wordt op dit moment in bredere zin onderzocht welk beleid het meest passend is ter bevordering van solar carports.</w:t>
      </w:r>
      <w:r w:rsidR="00796776">
        <w:rPr>
          <w:rStyle w:val="Voetnootmarkering"/>
          <w:rFonts w:ascii="Verdana" w:hAnsi="Verdana" w:eastAsia="Verdana" w:cs="Verdana"/>
          <w:color w:val="000000" w:themeColor="text1"/>
          <w:sz w:val="18"/>
          <w:szCs w:val="18"/>
          <w:lang w:val="nl-NL"/>
        </w:rPr>
        <w:footnoteReference w:id="13"/>
      </w:r>
    </w:p>
    <w:p w:rsidR="00582D70" w:rsidP="00D8779E" w:rsidRDefault="00582D70" w14:paraId="6E2550DC" w14:textId="77777777">
      <w:pPr>
        <w:pStyle w:val="Geenafstand"/>
        <w:spacing w:line="240" w:lineRule="atLeast"/>
        <w:rPr>
          <w:rFonts w:ascii="Verdana" w:hAnsi="Verdana" w:eastAsia="Verdana" w:cs="Verdana"/>
          <w:color w:val="000000" w:themeColor="text1"/>
          <w:sz w:val="18"/>
          <w:szCs w:val="18"/>
          <w:lang w:val="nl-NL"/>
        </w:rPr>
      </w:pPr>
      <w:r w:rsidRPr="6952EB7C">
        <w:rPr>
          <w:rFonts w:ascii="Verdana" w:hAnsi="Verdana" w:eastAsia="Verdana" w:cs="Verdana"/>
          <w:color w:val="000000" w:themeColor="text1"/>
          <w:sz w:val="18"/>
          <w:szCs w:val="18"/>
          <w:lang w:val="nl-NL"/>
        </w:rPr>
        <w:t xml:space="preserve"> </w:t>
      </w:r>
    </w:p>
    <w:p w:rsidR="00582D70" w:rsidP="00D8779E" w:rsidRDefault="00582D70" w14:paraId="289BF731" w14:textId="4E59A6BE">
      <w:pPr>
        <w:pStyle w:val="Geenafstand"/>
        <w:spacing w:line="240" w:lineRule="atLeast"/>
        <w:rPr>
          <w:rFonts w:ascii="Verdana" w:hAnsi="Verdana" w:eastAsia="Verdana" w:cs="Verdana"/>
          <w:color w:val="000000" w:themeColor="text1"/>
          <w:sz w:val="18"/>
          <w:szCs w:val="18"/>
          <w:lang w:val="nl-NL"/>
        </w:rPr>
      </w:pPr>
      <w:r w:rsidRPr="016F20D0">
        <w:rPr>
          <w:rFonts w:ascii="Verdana" w:hAnsi="Verdana" w:eastAsia="Verdana" w:cs="Verdana"/>
          <w:color w:val="000000" w:themeColor="text1"/>
          <w:sz w:val="18"/>
          <w:szCs w:val="18"/>
          <w:lang w:val="nl-NL"/>
        </w:rPr>
        <w:t xml:space="preserve">Het PBL heeft daarnaast nog gekeken naar </w:t>
      </w:r>
      <w:r>
        <w:rPr>
          <w:rFonts w:ascii="Verdana" w:hAnsi="Verdana" w:eastAsia="Verdana" w:cs="Verdana"/>
          <w:color w:val="000000" w:themeColor="text1"/>
          <w:sz w:val="18"/>
          <w:szCs w:val="18"/>
          <w:lang w:val="nl-NL"/>
        </w:rPr>
        <w:t xml:space="preserve">zon-PV op </w:t>
      </w:r>
      <w:r w:rsidRPr="016F20D0">
        <w:rPr>
          <w:rFonts w:ascii="Verdana" w:hAnsi="Verdana" w:eastAsia="Verdana" w:cs="Verdana"/>
          <w:color w:val="000000" w:themeColor="text1"/>
          <w:sz w:val="18"/>
          <w:szCs w:val="18"/>
          <w:lang w:val="nl-NL"/>
        </w:rPr>
        <w:t>infrastructuur</w:t>
      </w:r>
      <w:r w:rsidR="00EF11DD">
        <w:rPr>
          <w:rFonts w:ascii="Verdana" w:hAnsi="Verdana" w:eastAsia="Verdana" w:cs="Verdana"/>
          <w:color w:val="000000" w:themeColor="text1"/>
          <w:sz w:val="18"/>
          <w:szCs w:val="18"/>
          <w:lang w:val="nl-NL"/>
        </w:rPr>
        <w:t>, zoals geluidswanden langs snelwegen,</w:t>
      </w:r>
      <w:r>
        <w:rPr>
          <w:rFonts w:ascii="Verdana" w:hAnsi="Verdana" w:eastAsia="Verdana" w:cs="Verdana"/>
          <w:color w:val="000000" w:themeColor="text1"/>
          <w:sz w:val="18"/>
          <w:szCs w:val="18"/>
          <w:lang w:val="nl-NL"/>
        </w:rPr>
        <w:t xml:space="preserve"> </w:t>
      </w:r>
      <w:r w:rsidRPr="016F20D0">
        <w:rPr>
          <w:rFonts w:ascii="Verdana" w:hAnsi="Verdana" w:eastAsia="Verdana" w:cs="Verdana"/>
          <w:color w:val="000000" w:themeColor="text1"/>
          <w:sz w:val="18"/>
          <w:szCs w:val="18"/>
          <w:lang w:val="nl-NL"/>
        </w:rPr>
        <w:t xml:space="preserve">met een oost-westopstelling. Voor </w:t>
      </w:r>
      <w:r>
        <w:rPr>
          <w:rFonts w:ascii="Verdana" w:hAnsi="Verdana" w:eastAsia="Verdana" w:cs="Verdana"/>
          <w:color w:val="000000" w:themeColor="text1"/>
          <w:sz w:val="18"/>
          <w:szCs w:val="18"/>
          <w:lang w:val="nl-NL"/>
        </w:rPr>
        <w:t>deze categorie</w:t>
      </w:r>
      <w:r w:rsidRPr="016F20D0">
        <w:rPr>
          <w:rFonts w:ascii="Verdana" w:hAnsi="Verdana" w:eastAsia="Verdana" w:cs="Verdana"/>
          <w:color w:val="000000" w:themeColor="text1"/>
          <w:sz w:val="18"/>
          <w:szCs w:val="18"/>
          <w:lang w:val="nl-NL"/>
        </w:rPr>
        <w:t xml:space="preserve"> geldt dat het potentieel naar verwachting beperkt is, omdat dit geïnstalleerd zou moeten worden op infrastructuur die noord-zuid loopt, welke slechts beperkt beschikbaar is. </w:t>
      </w:r>
      <w:r>
        <w:rPr>
          <w:rFonts w:ascii="Verdana" w:hAnsi="Verdana" w:eastAsia="Verdana" w:cs="Verdana"/>
          <w:color w:val="000000" w:themeColor="text1"/>
          <w:sz w:val="18"/>
          <w:szCs w:val="18"/>
          <w:lang w:val="nl-NL"/>
        </w:rPr>
        <w:t xml:space="preserve">Ten behoeve van de uitvoerbaarheid van de SDE++ regeling is het belangrijk om slechts categorieën open te stellen waarvan verwacht wordt dat deze een significante bijdrage kunnen leveren aan de energietransitie. Wegens het beperkte potentieel wordt deze categorie niet opengesteld. </w:t>
      </w:r>
    </w:p>
    <w:p w:rsidR="00D70BB2" w:rsidP="00D8779E" w:rsidRDefault="00D70BB2" w14:paraId="333C4BBD" w14:textId="77777777">
      <w:pPr>
        <w:rPr>
          <w:i/>
          <w:iCs/>
        </w:rPr>
      </w:pPr>
    </w:p>
    <w:p w:rsidR="00D70BB2" w:rsidP="00D8779E" w:rsidRDefault="00D70BB2" w14:paraId="2B325AA4" w14:textId="77777777">
      <w:pPr>
        <w:rPr>
          <w:i/>
          <w:iCs/>
        </w:rPr>
      </w:pPr>
      <w:r w:rsidRPr="6952EB7C">
        <w:rPr>
          <w:i/>
          <w:iCs/>
        </w:rPr>
        <w:t>Groen gas uit afval</w:t>
      </w:r>
    </w:p>
    <w:p w:rsidR="00D70BB2" w:rsidP="00D8779E" w:rsidRDefault="00D70BB2" w14:paraId="426562FA" w14:textId="3CC6E752">
      <w:pPr>
        <w:rPr>
          <w:i/>
          <w:iCs/>
        </w:rPr>
      </w:pPr>
      <w:r>
        <w:t>Volgens het PBL heeft deze categorie een onrendabele top ruim boven de 400 euro per ton CO</w:t>
      </w:r>
      <w:r w:rsidRPr="00C15280">
        <w:rPr>
          <w:vertAlign w:val="subscript"/>
        </w:rPr>
        <w:t>2</w:t>
      </w:r>
      <w:r>
        <w:t xml:space="preserve">. Voor de bijmengverplichting komt alleen de biogene fractie in aanmerking voor Groen Gas Eenheden. Voor de SDE++ zou de totale groengasproductie in aanmerking komen voor subsidie en kan ook geen gebruik worden gemaakt van garanties van oorsprong bij het vormgeven van de meetketen. Dit moet goed worden vormgegeven om </w:t>
      </w:r>
      <w:r w:rsidR="00BC0975">
        <w:t xml:space="preserve">met zekerheid </w:t>
      </w:r>
      <w:r>
        <w:t xml:space="preserve">(gedeeltelijke) dubbele stimulering te voorkomen. </w:t>
      </w:r>
      <w:r w:rsidR="00BC0975">
        <w:t>Ook is o</w:t>
      </w:r>
      <w:r>
        <w:t xml:space="preserve">p dit moment het potentieel van realistische projecten te onzeker. </w:t>
      </w:r>
    </w:p>
    <w:p w:rsidR="00D70BB2" w:rsidP="00D8779E" w:rsidRDefault="00D70BB2" w14:paraId="4692D77A" w14:textId="77777777">
      <w:pPr>
        <w:rPr>
          <w:i/>
          <w:iCs/>
        </w:rPr>
      </w:pPr>
    </w:p>
    <w:p w:rsidR="00D70BB2" w:rsidP="00D8779E" w:rsidRDefault="00D70BB2" w14:paraId="0A61482D" w14:textId="77777777">
      <w:pPr>
        <w:rPr>
          <w:i/>
          <w:iCs/>
        </w:rPr>
      </w:pPr>
      <w:r w:rsidRPr="6952EB7C">
        <w:rPr>
          <w:i/>
          <w:iCs/>
        </w:rPr>
        <w:t xml:space="preserve">Categorieën zonder aanvragen en/of marktinteresse </w:t>
      </w:r>
    </w:p>
    <w:p w:rsidR="00D70BB2" w:rsidP="00D8779E" w:rsidRDefault="00D70BB2" w14:paraId="511AAC8E" w14:textId="77777777">
      <w:r w:rsidRPr="016F20D0">
        <w:rPr>
          <w:lang w:val="de-DE"/>
        </w:rPr>
        <w:t xml:space="preserve">Een aantal categorieën waren tot nu toe wel onderdeel van de SDE, maar zijn door het PBL niet in het advies opgenomen, omdat </w:t>
      </w:r>
      <w:r w:rsidRPr="579809FF">
        <w:rPr>
          <w:lang w:val="de-DE"/>
        </w:rPr>
        <w:t>er drie</w:t>
      </w:r>
      <w:r w:rsidRPr="016F20D0">
        <w:rPr>
          <w:lang w:val="de-DE"/>
        </w:rPr>
        <w:t xml:space="preserve"> jaar lang geen aanvragen voor waren. Het gaat hierbij om de daglichtkas, waterkracht ≥ 50 cm, osmose, ultradiepe geothermie en k</w:t>
      </w:r>
      <w:r>
        <w:t>etel op B-hout. Ook de kleine ketel vaste biomassa is niet meer in het advies opgenomen. Deze categorieën worden dus niet opengesteld. Voor de categorie wind met de hoogste windsnelheid (wind ≥ 8,5 meter per seconde) geldt dat deze wordt samengevoegd met de categorie wind ≥ 8 meter per seconde, omdat er voor de hogere windsnelheid geen projecten worden verwacht.</w:t>
      </w:r>
    </w:p>
    <w:p w:rsidR="00D70BB2" w:rsidP="00D8779E" w:rsidRDefault="00D70BB2" w14:paraId="075AA4FF" w14:textId="77777777"/>
    <w:p w:rsidR="00D70BB2" w:rsidP="00D8779E" w:rsidRDefault="00D70BB2" w14:paraId="3B788335" w14:textId="77777777">
      <w:pPr>
        <w:rPr>
          <w:b/>
          <w:bCs/>
        </w:rPr>
      </w:pPr>
      <w:r w:rsidRPr="6952EB7C">
        <w:rPr>
          <w:b/>
          <w:bCs/>
        </w:rPr>
        <w:t>Overige aandachtspunten en ontwikkelingen</w:t>
      </w:r>
    </w:p>
    <w:p w:rsidR="00D70BB2" w:rsidP="00D8779E" w:rsidRDefault="00D70BB2" w14:paraId="194E676A" w14:textId="77777777">
      <w:r>
        <w:t xml:space="preserve">Naast de eerdergenoemde, meest omvangrijke wijzigingen in de SDE++ voor </w:t>
      </w:r>
    </w:p>
    <w:p w:rsidR="00D70BB2" w:rsidP="00D8779E" w:rsidRDefault="00D70BB2" w14:paraId="6FE21B35" w14:textId="77777777">
      <w:r>
        <w:t xml:space="preserve">2025 zijn er andere aandachtspunten en ontwikkelingen met betrekking tot de </w:t>
      </w:r>
    </w:p>
    <w:p w:rsidR="00D70BB2" w:rsidP="00D8779E" w:rsidRDefault="00D70BB2" w14:paraId="503AA7F4" w14:textId="77777777">
      <w:r>
        <w:t>SDE++.</w:t>
      </w:r>
    </w:p>
    <w:p w:rsidR="00D70BB2" w:rsidP="00D8779E" w:rsidRDefault="00D70BB2" w14:paraId="754A2476" w14:textId="77777777"/>
    <w:p w:rsidR="00D70BB2" w:rsidP="00D8779E" w:rsidRDefault="00D70BB2" w14:paraId="3865C77E" w14:textId="77777777">
      <w:pPr>
        <w:rPr>
          <w:i/>
          <w:iCs/>
        </w:rPr>
      </w:pPr>
      <w:r>
        <w:rPr>
          <w:i/>
          <w:iCs/>
        </w:rPr>
        <w:t>Natuurinclusief zon-PV op land</w:t>
      </w:r>
    </w:p>
    <w:p w:rsidRPr="00C15280" w:rsidR="00D70BB2" w:rsidP="00D8779E" w:rsidRDefault="00D70BB2" w14:paraId="33A2F3BB" w14:textId="77777777">
      <w:r>
        <w:t>Zoals in eerdere kamerbrieven is aangekondigd zijn er, in samenwerking met lokale overheden, natuurinclusieve maatregelen vastgesteld die gelden voor zon-PV projecten op land. Vanaf de openstellingsronde van 2025 zullen nog enkel de natuurinclusieve categorieën voor zon op land opengesteld worden.</w:t>
      </w:r>
    </w:p>
    <w:p w:rsidR="00D70BB2" w:rsidP="00D8779E" w:rsidRDefault="00D70BB2" w14:paraId="0D6D274D" w14:textId="77777777">
      <w:pPr>
        <w:rPr>
          <w:i/>
          <w:iCs/>
        </w:rPr>
      </w:pPr>
    </w:p>
    <w:p w:rsidR="00D70BB2" w:rsidP="00D8779E" w:rsidRDefault="00D70BB2" w14:paraId="2F896AB3" w14:textId="77777777">
      <w:pPr>
        <w:rPr>
          <w:i/>
          <w:iCs/>
        </w:rPr>
      </w:pPr>
      <w:r w:rsidRPr="6952EB7C">
        <w:rPr>
          <w:i/>
          <w:iCs/>
        </w:rPr>
        <w:t>Hoge-temperatuur-warmtepomp</w:t>
      </w:r>
      <w:r w:rsidRPr="3187FFCD">
        <w:rPr>
          <w:i/>
          <w:iCs/>
        </w:rPr>
        <w:t xml:space="preserve"> </w:t>
      </w:r>
      <w:r w:rsidRPr="457BB049">
        <w:rPr>
          <w:i/>
          <w:iCs/>
        </w:rPr>
        <w:t>in combinatie met warmtebronnen</w:t>
      </w:r>
    </w:p>
    <w:p w:rsidRPr="00FC740A" w:rsidR="00D70BB2" w:rsidP="00D8779E" w:rsidRDefault="00D70BB2" w14:paraId="45CF1192" w14:textId="0AEB423C">
      <w:r>
        <w:t xml:space="preserve">Het PBL heeft in haar advies verschillende categorieën voor de toepassing van hoge-temperatuur-warmtepompen opgenomen. Dit type warmtepompen verschilt van de bestaande categorieën, doordat ze gericht zijn op </w:t>
      </w:r>
      <w:r w:rsidR="00AF6E60">
        <w:t>het maken van warmte van ten minste 100</w:t>
      </w:r>
      <w:r>
        <w:t xml:space="preserve"> graden Celsius. </w:t>
      </w:r>
      <w:r w:rsidR="008E609A">
        <w:t>Grootschalige warmtenetten maken vaak gebruik van stooklijnen met temperaturen van boven de 100 graden Celsius om voldoende transportcapaciteit van warmte te kunnen realiseren.</w:t>
      </w:r>
      <w:r w:rsidRPr="00177E13" w:rsidR="008E609A">
        <w:t xml:space="preserve"> </w:t>
      </w:r>
      <w:r w:rsidR="008E609A">
        <w:t xml:space="preserve">Om deze, vaak fossiel gevoede, warmtenetten te kunnen verduurzamen zijn duurzame hoge temperatuur warmtebronnen nodig. Op termijn is het wenselijk dat de leveringstemperatuur van het warmtenet lager wordt. </w:t>
      </w:r>
      <w:r w:rsidRPr="2C090A1F">
        <w:t xml:space="preserve">In dat geval is er minder </w:t>
      </w:r>
      <w:r w:rsidR="00EC4B20">
        <w:t>transportcapaciteit</w:t>
      </w:r>
      <w:r w:rsidRPr="2C090A1F" w:rsidR="00EC4B20">
        <w:t xml:space="preserve"> </w:t>
      </w:r>
      <w:r w:rsidRPr="2C090A1F">
        <w:t xml:space="preserve">nodig </w:t>
      </w:r>
      <w:r w:rsidR="00FB71EC">
        <w:t>wat een positief effect heeft op de efficiëntie van de warmteproductie</w:t>
      </w:r>
      <w:r w:rsidRPr="2C090A1F">
        <w:t>. Het is echter niet eenvoudig om de temperatuur in het warmtenet op korte termijn te verlagen, bijvoorbeeld in verband met bestaande warmteleveringsovereenkomsten. Dit type warmtepompen</w:t>
      </w:r>
      <w:r>
        <w:t xml:space="preserve"> is in het advies altijd in combinatie met een bepaalde warmtebron (restwarmte, aquathermie, geothermie of lucht-water-warmtepomp). Deze nieuwe categorieën worden in 2025 niet </w:t>
      </w:r>
      <w:r w:rsidRPr="2C090A1F">
        <w:t xml:space="preserve">separaat </w:t>
      </w:r>
      <w:r>
        <w:t>opengesteld</w:t>
      </w:r>
      <w:r w:rsidRPr="2C090A1F">
        <w:t>, maar er wordt echter wel bekeken hoe de bestaande categorieën kunnen worden vormgegeven, zodat dit soort projecten ook hiervan gebruik kan maken. Het gaat hierbij bijvoorbeeld om de vereiste efficiëntie van de warmtepomp. Hiermee hebben warmtenetten die voorlopig nog opereren op een hoge temperatuur zicht op mogelijkheden tot verduurzaming en borging van leveringszekerheid.</w:t>
      </w:r>
      <w:r>
        <w:t xml:space="preserve"> De bestaande categorie voor geothermie </w:t>
      </w:r>
      <w:r w:rsidR="00047725">
        <w:t xml:space="preserve">(basislast) </w:t>
      </w:r>
      <w:r>
        <w:t>wordt gecontinueerd.</w:t>
      </w:r>
    </w:p>
    <w:p w:rsidR="00D70BB2" w:rsidP="00D8779E" w:rsidRDefault="00D70BB2" w14:paraId="33E1DEE3" w14:textId="77777777">
      <w:pPr>
        <w:rPr>
          <w:i/>
          <w:iCs/>
        </w:rPr>
      </w:pPr>
    </w:p>
    <w:p w:rsidR="00D70BB2" w:rsidP="00D8779E" w:rsidRDefault="0072261B" w14:paraId="060DE96D" w14:textId="1C508854">
      <w:pPr>
        <w:rPr>
          <w:highlight w:val="yellow"/>
        </w:rPr>
      </w:pPr>
      <w:r>
        <w:rPr>
          <w:i/>
          <w:iCs/>
        </w:rPr>
        <w:t>Z</w:t>
      </w:r>
      <w:r w:rsidR="00D70BB2">
        <w:rPr>
          <w:i/>
          <w:iCs/>
        </w:rPr>
        <w:t>eefstudie en BECCS</w:t>
      </w:r>
    </w:p>
    <w:p w:rsidR="00D70BB2" w:rsidP="00D8779E" w:rsidRDefault="00D70BB2" w14:paraId="5EC0BAE2" w14:textId="77777777">
      <w:pPr>
        <w:rPr>
          <w:highlight w:val="yellow"/>
        </w:rPr>
      </w:pPr>
      <w:r w:rsidRPr="003E3F8F">
        <w:t>CE Delft</w:t>
      </w:r>
      <w:r>
        <w:t xml:space="preserve"> heeft</w:t>
      </w:r>
      <w:r w:rsidRPr="003E3F8F">
        <w:t xml:space="preserve"> </w:t>
      </w:r>
      <w:r>
        <w:t>de</w:t>
      </w:r>
      <w:r w:rsidRPr="003E3F8F">
        <w:t xml:space="preserve"> zogenoemde “zeefstudie” voor CCS uitgevoerd (zie bijlage). In het </w:t>
      </w:r>
      <w:r w:rsidRPr="00734C1D">
        <w:t>Klimaatakkoord is afgesproken dat subsidiëring van CCS niet ten koste mag gaan van de ontwikkeling van duurzame energietechnieken. De zeefstudie heeft als doel om te bepalen of er alternatieve CO</w:t>
      </w:r>
      <w:r w:rsidRPr="00734C1D">
        <w:rPr>
          <w:vertAlign w:val="subscript"/>
        </w:rPr>
        <w:t>2</w:t>
      </w:r>
      <w:r w:rsidRPr="00734C1D">
        <w:t xml:space="preserve">-reducerende maatregelen zijn waarvan de kosteneffectiviteit vergelijkbaar is met die van CCS, om zo te bepalen of stimulering van CCS middels de SDE++passend is. </w:t>
      </w:r>
      <w:r w:rsidRPr="00C15280">
        <w:t xml:space="preserve">Het onderzoek geeft geen aanleiding tot het uitsluiten van gehele CCS-categorieën in de SDE++ van 2025. Wel toont het onderzoek aan dat er voor enkele specifieke processen, het indampen van waterige oplossingen en de productie van lage-temperatuur-stoom, duurzame kosteneffectieve alternatieven voorhanden zijn. Het voornemen is daarom om het in de 2025-ronde niet meer mogelijk te maken om </w:t>
      </w:r>
      <w:r>
        <w:t>voor</w:t>
      </w:r>
      <w:r w:rsidRPr="00C15280">
        <w:t xml:space="preserve"> deze processen CCS</w:t>
      </w:r>
      <w:r>
        <w:t>-subsidie te ontvangen</w:t>
      </w:r>
      <w:r w:rsidRPr="00C15280">
        <w:t xml:space="preserve">. </w:t>
      </w:r>
    </w:p>
    <w:p w:rsidR="00D70BB2" w:rsidP="00D8779E" w:rsidRDefault="00D70BB2" w14:paraId="22CE6A76" w14:textId="77777777"/>
    <w:p w:rsidRPr="008B3512" w:rsidR="00D70BB2" w:rsidP="00D8779E" w:rsidRDefault="00D70BB2" w14:paraId="63D6FC18" w14:textId="25CF16D7">
      <w:r w:rsidRPr="008B3512">
        <w:t>Het PBL schrijft in het advies dat er veel interesse is in de markt voor de afvang en opslag van biogene emissies, onder andere bij biomassaenergiecentrales. Voor afval- en biomassaenergiecentrales bestaat er al een aparte categorie in de SDE++ met een maximumcapaciteit van 100 MWe</w:t>
      </w:r>
      <w:r>
        <w:t>,</w:t>
      </w:r>
      <w:r w:rsidRPr="00510BD4">
        <w:rPr>
          <w:color w:val="FF0000"/>
          <w:szCs w:val="18"/>
        </w:rPr>
        <w:t xml:space="preserve"> </w:t>
      </w:r>
      <w:r w:rsidRPr="00510BD4">
        <w:t>die in 2025 opnieuw wordt opengesteld. In het kader van de bredere besluitvorming over klimaatmaatregelen kijkt het kabinet ook naar negatieve emissies. De Kamer wordt hierover vóór de zomer geïnformeerd.</w:t>
      </w:r>
      <w:r w:rsidR="004C4A64">
        <w:t xml:space="preserve"> </w:t>
      </w:r>
      <w:r w:rsidRPr="00B7155B" w:rsidR="00B7155B">
        <w:rPr>
          <w:color w:val="000000" w:themeColor="text1"/>
        </w:rPr>
        <w:t>Het is mogelijk dat ontwikkelingen in beleid en regelgeving gaa</w:t>
      </w:r>
      <w:r w:rsidR="00B7155B">
        <w:rPr>
          <w:color w:val="000000" w:themeColor="text1"/>
        </w:rPr>
        <w:t>n</w:t>
      </w:r>
      <w:r w:rsidRPr="00B7155B" w:rsidR="00B7155B">
        <w:rPr>
          <w:color w:val="000000" w:themeColor="text1"/>
        </w:rPr>
        <w:t xml:space="preserve"> zorgen voor extra stimulering van</w:t>
      </w:r>
      <w:r w:rsidR="00FF2524">
        <w:rPr>
          <w:color w:val="000000" w:themeColor="text1"/>
        </w:rPr>
        <w:t xml:space="preserve"> CO</w:t>
      </w:r>
      <w:r w:rsidR="00FF2524">
        <w:rPr>
          <w:color w:val="000000" w:themeColor="text1"/>
          <w:vertAlign w:val="subscript"/>
        </w:rPr>
        <w:t>2</w:t>
      </w:r>
      <w:r w:rsidR="00FF2524">
        <w:rPr>
          <w:color w:val="000000" w:themeColor="text1"/>
        </w:rPr>
        <w:t>-reductie door middel van</w:t>
      </w:r>
      <w:r w:rsidRPr="00B7155B" w:rsidR="00B7155B">
        <w:rPr>
          <w:color w:val="000000" w:themeColor="text1"/>
        </w:rPr>
        <w:t xml:space="preserve"> de inzet van CCS of CCU, bijvoorbeeld bij de productie van groen gas en biobrandstoffen.</w:t>
      </w:r>
      <w:r w:rsidR="00673282">
        <w:rPr>
          <w:rStyle w:val="Voetnootmarkering"/>
          <w:color w:val="000000" w:themeColor="text1"/>
        </w:rPr>
        <w:footnoteReference w:id="14"/>
      </w:r>
      <w:r w:rsidRPr="00BA7965" w:rsidR="003B27F9">
        <w:rPr>
          <w:color w:val="000000" w:themeColor="text1"/>
        </w:rPr>
        <w:t xml:space="preserve"> Zodra dit het geval is ben ik voornemens om met deze meeropbrengsten rekening te houden bij het berekenen van de bijbehorende correctiebedragen onder de voorwaarde dat het uitvoerbaar is en deze meer</w:t>
      </w:r>
      <w:r w:rsidR="00B5460D">
        <w:rPr>
          <w:color w:val="000000" w:themeColor="text1"/>
        </w:rPr>
        <w:t>opbrengsten</w:t>
      </w:r>
      <w:r w:rsidRPr="00BA7965" w:rsidR="003B27F9">
        <w:rPr>
          <w:color w:val="000000" w:themeColor="text1"/>
        </w:rPr>
        <w:t xml:space="preserve"> door PBL kunnen worden vastgesteld.</w:t>
      </w:r>
    </w:p>
    <w:p w:rsidR="00D70BB2" w:rsidP="00D8779E" w:rsidRDefault="00D70BB2" w14:paraId="49920CA5" w14:textId="77777777"/>
    <w:p w:rsidR="00D70BB2" w:rsidP="00D8779E" w:rsidRDefault="3D582EF4" w14:paraId="02FBED50" w14:textId="69207B01">
      <w:pPr>
        <w:rPr>
          <w:i/>
          <w:iCs/>
        </w:rPr>
      </w:pPr>
      <w:r w:rsidRPr="4CEE5055">
        <w:rPr>
          <w:i/>
          <w:iCs/>
        </w:rPr>
        <w:t>Omgang met schaarse netcapaciteit en systeemkosten</w:t>
      </w:r>
    </w:p>
    <w:p w:rsidR="00D70BB2" w:rsidP="00D8779E" w:rsidRDefault="00D70BB2" w14:paraId="15CBC199" w14:textId="0391D588">
      <w:r>
        <w:t xml:space="preserve">De vraag naar nieuwe netaansluitingen in Nederland is momenteel groter dan waar netbeheerders de komende jaren in kunnen voorzien. </w:t>
      </w:r>
      <w:r w:rsidR="64B824EE">
        <w:t xml:space="preserve">In het debat van 29 januari jl. heb ik </w:t>
      </w:r>
      <w:r w:rsidR="46B499B3">
        <w:t xml:space="preserve">aan het lid Grinwis (ChristenUnie) </w:t>
      </w:r>
      <w:r w:rsidR="64B824EE">
        <w:t xml:space="preserve">toegezegd om in deze brief in te gaan </w:t>
      </w:r>
      <w:r w:rsidR="58F90389">
        <w:t>op hoe dit soort systeemkosten kan worden meegenomen in de SDE++.</w:t>
      </w:r>
      <w:r w:rsidR="00D8779E">
        <w:t xml:space="preserve"> </w:t>
      </w:r>
      <w:r>
        <w:t xml:space="preserve">Het PBL heeft </w:t>
      </w:r>
      <w:r w:rsidR="74FBD699">
        <w:t>op verzoek van het kabinet in het advies uitdrukkelijk</w:t>
      </w:r>
      <w:r w:rsidRPr="4CEE5055">
        <w:rPr>
          <w:rStyle w:val="Voetnootmarkering"/>
        </w:rPr>
        <w:footnoteReference w:id="15"/>
      </w:r>
      <w:r w:rsidR="74FBD699">
        <w:t xml:space="preserve"> </w:t>
      </w:r>
      <w:r>
        <w:t>gekeken naar mogelijkheden om om te gaan met deze schaarste aan netcapaciteit. De</w:t>
      </w:r>
      <w:r w:rsidR="6B347E9F">
        <w:t>ze</w:t>
      </w:r>
      <w:r>
        <w:t xml:space="preserve"> schaarste vormt </w:t>
      </w:r>
      <w:r w:rsidR="4767D0C1">
        <w:t xml:space="preserve">bijvoorbeeld </w:t>
      </w:r>
      <w:r>
        <w:t>een beperking voor elektrificatie. Voor een vaste netaansluiting is vaak geen capaciteit beschikbaar op afzienbare termijn. Als het mogelijk is om een installatie flexibel in te zetten, kunnen de zogenaamde alternatieve transportrechten (ATR) uitkomst bieden. In het advies van het PBL zijn ATR toegepast voor drie categorieën: grootschalige elektrische boilers, hogetemperatuur thermische opslag en waterstof via elektrolyse (bij aansluiting op het hoogspanningsnet). Voor elektrolyse gaat het om een tijdsduurgebonden transportovereenkomst op het hoogspanningsnet, voor de elektrische boilers en thermische opslag om een non-firm aansluit- en transportoverreenkomst (non-firm ATO). Gegeven de lagere transportkosten en de flexibele opzet van deze categorieën is het aannemelijk dat voor de betreffende projecten ook daadwerkelijk een ATR wordt afgesloten. Het advies van het PBL wordt overgenomen om de toepassing van een ATR voor deze categorieën mee te nemen in het basisbedrag.</w:t>
      </w:r>
      <w:r w:rsidR="5CD8D94D">
        <w:t xml:space="preserve"> Dit leidt er toe dat deze technieken in de rangschikking van technieken eerder aan bod komen.</w:t>
      </w:r>
    </w:p>
    <w:p w:rsidR="2A2F6BF7" w:rsidP="00D8779E" w:rsidRDefault="2A2F6BF7" w14:paraId="1842783C" w14:textId="67A72EDE"/>
    <w:p w:rsidR="5CD8D94D" w:rsidP="00D8779E" w:rsidRDefault="5CD8D94D" w14:paraId="29DF6B8C" w14:textId="7850B9D6">
      <w:r>
        <w:t xml:space="preserve">Over het verder meenemen </w:t>
      </w:r>
      <w:r w:rsidR="55C6D0D0">
        <w:t xml:space="preserve">van systeemkosten in de SDE++ is </w:t>
      </w:r>
      <w:r w:rsidR="00BE5FAA">
        <w:t>de</w:t>
      </w:r>
      <w:r w:rsidR="55C6D0D0">
        <w:t xml:space="preserve"> Kamer op 26 april 2023 reeds eerder geïnformeerd (Kamerstuk 31 329, nr. 377).</w:t>
      </w:r>
      <w:r w:rsidR="513849EE">
        <w:t xml:space="preserve"> Vanwege de introductie van de hekjes is het risico een</w:t>
      </w:r>
      <w:r w:rsidR="72CAE097">
        <w:t xml:space="preserve"> </w:t>
      </w:r>
      <w:r w:rsidR="513849EE">
        <w:t xml:space="preserve">stuk kleiner dat duurdere opties met lage systeemkosten minder aan bod komen in de SDE++. De noodzaak van het opnemen van systeemkosten in de SDE++ is hiermee een stuk verminderd. Daarnaast kwam destijds uit een evaluatie van de SDE+ naar voren dat het meenemen van systeemkosten het meest haalbaar zou zijn bij energiesysteemkosten bij zon-PV en wind-op-land, en bij luchtverontreiniging door biomassa. Gezien de subsidiestop voor biomassaprojecten voor lagetemperatuurwarmte en het beperkte aantal verwachte toekomstige biomassaprojecten en gegeven de complexiteit van het meenemen van systeemkosten voor luchtvervuiling is </w:t>
      </w:r>
      <w:r w:rsidR="16BE84F2">
        <w:t xml:space="preserve">er </w:t>
      </w:r>
      <w:r w:rsidR="47A789CE">
        <w:t xml:space="preserve">destijds </w:t>
      </w:r>
      <w:r w:rsidR="513849EE">
        <w:t xml:space="preserve">voor gekozen deze niet mee te nemen in de SDE++. Ook voor zon- en windprojecten blijkt het erg complex om systeemkosten mee te nemen in de systematiek van de SDE++, omdat de hoogte van de systeemkosten per individueel project verschilt. </w:t>
      </w:r>
      <w:r w:rsidR="1D2E297E">
        <w:t xml:space="preserve">Bovendien zouden </w:t>
      </w:r>
      <w:r w:rsidR="513849EE">
        <w:t>deze technieken hoogstwaarschijnlijk ook dan aan bod komen en binnen het openstellingsbudget vallen</w:t>
      </w:r>
      <w:r w:rsidR="14F15307">
        <w:t xml:space="preserve">, waardoor er </w:t>
      </w:r>
      <w:r w:rsidR="6DBE767D">
        <w:t>feitelijk geen effect is van het meenemen van de systeemkosten</w:t>
      </w:r>
      <w:r w:rsidR="513849EE">
        <w:t xml:space="preserve">. </w:t>
      </w:r>
      <w:r w:rsidR="5B1C481D">
        <w:t>Te</w:t>
      </w:r>
      <w:r w:rsidR="513849EE">
        <w:t>n</w:t>
      </w:r>
      <w:r w:rsidR="18C11203">
        <w:t>slotte</w:t>
      </w:r>
      <w:r w:rsidR="513849EE">
        <w:t xml:space="preserve"> hebben ook andere technieken substantiële, maar moeilijk te bepalen systeemkosten.</w:t>
      </w:r>
    </w:p>
    <w:p w:rsidR="00D70BB2" w:rsidP="00D8779E" w:rsidRDefault="00D70BB2" w14:paraId="44CED284" w14:textId="77777777"/>
    <w:p w:rsidR="00D70BB2" w:rsidP="00D8779E" w:rsidRDefault="00D70BB2" w14:paraId="4D6EEAD1" w14:textId="77777777">
      <w:pPr>
        <w:rPr>
          <w:i/>
          <w:iCs/>
        </w:rPr>
      </w:pPr>
      <w:r w:rsidRPr="6952EB7C">
        <w:rPr>
          <w:i/>
          <w:iCs/>
        </w:rPr>
        <w:t>Categorie voor de industriële warmtepomp met 5.000 vollasturen</w:t>
      </w:r>
    </w:p>
    <w:p w:rsidR="00D70BB2" w:rsidP="00D8779E" w:rsidRDefault="00D70BB2" w14:paraId="33333E1A" w14:textId="77777777">
      <w:r>
        <w:t>Het PBL heeft in haar advies een categorie industriële warmtepomp met 5.000 vollasturen opgenomen. Tot nu toe zijn er in de SDE++ alleen categorieën voor 3.000 en 8.000 vollasturen. Het PBL adviseert een dergelijke categorie om dit voor sommige type producenten (een weekbedrijf of batch-productie) passend kan zijn. Een staffel met drie verschillende vollasturen zorgt voor een betere aansluiting tussen de subsidie en het daadwerkelijke gebruiksprofiel van warmtepomp-projecten. Het voornemen is om deze categorie open te stellen, tenzij in de uitwerking blijkt dat deze categorie onvoldoende kan worden afgebakend en daarmee ongewenste prikkels worden geïntroduceerd.</w:t>
      </w:r>
    </w:p>
    <w:p w:rsidR="00D70BB2" w:rsidP="00D8779E" w:rsidRDefault="00D70BB2" w14:paraId="4FE22DAE" w14:textId="77777777"/>
    <w:p w:rsidR="00D70BB2" w:rsidP="00D8779E" w:rsidRDefault="00D70BB2" w14:paraId="32FF5BEE" w14:textId="77777777">
      <w:pPr>
        <w:rPr>
          <w:i/>
          <w:iCs/>
        </w:rPr>
      </w:pPr>
      <w:r w:rsidRPr="6952EB7C">
        <w:rPr>
          <w:i/>
          <w:iCs/>
        </w:rPr>
        <w:t>Vergisting</w:t>
      </w:r>
    </w:p>
    <w:p w:rsidR="00D70BB2" w:rsidP="00D8779E" w:rsidRDefault="00D70BB2" w14:paraId="09768CA3" w14:textId="77777777">
      <w:pPr>
        <w:rPr>
          <w:rFonts w:eastAsia="Verdana" w:cs="Verdana"/>
          <w:color w:val="000000" w:themeColor="text1"/>
          <w:szCs w:val="18"/>
        </w:rPr>
      </w:pPr>
      <w:r w:rsidRPr="6952EB7C">
        <w:rPr>
          <w:rFonts w:eastAsia="Verdana" w:cs="Verdana"/>
          <w:color w:val="000000" w:themeColor="text1"/>
          <w:szCs w:val="18"/>
        </w:rPr>
        <w:t>Het PBL heeft in het advies</w:t>
      </w:r>
      <w:r>
        <w:rPr>
          <w:rFonts w:eastAsia="Verdana" w:cs="Verdana"/>
          <w:color w:val="000000" w:themeColor="text1"/>
          <w:szCs w:val="18"/>
        </w:rPr>
        <w:t xml:space="preserve"> </w:t>
      </w:r>
      <w:r w:rsidRPr="6952EB7C">
        <w:rPr>
          <w:rFonts w:eastAsia="Verdana" w:cs="Verdana"/>
          <w:color w:val="000000" w:themeColor="text1"/>
          <w:szCs w:val="18"/>
        </w:rPr>
        <w:t xml:space="preserve">het aantal categorieën voor monomestvergisting uitgebreid van drie (&lt;110 kW, 110-450 kW, &gt; 450 kW) naar vijf (&lt;110 kW, 110-275 kW, 275-450 kW, 450-1500 kW, &gt;1500 kW). Hierbij is de referentie-installatie voor de categorie 450 –1500 kW gebaseerd op een mesthub. Bij een mesthub wordt de mest van een groep boeren over de weg vervoerd naar een centraal gelegen vergister en wordt het digestaat ook weer uitgereden over het land van de boeren. </w:t>
      </w:r>
      <w:r>
        <w:rPr>
          <w:rFonts w:eastAsia="Verdana" w:cs="Verdana"/>
          <w:color w:val="000000" w:themeColor="text1"/>
          <w:szCs w:val="18"/>
        </w:rPr>
        <w:t xml:space="preserve">In principe wordt met deze ontwikkeling de vergisting van melkveemest meer ontsloten en op een professionelere schaal uitgevoerd. </w:t>
      </w:r>
      <w:r w:rsidRPr="6952EB7C">
        <w:rPr>
          <w:rFonts w:eastAsia="Verdana" w:cs="Verdana"/>
          <w:color w:val="000000" w:themeColor="text1"/>
          <w:szCs w:val="18"/>
        </w:rPr>
        <w:t xml:space="preserve">Dit concept heeft aanvullende kosten door de aanvoer en afvoerkosten van mest. Het is binnen de SDE++ echter </w:t>
      </w:r>
      <w:r>
        <w:rPr>
          <w:rFonts w:eastAsia="Verdana" w:cs="Verdana"/>
          <w:color w:val="000000" w:themeColor="text1"/>
          <w:szCs w:val="18"/>
        </w:rPr>
        <w:t>n</w:t>
      </w:r>
      <w:r w:rsidRPr="6952EB7C">
        <w:rPr>
          <w:rFonts w:eastAsia="Verdana" w:cs="Verdana"/>
          <w:color w:val="000000" w:themeColor="text1"/>
          <w:szCs w:val="18"/>
        </w:rPr>
        <w:t>iet goed uitvoerbaar om aanvullende eisen te stellen aan de herkomst en bestemming van de gebruikte mest of digestaat. Het is daarmee ook niet wenselijk om een mesthub te vereisen.</w:t>
      </w:r>
    </w:p>
    <w:p w:rsidR="00D70BB2" w:rsidP="00D8779E" w:rsidRDefault="00D70BB2" w14:paraId="23FDEE28" w14:textId="77777777">
      <w:pPr>
        <w:rPr>
          <w:rFonts w:eastAsia="Verdana" w:cs="Verdana"/>
          <w:color w:val="000000" w:themeColor="text1"/>
          <w:szCs w:val="18"/>
        </w:rPr>
      </w:pPr>
    </w:p>
    <w:p w:rsidR="00D70BB2" w:rsidP="00D8779E" w:rsidRDefault="00D70BB2" w14:paraId="5FA63D0F" w14:textId="77777777">
      <w:pPr>
        <w:rPr>
          <w:rFonts w:eastAsia="Verdana" w:cs="Verdana"/>
          <w:color w:val="000000" w:themeColor="text1"/>
          <w:szCs w:val="18"/>
        </w:rPr>
      </w:pPr>
      <w:r w:rsidRPr="6952EB7C">
        <w:rPr>
          <w:rFonts w:eastAsia="Verdana" w:cs="Verdana"/>
          <w:color w:val="000000" w:themeColor="text1"/>
          <w:szCs w:val="18"/>
        </w:rPr>
        <w:t>Het opgesteld vermogen van een vergister die invoedt op een hub is lastig te bepalen en beoordelen door RVO omdat het afhankelijk is van diverse factoren (type mest, versheid mest</w:t>
      </w:r>
      <w:r>
        <w:rPr>
          <w:rFonts w:eastAsia="Verdana" w:cs="Verdana"/>
          <w:color w:val="000000" w:themeColor="text1"/>
          <w:szCs w:val="18"/>
        </w:rPr>
        <w:t>,</w:t>
      </w:r>
      <w:r w:rsidRPr="6952EB7C">
        <w:rPr>
          <w:rFonts w:eastAsia="Verdana" w:cs="Verdana"/>
          <w:color w:val="000000" w:themeColor="text1"/>
          <w:szCs w:val="18"/>
        </w:rPr>
        <w:t xml:space="preserve"> verblijftijd). Hierdoor ontstaat het risico op </w:t>
      </w:r>
      <w:r w:rsidRPr="4820740D">
        <w:rPr>
          <w:rFonts w:eastAsia="Verdana" w:cs="Verdana"/>
          <w:color w:val="000000" w:themeColor="text1"/>
          <w:szCs w:val="18"/>
        </w:rPr>
        <w:t>strategisch gedrag</w:t>
      </w:r>
      <w:r w:rsidRPr="6952EB7C">
        <w:rPr>
          <w:rFonts w:eastAsia="Verdana" w:cs="Verdana"/>
          <w:color w:val="000000" w:themeColor="text1"/>
          <w:szCs w:val="18"/>
        </w:rPr>
        <w:t xml:space="preserve"> om in aanmerking te komen voor een hoger basisbedrag. Dit risico </w:t>
      </w:r>
      <w:r w:rsidRPr="20FA3D00">
        <w:rPr>
          <w:rFonts w:eastAsia="Verdana" w:cs="Verdana"/>
          <w:color w:val="000000" w:themeColor="text1"/>
          <w:szCs w:val="18"/>
        </w:rPr>
        <w:t>wordt</w:t>
      </w:r>
      <w:r w:rsidRPr="6952EB7C">
        <w:rPr>
          <w:rFonts w:eastAsia="Verdana" w:cs="Verdana"/>
          <w:color w:val="000000" w:themeColor="text1"/>
          <w:szCs w:val="18"/>
        </w:rPr>
        <w:t xml:space="preserve"> verminderd door de categorieën voor 275 – 450 kW en 450 – 1500 kW samen te voegen voor het lagere basisbedrag van 275 – 450 kW. Hierdoor wordt voorkomen dat projecten die niet op een mesthub gebaseerd zijn worden overgestimuleerd en daalt het risico op </w:t>
      </w:r>
      <w:r w:rsidRPr="0B138479">
        <w:rPr>
          <w:rFonts w:eastAsia="Verdana" w:cs="Verdana"/>
          <w:color w:val="000000" w:themeColor="text1"/>
          <w:szCs w:val="18"/>
        </w:rPr>
        <w:t>strategisch gedrag</w:t>
      </w:r>
      <w:r w:rsidRPr="6952EB7C">
        <w:rPr>
          <w:rFonts w:eastAsia="Verdana" w:cs="Verdana"/>
          <w:color w:val="000000" w:themeColor="text1"/>
          <w:szCs w:val="18"/>
        </w:rPr>
        <w:t xml:space="preserve"> doordat de basisbedragen dalen als het vermogen van de installatie stijgt. Het nadeel is dat het mesthub concept mogelijk niet volledig</w:t>
      </w:r>
      <w:r>
        <w:rPr>
          <w:rFonts w:eastAsia="Verdana" w:cs="Verdana"/>
          <w:color w:val="000000" w:themeColor="text1"/>
          <w:szCs w:val="18"/>
        </w:rPr>
        <w:t xml:space="preserve"> financieel</w:t>
      </w:r>
      <w:r w:rsidRPr="6952EB7C">
        <w:rPr>
          <w:rFonts w:eastAsia="Verdana" w:cs="Verdana"/>
          <w:color w:val="000000" w:themeColor="text1"/>
          <w:szCs w:val="18"/>
        </w:rPr>
        <w:t xml:space="preserve"> ondersteund wordt. Ten opzichte van 2024 stijgt het basisbedrag met 2 cent per kWh.</w:t>
      </w:r>
    </w:p>
    <w:p w:rsidR="00D70BB2" w:rsidP="00D8779E" w:rsidRDefault="00D70BB2" w14:paraId="07816210" w14:textId="77777777">
      <w:pPr>
        <w:pStyle w:val="Geenafstand"/>
        <w:spacing w:line="240" w:lineRule="atLeast"/>
        <w:rPr>
          <w:rFonts w:ascii="Verdana" w:hAnsi="Verdana" w:eastAsia="Verdana" w:cs="Verdana"/>
          <w:color w:val="000000" w:themeColor="text1"/>
          <w:sz w:val="18"/>
          <w:szCs w:val="18"/>
          <w:lang w:val="nl-NL"/>
        </w:rPr>
      </w:pPr>
    </w:p>
    <w:p w:rsidR="00D70BB2" w:rsidP="00D8779E" w:rsidRDefault="00D70BB2" w14:paraId="099BABB9" w14:textId="77777777">
      <w:pPr>
        <w:pStyle w:val="Geenafstand"/>
        <w:spacing w:line="240" w:lineRule="atLeast"/>
        <w:rPr>
          <w:rFonts w:ascii="Verdana" w:hAnsi="Verdana" w:eastAsia="Verdana" w:cs="Verdana"/>
          <w:i/>
          <w:iCs/>
          <w:color w:val="000000" w:themeColor="text1"/>
          <w:sz w:val="18"/>
          <w:szCs w:val="18"/>
          <w:lang w:val="nl-NL"/>
        </w:rPr>
      </w:pPr>
      <w:r w:rsidRPr="6952EB7C">
        <w:rPr>
          <w:rFonts w:ascii="Verdana" w:hAnsi="Verdana" w:eastAsia="Verdana" w:cs="Verdana"/>
          <w:i/>
          <w:iCs/>
          <w:color w:val="000000" w:themeColor="text1"/>
          <w:sz w:val="18"/>
          <w:szCs w:val="18"/>
          <w:lang w:val="nl-NL"/>
        </w:rPr>
        <w:t>Vloeibare biomassa</w:t>
      </w:r>
    </w:p>
    <w:p w:rsidR="00D70BB2" w:rsidP="00D8779E" w:rsidRDefault="00D70BB2" w14:paraId="34179C9E" w14:textId="741C03CD">
      <w:pPr>
        <w:pStyle w:val="Geenafstand"/>
        <w:spacing w:line="240" w:lineRule="atLeast"/>
        <w:rPr>
          <w:rFonts w:ascii="Verdana" w:hAnsi="Verdana" w:eastAsia="Verdana" w:cs="Verdana"/>
          <w:color w:val="000000" w:themeColor="text1"/>
          <w:sz w:val="18"/>
          <w:szCs w:val="18"/>
          <w:lang w:val="nl-NL"/>
        </w:rPr>
      </w:pPr>
      <w:r w:rsidRPr="45EC1343">
        <w:rPr>
          <w:rFonts w:ascii="Verdana" w:hAnsi="Verdana" w:eastAsia="Verdana" w:cs="Verdana"/>
          <w:color w:val="000000" w:themeColor="text1"/>
          <w:sz w:val="18"/>
          <w:szCs w:val="18"/>
          <w:lang w:val="nl-NL"/>
        </w:rPr>
        <w:t xml:space="preserve">Door een stijging van </w:t>
      </w:r>
      <w:r w:rsidRPr="2A358BB4">
        <w:rPr>
          <w:rFonts w:ascii="Verdana" w:hAnsi="Verdana" w:eastAsia="Verdana" w:cs="Verdana"/>
          <w:color w:val="000000" w:themeColor="text1"/>
          <w:sz w:val="18"/>
          <w:szCs w:val="18"/>
          <w:lang w:val="nl-NL"/>
        </w:rPr>
        <w:t xml:space="preserve">de accijnstarieven </w:t>
      </w:r>
      <w:r w:rsidRPr="7E37D56A">
        <w:rPr>
          <w:rFonts w:ascii="Verdana" w:hAnsi="Verdana" w:eastAsia="Verdana" w:cs="Verdana"/>
          <w:color w:val="000000" w:themeColor="text1"/>
          <w:sz w:val="18"/>
          <w:szCs w:val="18"/>
          <w:lang w:val="nl-NL"/>
        </w:rPr>
        <w:t xml:space="preserve">per 1-1-2024 </w:t>
      </w:r>
      <w:r w:rsidRPr="67689079">
        <w:rPr>
          <w:rFonts w:ascii="Verdana" w:hAnsi="Verdana" w:eastAsia="Verdana" w:cs="Verdana"/>
          <w:color w:val="000000" w:themeColor="text1"/>
          <w:sz w:val="18"/>
          <w:szCs w:val="18"/>
          <w:lang w:val="nl-NL"/>
        </w:rPr>
        <w:t xml:space="preserve">zijn de inkoopkosten voor projecten </w:t>
      </w:r>
      <w:r w:rsidRPr="2201E6B8">
        <w:rPr>
          <w:rFonts w:ascii="Verdana" w:hAnsi="Verdana" w:eastAsia="Verdana" w:cs="Verdana"/>
          <w:color w:val="000000" w:themeColor="text1"/>
          <w:sz w:val="18"/>
          <w:szCs w:val="18"/>
          <w:lang w:val="nl-NL"/>
        </w:rPr>
        <w:t xml:space="preserve">die gebruik maken van vloeibare biomassa </w:t>
      </w:r>
      <w:r w:rsidRPr="144E3C20">
        <w:rPr>
          <w:rFonts w:ascii="Verdana" w:hAnsi="Verdana" w:eastAsia="Verdana" w:cs="Verdana"/>
          <w:color w:val="000000" w:themeColor="text1"/>
          <w:sz w:val="18"/>
          <w:szCs w:val="18"/>
          <w:lang w:val="nl-NL"/>
        </w:rPr>
        <w:t xml:space="preserve">sterk gestegen. </w:t>
      </w:r>
      <w:r w:rsidRPr="11CED524">
        <w:rPr>
          <w:rFonts w:ascii="Verdana" w:hAnsi="Verdana" w:eastAsia="Verdana" w:cs="Verdana"/>
          <w:color w:val="000000" w:themeColor="text1"/>
          <w:sz w:val="18"/>
          <w:szCs w:val="18"/>
          <w:lang w:val="nl-NL"/>
        </w:rPr>
        <w:t xml:space="preserve">PBL heeft </w:t>
      </w:r>
      <w:r w:rsidRPr="4894917D">
        <w:rPr>
          <w:rFonts w:ascii="Verdana" w:hAnsi="Verdana" w:eastAsia="Verdana" w:cs="Verdana"/>
          <w:color w:val="000000" w:themeColor="text1"/>
          <w:sz w:val="18"/>
          <w:szCs w:val="18"/>
          <w:lang w:val="nl-NL"/>
        </w:rPr>
        <w:t>hierbij</w:t>
      </w:r>
      <w:r w:rsidRPr="11CED524">
        <w:rPr>
          <w:rFonts w:ascii="Verdana" w:hAnsi="Verdana" w:eastAsia="Verdana" w:cs="Verdana"/>
          <w:color w:val="000000" w:themeColor="text1"/>
          <w:sz w:val="18"/>
          <w:szCs w:val="18"/>
          <w:lang w:val="nl-NL"/>
        </w:rPr>
        <w:t xml:space="preserve"> rekening mee </w:t>
      </w:r>
      <w:r w:rsidRPr="00754F6B">
        <w:rPr>
          <w:rFonts w:ascii="Verdana" w:hAnsi="Verdana" w:eastAsia="Verdana" w:cs="Verdana"/>
          <w:color w:val="000000" w:themeColor="text1"/>
          <w:sz w:val="18"/>
          <w:szCs w:val="18"/>
          <w:lang w:val="nl-NL"/>
        </w:rPr>
        <w:t xml:space="preserve">gehouden bij het berekenen </w:t>
      </w:r>
      <w:r w:rsidRPr="45673939">
        <w:rPr>
          <w:rFonts w:ascii="Verdana" w:hAnsi="Verdana" w:eastAsia="Verdana" w:cs="Verdana"/>
          <w:color w:val="000000" w:themeColor="text1"/>
          <w:sz w:val="18"/>
          <w:szCs w:val="18"/>
          <w:lang w:val="nl-NL"/>
        </w:rPr>
        <w:t xml:space="preserve">van de </w:t>
      </w:r>
      <w:r w:rsidRPr="6E9D6144">
        <w:rPr>
          <w:rFonts w:ascii="Verdana" w:hAnsi="Verdana" w:eastAsia="Verdana" w:cs="Verdana"/>
          <w:color w:val="000000" w:themeColor="text1"/>
          <w:sz w:val="18"/>
          <w:szCs w:val="18"/>
          <w:lang w:val="nl-NL"/>
        </w:rPr>
        <w:t>nieuwe basisbedragen</w:t>
      </w:r>
      <w:r w:rsidRPr="0E807411">
        <w:rPr>
          <w:rFonts w:ascii="Verdana" w:hAnsi="Verdana" w:eastAsia="Verdana" w:cs="Verdana"/>
          <w:color w:val="000000" w:themeColor="text1"/>
          <w:sz w:val="18"/>
          <w:szCs w:val="18"/>
          <w:lang w:val="nl-NL"/>
        </w:rPr>
        <w:t xml:space="preserve"> </w:t>
      </w:r>
      <w:r w:rsidRPr="1366596A">
        <w:rPr>
          <w:rFonts w:ascii="Verdana" w:hAnsi="Verdana" w:eastAsia="Verdana" w:cs="Verdana"/>
          <w:color w:val="000000" w:themeColor="text1"/>
          <w:sz w:val="18"/>
          <w:szCs w:val="18"/>
          <w:lang w:val="nl-NL"/>
        </w:rPr>
        <w:t>voor 2025</w:t>
      </w:r>
      <w:r w:rsidRPr="45673939">
        <w:rPr>
          <w:rFonts w:ascii="Verdana" w:hAnsi="Verdana" w:eastAsia="Verdana" w:cs="Verdana"/>
          <w:color w:val="000000" w:themeColor="text1"/>
          <w:sz w:val="18"/>
          <w:szCs w:val="18"/>
          <w:lang w:val="nl-NL"/>
        </w:rPr>
        <w:t>.</w:t>
      </w:r>
      <w:r w:rsidRPr="337B0D77">
        <w:rPr>
          <w:rFonts w:ascii="Verdana" w:hAnsi="Verdana" w:eastAsia="Verdana" w:cs="Verdana"/>
          <w:color w:val="000000" w:themeColor="text1"/>
          <w:sz w:val="18"/>
          <w:szCs w:val="18"/>
          <w:lang w:val="nl-NL"/>
        </w:rPr>
        <w:t xml:space="preserve"> </w:t>
      </w:r>
      <w:r w:rsidRPr="563F557F">
        <w:rPr>
          <w:rFonts w:ascii="Verdana" w:hAnsi="Verdana" w:eastAsia="Verdana" w:cs="Verdana"/>
          <w:color w:val="000000" w:themeColor="text1"/>
          <w:sz w:val="18"/>
          <w:szCs w:val="18"/>
          <w:lang w:val="nl-NL"/>
        </w:rPr>
        <w:t xml:space="preserve">Dit zorgt voor hogere basisbedragen voor </w:t>
      </w:r>
      <w:r w:rsidRPr="4844DC59">
        <w:rPr>
          <w:rFonts w:ascii="Verdana" w:hAnsi="Verdana" w:eastAsia="Verdana" w:cs="Verdana"/>
          <w:color w:val="000000" w:themeColor="text1"/>
          <w:sz w:val="18"/>
          <w:szCs w:val="18"/>
          <w:lang w:val="nl-NL"/>
        </w:rPr>
        <w:t xml:space="preserve">de categorie </w:t>
      </w:r>
      <w:r w:rsidRPr="45EE25AC">
        <w:rPr>
          <w:rFonts w:ascii="Verdana" w:hAnsi="Verdana" w:eastAsia="Verdana" w:cs="Verdana"/>
          <w:color w:val="000000" w:themeColor="text1"/>
          <w:sz w:val="18"/>
          <w:szCs w:val="18"/>
          <w:lang w:val="nl-NL"/>
        </w:rPr>
        <w:t>ketel op vloeibare</w:t>
      </w:r>
      <w:r w:rsidRPr="64566CF1">
        <w:rPr>
          <w:rFonts w:ascii="Verdana" w:hAnsi="Verdana" w:eastAsia="Verdana" w:cs="Verdana"/>
          <w:color w:val="000000" w:themeColor="text1"/>
          <w:sz w:val="18"/>
          <w:szCs w:val="18"/>
          <w:lang w:val="nl-NL"/>
        </w:rPr>
        <w:t xml:space="preserve"> biomassa.</w:t>
      </w:r>
      <w:r>
        <w:rPr>
          <w:rFonts w:ascii="Verdana" w:hAnsi="Verdana" w:eastAsia="Verdana" w:cs="Verdana"/>
          <w:color w:val="000000" w:themeColor="text1"/>
          <w:sz w:val="18"/>
          <w:szCs w:val="18"/>
          <w:lang w:val="nl-NL"/>
        </w:rPr>
        <w:t xml:space="preserve"> </w:t>
      </w:r>
      <w:r w:rsidRPr="427F90EE">
        <w:rPr>
          <w:rFonts w:ascii="Verdana" w:hAnsi="Verdana" w:eastAsia="Verdana" w:cs="Verdana"/>
          <w:color w:val="000000" w:themeColor="text1"/>
          <w:sz w:val="18"/>
          <w:szCs w:val="18"/>
          <w:lang w:val="nl-NL"/>
        </w:rPr>
        <w:t xml:space="preserve">Bestaande projecten </w:t>
      </w:r>
      <w:r w:rsidRPr="6207B525">
        <w:rPr>
          <w:rFonts w:ascii="Verdana" w:hAnsi="Verdana" w:eastAsia="Verdana" w:cs="Verdana"/>
          <w:color w:val="000000" w:themeColor="text1"/>
          <w:sz w:val="18"/>
          <w:szCs w:val="18"/>
          <w:lang w:val="nl-NL"/>
        </w:rPr>
        <w:t xml:space="preserve">hebben nog een </w:t>
      </w:r>
      <w:r w:rsidRPr="3F582139">
        <w:rPr>
          <w:rFonts w:ascii="Verdana" w:hAnsi="Verdana" w:eastAsia="Verdana" w:cs="Verdana"/>
          <w:color w:val="000000" w:themeColor="text1"/>
          <w:sz w:val="18"/>
          <w:szCs w:val="18"/>
          <w:lang w:val="nl-NL"/>
        </w:rPr>
        <w:t xml:space="preserve">beschikking met een lager </w:t>
      </w:r>
      <w:r w:rsidRPr="3584F1AA">
        <w:rPr>
          <w:rFonts w:ascii="Verdana" w:hAnsi="Verdana" w:eastAsia="Verdana" w:cs="Verdana"/>
          <w:color w:val="000000" w:themeColor="text1"/>
          <w:sz w:val="18"/>
          <w:szCs w:val="18"/>
          <w:lang w:val="nl-NL"/>
        </w:rPr>
        <w:t xml:space="preserve">basisbedrag </w:t>
      </w:r>
      <w:r w:rsidRPr="2F732D09">
        <w:rPr>
          <w:rFonts w:ascii="Verdana" w:hAnsi="Verdana" w:eastAsia="Verdana" w:cs="Verdana"/>
          <w:color w:val="000000" w:themeColor="text1"/>
          <w:sz w:val="18"/>
          <w:szCs w:val="18"/>
          <w:lang w:val="nl-NL"/>
        </w:rPr>
        <w:t xml:space="preserve">omdat </w:t>
      </w:r>
      <w:r w:rsidRPr="4BA4E36C">
        <w:rPr>
          <w:rFonts w:ascii="Verdana" w:hAnsi="Verdana" w:eastAsia="Verdana" w:cs="Verdana"/>
          <w:color w:val="000000" w:themeColor="text1"/>
          <w:sz w:val="18"/>
          <w:szCs w:val="18"/>
          <w:lang w:val="nl-NL"/>
        </w:rPr>
        <w:t>hierbij</w:t>
      </w:r>
      <w:r w:rsidRPr="5C98ED51">
        <w:rPr>
          <w:rFonts w:ascii="Verdana" w:hAnsi="Verdana" w:eastAsia="Verdana" w:cs="Verdana"/>
          <w:color w:val="000000" w:themeColor="text1"/>
          <w:sz w:val="18"/>
          <w:szCs w:val="18"/>
          <w:lang w:val="nl-NL"/>
        </w:rPr>
        <w:t xml:space="preserve"> </w:t>
      </w:r>
      <w:r w:rsidRPr="2C847E4C">
        <w:rPr>
          <w:rFonts w:ascii="Verdana" w:hAnsi="Verdana" w:eastAsia="Verdana" w:cs="Verdana"/>
          <w:color w:val="000000" w:themeColor="text1"/>
          <w:sz w:val="18"/>
          <w:szCs w:val="18"/>
          <w:lang w:val="nl-NL"/>
        </w:rPr>
        <w:t>uitgegaan</w:t>
      </w:r>
      <w:r w:rsidRPr="7053C903">
        <w:rPr>
          <w:rFonts w:ascii="Verdana" w:hAnsi="Verdana" w:eastAsia="Verdana" w:cs="Verdana"/>
          <w:color w:val="000000" w:themeColor="text1"/>
          <w:sz w:val="18"/>
          <w:szCs w:val="18"/>
          <w:lang w:val="nl-NL"/>
        </w:rPr>
        <w:t xml:space="preserve"> is </w:t>
      </w:r>
      <w:r w:rsidRPr="3C39A6B5">
        <w:rPr>
          <w:rFonts w:ascii="Verdana" w:hAnsi="Verdana" w:eastAsia="Verdana" w:cs="Verdana"/>
          <w:color w:val="000000" w:themeColor="text1"/>
          <w:sz w:val="18"/>
          <w:szCs w:val="18"/>
          <w:lang w:val="nl-NL"/>
        </w:rPr>
        <w:t xml:space="preserve">van </w:t>
      </w:r>
      <w:r w:rsidRPr="2C847E4C">
        <w:rPr>
          <w:rFonts w:ascii="Verdana" w:hAnsi="Verdana" w:eastAsia="Verdana" w:cs="Verdana"/>
          <w:color w:val="000000" w:themeColor="text1"/>
          <w:sz w:val="18"/>
          <w:szCs w:val="18"/>
          <w:lang w:val="nl-NL"/>
        </w:rPr>
        <w:t xml:space="preserve">een lagere </w:t>
      </w:r>
      <w:r w:rsidRPr="30BBD237">
        <w:rPr>
          <w:rFonts w:ascii="Verdana" w:hAnsi="Verdana" w:eastAsia="Verdana" w:cs="Verdana"/>
          <w:color w:val="000000" w:themeColor="text1"/>
          <w:sz w:val="18"/>
          <w:szCs w:val="18"/>
          <w:lang w:val="nl-NL"/>
        </w:rPr>
        <w:t>accijns</w:t>
      </w:r>
      <w:r w:rsidRPr="2C847E4C">
        <w:rPr>
          <w:rFonts w:ascii="Verdana" w:hAnsi="Verdana" w:eastAsia="Verdana" w:cs="Verdana"/>
          <w:color w:val="000000" w:themeColor="text1"/>
          <w:sz w:val="18"/>
          <w:szCs w:val="18"/>
          <w:lang w:val="nl-NL"/>
        </w:rPr>
        <w:t>.</w:t>
      </w:r>
      <w:r w:rsidRPr="66D1565E">
        <w:rPr>
          <w:rFonts w:ascii="Verdana" w:hAnsi="Verdana" w:eastAsia="Verdana" w:cs="Verdana"/>
          <w:color w:val="000000" w:themeColor="text1"/>
          <w:sz w:val="18"/>
          <w:szCs w:val="18"/>
          <w:lang w:val="nl-NL"/>
        </w:rPr>
        <w:t xml:space="preserve"> </w:t>
      </w:r>
      <w:r w:rsidRPr="7053C903">
        <w:rPr>
          <w:rFonts w:ascii="Verdana" w:hAnsi="Verdana" w:eastAsia="Verdana" w:cs="Verdana"/>
          <w:color w:val="000000" w:themeColor="text1"/>
          <w:sz w:val="18"/>
          <w:szCs w:val="18"/>
          <w:lang w:val="nl-NL"/>
        </w:rPr>
        <w:t>Dit</w:t>
      </w:r>
      <w:r w:rsidRPr="1C809063">
        <w:rPr>
          <w:rFonts w:ascii="Verdana" w:hAnsi="Verdana" w:eastAsia="Verdana" w:cs="Verdana"/>
          <w:color w:val="000000" w:themeColor="text1"/>
          <w:sz w:val="18"/>
          <w:szCs w:val="18"/>
          <w:lang w:val="nl-NL"/>
        </w:rPr>
        <w:t xml:space="preserve"> heeft </w:t>
      </w:r>
      <w:r w:rsidRPr="2C798E90">
        <w:rPr>
          <w:rFonts w:ascii="Verdana" w:hAnsi="Verdana" w:eastAsia="Verdana" w:cs="Verdana"/>
          <w:color w:val="000000" w:themeColor="text1"/>
          <w:sz w:val="18"/>
          <w:szCs w:val="18"/>
          <w:lang w:val="nl-NL"/>
        </w:rPr>
        <w:t>als</w:t>
      </w:r>
      <w:r w:rsidRPr="1C809063">
        <w:rPr>
          <w:rFonts w:ascii="Verdana" w:hAnsi="Verdana" w:eastAsia="Verdana" w:cs="Verdana"/>
          <w:color w:val="000000" w:themeColor="text1"/>
          <w:sz w:val="18"/>
          <w:szCs w:val="18"/>
          <w:lang w:val="nl-NL"/>
        </w:rPr>
        <w:t xml:space="preserve"> gevolg </w:t>
      </w:r>
      <w:r w:rsidRPr="1E3A18C2">
        <w:rPr>
          <w:rFonts w:ascii="Verdana" w:hAnsi="Verdana" w:eastAsia="Verdana" w:cs="Verdana"/>
          <w:color w:val="000000" w:themeColor="text1"/>
          <w:sz w:val="18"/>
          <w:szCs w:val="18"/>
          <w:lang w:val="nl-NL"/>
        </w:rPr>
        <w:t>gehad dat</w:t>
      </w:r>
      <w:r w:rsidRPr="1C809063">
        <w:rPr>
          <w:rFonts w:ascii="Verdana" w:hAnsi="Verdana" w:eastAsia="Verdana" w:cs="Verdana"/>
          <w:color w:val="000000" w:themeColor="text1"/>
          <w:sz w:val="18"/>
          <w:szCs w:val="18"/>
          <w:lang w:val="nl-NL"/>
        </w:rPr>
        <w:t xml:space="preserve"> bestaande </w:t>
      </w:r>
      <w:r w:rsidRPr="63C128E5">
        <w:rPr>
          <w:rFonts w:ascii="Verdana" w:hAnsi="Verdana" w:eastAsia="Verdana" w:cs="Verdana"/>
          <w:color w:val="000000" w:themeColor="text1"/>
          <w:sz w:val="18"/>
          <w:szCs w:val="18"/>
          <w:lang w:val="nl-NL"/>
        </w:rPr>
        <w:t>projecten stil zijn gevallen</w:t>
      </w:r>
      <w:r w:rsidRPr="65243AF5">
        <w:rPr>
          <w:rFonts w:ascii="Verdana" w:hAnsi="Verdana" w:eastAsia="Verdana" w:cs="Verdana"/>
          <w:color w:val="000000" w:themeColor="text1"/>
          <w:sz w:val="18"/>
          <w:szCs w:val="18"/>
          <w:lang w:val="nl-NL"/>
        </w:rPr>
        <w:t>.</w:t>
      </w:r>
      <w:r w:rsidRPr="35FE0A06">
        <w:rPr>
          <w:rFonts w:ascii="Verdana" w:hAnsi="Verdana" w:eastAsia="Verdana" w:cs="Verdana"/>
          <w:color w:val="000000" w:themeColor="text1"/>
          <w:sz w:val="18"/>
          <w:szCs w:val="18"/>
          <w:lang w:val="nl-NL"/>
        </w:rPr>
        <w:t xml:space="preserve"> </w:t>
      </w:r>
      <w:r w:rsidRPr="1082B9FF">
        <w:rPr>
          <w:rFonts w:ascii="Verdana" w:hAnsi="Verdana" w:eastAsia="Verdana" w:cs="Verdana"/>
          <w:color w:val="000000" w:themeColor="text1"/>
          <w:sz w:val="18"/>
          <w:szCs w:val="18"/>
          <w:lang w:val="nl-NL"/>
        </w:rPr>
        <w:t xml:space="preserve">Hierover zijn </w:t>
      </w:r>
      <w:r>
        <w:rPr>
          <w:rFonts w:ascii="Verdana" w:hAnsi="Verdana" w:eastAsia="Verdana" w:cs="Verdana"/>
          <w:color w:val="000000" w:themeColor="text1"/>
          <w:sz w:val="18"/>
          <w:szCs w:val="18"/>
          <w:lang w:val="nl-NL"/>
        </w:rPr>
        <w:t>K</w:t>
      </w:r>
      <w:r w:rsidRPr="1082B9FF">
        <w:rPr>
          <w:rFonts w:ascii="Verdana" w:hAnsi="Verdana" w:eastAsia="Verdana" w:cs="Verdana"/>
          <w:color w:val="000000" w:themeColor="text1"/>
          <w:sz w:val="18"/>
          <w:szCs w:val="18"/>
          <w:lang w:val="nl-NL"/>
        </w:rPr>
        <w:t xml:space="preserve">amervragen gesteld door </w:t>
      </w:r>
      <w:r w:rsidRPr="0C6F024E">
        <w:rPr>
          <w:rFonts w:ascii="Verdana" w:hAnsi="Verdana" w:eastAsia="Verdana" w:cs="Verdana"/>
          <w:color w:val="000000" w:themeColor="text1"/>
          <w:sz w:val="18"/>
          <w:szCs w:val="18"/>
          <w:lang w:val="nl-NL"/>
        </w:rPr>
        <w:t>het lid Bontenbal</w:t>
      </w:r>
      <w:r w:rsidRPr="564FF93B">
        <w:rPr>
          <w:rFonts w:ascii="Verdana" w:hAnsi="Verdana" w:eastAsia="Verdana" w:cs="Verdana"/>
          <w:color w:val="000000" w:themeColor="text1"/>
          <w:sz w:val="18"/>
          <w:szCs w:val="18"/>
          <w:lang w:val="nl-NL"/>
        </w:rPr>
        <w:t>.</w:t>
      </w:r>
      <w:r w:rsidRPr="104701AF">
        <w:rPr>
          <w:rFonts w:ascii="Verdana" w:hAnsi="Verdana" w:eastAsia="Verdana" w:cs="Verdana"/>
          <w:color w:val="000000" w:themeColor="text1"/>
          <w:sz w:val="18"/>
          <w:szCs w:val="18"/>
          <w:lang w:val="nl-NL"/>
        </w:rPr>
        <w:t xml:space="preserve"> </w:t>
      </w:r>
      <w:r w:rsidRPr="03BFE83E">
        <w:rPr>
          <w:rFonts w:ascii="Verdana" w:hAnsi="Verdana" w:eastAsia="Verdana" w:cs="Verdana"/>
          <w:color w:val="000000" w:themeColor="text1"/>
          <w:sz w:val="18"/>
          <w:szCs w:val="18"/>
          <w:lang w:val="nl-NL"/>
        </w:rPr>
        <w:t xml:space="preserve">In </w:t>
      </w:r>
      <w:r>
        <w:rPr>
          <w:rFonts w:ascii="Verdana" w:hAnsi="Verdana" w:eastAsia="Verdana" w:cs="Verdana"/>
          <w:color w:val="000000" w:themeColor="text1"/>
          <w:sz w:val="18"/>
          <w:szCs w:val="18"/>
          <w:lang w:val="nl-NL"/>
        </w:rPr>
        <w:t>de beantwoording</w:t>
      </w:r>
      <w:r w:rsidRPr="4961E018">
        <w:rPr>
          <w:rFonts w:ascii="Verdana" w:hAnsi="Verdana" w:eastAsia="Verdana" w:cs="Verdana"/>
          <w:color w:val="000000" w:themeColor="text1"/>
          <w:sz w:val="18"/>
          <w:szCs w:val="18"/>
          <w:lang w:val="nl-NL"/>
        </w:rPr>
        <w:t xml:space="preserve"> </w:t>
      </w:r>
      <w:r w:rsidRPr="43AA27A9">
        <w:rPr>
          <w:rFonts w:ascii="Verdana" w:hAnsi="Verdana" w:eastAsia="Verdana" w:cs="Verdana"/>
          <w:color w:val="000000" w:themeColor="text1"/>
          <w:sz w:val="18"/>
          <w:szCs w:val="18"/>
          <w:lang w:val="nl-NL"/>
        </w:rPr>
        <w:t xml:space="preserve">heeft het </w:t>
      </w:r>
      <w:r w:rsidRPr="4893D630">
        <w:rPr>
          <w:rFonts w:ascii="Verdana" w:hAnsi="Verdana" w:eastAsia="Verdana" w:cs="Verdana"/>
          <w:color w:val="000000" w:themeColor="text1"/>
          <w:sz w:val="18"/>
          <w:szCs w:val="18"/>
          <w:lang w:val="nl-NL"/>
        </w:rPr>
        <w:t>kabinet</w:t>
      </w:r>
      <w:r w:rsidRPr="4961E018">
        <w:rPr>
          <w:rFonts w:ascii="Verdana" w:hAnsi="Verdana" w:eastAsia="Verdana" w:cs="Verdana"/>
          <w:color w:val="000000" w:themeColor="text1"/>
          <w:sz w:val="18"/>
          <w:szCs w:val="18"/>
          <w:lang w:val="nl-NL"/>
        </w:rPr>
        <w:t xml:space="preserve"> aangegeven </w:t>
      </w:r>
      <w:r w:rsidRPr="4934F052">
        <w:rPr>
          <w:rFonts w:ascii="Verdana" w:hAnsi="Verdana" w:eastAsia="Verdana" w:cs="Verdana"/>
          <w:color w:val="000000" w:themeColor="text1"/>
          <w:sz w:val="18"/>
          <w:szCs w:val="18"/>
          <w:lang w:val="nl-NL"/>
        </w:rPr>
        <w:t xml:space="preserve">dat het niet goed mogelijk is om </w:t>
      </w:r>
      <w:r w:rsidRPr="10F546F1">
        <w:rPr>
          <w:rFonts w:ascii="Verdana" w:hAnsi="Verdana" w:eastAsia="Verdana" w:cs="Verdana"/>
          <w:color w:val="000000" w:themeColor="text1"/>
          <w:sz w:val="18"/>
          <w:szCs w:val="18"/>
          <w:lang w:val="nl-NL"/>
        </w:rPr>
        <w:t xml:space="preserve">deze situatie te repareren door </w:t>
      </w:r>
      <w:r w:rsidRPr="2264B4E4">
        <w:rPr>
          <w:rFonts w:ascii="Verdana" w:hAnsi="Verdana" w:eastAsia="Verdana" w:cs="Verdana"/>
          <w:color w:val="000000" w:themeColor="text1"/>
          <w:sz w:val="18"/>
          <w:szCs w:val="18"/>
          <w:lang w:val="nl-NL"/>
        </w:rPr>
        <w:t xml:space="preserve">aanpassingen </w:t>
      </w:r>
      <w:r w:rsidRPr="42F17CA2">
        <w:rPr>
          <w:rFonts w:ascii="Verdana" w:hAnsi="Verdana" w:eastAsia="Verdana" w:cs="Verdana"/>
          <w:color w:val="000000" w:themeColor="text1"/>
          <w:sz w:val="18"/>
          <w:szCs w:val="18"/>
          <w:lang w:val="nl-NL"/>
        </w:rPr>
        <w:t xml:space="preserve">binnen de bestaande beschikkingen of </w:t>
      </w:r>
      <w:r w:rsidRPr="539A7050">
        <w:rPr>
          <w:rFonts w:ascii="Verdana" w:hAnsi="Verdana" w:eastAsia="Verdana" w:cs="Verdana"/>
          <w:color w:val="000000" w:themeColor="text1"/>
          <w:sz w:val="18"/>
          <w:szCs w:val="18"/>
          <w:lang w:val="nl-NL"/>
        </w:rPr>
        <w:t>de accijns</w:t>
      </w:r>
      <w:r w:rsidRPr="6D7F0E22">
        <w:rPr>
          <w:rFonts w:ascii="Verdana" w:hAnsi="Verdana" w:eastAsia="Verdana" w:cs="Verdana"/>
          <w:color w:val="000000" w:themeColor="text1"/>
          <w:sz w:val="18"/>
          <w:szCs w:val="18"/>
          <w:lang w:val="nl-NL"/>
        </w:rPr>
        <w:t>.</w:t>
      </w:r>
      <w:r w:rsidRPr="539A7050">
        <w:rPr>
          <w:rFonts w:ascii="Verdana" w:hAnsi="Verdana" w:eastAsia="Verdana" w:cs="Verdana"/>
          <w:color w:val="000000" w:themeColor="text1"/>
          <w:sz w:val="18"/>
          <w:szCs w:val="18"/>
          <w:lang w:val="nl-NL"/>
        </w:rPr>
        <w:t xml:space="preserve"> </w:t>
      </w:r>
      <w:r w:rsidRPr="7835A697">
        <w:rPr>
          <w:rFonts w:ascii="Verdana" w:hAnsi="Verdana" w:eastAsia="Verdana" w:cs="Verdana"/>
          <w:color w:val="000000" w:themeColor="text1"/>
          <w:sz w:val="18"/>
          <w:szCs w:val="18"/>
          <w:lang w:val="nl-NL"/>
        </w:rPr>
        <w:t>Wel wordt het</w:t>
      </w:r>
      <w:r w:rsidRPr="3C818DF8">
        <w:rPr>
          <w:rFonts w:ascii="Verdana" w:hAnsi="Verdana" w:eastAsia="Verdana" w:cs="Verdana"/>
          <w:color w:val="000000" w:themeColor="text1"/>
          <w:sz w:val="18"/>
          <w:szCs w:val="18"/>
          <w:lang w:val="nl-NL"/>
        </w:rPr>
        <w:t xml:space="preserve"> mogelijk</w:t>
      </w:r>
      <w:r w:rsidRPr="614517B5">
        <w:rPr>
          <w:rFonts w:ascii="Verdana" w:hAnsi="Verdana" w:eastAsia="Verdana" w:cs="Verdana"/>
          <w:color w:val="000000" w:themeColor="text1"/>
          <w:sz w:val="18"/>
          <w:szCs w:val="18"/>
          <w:lang w:val="nl-NL"/>
        </w:rPr>
        <w:t xml:space="preserve"> </w:t>
      </w:r>
      <w:r w:rsidRPr="2D4368C8">
        <w:rPr>
          <w:rFonts w:ascii="Verdana" w:hAnsi="Verdana" w:eastAsia="Verdana" w:cs="Verdana"/>
          <w:color w:val="000000" w:themeColor="text1"/>
          <w:sz w:val="18"/>
          <w:szCs w:val="18"/>
          <w:lang w:val="nl-NL"/>
        </w:rPr>
        <w:t xml:space="preserve">gemaakt </w:t>
      </w:r>
      <w:r w:rsidRPr="7835A697">
        <w:rPr>
          <w:rFonts w:ascii="Verdana" w:hAnsi="Verdana" w:eastAsia="Verdana" w:cs="Verdana"/>
          <w:color w:val="000000" w:themeColor="text1"/>
          <w:sz w:val="18"/>
          <w:szCs w:val="18"/>
          <w:lang w:val="nl-NL"/>
        </w:rPr>
        <w:t xml:space="preserve">dat deze </w:t>
      </w:r>
      <w:r w:rsidRPr="3E92FA0F">
        <w:rPr>
          <w:rFonts w:ascii="Verdana" w:hAnsi="Verdana" w:eastAsia="Verdana" w:cs="Verdana"/>
          <w:color w:val="000000" w:themeColor="text1"/>
          <w:sz w:val="18"/>
          <w:szCs w:val="18"/>
          <w:lang w:val="nl-NL"/>
        </w:rPr>
        <w:t>projecten een</w:t>
      </w:r>
      <w:r w:rsidRPr="7B2B90DA">
        <w:rPr>
          <w:rFonts w:ascii="Verdana" w:hAnsi="Verdana" w:eastAsia="Verdana" w:cs="Verdana"/>
          <w:color w:val="000000" w:themeColor="text1"/>
          <w:sz w:val="18"/>
          <w:szCs w:val="18"/>
          <w:lang w:val="nl-NL"/>
        </w:rPr>
        <w:t xml:space="preserve"> nieuwe </w:t>
      </w:r>
      <w:r w:rsidRPr="1EFDFCB2">
        <w:rPr>
          <w:rFonts w:ascii="Verdana" w:hAnsi="Verdana" w:eastAsia="Verdana" w:cs="Verdana"/>
          <w:color w:val="000000" w:themeColor="text1"/>
          <w:sz w:val="18"/>
          <w:szCs w:val="18"/>
          <w:lang w:val="nl-NL"/>
        </w:rPr>
        <w:t>subsidie</w:t>
      </w:r>
      <w:r w:rsidRPr="61D3147D">
        <w:rPr>
          <w:rFonts w:ascii="Verdana" w:hAnsi="Verdana" w:eastAsia="Verdana" w:cs="Verdana"/>
          <w:color w:val="000000" w:themeColor="text1"/>
          <w:sz w:val="18"/>
          <w:szCs w:val="18"/>
          <w:lang w:val="nl-NL"/>
        </w:rPr>
        <w:t xml:space="preserve"> </w:t>
      </w:r>
      <w:r w:rsidRPr="360858FA">
        <w:rPr>
          <w:rFonts w:ascii="Verdana" w:hAnsi="Verdana" w:eastAsia="Verdana" w:cs="Verdana"/>
          <w:color w:val="000000" w:themeColor="text1"/>
          <w:sz w:val="18"/>
          <w:szCs w:val="18"/>
          <w:lang w:val="nl-NL"/>
        </w:rPr>
        <w:t xml:space="preserve">tegen het hogere </w:t>
      </w:r>
      <w:r w:rsidRPr="242EA2D5">
        <w:rPr>
          <w:rFonts w:ascii="Verdana" w:hAnsi="Verdana" w:eastAsia="Verdana" w:cs="Verdana"/>
          <w:color w:val="000000" w:themeColor="text1"/>
          <w:sz w:val="18"/>
          <w:szCs w:val="18"/>
          <w:lang w:val="nl-NL"/>
        </w:rPr>
        <w:t xml:space="preserve">tarief </w:t>
      </w:r>
      <w:r w:rsidRPr="61D3147D">
        <w:rPr>
          <w:rFonts w:ascii="Verdana" w:hAnsi="Verdana" w:eastAsia="Verdana" w:cs="Verdana"/>
          <w:color w:val="000000" w:themeColor="text1"/>
          <w:sz w:val="18"/>
          <w:szCs w:val="18"/>
          <w:lang w:val="nl-NL"/>
        </w:rPr>
        <w:t xml:space="preserve">aan </w:t>
      </w:r>
      <w:r w:rsidRPr="2BDFE4F0">
        <w:rPr>
          <w:rFonts w:ascii="Verdana" w:hAnsi="Verdana" w:eastAsia="Verdana" w:cs="Verdana"/>
          <w:color w:val="000000" w:themeColor="text1"/>
          <w:sz w:val="18"/>
          <w:szCs w:val="18"/>
          <w:lang w:val="nl-NL"/>
        </w:rPr>
        <w:t>kunnen</w:t>
      </w:r>
      <w:r w:rsidRPr="61D3147D">
        <w:rPr>
          <w:rFonts w:ascii="Verdana" w:hAnsi="Verdana" w:eastAsia="Verdana" w:cs="Verdana"/>
          <w:color w:val="000000" w:themeColor="text1"/>
          <w:sz w:val="18"/>
          <w:szCs w:val="18"/>
          <w:lang w:val="nl-NL"/>
        </w:rPr>
        <w:t xml:space="preserve"> vragen als </w:t>
      </w:r>
      <w:r w:rsidRPr="0DB478D0">
        <w:rPr>
          <w:rFonts w:ascii="Verdana" w:hAnsi="Verdana" w:eastAsia="Verdana" w:cs="Verdana"/>
          <w:color w:val="000000" w:themeColor="text1"/>
          <w:sz w:val="18"/>
          <w:szCs w:val="18"/>
          <w:lang w:val="nl-NL"/>
        </w:rPr>
        <w:t xml:space="preserve">ze </w:t>
      </w:r>
      <w:r w:rsidRPr="426049F8">
        <w:rPr>
          <w:rFonts w:ascii="Verdana" w:hAnsi="Verdana" w:eastAsia="Verdana" w:cs="Verdana"/>
          <w:color w:val="000000" w:themeColor="text1"/>
          <w:sz w:val="18"/>
          <w:szCs w:val="18"/>
          <w:lang w:val="nl-NL"/>
        </w:rPr>
        <w:t xml:space="preserve">besluiten </w:t>
      </w:r>
      <w:r w:rsidRPr="02CAD7EF">
        <w:rPr>
          <w:rFonts w:ascii="Verdana" w:hAnsi="Verdana" w:eastAsia="Verdana" w:cs="Verdana"/>
          <w:color w:val="000000" w:themeColor="text1"/>
          <w:sz w:val="18"/>
          <w:szCs w:val="18"/>
          <w:lang w:val="nl-NL"/>
        </w:rPr>
        <w:t xml:space="preserve">om hun </w:t>
      </w:r>
      <w:r w:rsidRPr="0A6BEFD1">
        <w:rPr>
          <w:rFonts w:ascii="Verdana" w:hAnsi="Verdana" w:eastAsia="Verdana" w:cs="Verdana"/>
          <w:color w:val="000000" w:themeColor="text1"/>
          <w:sz w:val="18"/>
          <w:szCs w:val="18"/>
          <w:lang w:val="nl-NL"/>
        </w:rPr>
        <w:t>bestaande</w:t>
      </w:r>
      <w:r w:rsidRPr="358443BC">
        <w:rPr>
          <w:rFonts w:ascii="Verdana" w:hAnsi="Verdana" w:eastAsia="Verdana" w:cs="Verdana"/>
          <w:color w:val="000000" w:themeColor="text1"/>
          <w:sz w:val="18"/>
          <w:szCs w:val="18"/>
          <w:lang w:val="nl-NL"/>
        </w:rPr>
        <w:t xml:space="preserve"> beschikking in te laten trekken</w:t>
      </w:r>
      <w:r w:rsidRPr="0605C32F">
        <w:rPr>
          <w:rFonts w:ascii="Verdana" w:hAnsi="Verdana" w:eastAsia="Verdana" w:cs="Verdana"/>
          <w:color w:val="000000" w:themeColor="text1"/>
          <w:sz w:val="18"/>
          <w:szCs w:val="18"/>
          <w:lang w:val="nl-NL"/>
        </w:rPr>
        <w:t>.</w:t>
      </w:r>
      <w:r w:rsidR="00796776">
        <w:rPr>
          <w:rStyle w:val="Voetnootmarkering"/>
          <w:rFonts w:ascii="Verdana" w:hAnsi="Verdana" w:eastAsia="Verdana" w:cs="Verdana"/>
          <w:color w:val="000000" w:themeColor="text1"/>
          <w:sz w:val="18"/>
          <w:szCs w:val="18"/>
          <w:lang w:val="nl-NL"/>
        </w:rPr>
        <w:footnoteReference w:id="16"/>
      </w:r>
    </w:p>
    <w:p w:rsidR="00D70BB2" w:rsidP="00D8779E" w:rsidRDefault="00D70BB2" w14:paraId="08E02D06" w14:textId="77777777"/>
    <w:p w:rsidR="00D70BB2" w:rsidP="00D8779E" w:rsidRDefault="00D70BB2" w14:paraId="1B2BE792" w14:textId="77777777">
      <w:pPr>
        <w:rPr>
          <w:i/>
          <w:iCs/>
        </w:rPr>
      </w:pPr>
      <w:r w:rsidRPr="6952EB7C">
        <w:rPr>
          <w:i/>
          <w:iCs/>
        </w:rPr>
        <w:t>Plafond zon-PV</w:t>
      </w:r>
    </w:p>
    <w:p w:rsidR="00D70BB2" w:rsidP="00D8779E" w:rsidRDefault="00D70BB2" w14:paraId="7E5F7BD7" w14:textId="77777777">
      <w:pPr>
        <w:rPr>
          <w:rFonts w:eastAsia="Verdana" w:cs="Verdana"/>
          <w:color w:val="000000" w:themeColor="text1"/>
        </w:rPr>
      </w:pPr>
      <w:r w:rsidRPr="016F20D0">
        <w:rPr>
          <w:rFonts w:eastAsia="Verdana" w:cs="Verdana"/>
          <w:color w:val="000000" w:themeColor="text1"/>
        </w:rPr>
        <w:t>De energietransitie is in een andere fase aangekomen waarin het belangrijk is om vraag en aanbod in evenwicht op te schalen. In deze fase is een vrijwel onbeperkt openstellingsbudget voor zon-PV niet meer verstandig en zou een gelimiteerd budget (d.m.v. een plafond of anderszins) beter passen. Deze stap is ook nodig wanneer in 2027 2-zijdige Contracts for Difference worden ingevoerd. Daarvoor zal immers, naar alle waarschijnlijkheid, een eigen budget vastgesteld moeten worden.</w:t>
      </w:r>
    </w:p>
    <w:p w:rsidR="00D70BB2" w:rsidP="00D8779E" w:rsidRDefault="00D70BB2" w14:paraId="301EE2F7" w14:textId="77777777">
      <w:pPr>
        <w:rPr>
          <w:rFonts w:eastAsia="Verdana" w:cs="Verdana"/>
          <w:color w:val="000000" w:themeColor="text1"/>
          <w:szCs w:val="18"/>
        </w:rPr>
      </w:pPr>
    </w:p>
    <w:p w:rsidR="00D70BB2" w:rsidP="00D8779E" w:rsidRDefault="00D70BB2" w14:paraId="2BF5DAF3" w14:textId="77777777">
      <w:pPr>
        <w:rPr>
          <w:rFonts w:eastAsia="Verdana" w:cs="Verdana"/>
          <w:color w:val="000000" w:themeColor="text1"/>
          <w:szCs w:val="18"/>
        </w:rPr>
      </w:pPr>
      <w:r w:rsidRPr="6952EB7C">
        <w:rPr>
          <w:rFonts w:eastAsia="Verdana" w:cs="Verdana"/>
          <w:color w:val="000000" w:themeColor="text1"/>
          <w:szCs w:val="18"/>
        </w:rPr>
        <w:t>In de praktijk neemt het uitroltempo van zon</w:t>
      </w:r>
      <w:r>
        <w:rPr>
          <w:rFonts w:eastAsia="Verdana" w:cs="Verdana"/>
          <w:color w:val="000000" w:themeColor="text1"/>
          <w:szCs w:val="18"/>
        </w:rPr>
        <w:t>-</w:t>
      </w:r>
      <w:r w:rsidRPr="6952EB7C">
        <w:rPr>
          <w:rFonts w:eastAsia="Verdana" w:cs="Verdana"/>
          <w:color w:val="000000" w:themeColor="text1"/>
          <w:szCs w:val="18"/>
        </w:rPr>
        <w:t>PV al sterk af door verschillende redenen, waaronder netcongestie, negatieve prijzen en de aangescherpte voorkeursvolgorde voor zon-PV. Daarnaast is particuliere uitrol sterk afgeremd doordat salderen wordt afgeschaft. Dit verkleint de noodzaak voor een plafond in de SDE++ voor 2025.</w:t>
      </w:r>
    </w:p>
    <w:p w:rsidR="00D70BB2" w:rsidP="00D8779E" w:rsidRDefault="00D70BB2" w14:paraId="11DD5F1E" w14:textId="77777777">
      <w:pPr>
        <w:rPr>
          <w:rFonts w:eastAsia="Verdana" w:cs="Verdana"/>
          <w:color w:val="000000" w:themeColor="text1"/>
        </w:rPr>
      </w:pPr>
      <w:r w:rsidRPr="73FDFB18">
        <w:rPr>
          <w:rFonts w:eastAsia="Verdana" w:cs="Verdana"/>
          <w:color w:val="000000" w:themeColor="text1"/>
        </w:rPr>
        <w:t xml:space="preserve">Dit jaar zal </w:t>
      </w:r>
      <w:r>
        <w:rPr>
          <w:rFonts w:eastAsia="Verdana" w:cs="Verdana"/>
          <w:color w:val="000000" w:themeColor="text1"/>
        </w:rPr>
        <w:t>het kabinet</w:t>
      </w:r>
      <w:r w:rsidRPr="73FDFB18">
        <w:rPr>
          <w:rFonts w:eastAsia="Verdana" w:cs="Verdana"/>
          <w:color w:val="000000" w:themeColor="text1"/>
        </w:rPr>
        <w:t xml:space="preserve"> nog geen plafond instellen, maar </w:t>
      </w:r>
      <w:r w:rsidRPr="016F20D0">
        <w:rPr>
          <w:rFonts w:eastAsia="Verdana" w:cs="Verdana"/>
          <w:color w:val="000000" w:themeColor="text1"/>
        </w:rPr>
        <w:t>een zorgvuldig proces met medeoverheden en andere betrokkenen doorlopen om zo tot een kwantitatieve inschatting te komen over de gewenste groei van zon-PV in de komende jaren, in samenhang met de ontwikkeling van de rest van het energiesysteem van de toekomst.</w:t>
      </w:r>
    </w:p>
    <w:p w:rsidR="00D70BB2" w:rsidP="00D8779E" w:rsidRDefault="00D70BB2" w14:paraId="7496B645" w14:textId="77777777">
      <w:pPr>
        <w:rPr>
          <w:i/>
          <w:iCs/>
        </w:rPr>
      </w:pPr>
      <w:r w:rsidRPr="663806C2">
        <w:rPr>
          <w:i/>
          <w:iCs/>
        </w:rPr>
        <w:t>Uren met een negatieve elektriciteitsprijs</w:t>
      </w:r>
    </w:p>
    <w:p w:rsidR="00D70BB2" w:rsidP="00D8779E" w:rsidRDefault="00D70BB2" w14:paraId="2181C354" w14:textId="7306BE27">
      <w:r>
        <w:t>De toename van het aantal uren waarop een negatieve elektriciteitsprijs geldt zorgt voor uitdagingen in de businesscase voor hernieuwbare elektriciteit. Op dit moment doen deze uren zich met name voor op piekmomenten voor zon-PV en worden de uitdagingen dus ook met name in die sector gevoeld.</w:t>
      </w:r>
      <w:r w:rsidR="3DB8368F">
        <w:t xml:space="preserve"> </w:t>
      </w:r>
      <w:r>
        <w:t xml:space="preserve">Het PBL </w:t>
      </w:r>
      <w:r w:rsidR="7D2FCD32">
        <w:t xml:space="preserve">gaat </w:t>
      </w:r>
      <w:r>
        <w:t>in</w:t>
      </w:r>
      <w:r w:rsidR="1CB06438">
        <w:t xml:space="preserve"> een bijlage bij het advies</w:t>
      </w:r>
      <w:r>
        <w:t xml:space="preserve"> </w:t>
      </w:r>
      <w:r w:rsidR="33E2460E">
        <w:t>in op mogelijkheden</w:t>
      </w:r>
      <w:r>
        <w:t xml:space="preserve"> om hier mee om te gaan.</w:t>
      </w:r>
      <w:r w:rsidR="26B5E55D">
        <w:t xml:space="preserve"> Het PBL adviseert om</w:t>
      </w:r>
      <w:r w:rsidR="7BCD2808">
        <w:t xml:space="preserve"> na t</w:t>
      </w:r>
      <w:r w:rsidR="26B5E55D">
        <w:t xml:space="preserve">e denken over </w:t>
      </w:r>
      <w:r w:rsidR="005D4CB5">
        <w:t>drie opties</w:t>
      </w:r>
      <w:r w:rsidR="26B5E55D">
        <w:t>:</w:t>
      </w:r>
    </w:p>
    <w:p w:rsidR="00D70BB2" w:rsidP="00D8779E" w:rsidRDefault="00D70BB2" w14:paraId="2A3BC62B" w14:textId="039ABE7A"/>
    <w:p w:rsidR="005D4CB5" w:rsidP="00D8779E" w:rsidRDefault="005D4CB5" w14:paraId="24F38506" w14:textId="05CFF70D">
      <w:pPr>
        <w:pStyle w:val="Lijstalinea"/>
        <w:numPr>
          <w:ilvl w:val="0"/>
          <w:numId w:val="1"/>
        </w:numPr>
      </w:pPr>
      <w:r>
        <w:t xml:space="preserve">Optie 1: </w:t>
      </w:r>
      <w:r w:rsidR="009914D9">
        <w:t xml:space="preserve">de situatie behouden zoals deze nu is. </w:t>
      </w:r>
    </w:p>
    <w:p w:rsidR="00D70BB2" w:rsidP="00D8779E" w:rsidRDefault="29D6400B" w14:paraId="7419E852" w14:textId="64B9DAC6">
      <w:pPr>
        <w:pStyle w:val="Lijstalinea"/>
        <w:numPr>
          <w:ilvl w:val="0"/>
          <w:numId w:val="1"/>
        </w:numPr>
      </w:pPr>
      <w:r>
        <w:t xml:space="preserve">Optie </w:t>
      </w:r>
      <w:r w:rsidR="009914D9">
        <w:t>2</w:t>
      </w:r>
      <w:r>
        <w:t xml:space="preserve">: </w:t>
      </w:r>
      <w:r w:rsidR="785996ED">
        <w:t xml:space="preserve">Het opnemen van een correctiefactor in </w:t>
      </w:r>
      <w:r w:rsidR="16368A02">
        <w:t xml:space="preserve">het </w:t>
      </w:r>
      <w:r w:rsidR="785996ED">
        <w:t xml:space="preserve">correctiebedrag die rekening houdt met </w:t>
      </w:r>
      <w:r w:rsidR="7FB9F064">
        <w:t>de uren</w:t>
      </w:r>
      <w:r w:rsidR="63D94244">
        <w:t xml:space="preserve"> met een negatieve elektriciteitsprijs</w:t>
      </w:r>
      <w:r w:rsidR="7FB9F064">
        <w:t>,</w:t>
      </w:r>
    </w:p>
    <w:p w:rsidR="00D70BB2" w:rsidP="00D8779E" w:rsidRDefault="40DFCC05" w14:paraId="21F67D9A" w14:textId="490ABA77">
      <w:pPr>
        <w:pStyle w:val="Lijstalinea"/>
        <w:numPr>
          <w:ilvl w:val="0"/>
          <w:numId w:val="1"/>
        </w:numPr>
      </w:pPr>
      <w:r>
        <w:t xml:space="preserve">Optie </w:t>
      </w:r>
      <w:r w:rsidR="009914D9">
        <w:t>3</w:t>
      </w:r>
      <w:r>
        <w:t xml:space="preserve">: </w:t>
      </w:r>
      <w:r w:rsidR="7FB9F064">
        <w:t xml:space="preserve">Een </w:t>
      </w:r>
      <w:r w:rsidR="14522CD3">
        <w:t>beperkt</w:t>
      </w:r>
      <w:r w:rsidR="3A57E666">
        <w:t>e</w:t>
      </w:r>
      <w:r w:rsidR="14522CD3">
        <w:t xml:space="preserve"> verlaging van het </w:t>
      </w:r>
      <w:r w:rsidR="7FB9F064">
        <w:t xml:space="preserve">aantal vollasturen in de basisbedragen </w:t>
      </w:r>
      <w:r w:rsidR="247AB107">
        <w:t>i</w:t>
      </w:r>
      <w:r w:rsidR="7FB9F064">
        <w:t xml:space="preserve">n combinatie met </w:t>
      </w:r>
      <w:r w:rsidR="3DF772AA">
        <w:t xml:space="preserve">ruimere </w:t>
      </w:r>
      <w:r w:rsidR="02F75907">
        <w:t xml:space="preserve">mogelijkheden </w:t>
      </w:r>
      <w:r w:rsidR="3DF772AA">
        <w:t>voor banking (het in een later jaar inhalen van lagere productie)</w:t>
      </w:r>
    </w:p>
    <w:p w:rsidR="00D70BB2" w:rsidP="00D8779E" w:rsidRDefault="00D70BB2" w14:paraId="7EB9EB52" w14:textId="2167BCC3"/>
    <w:p w:rsidR="00D70BB2" w:rsidP="00D8779E" w:rsidRDefault="1DA0DD1F" w14:paraId="4486E6BD" w14:textId="3BA04D95">
      <w:r>
        <w:t>Het PBL noemt als kanttekening bij op</w:t>
      </w:r>
      <w:r w:rsidR="3B58EB84">
        <w:t>t</w:t>
      </w:r>
      <w:r>
        <w:t xml:space="preserve">ie </w:t>
      </w:r>
      <w:r w:rsidR="00AA11F1">
        <w:t>3</w:t>
      </w:r>
      <w:r>
        <w:t xml:space="preserve"> dat het toepass</w:t>
      </w:r>
      <w:r w:rsidR="4048B5B2">
        <w:t xml:space="preserve">en van een lager aantal vollasturen </w:t>
      </w:r>
      <w:r>
        <w:t xml:space="preserve">een magere cijfermatige onderbouwing heeft en het risico </w:t>
      </w:r>
      <w:r w:rsidR="367523DF">
        <w:t xml:space="preserve">bevat dat projecten zich </w:t>
      </w:r>
      <w:r w:rsidR="508EB5AF">
        <w:t xml:space="preserve">gaan </w:t>
      </w:r>
      <w:r w:rsidR="367523DF">
        <w:t>vormen naar de subsidie-voorwaarden om zo aan s</w:t>
      </w:r>
      <w:r>
        <w:t>ubsidie-optimalisatie</w:t>
      </w:r>
      <w:r w:rsidR="167337F7">
        <w:t xml:space="preserve"> te doen. Deze optie is daarmee onaantrekkelijk.</w:t>
      </w:r>
    </w:p>
    <w:p w:rsidR="00D70BB2" w:rsidP="00D8779E" w:rsidRDefault="00D70BB2" w14:paraId="5B5132D1" w14:textId="605D94A8"/>
    <w:p w:rsidR="00D70BB2" w:rsidP="00D8779E" w:rsidRDefault="3777ECAF" w14:paraId="4EE3CD4F" w14:textId="53C2E2D0">
      <w:r>
        <w:t xml:space="preserve">Het nadeel van optie </w:t>
      </w:r>
      <w:r w:rsidR="00AA11F1">
        <w:t>2</w:t>
      </w:r>
      <w:r>
        <w:t xml:space="preserve"> is dat het correctiebedrag de weergave is van de waarde van </w:t>
      </w:r>
      <w:r w:rsidR="4590BFDA">
        <w:t xml:space="preserve">de </w:t>
      </w:r>
      <w:r>
        <w:t xml:space="preserve">geproduceerde elektriciteit. </w:t>
      </w:r>
      <w:r w:rsidR="4377DC68">
        <w:t xml:space="preserve">Het toepassen van een correctiefactor op het correctiebedrag wijkt hiervan af, omdat wordt gekeken naar de waarde van elektriciteit als deze niet wordt geproduceerd. </w:t>
      </w:r>
      <w:r w:rsidR="3A956D36">
        <w:t xml:space="preserve">Dit </w:t>
      </w:r>
      <w:r w:rsidR="08E05BC7">
        <w:t xml:space="preserve">schuurt met de </w:t>
      </w:r>
      <w:r w:rsidR="259E4F84">
        <w:t xml:space="preserve">uitgangspunten </w:t>
      </w:r>
      <w:r w:rsidR="53F53ADD">
        <w:t xml:space="preserve">van </w:t>
      </w:r>
      <w:r w:rsidR="08E05BC7">
        <w:t>de SDE</w:t>
      </w:r>
      <w:r w:rsidR="53F53ADD">
        <w:t>++</w:t>
      </w:r>
      <w:r w:rsidR="19DB88B1">
        <w:t>.</w:t>
      </w:r>
      <w:r w:rsidR="20BAED5C">
        <w:t xml:space="preserve"> </w:t>
      </w:r>
      <w:r w:rsidR="00C361B7">
        <w:t xml:space="preserve">Optie </w:t>
      </w:r>
      <w:r w:rsidR="7AD50945">
        <w:t>2</w:t>
      </w:r>
      <w:r w:rsidR="00C361B7">
        <w:t xml:space="preserve"> is desalniettemin </w:t>
      </w:r>
      <w:r w:rsidR="06A6DB95">
        <w:t xml:space="preserve">de </w:t>
      </w:r>
      <w:r w:rsidR="727ED213">
        <w:t xml:space="preserve">meest </w:t>
      </w:r>
      <w:r w:rsidR="645C313F">
        <w:t>effectieve oplossing voor het geconstateerde probleem</w:t>
      </w:r>
      <w:r w:rsidR="5619954C">
        <w:t xml:space="preserve"> </w:t>
      </w:r>
      <w:r w:rsidR="49489600">
        <w:t>, waardoor het kabinet deze opt</w:t>
      </w:r>
      <w:r w:rsidR="5619954C">
        <w:t>ie</w:t>
      </w:r>
      <w:r w:rsidR="19B05E2F">
        <w:t xml:space="preserve"> </w:t>
      </w:r>
      <w:r w:rsidR="4EE78D4C">
        <w:t xml:space="preserve">ondanks de genoemde bezwaren </w:t>
      </w:r>
      <w:r w:rsidR="5699A5EC">
        <w:t>wel</w:t>
      </w:r>
      <w:r w:rsidR="5619954C">
        <w:t xml:space="preserve"> </w:t>
      </w:r>
      <w:r w:rsidR="49A119B9">
        <w:t xml:space="preserve">verder </w:t>
      </w:r>
      <w:r w:rsidR="5C7AD0DF">
        <w:t xml:space="preserve">wil </w:t>
      </w:r>
      <w:r w:rsidR="5619954C">
        <w:t>verkennen.</w:t>
      </w:r>
      <w:r w:rsidR="24DADFB0">
        <w:t xml:space="preserve"> </w:t>
      </w:r>
      <w:r w:rsidR="323E0156">
        <w:t xml:space="preserve">Hierbij </w:t>
      </w:r>
      <w:r w:rsidR="27F4EC71">
        <w:t>wordt ook gekeken naar</w:t>
      </w:r>
      <w:r w:rsidR="323E0156">
        <w:t xml:space="preserve"> de r</w:t>
      </w:r>
      <w:r w:rsidR="727ED213">
        <w:t>isico's op precedentwerking</w:t>
      </w:r>
      <w:r w:rsidR="60F0945C">
        <w:t>,</w:t>
      </w:r>
      <w:r w:rsidR="6F13C133">
        <w:t xml:space="preserve"> </w:t>
      </w:r>
      <w:r w:rsidR="60F0945C">
        <w:t>risico's in de uitvoering van de regeling</w:t>
      </w:r>
      <w:r w:rsidR="6F13C133">
        <w:t xml:space="preserve"> en</w:t>
      </w:r>
      <w:r w:rsidR="53B70D63">
        <w:t xml:space="preserve"> </w:t>
      </w:r>
      <w:r w:rsidR="772CC1B3">
        <w:t xml:space="preserve">de </w:t>
      </w:r>
      <w:r w:rsidR="53B70D63">
        <w:t>budgettaire gevolgen</w:t>
      </w:r>
      <w:r w:rsidR="4154620D">
        <w:t>.</w:t>
      </w:r>
      <w:r w:rsidR="5AA99FE3">
        <w:t xml:space="preserve"> </w:t>
      </w:r>
      <w:r w:rsidR="5DD534E1">
        <w:t xml:space="preserve">Het kabinet zal hier </w:t>
      </w:r>
      <w:r w:rsidR="290E5E01">
        <w:t>voor de zomer</w:t>
      </w:r>
      <w:r w:rsidR="5DD534E1">
        <w:t xml:space="preserve"> op terugkomen. </w:t>
      </w:r>
      <w:r w:rsidR="57438FC4">
        <w:t xml:space="preserve">Het </w:t>
      </w:r>
      <w:r w:rsidR="3FA55D9E">
        <w:t>k</w:t>
      </w:r>
      <w:r w:rsidR="57438FC4">
        <w:t xml:space="preserve">abinet richt zich hierbij </w:t>
      </w:r>
      <w:r w:rsidR="4A9127E2">
        <w:t>alleen</w:t>
      </w:r>
      <w:r w:rsidR="57438FC4">
        <w:t xml:space="preserve"> op nieuw af te gegeven subsidiebeschikkingen</w:t>
      </w:r>
      <w:r w:rsidR="0166D259">
        <w:t>.</w:t>
      </w:r>
    </w:p>
    <w:p w:rsidR="00D70BB2" w:rsidP="00D8779E" w:rsidRDefault="00D70BB2" w14:paraId="7A97E68F" w14:textId="6550E242"/>
    <w:p w:rsidR="00D70BB2" w:rsidP="00D8779E" w:rsidRDefault="00D70BB2" w14:paraId="01FDCC17" w14:textId="77777777"/>
    <w:p w:rsidR="00D70BB2" w:rsidP="00D8779E" w:rsidRDefault="00D70BB2" w14:paraId="008B48A7" w14:textId="08F1F89E">
      <w:pPr>
        <w:rPr>
          <w:i/>
          <w:iCs/>
        </w:rPr>
      </w:pPr>
      <w:r w:rsidRPr="4CEE5055">
        <w:rPr>
          <w:i/>
          <w:iCs/>
        </w:rPr>
        <w:t xml:space="preserve">Hergebruik materialen zon-PV </w:t>
      </w:r>
    </w:p>
    <w:p w:rsidR="00D70BB2" w:rsidP="00D8779E" w:rsidRDefault="00D70BB2" w14:paraId="7A6EEE48" w14:textId="45DB7FEB">
      <w:r>
        <w:t>Binnen de SDE++ wordt gekeken naar mogelijkheden om de stimulering meer in lijn te brengen met de transitie naar een circulaire economie. De algemene regel in de SDE++ is dat de gesubsidieerde productie-installatie niet uit geheel of gedeeltelijk gebruikte materialen mag bestaan, tenzij hiervoor een uitzondering is gemaakt. Het PBL heeft dit jaar voor zon-PV onderzocht of het passend is om, binnen de reguliere basisbedragen, een dergelijke uitzondering mogelijk te maken en hergebruik van materialen toe te staan zonder dat overstimulering ontstaat. Hierdoor worden de mogelijkheden voor het hergebruik van materialen verruimd.</w:t>
      </w:r>
    </w:p>
    <w:p w:rsidR="00D70BB2" w:rsidP="00D8779E" w:rsidRDefault="00D70BB2" w14:paraId="47A28ECC" w14:textId="77777777">
      <w:pPr>
        <w:rPr>
          <w:i/>
          <w:iCs/>
        </w:rPr>
      </w:pPr>
    </w:p>
    <w:p w:rsidR="00D70BB2" w:rsidP="00D8779E" w:rsidRDefault="00D70BB2" w14:paraId="424D07CB" w14:textId="77777777">
      <w:pPr>
        <w:rPr>
          <w:i/>
          <w:iCs/>
        </w:rPr>
      </w:pPr>
      <w:r w:rsidRPr="6952EB7C">
        <w:rPr>
          <w:i/>
          <w:iCs/>
        </w:rPr>
        <w:t>Procesgeïntegreerde warmtepomp</w:t>
      </w:r>
    </w:p>
    <w:p w:rsidR="00D70BB2" w:rsidP="00D8779E" w:rsidRDefault="00D70BB2" w14:paraId="2030CEDD" w14:textId="430BA3D7">
      <w:r>
        <w:t>In 2024 is de categorie voor de procesgeïntegreerde warmtepomp voor het eerst opengesteld. Er zijn voor deze categorie helaas geen aanvragen ingediend. Het voornemen is om de categorie in 2025 met dezelfde methode als gebruikt in 2024 open te stellen en in gesprek met de sector na te gaan</w:t>
      </w:r>
      <w:r w:rsidR="00D8779E">
        <w:t xml:space="preserve"> </w:t>
      </w:r>
      <w:r>
        <w:t>op welke manier de categorie kan worden verbeterd.</w:t>
      </w:r>
    </w:p>
    <w:p w:rsidR="00D70BB2" w:rsidP="00D8779E" w:rsidRDefault="00D70BB2" w14:paraId="0B7CBF24" w14:textId="77777777"/>
    <w:p w:rsidR="00D70BB2" w:rsidP="00D8779E" w:rsidRDefault="00D70BB2" w14:paraId="4BBD8D29" w14:textId="77777777">
      <w:pPr>
        <w:rPr>
          <w:i/>
          <w:iCs/>
        </w:rPr>
      </w:pPr>
      <w:r w:rsidRPr="6952EB7C">
        <w:rPr>
          <w:i/>
          <w:iCs/>
        </w:rPr>
        <w:t>Overig</w:t>
      </w:r>
    </w:p>
    <w:p w:rsidR="00D70BB2" w:rsidP="00D8779E" w:rsidRDefault="00D70BB2" w14:paraId="41DD49DE" w14:textId="77777777">
      <w:r>
        <w:t>In het advies van het PBL zijn nog een aantal kleine wijzigingen die leiden tot veranderingen aan categorieën:</w:t>
      </w:r>
    </w:p>
    <w:p w:rsidR="00D70BB2" w:rsidP="00D8779E" w:rsidRDefault="00D70BB2" w14:paraId="616799AC" w14:textId="77777777">
      <w:pPr>
        <w:pStyle w:val="Lijstalinea"/>
        <w:numPr>
          <w:ilvl w:val="0"/>
          <w:numId w:val="2"/>
        </w:numPr>
      </w:pPr>
      <w:r>
        <w:t xml:space="preserve">Voor waterstof geldt dat alleen nog gebruik kan worden gemaakt van waterstof die voldoet aan de gedelegeerde handelingen van de Europese Commissie over hernieuwbare waterstof. </w:t>
      </w:r>
    </w:p>
    <w:p w:rsidR="00D70BB2" w:rsidP="00D8779E" w:rsidRDefault="00D70BB2" w14:paraId="5E7F3506" w14:textId="14C10349">
      <w:pPr>
        <w:pStyle w:val="Lijstalinea"/>
        <w:numPr>
          <w:ilvl w:val="0"/>
          <w:numId w:val="2"/>
        </w:numPr>
      </w:pPr>
      <w:r>
        <w:t>Er wordt een nieuwe categorie bestaand slibgisting, hernieuwbaar gas, opengesteld</w:t>
      </w:r>
      <w:r w:rsidR="25D8635D">
        <w:t>.</w:t>
      </w:r>
    </w:p>
    <w:p w:rsidR="00D70BB2" w:rsidP="00D8779E" w:rsidRDefault="00D70BB2" w14:paraId="51220357" w14:textId="77777777">
      <w:pPr>
        <w:pStyle w:val="Lijstalinea"/>
        <w:numPr>
          <w:ilvl w:val="0"/>
          <w:numId w:val="2"/>
        </w:numPr>
      </w:pPr>
      <w:r>
        <w:t>De categorie diepe geothermie (basislast) met een hoge-temperatuur-warmtenet (met warmtepomp) krijgt een extra vermogensknip op 12 MWth.</w:t>
      </w:r>
    </w:p>
    <w:p w:rsidRPr="00970A07" w:rsidR="00D70BB2" w:rsidP="00D8779E" w:rsidRDefault="00D70BB2" w14:paraId="20E70A7B" w14:textId="5972350B">
      <w:pPr>
        <w:pStyle w:val="Lijstalinea"/>
        <w:numPr>
          <w:ilvl w:val="0"/>
          <w:numId w:val="2"/>
        </w:numPr>
      </w:pPr>
      <w:r>
        <w:t>Er is een nieuwe categorie voor PVT met warmtepomp én nieuwe WKO voor warmtelevering aan warmtenet</w:t>
      </w:r>
      <w:r w:rsidR="55401EC1">
        <w:t>.</w:t>
      </w:r>
    </w:p>
    <w:p w:rsidRPr="00382807" w:rsidR="00D70BB2" w:rsidP="00D8779E" w:rsidRDefault="00D70BB2" w14:paraId="115499BB" w14:textId="77777777">
      <w:pPr>
        <w:rPr>
          <w:b/>
          <w:bCs/>
          <w:szCs w:val="18"/>
        </w:rPr>
      </w:pPr>
    </w:p>
    <w:sectPr w:rsidRPr="00382807" w:rsidR="00D70BB2"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3F3D" w14:textId="77777777" w:rsidR="00572A1B" w:rsidRDefault="00572A1B">
      <w:r>
        <w:separator/>
      </w:r>
    </w:p>
    <w:p w14:paraId="2EAEE02D" w14:textId="77777777" w:rsidR="00572A1B" w:rsidRDefault="00572A1B"/>
  </w:endnote>
  <w:endnote w:type="continuationSeparator" w:id="0">
    <w:p w14:paraId="3B39A914" w14:textId="77777777" w:rsidR="00572A1B" w:rsidRDefault="00572A1B">
      <w:r>
        <w:continuationSeparator/>
      </w:r>
    </w:p>
    <w:p w14:paraId="2E182E5F" w14:textId="77777777" w:rsidR="00572A1B" w:rsidRDefault="00572A1B"/>
  </w:endnote>
  <w:endnote w:type="continuationNotice" w:id="1">
    <w:p w14:paraId="54196208" w14:textId="77777777" w:rsidR="00572A1B" w:rsidRDefault="00572A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B7DF" w14:textId="77777777" w:rsidR="007525C0" w:rsidRDefault="007525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B5162" w14:paraId="7CC2EF09" w14:textId="77777777" w:rsidTr="00CA6A25">
      <w:trPr>
        <w:trHeight w:hRule="exact" w:val="240"/>
      </w:trPr>
      <w:tc>
        <w:tcPr>
          <w:tcW w:w="7601" w:type="dxa"/>
          <w:shd w:val="clear" w:color="auto" w:fill="auto"/>
        </w:tcPr>
        <w:p w14:paraId="12C3A154" w14:textId="77777777" w:rsidR="00527BD4" w:rsidRDefault="00527BD4" w:rsidP="003F1F6B">
          <w:pPr>
            <w:pStyle w:val="Huisstijl-Rubricering"/>
          </w:pPr>
        </w:p>
      </w:tc>
      <w:tc>
        <w:tcPr>
          <w:tcW w:w="2156" w:type="dxa"/>
        </w:tcPr>
        <w:p w14:paraId="7610C783" w14:textId="196A5AEF" w:rsidR="00527BD4" w:rsidRPr="00645414" w:rsidRDefault="00EC04F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C65314">
            <w:t>14</w:t>
          </w:r>
          <w:r w:rsidR="00BC222D">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B5162" w14:paraId="23F70E7D" w14:textId="77777777" w:rsidTr="00CA6A25">
      <w:trPr>
        <w:trHeight w:hRule="exact" w:val="240"/>
      </w:trPr>
      <w:tc>
        <w:tcPr>
          <w:tcW w:w="7601" w:type="dxa"/>
          <w:shd w:val="clear" w:color="auto" w:fill="auto"/>
        </w:tcPr>
        <w:p w14:paraId="64227556" w14:textId="77777777" w:rsidR="00527BD4" w:rsidRDefault="00527BD4" w:rsidP="008C356D">
          <w:pPr>
            <w:pStyle w:val="Huisstijl-Rubricering"/>
          </w:pPr>
        </w:p>
      </w:tc>
      <w:tc>
        <w:tcPr>
          <w:tcW w:w="2170" w:type="dxa"/>
        </w:tcPr>
        <w:p w14:paraId="18FC5935" w14:textId="323ABC01" w:rsidR="00527BD4" w:rsidRPr="00ED539E" w:rsidRDefault="00EC04F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72A1B">
            <w:t>1</w:t>
          </w:r>
          <w:r w:rsidR="00BC222D">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C678" w14:textId="77777777" w:rsidR="00572A1B" w:rsidRDefault="00572A1B">
      <w:r>
        <w:separator/>
      </w:r>
    </w:p>
    <w:p w14:paraId="1416E3F4" w14:textId="77777777" w:rsidR="00572A1B" w:rsidRDefault="00572A1B"/>
  </w:footnote>
  <w:footnote w:type="continuationSeparator" w:id="0">
    <w:p w14:paraId="58305672" w14:textId="77777777" w:rsidR="00572A1B" w:rsidRDefault="00572A1B">
      <w:r>
        <w:continuationSeparator/>
      </w:r>
    </w:p>
    <w:p w14:paraId="517126A9" w14:textId="77777777" w:rsidR="00572A1B" w:rsidRDefault="00572A1B"/>
  </w:footnote>
  <w:footnote w:type="continuationNotice" w:id="1">
    <w:p w14:paraId="7664AB87" w14:textId="77777777" w:rsidR="00572A1B" w:rsidRDefault="00572A1B">
      <w:pPr>
        <w:spacing w:line="240" w:lineRule="auto"/>
      </w:pPr>
    </w:p>
  </w:footnote>
  <w:footnote w:id="2">
    <w:p w14:paraId="74D1DBB5" w14:textId="64A96E5D" w:rsidR="003957AA" w:rsidRDefault="003957AA">
      <w:pPr>
        <w:pStyle w:val="Voetnoottekst"/>
      </w:pPr>
      <w:r>
        <w:rPr>
          <w:rStyle w:val="Voetnootmarkering"/>
        </w:rPr>
        <w:footnoteRef/>
      </w:r>
      <w:r>
        <w:t xml:space="preserve"> Eindadvies basisbedragen SDE++ 2025</w:t>
      </w:r>
      <w:r w:rsidR="007D6085">
        <w:t>. Planbureau voor de Leefomgeving</w:t>
      </w:r>
      <w:r w:rsidR="00CA408D">
        <w:t xml:space="preserve"> </w:t>
      </w:r>
      <w:r w:rsidR="00225C50">
        <w:t>PBL-publicatienummer</w:t>
      </w:r>
      <w:r w:rsidR="0028512C">
        <w:t>: 5472.</w:t>
      </w:r>
    </w:p>
  </w:footnote>
  <w:footnote w:id="3">
    <w:p w14:paraId="56345115" w14:textId="3B17AC29" w:rsidR="000C18EF" w:rsidRDefault="000C18EF">
      <w:pPr>
        <w:pStyle w:val="Voetnoottekst"/>
      </w:pPr>
      <w:r>
        <w:rPr>
          <w:rStyle w:val="Voetnootmarkering"/>
        </w:rPr>
        <w:footnoteRef/>
      </w:r>
      <w:r>
        <w:t xml:space="preserve"> </w:t>
      </w:r>
      <w:r w:rsidR="00174AFD" w:rsidRPr="00174AFD">
        <w:t>TZ202502-011</w:t>
      </w:r>
    </w:p>
  </w:footnote>
  <w:footnote w:id="4">
    <w:p w14:paraId="4EE014D9" w14:textId="646B550F" w:rsidR="008C5034" w:rsidRDefault="008C5034">
      <w:pPr>
        <w:pStyle w:val="Voetnoottekst"/>
      </w:pPr>
      <w:r>
        <w:rPr>
          <w:rStyle w:val="Voetnootmarkering"/>
        </w:rPr>
        <w:footnoteRef/>
      </w:r>
      <w:r>
        <w:t xml:space="preserve"> </w:t>
      </w:r>
      <w:r w:rsidRPr="008C5034">
        <w:t>TZ202502-008</w:t>
      </w:r>
    </w:p>
  </w:footnote>
  <w:footnote w:id="5">
    <w:p w14:paraId="56F2B201" w14:textId="77777777" w:rsidR="00CB7F7F" w:rsidRDefault="00CB7F7F" w:rsidP="00CB7F7F">
      <w:pPr>
        <w:pStyle w:val="Voetnoottekst"/>
      </w:pPr>
      <w:r>
        <w:rPr>
          <w:rStyle w:val="Voetnootmarkering"/>
        </w:rPr>
        <w:footnoteRef/>
      </w:r>
      <w:r>
        <w:t xml:space="preserve"> </w:t>
      </w:r>
      <w:r w:rsidRPr="00C15280">
        <w:t>Kamerstukken 32 813, nr. 1444</w:t>
      </w:r>
    </w:p>
  </w:footnote>
  <w:footnote w:id="6">
    <w:p w14:paraId="37A3A75B" w14:textId="77777777" w:rsidR="00CB7F7F" w:rsidRDefault="00CB7F7F" w:rsidP="00CB7F7F">
      <w:pPr>
        <w:pStyle w:val="Voetnoottekst"/>
      </w:pPr>
      <w:r>
        <w:rPr>
          <w:rStyle w:val="Voetnootmarkering"/>
        </w:rPr>
        <w:footnoteRef/>
      </w:r>
      <w:r>
        <w:t xml:space="preserve"> </w:t>
      </w:r>
      <w:r w:rsidRPr="0082057E">
        <w:t>CCS kent een afvang-deel en een opslag-deel. CO</w:t>
      </w:r>
      <w:r>
        <w:rPr>
          <w:vertAlign w:val="subscript"/>
        </w:rPr>
        <w:t>2</w:t>
      </w:r>
      <w:r w:rsidRPr="0082057E">
        <w:t xml:space="preserve"> d</w:t>
      </w:r>
      <w:r>
        <w:t>ie</w:t>
      </w:r>
      <w:r w:rsidRPr="0082057E">
        <w:t xml:space="preserve"> bij een bedrijf in Nederland wordt afgevangen, en vervolgens in het buitenland wordt opgeslagen, telt mee als emissiereductie in Nederland.</w:t>
      </w:r>
    </w:p>
  </w:footnote>
  <w:footnote w:id="7">
    <w:p w14:paraId="32589AA5" w14:textId="6CC338EC" w:rsidR="000306D0" w:rsidRDefault="000306D0">
      <w:pPr>
        <w:pStyle w:val="Voetnoottekst"/>
      </w:pPr>
      <w:r>
        <w:rPr>
          <w:rStyle w:val="Voetnootmarkering"/>
        </w:rPr>
        <w:footnoteRef/>
      </w:r>
      <w:r>
        <w:t xml:space="preserve"> </w:t>
      </w:r>
      <w:r w:rsidRPr="73FDFB18">
        <w:rPr>
          <w:rFonts w:eastAsia="Verdana" w:cs="Verdana"/>
        </w:rPr>
        <w:t>Kamerstuk 29 826, nr. 225</w:t>
      </w:r>
    </w:p>
  </w:footnote>
  <w:footnote w:id="8">
    <w:p w14:paraId="44063681" w14:textId="751C0058" w:rsidR="000306D0" w:rsidRDefault="000306D0">
      <w:pPr>
        <w:pStyle w:val="Voetnoottekst"/>
      </w:pPr>
      <w:r>
        <w:rPr>
          <w:rStyle w:val="Voetnootmarkering"/>
        </w:rPr>
        <w:footnoteRef/>
      </w:r>
      <w:r>
        <w:t xml:space="preserve"> </w:t>
      </w:r>
      <w:r w:rsidRPr="73FDFB18">
        <w:rPr>
          <w:rFonts w:eastAsia="Verdana" w:cs="Verdana"/>
        </w:rPr>
        <w:t>TZ202309-096</w:t>
      </w:r>
    </w:p>
  </w:footnote>
  <w:footnote w:id="9">
    <w:p w14:paraId="4110384C" w14:textId="4C200B4F" w:rsidR="6952EB7C" w:rsidRPr="000306D0" w:rsidRDefault="6952EB7C" w:rsidP="6952EB7C">
      <w:pPr>
        <w:pStyle w:val="Voetnoottekst"/>
        <w:rPr>
          <w:szCs w:val="13"/>
        </w:rPr>
      </w:pPr>
      <w:r w:rsidRPr="000306D0">
        <w:rPr>
          <w:rStyle w:val="Voetnootmarkering"/>
          <w:szCs w:val="13"/>
        </w:rPr>
        <w:footnoteRef/>
      </w:r>
      <w:r w:rsidRPr="000306D0">
        <w:rPr>
          <w:szCs w:val="13"/>
        </w:rPr>
        <w:t xml:space="preserve"> </w:t>
      </w:r>
      <w:r w:rsidRPr="001A5BE0">
        <w:rPr>
          <w:rFonts w:eastAsia="Verdana" w:cs="Verdana"/>
          <w:szCs w:val="13"/>
        </w:rPr>
        <w:t>Zeker als wordt uitgegaan van de vermogensgrens voor zon-pv</w:t>
      </w:r>
      <w:r w:rsidR="0030750A" w:rsidRPr="001A5BE0">
        <w:rPr>
          <w:rFonts w:eastAsia="Verdana" w:cs="Verdana"/>
          <w:szCs w:val="13"/>
        </w:rPr>
        <w:t xml:space="preserve">, wat </w:t>
      </w:r>
      <w:r w:rsidR="00EC04F4" w:rsidRPr="001A5BE0">
        <w:rPr>
          <w:rFonts w:eastAsia="Verdana" w:cs="Verdana"/>
          <w:szCs w:val="13"/>
        </w:rPr>
        <w:t>d</w:t>
      </w:r>
      <w:r w:rsidRPr="001A5BE0">
        <w:rPr>
          <w:rFonts w:eastAsia="Verdana" w:cs="Verdana"/>
          <w:szCs w:val="13"/>
        </w:rPr>
        <w:t>e grote meerderheid van de coöperatieve projecten betreft.</w:t>
      </w:r>
    </w:p>
  </w:footnote>
  <w:footnote w:id="10">
    <w:p w14:paraId="51C801A5" w14:textId="3E4B1495" w:rsidR="4CEE5055" w:rsidRDefault="4CEE5055" w:rsidP="00BA7965">
      <w:pPr>
        <w:pStyle w:val="Voetnoottekst"/>
        <w:rPr>
          <w:rFonts w:eastAsia="Verdana" w:cs="Verdana"/>
        </w:rPr>
      </w:pPr>
      <w:r w:rsidRPr="4CEE5055">
        <w:rPr>
          <w:rStyle w:val="Voetnootmarkering"/>
        </w:rPr>
        <w:footnoteRef/>
      </w:r>
      <w:r>
        <w:t xml:space="preserve"> </w:t>
      </w:r>
      <w:r w:rsidRPr="4CEE5055">
        <w:rPr>
          <w:rFonts w:eastAsia="Verdana" w:cs="Verdana"/>
        </w:rPr>
        <w:t>TZ202502-012</w:t>
      </w:r>
    </w:p>
  </w:footnote>
  <w:footnote w:id="11">
    <w:p w14:paraId="55F7832D" w14:textId="635C3248" w:rsidR="001B5933" w:rsidRDefault="001B5933">
      <w:pPr>
        <w:pStyle w:val="Voetnoottekst"/>
      </w:pPr>
      <w:r>
        <w:rPr>
          <w:rStyle w:val="Voetnootmarkering"/>
        </w:rPr>
        <w:footnoteRef/>
      </w:r>
      <w:r>
        <w:t xml:space="preserve"> </w:t>
      </w:r>
      <w:r w:rsidRPr="001B5933">
        <w:t>TZ202502-011</w:t>
      </w:r>
    </w:p>
  </w:footnote>
  <w:footnote w:id="12">
    <w:p w14:paraId="5A89DD69" w14:textId="77777777" w:rsidR="00D70BB2" w:rsidRPr="00104CF1" w:rsidRDefault="00D70BB2" w:rsidP="00D70BB2">
      <w:pPr>
        <w:pStyle w:val="Voetnoottekst"/>
      </w:pPr>
      <w:r>
        <w:rPr>
          <w:rStyle w:val="Voetnootmarkering"/>
        </w:rPr>
        <w:footnoteRef/>
      </w:r>
      <w:r>
        <w:t xml:space="preserve"> Voor technieken in de SDE++ die buiten de hekjes vallen, geldt dat er maximaal € 300 per ton vermeden CO</w:t>
      </w:r>
      <w:r>
        <w:rPr>
          <w:vertAlign w:val="subscript"/>
        </w:rPr>
        <w:t>2</w:t>
      </w:r>
      <w:r>
        <w:t xml:space="preserve"> wordt betaald. Als de kosten van een techniek hoger zijn dan dit bedrag, dan wordt dus slechts een gedeelte van de totale kosten gesubsidieerd. Voor technieken binnen de hekjes geldt een maximum van € 400 per ton vermeden CO</w:t>
      </w:r>
      <w:r>
        <w:rPr>
          <w:vertAlign w:val="subscript"/>
        </w:rPr>
        <w:t>2</w:t>
      </w:r>
      <w:r>
        <w:t xml:space="preserve">. DAC valt net als de andere CCS- en CCU-categorieën buiten de hekjes. </w:t>
      </w:r>
    </w:p>
  </w:footnote>
  <w:footnote w:id="13">
    <w:p w14:paraId="2B894A66" w14:textId="559E4420" w:rsidR="00796776" w:rsidRDefault="00796776">
      <w:pPr>
        <w:pStyle w:val="Voetnoottekst"/>
      </w:pPr>
      <w:r>
        <w:rPr>
          <w:rStyle w:val="Voetnootmarkering"/>
        </w:rPr>
        <w:footnoteRef/>
      </w:r>
      <w:r>
        <w:t xml:space="preserve"> Kamerstukken 32813, nr. 1464</w:t>
      </w:r>
    </w:p>
  </w:footnote>
  <w:footnote w:id="14">
    <w:p w14:paraId="688662DD" w14:textId="25C2D458" w:rsidR="00673282" w:rsidRDefault="00673282">
      <w:pPr>
        <w:pStyle w:val="Voetnoottekst"/>
      </w:pPr>
      <w:r>
        <w:rPr>
          <w:rStyle w:val="Voetnootmarkering"/>
        </w:rPr>
        <w:footnoteRef/>
      </w:r>
      <w:r>
        <w:t xml:space="preserve"> </w:t>
      </w:r>
      <w:r w:rsidR="00340B09">
        <w:t xml:space="preserve">Bij de bijmengverplichting groen gas en de herziene jaarverplichting voor vervoer wordt waarschijnlijk op ketenemissiereductie gestuurd. Hierdoor </w:t>
      </w:r>
      <w:r w:rsidR="005A7D8C">
        <w:t>leidt de toepassing van CCS</w:t>
      </w:r>
      <w:r w:rsidR="00B40444">
        <w:t xml:space="preserve"> en CCU</w:t>
      </w:r>
      <w:r w:rsidR="005A7D8C">
        <w:t xml:space="preserve"> bij de </w:t>
      </w:r>
      <w:r w:rsidR="00B40444">
        <w:t xml:space="preserve">productie van groen gas of biobrandstoffen tot een grotere hoeveelheid </w:t>
      </w:r>
      <w:r w:rsidR="00A41137">
        <w:t xml:space="preserve">verhandelbare </w:t>
      </w:r>
      <w:r w:rsidR="00274EDB">
        <w:rPr>
          <w:i/>
          <w:iCs/>
        </w:rPr>
        <w:t>credits</w:t>
      </w:r>
      <w:r w:rsidR="00A41137">
        <w:t xml:space="preserve">. </w:t>
      </w:r>
    </w:p>
  </w:footnote>
  <w:footnote w:id="15">
    <w:p w14:paraId="7CA1B112" w14:textId="6FFB278E" w:rsidR="4CEE5055" w:rsidRDefault="4CEE5055" w:rsidP="00BA7965">
      <w:pPr>
        <w:pStyle w:val="Voetnoottekst"/>
      </w:pPr>
      <w:r w:rsidRPr="4CEE5055">
        <w:rPr>
          <w:rStyle w:val="Voetnootmarkering"/>
        </w:rPr>
        <w:footnoteRef/>
      </w:r>
      <w:r>
        <w:t xml:space="preserve"> TZ202502-008</w:t>
      </w:r>
    </w:p>
  </w:footnote>
  <w:footnote w:id="16">
    <w:p w14:paraId="2B83FF02" w14:textId="77777777" w:rsidR="00796776" w:rsidRDefault="00796776" w:rsidP="00796776">
      <w:pPr>
        <w:pStyle w:val="Voetnoottekst"/>
      </w:pPr>
      <w:r>
        <w:rPr>
          <w:rStyle w:val="Voetnootmarkering"/>
        </w:rPr>
        <w:footnoteRef/>
      </w:r>
      <w:r>
        <w:t xml:space="preserve"> </w:t>
      </w:r>
      <w:r w:rsidRPr="00AA0843">
        <w:t>2024Z21214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F12" w14:textId="77777777" w:rsidR="007525C0" w:rsidRDefault="007525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B5162" w14:paraId="3909255B" w14:textId="77777777" w:rsidTr="00A50CF6">
      <w:tc>
        <w:tcPr>
          <w:tcW w:w="2156" w:type="dxa"/>
          <w:shd w:val="clear" w:color="auto" w:fill="auto"/>
        </w:tcPr>
        <w:p w14:paraId="0D48B309" w14:textId="1057D9A0" w:rsidR="00527BD4" w:rsidRPr="005819CE" w:rsidRDefault="00EC04F4" w:rsidP="00A50CF6">
          <w:pPr>
            <w:pStyle w:val="Huisstijl-Adres"/>
            <w:rPr>
              <w:b/>
            </w:rPr>
          </w:pPr>
          <w:r>
            <w:rPr>
              <w:b/>
            </w:rPr>
            <w:t>Directoraat-generaal Klimaat en Energie</w:t>
          </w:r>
          <w:r w:rsidRPr="005819CE">
            <w:rPr>
              <w:b/>
            </w:rPr>
            <w:br/>
          </w:r>
          <w:r>
            <w:t>Directie Strategie Energiesysteem</w:t>
          </w:r>
        </w:p>
      </w:tc>
    </w:tr>
    <w:tr w:rsidR="004B5162" w14:paraId="02AD4526" w14:textId="77777777" w:rsidTr="00A50CF6">
      <w:trPr>
        <w:trHeight w:hRule="exact" w:val="200"/>
      </w:trPr>
      <w:tc>
        <w:tcPr>
          <w:tcW w:w="2156" w:type="dxa"/>
          <w:shd w:val="clear" w:color="auto" w:fill="auto"/>
        </w:tcPr>
        <w:p w14:paraId="2EEAD9AB" w14:textId="77777777" w:rsidR="00527BD4" w:rsidRPr="005819CE" w:rsidRDefault="00527BD4" w:rsidP="00A50CF6"/>
      </w:tc>
    </w:tr>
    <w:tr w:rsidR="004B5162" w14:paraId="137B027F" w14:textId="77777777" w:rsidTr="00502512">
      <w:trPr>
        <w:trHeight w:hRule="exact" w:val="774"/>
      </w:trPr>
      <w:tc>
        <w:tcPr>
          <w:tcW w:w="2156" w:type="dxa"/>
          <w:shd w:val="clear" w:color="auto" w:fill="auto"/>
        </w:tcPr>
        <w:p w14:paraId="4C4275FB" w14:textId="4F41A877" w:rsidR="00527BD4" w:rsidRDefault="00EC04F4" w:rsidP="003A5290">
          <w:pPr>
            <w:pStyle w:val="Huisstijl-Kopje"/>
          </w:pPr>
          <w:r>
            <w:t>Ons kenmerk</w:t>
          </w:r>
        </w:p>
        <w:p w14:paraId="2CB4FA59" w14:textId="29E6B83F" w:rsidR="00502512" w:rsidRPr="00502512" w:rsidRDefault="00EC04F4" w:rsidP="003A5290">
          <w:pPr>
            <w:pStyle w:val="Huisstijl-Kopje"/>
            <w:rPr>
              <w:b w:val="0"/>
            </w:rPr>
          </w:pPr>
          <w:r>
            <w:rPr>
              <w:b w:val="0"/>
            </w:rPr>
            <w:t>DGKE-DSE</w:t>
          </w:r>
          <w:r w:rsidRPr="00502512">
            <w:rPr>
              <w:b w:val="0"/>
            </w:rPr>
            <w:t xml:space="preserve"> / </w:t>
          </w:r>
          <w:r w:rsidR="006929DF" w:rsidRPr="006929DF">
            <w:rPr>
              <w:b w:val="0"/>
            </w:rPr>
            <w:t>97238401</w:t>
          </w:r>
        </w:p>
        <w:p w14:paraId="35F502D9" w14:textId="77777777" w:rsidR="00527BD4" w:rsidRPr="005819CE" w:rsidRDefault="00527BD4" w:rsidP="00361A56">
          <w:pPr>
            <w:pStyle w:val="Huisstijl-Kopje"/>
          </w:pPr>
        </w:p>
      </w:tc>
    </w:tr>
  </w:tbl>
  <w:p w14:paraId="7E5841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B5162" w14:paraId="06993FB5" w14:textId="77777777" w:rsidTr="00751A6A">
      <w:trPr>
        <w:trHeight w:val="2636"/>
      </w:trPr>
      <w:tc>
        <w:tcPr>
          <w:tcW w:w="737" w:type="dxa"/>
          <w:shd w:val="clear" w:color="auto" w:fill="auto"/>
        </w:tcPr>
        <w:p w14:paraId="0F86236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219BAF8" w14:textId="6288EDFF" w:rsidR="00527BD4" w:rsidRDefault="00EC04F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BCDCFDD" wp14:editId="0777777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B5162" w14:paraId="13D0458E" w14:textId="77777777" w:rsidTr="00A50CF6">
      <w:tc>
        <w:tcPr>
          <w:tcW w:w="2160" w:type="dxa"/>
          <w:shd w:val="clear" w:color="auto" w:fill="auto"/>
        </w:tcPr>
        <w:p w14:paraId="6507531A" w14:textId="6DADE560" w:rsidR="00527BD4" w:rsidRPr="005819CE" w:rsidRDefault="00EC04F4" w:rsidP="00A50CF6">
          <w:pPr>
            <w:pStyle w:val="Huisstijl-Adres"/>
            <w:rPr>
              <w:b/>
            </w:rPr>
          </w:pPr>
          <w:r>
            <w:rPr>
              <w:b/>
            </w:rPr>
            <w:t>Directoraat-generaal Klimaat en Energie</w:t>
          </w:r>
          <w:r w:rsidRPr="005819CE">
            <w:rPr>
              <w:b/>
            </w:rPr>
            <w:br/>
          </w:r>
          <w:r>
            <w:t>Directie Strategie Energiesysteem</w:t>
          </w:r>
        </w:p>
        <w:p w14:paraId="650C04C7" w14:textId="400310E2" w:rsidR="00527BD4" w:rsidRPr="00BE5ED9" w:rsidRDefault="00EC04F4" w:rsidP="00A50CF6">
          <w:pPr>
            <w:pStyle w:val="Huisstijl-Adres"/>
          </w:pPr>
          <w:r>
            <w:rPr>
              <w:b/>
            </w:rPr>
            <w:t>Bezoekadres</w:t>
          </w:r>
          <w:r>
            <w:rPr>
              <w:b/>
            </w:rPr>
            <w:br/>
          </w:r>
          <w:r>
            <w:t>Bezuidenhoutseweg 73</w:t>
          </w:r>
          <w:r w:rsidRPr="005819CE">
            <w:br/>
          </w:r>
          <w:r>
            <w:t>2594 AC Den Haag</w:t>
          </w:r>
        </w:p>
        <w:p w14:paraId="3385D13B" w14:textId="77777777" w:rsidR="00EF495B" w:rsidRDefault="00EC04F4" w:rsidP="0098788A">
          <w:pPr>
            <w:pStyle w:val="Huisstijl-Adres"/>
          </w:pPr>
          <w:r>
            <w:rPr>
              <w:b/>
            </w:rPr>
            <w:t>Postadres</w:t>
          </w:r>
          <w:r>
            <w:rPr>
              <w:b/>
            </w:rPr>
            <w:br/>
          </w:r>
          <w:r>
            <w:t>Postbus 20401</w:t>
          </w:r>
          <w:r w:rsidRPr="005819CE">
            <w:br/>
            <w:t>2500 E</w:t>
          </w:r>
          <w:r>
            <w:t>K</w:t>
          </w:r>
          <w:r w:rsidRPr="005819CE">
            <w:t xml:space="preserve"> Den Haag</w:t>
          </w:r>
        </w:p>
        <w:p w14:paraId="2FB88E3D" w14:textId="340705BF" w:rsidR="00EF495B" w:rsidRPr="005B3814" w:rsidRDefault="00EC04F4" w:rsidP="0098788A">
          <w:pPr>
            <w:pStyle w:val="Huisstijl-Adres"/>
          </w:pPr>
          <w:r>
            <w:rPr>
              <w:b/>
            </w:rPr>
            <w:t>Overheidsidentificatienr</w:t>
          </w:r>
          <w:r>
            <w:rPr>
              <w:b/>
            </w:rPr>
            <w:br/>
          </w:r>
          <w:r w:rsidR="00F323ED" w:rsidRPr="00F323ED">
            <w:t>00000001003214369000</w:t>
          </w:r>
        </w:p>
        <w:p w14:paraId="04999AB2" w14:textId="27C2C59F" w:rsidR="00527BD4" w:rsidRPr="00D8779E" w:rsidRDefault="00EC04F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B5162" w14:paraId="4FB02182" w14:textId="77777777" w:rsidTr="00D8779E">
      <w:trPr>
        <w:trHeight w:hRule="exact" w:val="80"/>
      </w:trPr>
      <w:tc>
        <w:tcPr>
          <w:tcW w:w="2160" w:type="dxa"/>
          <w:shd w:val="clear" w:color="auto" w:fill="auto"/>
        </w:tcPr>
        <w:p w14:paraId="3809167A" w14:textId="77777777" w:rsidR="00527BD4" w:rsidRPr="005819CE" w:rsidRDefault="00527BD4" w:rsidP="00A50CF6"/>
      </w:tc>
    </w:tr>
    <w:tr w:rsidR="004B5162" w14:paraId="30880088" w14:textId="77777777" w:rsidTr="00A50CF6">
      <w:tc>
        <w:tcPr>
          <w:tcW w:w="2160" w:type="dxa"/>
          <w:shd w:val="clear" w:color="auto" w:fill="auto"/>
        </w:tcPr>
        <w:p w14:paraId="3302543D" w14:textId="03F42770" w:rsidR="000C0163" w:rsidRPr="005819CE" w:rsidRDefault="00EC04F4" w:rsidP="000C0163">
          <w:pPr>
            <w:pStyle w:val="Huisstijl-Kopje"/>
          </w:pPr>
          <w:r>
            <w:t>Ons kenmerk</w:t>
          </w:r>
          <w:r w:rsidRPr="005819CE">
            <w:t xml:space="preserve"> </w:t>
          </w:r>
        </w:p>
        <w:p w14:paraId="7B668418" w14:textId="422C98EA" w:rsidR="000C0163" w:rsidRPr="005819CE" w:rsidRDefault="00EC04F4" w:rsidP="000C0163">
          <w:pPr>
            <w:pStyle w:val="Huisstijl-Gegeven"/>
          </w:pPr>
          <w:r>
            <w:t>DGKE-DSE</w:t>
          </w:r>
          <w:r w:rsidR="00926AE2">
            <w:t xml:space="preserve"> / </w:t>
          </w:r>
          <w:r w:rsidR="006929DF" w:rsidRPr="006929DF">
            <w:t>97238401</w:t>
          </w:r>
        </w:p>
        <w:p w14:paraId="571C4B05" w14:textId="1F17BDBB" w:rsidR="00527BD4" w:rsidRPr="005819CE" w:rsidRDefault="00EC04F4" w:rsidP="00A50CF6">
          <w:pPr>
            <w:pStyle w:val="Huisstijl-Kopje"/>
          </w:pPr>
          <w:r>
            <w:t>Bijlage(n)</w:t>
          </w:r>
        </w:p>
        <w:p w14:paraId="7376D2F5" w14:textId="2CD6D320" w:rsidR="00527BD4" w:rsidRPr="005819CE" w:rsidRDefault="009A0848" w:rsidP="00A50CF6">
          <w:pPr>
            <w:pStyle w:val="Huisstijl-Gegeven"/>
          </w:pPr>
          <w:r>
            <w:t>3</w:t>
          </w: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B5162" w14:paraId="4353ABBE" w14:textId="77777777" w:rsidTr="007610AA">
      <w:trPr>
        <w:trHeight w:val="400"/>
      </w:trPr>
      <w:tc>
        <w:tcPr>
          <w:tcW w:w="7520" w:type="dxa"/>
          <w:gridSpan w:val="2"/>
          <w:shd w:val="clear" w:color="auto" w:fill="auto"/>
        </w:tcPr>
        <w:p w14:paraId="6898A736" w14:textId="712B4096" w:rsidR="00527BD4" w:rsidRPr="00BC3B53" w:rsidRDefault="00EC04F4" w:rsidP="00A50CF6">
          <w:pPr>
            <w:pStyle w:val="Huisstijl-Retouradres"/>
          </w:pPr>
          <w:r>
            <w:t>&gt; Retouradres Postbus 20401 2500 EK Den Haag</w:t>
          </w:r>
        </w:p>
      </w:tc>
    </w:tr>
    <w:tr w:rsidR="004B5162" w14:paraId="5164276F" w14:textId="77777777" w:rsidTr="007610AA">
      <w:tc>
        <w:tcPr>
          <w:tcW w:w="7520" w:type="dxa"/>
          <w:gridSpan w:val="2"/>
          <w:shd w:val="clear" w:color="auto" w:fill="auto"/>
        </w:tcPr>
        <w:p w14:paraId="7BF06BCA" w14:textId="6CD2AB28" w:rsidR="00527BD4" w:rsidRPr="00983E8F" w:rsidRDefault="00527BD4" w:rsidP="00A50CF6">
          <w:pPr>
            <w:pStyle w:val="Huisstijl-Rubricering"/>
          </w:pPr>
        </w:p>
      </w:tc>
    </w:tr>
    <w:tr w:rsidR="004B5162" w14:paraId="44D89C5D" w14:textId="77777777" w:rsidTr="007610AA">
      <w:trPr>
        <w:trHeight w:hRule="exact" w:val="2440"/>
      </w:trPr>
      <w:tc>
        <w:tcPr>
          <w:tcW w:w="7520" w:type="dxa"/>
          <w:gridSpan w:val="2"/>
          <w:shd w:val="clear" w:color="auto" w:fill="auto"/>
        </w:tcPr>
        <w:p w14:paraId="0A499B54" w14:textId="12E90251" w:rsidR="00527BD4" w:rsidRDefault="00EC04F4" w:rsidP="00A50CF6">
          <w:pPr>
            <w:pStyle w:val="Huisstijl-NAW"/>
          </w:pPr>
          <w:r>
            <w:t xml:space="preserve">De Voorzitter van de Tweede Kamer </w:t>
          </w:r>
        </w:p>
        <w:p w14:paraId="338AAF05" w14:textId="77777777" w:rsidR="004B5162" w:rsidRDefault="00EC04F4">
          <w:pPr>
            <w:pStyle w:val="Huisstijl-NAW"/>
          </w:pPr>
          <w:r>
            <w:t>der Staten-Generaal</w:t>
          </w:r>
        </w:p>
        <w:p w14:paraId="6459265A" w14:textId="77777777" w:rsidR="004B5162" w:rsidRDefault="00EC04F4">
          <w:pPr>
            <w:pStyle w:val="Huisstijl-NAW"/>
          </w:pPr>
          <w:r>
            <w:t>Prinses Irenestraat 6</w:t>
          </w:r>
        </w:p>
        <w:p w14:paraId="2C8E7D18" w14:textId="4F0B8CC2" w:rsidR="004B5162" w:rsidRDefault="00EC04F4">
          <w:pPr>
            <w:pStyle w:val="Huisstijl-NAW"/>
          </w:pPr>
          <w:r>
            <w:t xml:space="preserve">2595 BD </w:t>
          </w:r>
          <w:r w:rsidR="00D8779E">
            <w:t xml:space="preserve"> </w:t>
          </w:r>
          <w:r>
            <w:t>DEN HAAG</w:t>
          </w:r>
        </w:p>
      </w:tc>
    </w:tr>
    <w:tr w:rsidR="004B5162" w14:paraId="4ABACF62" w14:textId="77777777" w:rsidTr="007610AA">
      <w:trPr>
        <w:trHeight w:hRule="exact" w:val="400"/>
      </w:trPr>
      <w:tc>
        <w:tcPr>
          <w:tcW w:w="7520" w:type="dxa"/>
          <w:gridSpan w:val="2"/>
          <w:shd w:val="clear" w:color="auto" w:fill="auto"/>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B5162" w14:paraId="5ED9E2F1" w14:textId="77777777" w:rsidTr="007610AA">
      <w:trPr>
        <w:trHeight w:val="240"/>
      </w:trPr>
      <w:tc>
        <w:tcPr>
          <w:tcW w:w="900" w:type="dxa"/>
          <w:shd w:val="clear" w:color="auto" w:fill="auto"/>
        </w:tcPr>
        <w:p w14:paraId="7BB2C1AF" w14:textId="7DE3B017" w:rsidR="00527BD4" w:rsidRPr="007709EF" w:rsidRDefault="00EC04F4" w:rsidP="00A50CF6">
          <w:pPr>
            <w:rPr>
              <w:szCs w:val="18"/>
            </w:rPr>
          </w:pPr>
          <w:r>
            <w:rPr>
              <w:szCs w:val="18"/>
            </w:rPr>
            <w:t>Datum</w:t>
          </w:r>
        </w:p>
      </w:tc>
      <w:tc>
        <w:tcPr>
          <w:tcW w:w="6620" w:type="dxa"/>
          <w:shd w:val="clear" w:color="auto" w:fill="auto"/>
        </w:tcPr>
        <w:p w14:paraId="13BD43AC" w14:textId="2A5D7D6B" w:rsidR="00527BD4" w:rsidRPr="007709EF" w:rsidRDefault="00E46AC6" w:rsidP="00A50CF6">
          <w:r>
            <w:t>21 februari 2025</w:t>
          </w:r>
        </w:p>
      </w:tc>
    </w:tr>
    <w:tr w:rsidR="004B5162" w14:paraId="35FBB112" w14:textId="77777777" w:rsidTr="007610AA">
      <w:trPr>
        <w:trHeight w:val="240"/>
      </w:trPr>
      <w:tc>
        <w:tcPr>
          <w:tcW w:w="900" w:type="dxa"/>
          <w:shd w:val="clear" w:color="auto" w:fill="auto"/>
        </w:tcPr>
        <w:p w14:paraId="67E42000" w14:textId="6DF421F8" w:rsidR="00527BD4" w:rsidRPr="007709EF" w:rsidRDefault="00EC04F4" w:rsidP="00A50CF6">
          <w:pPr>
            <w:rPr>
              <w:szCs w:val="18"/>
            </w:rPr>
          </w:pPr>
          <w:r>
            <w:rPr>
              <w:szCs w:val="18"/>
            </w:rPr>
            <w:t>Betreft</w:t>
          </w:r>
        </w:p>
      </w:tc>
      <w:tc>
        <w:tcPr>
          <w:tcW w:w="6620" w:type="dxa"/>
          <w:shd w:val="clear" w:color="auto" w:fill="auto"/>
        </w:tcPr>
        <w:p w14:paraId="35AC81C8" w14:textId="239ADA5B" w:rsidR="00527BD4" w:rsidRPr="007709EF" w:rsidRDefault="00EC04F4" w:rsidP="00A50CF6">
          <w:r>
            <w:t>Openstelling S</w:t>
          </w:r>
          <w:r w:rsidR="00540A33">
            <w:t>DE</w:t>
          </w:r>
          <w:r>
            <w:t>++ 2025</w:t>
          </w:r>
        </w:p>
      </w:tc>
    </w:tr>
  </w:tbl>
  <w:p w14:paraId="13C4CA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6B0A900">
      <w:start w:val="1"/>
      <w:numFmt w:val="bullet"/>
      <w:pStyle w:val="Lijstopsomteken"/>
      <w:lvlText w:val="•"/>
      <w:lvlJc w:val="left"/>
      <w:pPr>
        <w:tabs>
          <w:tab w:val="num" w:pos="227"/>
        </w:tabs>
        <w:ind w:left="227" w:hanging="227"/>
      </w:pPr>
      <w:rPr>
        <w:rFonts w:ascii="Verdana" w:hAnsi="Verdana" w:hint="default"/>
        <w:sz w:val="18"/>
        <w:szCs w:val="18"/>
      </w:rPr>
    </w:lvl>
    <w:lvl w:ilvl="1" w:tplc="D840AAFA" w:tentative="1">
      <w:start w:val="1"/>
      <w:numFmt w:val="bullet"/>
      <w:lvlText w:val="o"/>
      <w:lvlJc w:val="left"/>
      <w:pPr>
        <w:tabs>
          <w:tab w:val="num" w:pos="1440"/>
        </w:tabs>
        <w:ind w:left="1440" w:hanging="360"/>
      </w:pPr>
      <w:rPr>
        <w:rFonts w:ascii="Courier New" w:hAnsi="Courier New" w:cs="Courier New" w:hint="default"/>
      </w:rPr>
    </w:lvl>
    <w:lvl w:ilvl="2" w:tplc="CBD8D22C" w:tentative="1">
      <w:start w:val="1"/>
      <w:numFmt w:val="bullet"/>
      <w:lvlText w:val=""/>
      <w:lvlJc w:val="left"/>
      <w:pPr>
        <w:tabs>
          <w:tab w:val="num" w:pos="2160"/>
        </w:tabs>
        <w:ind w:left="2160" w:hanging="360"/>
      </w:pPr>
      <w:rPr>
        <w:rFonts w:ascii="Wingdings" w:hAnsi="Wingdings" w:hint="default"/>
      </w:rPr>
    </w:lvl>
    <w:lvl w:ilvl="3" w:tplc="A05ED906" w:tentative="1">
      <w:start w:val="1"/>
      <w:numFmt w:val="bullet"/>
      <w:lvlText w:val=""/>
      <w:lvlJc w:val="left"/>
      <w:pPr>
        <w:tabs>
          <w:tab w:val="num" w:pos="2880"/>
        </w:tabs>
        <w:ind w:left="2880" w:hanging="360"/>
      </w:pPr>
      <w:rPr>
        <w:rFonts w:ascii="Symbol" w:hAnsi="Symbol" w:hint="default"/>
      </w:rPr>
    </w:lvl>
    <w:lvl w:ilvl="4" w:tplc="702252F2" w:tentative="1">
      <w:start w:val="1"/>
      <w:numFmt w:val="bullet"/>
      <w:lvlText w:val="o"/>
      <w:lvlJc w:val="left"/>
      <w:pPr>
        <w:tabs>
          <w:tab w:val="num" w:pos="3600"/>
        </w:tabs>
        <w:ind w:left="3600" w:hanging="360"/>
      </w:pPr>
      <w:rPr>
        <w:rFonts w:ascii="Courier New" w:hAnsi="Courier New" w:cs="Courier New" w:hint="default"/>
      </w:rPr>
    </w:lvl>
    <w:lvl w:ilvl="5" w:tplc="A21A374A" w:tentative="1">
      <w:start w:val="1"/>
      <w:numFmt w:val="bullet"/>
      <w:lvlText w:val=""/>
      <w:lvlJc w:val="left"/>
      <w:pPr>
        <w:tabs>
          <w:tab w:val="num" w:pos="4320"/>
        </w:tabs>
        <w:ind w:left="4320" w:hanging="360"/>
      </w:pPr>
      <w:rPr>
        <w:rFonts w:ascii="Wingdings" w:hAnsi="Wingdings" w:hint="default"/>
      </w:rPr>
    </w:lvl>
    <w:lvl w:ilvl="6" w:tplc="75CEE8E6" w:tentative="1">
      <w:start w:val="1"/>
      <w:numFmt w:val="bullet"/>
      <w:lvlText w:val=""/>
      <w:lvlJc w:val="left"/>
      <w:pPr>
        <w:tabs>
          <w:tab w:val="num" w:pos="5040"/>
        </w:tabs>
        <w:ind w:left="5040" w:hanging="360"/>
      </w:pPr>
      <w:rPr>
        <w:rFonts w:ascii="Symbol" w:hAnsi="Symbol" w:hint="default"/>
      </w:rPr>
    </w:lvl>
    <w:lvl w:ilvl="7" w:tplc="4E92A816" w:tentative="1">
      <w:start w:val="1"/>
      <w:numFmt w:val="bullet"/>
      <w:lvlText w:val="o"/>
      <w:lvlJc w:val="left"/>
      <w:pPr>
        <w:tabs>
          <w:tab w:val="num" w:pos="5760"/>
        </w:tabs>
        <w:ind w:left="5760" w:hanging="360"/>
      </w:pPr>
      <w:rPr>
        <w:rFonts w:ascii="Courier New" w:hAnsi="Courier New" w:cs="Courier New" w:hint="default"/>
      </w:rPr>
    </w:lvl>
    <w:lvl w:ilvl="8" w:tplc="CC0A44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76887B8">
      <w:start w:val="1"/>
      <w:numFmt w:val="bullet"/>
      <w:pStyle w:val="Lijstopsomteken2"/>
      <w:lvlText w:val="–"/>
      <w:lvlJc w:val="left"/>
      <w:pPr>
        <w:tabs>
          <w:tab w:val="num" w:pos="227"/>
        </w:tabs>
        <w:ind w:left="227" w:firstLine="0"/>
      </w:pPr>
      <w:rPr>
        <w:rFonts w:ascii="Verdana" w:hAnsi="Verdana" w:hint="default"/>
      </w:rPr>
    </w:lvl>
    <w:lvl w:ilvl="1" w:tplc="2338A190" w:tentative="1">
      <w:start w:val="1"/>
      <w:numFmt w:val="bullet"/>
      <w:lvlText w:val="o"/>
      <w:lvlJc w:val="left"/>
      <w:pPr>
        <w:tabs>
          <w:tab w:val="num" w:pos="1440"/>
        </w:tabs>
        <w:ind w:left="1440" w:hanging="360"/>
      </w:pPr>
      <w:rPr>
        <w:rFonts w:ascii="Courier New" w:hAnsi="Courier New" w:cs="Courier New" w:hint="default"/>
      </w:rPr>
    </w:lvl>
    <w:lvl w:ilvl="2" w:tplc="94FAAD38" w:tentative="1">
      <w:start w:val="1"/>
      <w:numFmt w:val="bullet"/>
      <w:lvlText w:val=""/>
      <w:lvlJc w:val="left"/>
      <w:pPr>
        <w:tabs>
          <w:tab w:val="num" w:pos="2160"/>
        </w:tabs>
        <w:ind w:left="2160" w:hanging="360"/>
      </w:pPr>
      <w:rPr>
        <w:rFonts w:ascii="Wingdings" w:hAnsi="Wingdings" w:hint="default"/>
      </w:rPr>
    </w:lvl>
    <w:lvl w:ilvl="3" w:tplc="CF7E9C36" w:tentative="1">
      <w:start w:val="1"/>
      <w:numFmt w:val="bullet"/>
      <w:lvlText w:val=""/>
      <w:lvlJc w:val="left"/>
      <w:pPr>
        <w:tabs>
          <w:tab w:val="num" w:pos="2880"/>
        </w:tabs>
        <w:ind w:left="2880" w:hanging="360"/>
      </w:pPr>
      <w:rPr>
        <w:rFonts w:ascii="Symbol" w:hAnsi="Symbol" w:hint="default"/>
      </w:rPr>
    </w:lvl>
    <w:lvl w:ilvl="4" w:tplc="6B5AEF56" w:tentative="1">
      <w:start w:val="1"/>
      <w:numFmt w:val="bullet"/>
      <w:lvlText w:val="o"/>
      <w:lvlJc w:val="left"/>
      <w:pPr>
        <w:tabs>
          <w:tab w:val="num" w:pos="3600"/>
        </w:tabs>
        <w:ind w:left="3600" w:hanging="360"/>
      </w:pPr>
      <w:rPr>
        <w:rFonts w:ascii="Courier New" w:hAnsi="Courier New" w:cs="Courier New" w:hint="default"/>
      </w:rPr>
    </w:lvl>
    <w:lvl w:ilvl="5" w:tplc="3B7EBFAC" w:tentative="1">
      <w:start w:val="1"/>
      <w:numFmt w:val="bullet"/>
      <w:lvlText w:val=""/>
      <w:lvlJc w:val="left"/>
      <w:pPr>
        <w:tabs>
          <w:tab w:val="num" w:pos="4320"/>
        </w:tabs>
        <w:ind w:left="4320" w:hanging="360"/>
      </w:pPr>
      <w:rPr>
        <w:rFonts w:ascii="Wingdings" w:hAnsi="Wingdings" w:hint="default"/>
      </w:rPr>
    </w:lvl>
    <w:lvl w:ilvl="6" w:tplc="B7EC8CA0" w:tentative="1">
      <w:start w:val="1"/>
      <w:numFmt w:val="bullet"/>
      <w:lvlText w:val=""/>
      <w:lvlJc w:val="left"/>
      <w:pPr>
        <w:tabs>
          <w:tab w:val="num" w:pos="5040"/>
        </w:tabs>
        <w:ind w:left="5040" w:hanging="360"/>
      </w:pPr>
      <w:rPr>
        <w:rFonts w:ascii="Symbol" w:hAnsi="Symbol" w:hint="default"/>
      </w:rPr>
    </w:lvl>
    <w:lvl w:ilvl="7" w:tplc="38A6C3C8" w:tentative="1">
      <w:start w:val="1"/>
      <w:numFmt w:val="bullet"/>
      <w:lvlText w:val="o"/>
      <w:lvlJc w:val="left"/>
      <w:pPr>
        <w:tabs>
          <w:tab w:val="num" w:pos="5760"/>
        </w:tabs>
        <w:ind w:left="5760" w:hanging="360"/>
      </w:pPr>
      <w:rPr>
        <w:rFonts w:ascii="Courier New" w:hAnsi="Courier New" w:cs="Courier New" w:hint="default"/>
      </w:rPr>
    </w:lvl>
    <w:lvl w:ilvl="8" w:tplc="56EAB3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DAB41"/>
    <w:multiLevelType w:val="hybridMultilevel"/>
    <w:tmpl w:val="E8688A96"/>
    <w:lvl w:ilvl="0" w:tplc="368CE92C">
      <w:start w:val="1"/>
      <w:numFmt w:val="bullet"/>
      <w:lvlText w:val=""/>
      <w:lvlJc w:val="left"/>
      <w:pPr>
        <w:ind w:left="720" w:hanging="360"/>
      </w:pPr>
      <w:rPr>
        <w:rFonts w:ascii="Symbol" w:hAnsi="Symbol" w:hint="default"/>
      </w:rPr>
    </w:lvl>
    <w:lvl w:ilvl="1" w:tplc="04021E38">
      <w:start w:val="1"/>
      <w:numFmt w:val="bullet"/>
      <w:lvlText w:val="o"/>
      <w:lvlJc w:val="left"/>
      <w:pPr>
        <w:ind w:left="1440" w:hanging="360"/>
      </w:pPr>
      <w:rPr>
        <w:rFonts w:ascii="Courier New" w:hAnsi="Courier New" w:hint="default"/>
      </w:rPr>
    </w:lvl>
    <w:lvl w:ilvl="2" w:tplc="A7DE5FDE">
      <w:start w:val="1"/>
      <w:numFmt w:val="bullet"/>
      <w:lvlText w:val=""/>
      <w:lvlJc w:val="left"/>
      <w:pPr>
        <w:ind w:left="2160" w:hanging="360"/>
      </w:pPr>
      <w:rPr>
        <w:rFonts w:ascii="Wingdings" w:hAnsi="Wingdings" w:hint="default"/>
      </w:rPr>
    </w:lvl>
    <w:lvl w:ilvl="3" w:tplc="55D08228">
      <w:start w:val="1"/>
      <w:numFmt w:val="bullet"/>
      <w:lvlText w:val=""/>
      <w:lvlJc w:val="left"/>
      <w:pPr>
        <w:ind w:left="2880" w:hanging="360"/>
      </w:pPr>
      <w:rPr>
        <w:rFonts w:ascii="Symbol" w:hAnsi="Symbol" w:hint="default"/>
      </w:rPr>
    </w:lvl>
    <w:lvl w:ilvl="4" w:tplc="A95804DA">
      <w:start w:val="1"/>
      <w:numFmt w:val="bullet"/>
      <w:lvlText w:val="o"/>
      <w:lvlJc w:val="left"/>
      <w:pPr>
        <w:ind w:left="3600" w:hanging="360"/>
      </w:pPr>
      <w:rPr>
        <w:rFonts w:ascii="Courier New" w:hAnsi="Courier New" w:hint="default"/>
      </w:rPr>
    </w:lvl>
    <w:lvl w:ilvl="5" w:tplc="65447158">
      <w:start w:val="1"/>
      <w:numFmt w:val="bullet"/>
      <w:lvlText w:val=""/>
      <w:lvlJc w:val="left"/>
      <w:pPr>
        <w:ind w:left="4320" w:hanging="360"/>
      </w:pPr>
      <w:rPr>
        <w:rFonts w:ascii="Wingdings" w:hAnsi="Wingdings" w:hint="default"/>
      </w:rPr>
    </w:lvl>
    <w:lvl w:ilvl="6" w:tplc="CC600FFE">
      <w:start w:val="1"/>
      <w:numFmt w:val="bullet"/>
      <w:lvlText w:val=""/>
      <w:lvlJc w:val="left"/>
      <w:pPr>
        <w:ind w:left="5040" w:hanging="360"/>
      </w:pPr>
      <w:rPr>
        <w:rFonts w:ascii="Symbol" w:hAnsi="Symbol" w:hint="default"/>
      </w:rPr>
    </w:lvl>
    <w:lvl w:ilvl="7" w:tplc="E678462C">
      <w:start w:val="1"/>
      <w:numFmt w:val="bullet"/>
      <w:lvlText w:val="o"/>
      <w:lvlJc w:val="left"/>
      <w:pPr>
        <w:ind w:left="5760" w:hanging="360"/>
      </w:pPr>
      <w:rPr>
        <w:rFonts w:ascii="Courier New" w:hAnsi="Courier New" w:hint="default"/>
      </w:rPr>
    </w:lvl>
    <w:lvl w:ilvl="8" w:tplc="76FCFC86">
      <w:start w:val="1"/>
      <w:numFmt w:val="bullet"/>
      <w:lvlText w:val=""/>
      <w:lvlJc w:val="left"/>
      <w:pPr>
        <w:ind w:left="6480" w:hanging="360"/>
      </w:pPr>
      <w:rPr>
        <w:rFonts w:ascii="Wingdings" w:hAnsi="Wingdings" w:hint="default"/>
      </w:rPr>
    </w:lvl>
  </w:abstractNum>
  <w:abstractNum w:abstractNumId="14" w15:restartNumberingAfterBreak="0">
    <w:nsid w:val="272C26CE"/>
    <w:multiLevelType w:val="hybridMultilevel"/>
    <w:tmpl w:val="6AFA5446"/>
    <w:lvl w:ilvl="0" w:tplc="6780202A">
      <w:start w:val="1"/>
      <w:numFmt w:val="decimal"/>
      <w:lvlText w:val="%1."/>
      <w:lvlJc w:val="left"/>
      <w:pPr>
        <w:ind w:left="720" w:hanging="360"/>
      </w:pPr>
    </w:lvl>
    <w:lvl w:ilvl="1" w:tplc="3978286C">
      <w:start w:val="1"/>
      <w:numFmt w:val="bullet"/>
      <w:lvlText w:val="o"/>
      <w:lvlJc w:val="left"/>
      <w:pPr>
        <w:ind w:left="1440" w:hanging="360"/>
      </w:pPr>
      <w:rPr>
        <w:rFonts w:ascii="Symbol" w:hAnsi="Symbol" w:hint="default"/>
      </w:rPr>
    </w:lvl>
    <w:lvl w:ilvl="2" w:tplc="1A6C14B6">
      <w:start w:val="1"/>
      <w:numFmt w:val="lowerRoman"/>
      <w:lvlText w:val="%3."/>
      <w:lvlJc w:val="right"/>
      <w:pPr>
        <w:ind w:left="2160" w:hanging="180"/>
      </w:pPr>
    </w:lvl>
    <w:lvl w:ilvl="3" w:tplc="CAD0467C">
      <w:start w:val="1"/>
      <w:numFmt w:val="decimal"/>
      <w:lvlText w:val="%4."/>
      <w:lvlJc w:val="left"/>
      <w:pPr>
        <w:ind w:left="2880" w:hanging="360"/>
      </w:pPr>
    </w:lvl>
    <w:lvl w:ilvl="4" w:tplc="66D0D2EE">
      <w:start w:val="1"/>
      <w:numFmt w:val="lowerLetter"/>
      <w:lvlText w:val="%5."/>
      <w:lvlJc w:val="left"/>
      <w:pPr>
        <w:ind w:left="3600" w:hanging="360"/>
      </w:pPr>
    </w:lvl>
    <w:lvl w:ilvl="5" w:tplc="7C0C3760">
      <w:start w:val="1"/>
      <w:numFmt w:val="lowerRoman"/>
      <w:lvlText w:val="%6."/>
      <w:lvlJc w:val="right"/>
      <w:pPr>
        <w:ind w:left="4320" w:hanging="180"/>
      </w:pPr>
    </w:lvl>
    <w:lvl w:ilvl="6" w:tplc="B5724B9C">
      <w:start w:val="1"/>
      <w:numFmt w:val="decimal"/>
      <w:lvlText w:val="%7."/>
      <w:lvlJc w:val="left"/>
      <w:pPr>
        <w:ind w:left="5040" w:hanging="360"/>
      </w:pPr>
    </w:lvl>
    <w:lvl w:ilvl="7" w:tplc="07FED8A8">
      <w:start w:val="1"/>
      <w:numFmt w:val="lowerLetter"/>
      <w:lvlText w:val="%8."/>
      <w:lvlJc w:val="left"/>
      <w:pPr>
        <w:ind w:left="5760" w:hanging="360"/>
      </w:pPr>
    </w:lvl>
    <w:lvl w:ilvl="8" w:tplc="31864158">
      <w:start w:val="1"/>
      <w:numFmt w:val="lowerRoman"/>
      <w:lvlText w:val="%9."/>
      <w:lvlJc w:val="right"/>
      <w:pPr>
        <w:ind w:left="6480" w:hanging="180"/>
      </w:pPr>
    </w:lvl>
  </w:abstractNum>
  <w:abstractNum w:abstractNumId="15" w15:restartNumberingAfterBreak="0">
    <w:nsid w:val="2B684D0F"/>
    <w:multiLevelType w:val="hybridMultilevel"/>
    <w:tmpl w:val="E77E7992"/>
    <w:lvl w:ilvl="0" w:tplc="6952EF50">
      <w:start w:val="1"/>
      <w:numFmt w:val="bullet"/>
      <w:lvlText w:val=""/>
      <w:lvlJc w:val="left"/>
      <w:pPr>
        <w:ind w:left="360" w:hanging="360"/>
      </w:pPr>
      <w:rPr>
        <w:rFonts w:ascii="Symbol" w:hAnsi="Symbol" w:hint="default"/>
      </w:rPr>
    </w:lvl>
    <w:lvl w:ilvl="1" w:tplc="524EE5A4">
      <w:start w:val="1"/>
      <w:numFmt w:val="bullet"/>
      <w:lvlText w:val="o"/>
      <w:lvlJc w:val="left"/>
      <w:pPr>
        <w:ind w:left="1440" w:hanging="360"/>
      </w:pPr>
      <w:rPr>
        <w:rFonts w:ascii="Courier New" w:hAnsi="Courier New" w:hint="default"/>
      </w:rPr>
    </w:lvl>
    <w:lvl w:ilvl="2" w:tplc="76A4F7EE">
      <w:start w:val="1"/>
      <w:numFmt w:val="bullet"/>
      <w:lvlText w:val=""/>
      <w:lvlJc w:val="left"/>
      <w:pPr>
        <w:ind w:left="2160" w:hanging="360"/>
      </w:pPr>
      <w:rPr>
        <w:rFonts w:ascii="Wingdings" w:hAnsi="Wingdings" w:hint="default"/>
      </w:rPr>
    </w:lvl>
    <w:lvl w:ilvl="3" w:tplc="006EF8A0">
      <w:start w:val="1"/>
      <w:numFmt w:val="bullet"/>
      <w:lvlText w:val=""/>
      <w:lvlJc w:val="left"/>
      <w:pPr>
        <w:ind w:left="2880" w:hanging="360"/>
      </w:pPr>
      <w:rPr>
        <w:rFonts w:ascii="Symbol" w:hAnsi="Symbol" w:hint="default"/>
      </w:rPr>
    </w:lvl>
    <w:lvl w:ilvl="4" w:tplc="ADE850DE">
      <w:start w:val="1"/>
      <w:numFmt w:val="bullet"/>
      <w:lvlText w:val="o"/>
      <w:lvlJc w:val="left"/>
      <w:pPr>
        <w:ind w:left="3600" w:hanging="360"/>
      </w:pPr>
      <w:rPr>
        <w:rFonts w:ascii="Courier New" w:hAnsi="Courier New" w:hint="default"/>
      </w:rPr>
    </w:lvl>
    <w:lvl w:ilvl="5" w:tplc="E25EAF84">
      <w:start w:val="1"/>
      <w:numFmt w:val="bullet"/>
      <w:lvlText w:val=""/>
      <w:lvlJc w:val="left"/>
      <w:pPr>
        <w:ind w:left="4320" w:hanging="360"/>
      </w:pPr>
      <w:rPr>
        <w:rFonts w:ascii="Wingdings" w:hAnsi="Wingdings" w:hint="default"/>
      </w:rPr>
    </w:lvl>
    <w:lvl w:ilvl="6" w:tplc="CE98141E">
      <w:start w:val="1"/>
      <w:numFmt w:val="bullet"/>
      <w:lvlText w:val=""/>
      <w:lvlJc w:val="left"/>
      <w:pPr>
        <w:ind w:left="5040" w:hanging="360"/>
      </w:pPr>
      <w:rPr>
        <w:rFonts w:ascii="Symbol" w:hAnsi="Symbol" w:hint="default"/>
      </w:rPr>
    </w:lvl>
    <w:lvl w:ilvl="7" w:tplc="44F4AA9C">
      <w:start w:val="1"/>
      <w:numFmt w:val="bullet"/>
      <w:lvlText w:val="o"/>
      <w:lvlJc w:val="left"/>
      <w:pPr>
        <w:ind w:left="5760" w:hanging="360"/>
      </w:pPr>
      <w:rPr>
        <w:rFonts w:ascii="Courier New" w:hAnsi="Courier New" w:hint="default"/>
      </w:rPr>
    </w:lvl>
    <w:lvl w:ilvl="8" w:tplc="D8141CA8">
      <w:start w:val="1"/>
      <w:numFmt w:val="bullet"/>
      <w:lvlText w:val=""/>
      <w:lvlJc w:val="left"/>
      <w:pPr>
        <w:ind w:left="6480" w:hanging="360"/>
      </w:pPr>
      <w:rPr>
        <w:rFonts w:ascii="Wingdings" w:hAnsi="Wingdings" w:hint="default"/>
      </w:rPr>
    </w:lvl>
  </w:abstractNum>
  <w:abstractNum w:abstractNumId="16" w15:restartNumberingAfterBreak="0">
    <w:nsid w:val="2EE62EC0"/>
    <w:multiLevelType w:val="hybridMultilevel"/>
    <w:tmpl w:val="B1742564"/>
    <w:lvl w:ilvl="0" w:tplc="F31AC61E">
      <w:numFmt w:val="bullet"/>
      <w:lvlText w:val="-"/>
      <w:lvlJc w:val="left"/>
      <w:pPr>
        <w:ind w:left="720" w:hanging="360"/>
      </w:pPr>
      <w:rPr>
        <w:rFonts w:ascii="Verdana" w:hAnsi="Verdana" w:hint="default"/>
      </w:rPr>
    </w:lvl>
    <w:lvl w:ilvl="1" w:tplc="1024A298">
      <w:start w:val="1"/>
      <w:numFmt w:val="bullet"/>
      <w:lvlText w:val="o"/>
      <w:lvlJc w:val="left"/>
      <w:pPr>
        <w:ind w:left="1440" w:hanging="360"/>
      </w:pPr>
      <w:rPr>
        <w:rFonts w:ascii="Courier New" w:hAnsi="Courier New" w:hint="default"/>
      </w:rPr>
    </w:lvl>
    <w:lvl w:ilvl="2" w:tplc="0DEA4EBC">
      <w:start w:val="1"/>
      <w:numFmt w:val="bullet"/>
      <w:lvlText w:val=""/>
      <w:lvlJc w:val="left"/>
      <w:pPr>
        <w:ind w:left="2160" w:hanging="360"/>
      </w:pPr>
      <w:rPr>
        <w:rFonts w:ascii="Wingdings" w:hAnsi="Wingdings" w:hint="default"/>
      </w:rPr>
    </w:lvl>
    <w:lvl w:ilvl="3" w:tplc="F8BE43AC">
      <w:start w:val="1"/>
      <w:numFmt w:val="bullet"/>
      <w:lvlText w:val=""/>
      <w:lvlJc w:val="left"/>
      <w:pPr>
        <w:ind w:left="2880" w:hanging="360"/>
      </w:pPr>
      <w:rPr>
        <w:rFonts w:ascii="Symbol" w:hAnsi="Symbol" w:hint="default"/>
      </w:rPr>
    </w:lvl>
    <w:lvl w:ilvl="4" w:tplc="7AFEC162">
      <w:start w:val="1"/>
      <w:numFmt w:val="bullet"/>
      <w:lvlText w:val="o"/>
      <w:lvlJc w:val="left"/>
      <w:pPr>
        <w:ind w:left="3600" w:hanging="360"/>
      </w:pPr>
      <w:rPr>
        <w:rFonts w:ascii="Courier New" w:hAnsi="Courier New" w:hint="default"/>
      </w:rPr>
    </w:lvl>
    <w:lvl w:ilvl="5" w:tplc="642092DA">
      <w:start w:val="1"/>
      <w:numFmt w:val="bullet"/>
      <w:lvlText w:val=""/>
      <w:lvlJc w:val="left"/>
      <w:pPr>
        <w:ind w:left="4320" w:hanging="360"/>
      </w:pPr>
      <w:rPr>
        <w:rFonts w:ascii="Wingdings" w:hAnsi="Wingdings" w:hint="default"/>
      </w:rPr>
    </w:lvl>
    <w:lvl w:ilvl="6" w:tplc="510823A2">
      <w:start w:val="1"/>
      <w:numFmt w:val="bullet"/>
      <w:lvlText w:val=""/>
      <w:lvlJc w:val="left"/>
      <w:pPr>
        <w:ind w:left="5040" w:hanging="360"/>
      </w:pPr>
      <w:rPr>
        <w:rFonts w:ascii="Symbol" w:hAnsi="Symbol" w:hint="default"/>
      </w:rPr>
    </w:lvl>
    <w:lvl w:ilvl="7" w:tplc="7D42D768">
      <w:start w:val="1"/>
      <w:numFmt w:val="bullet"/>
      <w:lvlText w:val="o"/>
      <w:lvlJc w:val="left"/>
      <w:pPr>
        <w:ind w:left="5760" w:hanging="360"/>
      </w:pPr>
      <w:rPr>
        <w:rFonts w:ascii="Courier New" w:hAnsi="Courier New" w:hint="default"/>
      </w:rPr>
    </w:lvl>
    <w:lvl w:ilvl="8" w:tplc="56405EE6">
      <w:start w:val="1"/>
      <w:numFmt w:val="bullet"/>
      <w:lvlText w:val=""/>
      <w:lvlJc w:val="left"/>
      <w:pPr>
        <w:ind w:left="6480" w:hanging="360"/>
      </w:pPr>
      <w:rPr>
        <w:rFonts w:ascii="Wingdings" w:hAnsi="Wingdings" w:hint="default"/>
      </w:rPr>
    </w:lvl>
  </w:abstractNum>
  <w:abstractNum w:abstractNumId="17" w15:restartNumberingAfterBreak="0">
    <w:nsid w:val="43ED7AC1"/>
    <w:multiLevelType w:val="hybridMultilevel"/>
    <w:tmpl w:val="2B9C8CEA"/>
    <w:lvl w:ilvl="0" w:tplc="4F5AA836">
      <w:start w:val="1"/>
      <w:numFmt w:val="bullet"/>
      <w:lvlText w:val=""/>
      <w:lvlJc w:val="left"/>
      <w:pPr>
        <w:ind w:left="720" w:hanging="360"/>
      </w:pPr>
      <w:rPr>
        <w:rFonts w:ascii="Symbol" w:hAnsi="Symbol" w:hint="default"/>
      </w:rPr>
    </w:lvl>
    <w:lvl w:ilvl="1" w:tplc="C39830C2">
      <w:start w:val="1"/>
      <w:numFmt w:val="bullet"/>
      <w:lvlText w:val="o"/>
      <w:lvlJc w:val="left"/>
      <w:pPr>
        <w:ind w:left="1440" w:hanging="360"/>
      </w:pPr>
      <w:rPr>
        <w:rFonts w:ascii="Courier New" w:hAnsi="Courier New" w:hint="default"/>
      </w:rPr>
    </w:lvl>
    <w:lvl w:ilvl="2" w:tplc="DFB82C48">
      <w:start w:val="1"/>
      <w:numFmt w:val="bullet"/>
      <w:lvlText w:val=""/>
      <w:lvlJc w:val="left"/>
      <w:pPr>
        <w:ind w:left="2160" w:hanging="360"/>
      </w:pPr>
      <w:rPr>
        <w:rFonts w:ascii="Wingdings" w:hAnsi="Wingdings" w:hint="default"/>
      </w:rPr>
    </w:lvl>
    <w:lvl w:ilvl="3" w:tplc="15E45194">
      <w:start w:val="1"/>
      <w:numFmt w:val="bullet"/>
      <w:lvlText w:val=""/>
      <w:lvlJc w:val="left"/>
      <w:pPr>
        <w:ind w:left="2880" w:hanging="360"/>
      </w:pPr>
      <w:rPr>
        <w:rFonts w:ascii="Symbol" w:hAnsi="Symbol" w:hint="default"/>
      </w:rPr>
    </w:lvl>
    <w:lvl w:ilvl="4" w:tplc="FD648BBC">
      <w:start w:val="1"/>
      <w:numFmt w:val="bullet"/>
      <w:lvlText w:val="o"/>
      <w:lvlJc w:val="left"/>
      <w:pPr>
        <w:ind w:left="3600" w:hanging="360"/>
      </w:pPr>
      <w:rPr>
        <w:rFonts w:ascii="Courier New" w:hAnsi="Courier New" w:hint="default"/>
      </w:rPr>
    </w:lvl>
    <w:lvl w:ilvl="5" w:tplc="38CA00BC">
      <w:start w:val="1"/>
      <w:numFmt w:val="bullet"/>
      <w:lvlText w:val=""/>
      <w:lvlJc w:val="left"/>
      <w:pPr>
        <w:ind w:left="4320" w:hanging="360"/>
      </w:pPr>
      <w:rPr>
        <w:rFonts w:ascii="Wingdings" w:hAnsi="Wingdings" w:hint="default"/>
      </w:rPr>
    </w:lvl>
    <w:lvl w:ilvl="6" w:tplc="914A576E">
      <w:start w:val="1"/>
      <w:numFmt w:val="bullet"/>
      <w:lvlText w:val=""/>
      <w:lvlJc w:val="left"/>
      <w:pPr>
        <w:ind w:left="5040" w:hanging="360"/>
      </w:pPr>
      <w:rPr>
        <w:rFonts w:ascii="Symbol" w:hAnsi="Symbol" w:hint="default"/>
      </w:rPr>
    </w:lvl>
    <w:lvl w:ilvl="7" w:tplc="8D429D7C">
      <w:start w:val="1"/>
      <w:numFmt w:val="bullet"/>
      <w:lvlText w:val="o"/>
      <w:lvlJc w:val="left"/>
      <w:pPr>
        <w:ind w:left="5760" w:hanging="360"/>
      </w:pPr>
      <w:rPr>
        <w:rFonts w:ascii="Courier New" w:hAnsi="Courier New" w:hint="default"/>
      </w:rPr>
    </w:lvl>
    <w:lvl w:ilvl="8" w:tplc="1BEA4F30">
      <w:start w:val="1"/>
      <w:numFmt w:val="bullet"/>
      <w:lvlText w:val=""/>
      <w:lvlJc w:val="left"/>
      <w:pPr>
        <w:ind w:left="6480" w:hanging="360"/>
      </w:pPr>
      <w:rPr>
        <w:rFonts w:ascii="Wingdings" w:hAnsi="Wingdings" w:hint="default"/>
      </w:rPr>
    </w:lvl>
  </w:abstractNum>
  <w:abstractNum w:abstractNumId="18" w15:restartNumberingAfterBreak="0">
    <w:nsid w:val="46130669"/>
    <w:multiLevelType w:val="hybridMultilevel"/>
    <w:tmpl w:val="E46A47E8"/>
    <w:lvl w:ilvl="0" w:tplc="1034102A">
      <w:start w:val="1"/>
      <w:numFmt w:val="bullet"/>
      <w:lvlText w:val=""/>
      <w:lvlJc w:val="left"/>
      <w:pPr>
        <w:ind w:left="360" w:hanging="360"/>
      </w:pPr>
      <w:rPr>
        <w:rFonts w:ascii="Symbol" w:hAnsi="Symbol" w:hint="default"/>
      </w:rPr>
    </w:lvl>
    <w:lvl w:ilvl="1" w:tplc="6B065C1E">
      <w:start w:val="1"/>
      <w:numFmt w:val="bullet"/>
      <w:lvlText w:val="o"/>
      <w:lvlJc w:val="left"/>
      <w:pPr>
        <w:ind w:left="1440" w:hanging="360"/>
      </w:pPr>
      <w:rPr>
        <w:rFonts w:ascii="Courier New" w:hAnsi="Courier New" w:hint="default"/>
      </w:rPr>
    </w:lvl>
    <w:lvl w:ilvl="2" w:tplc="83F26192">
      <w:start w:val="1"/>
      <w:numFmt w:val="bullet"/>
      <w:lvlText w:val=""/>
      <w:lvlJc w:val="left"/>
      <w:pPr>
        <w:ind w:left="2160" w:hanging="360"/>
      </w:pPr>
      <w:rPr>
        <w:rFonts w:ascii="Wingdings" w:hAnsi="Wingdings" w:hint="default"/>
      </w:rPr>
    </w:lvl>
    <w:lvl w:ilvl="3" w:tplc="7FDEEBB8">
      <w:start w:val="1"/>
      <w:numFmt w:val="bullet"/>
      <w:lvlText w:val=""/>
      <w:lvlJc w:val="left"/>
      <w:pPr>
        <w:ind w:left="2880" w:hanging="360"/>
      </w:pPr>
      <w:rPr>
        <w:rFonts w:ascii="Symbol" w:hAnsi="Symbol" w:hint="default"/>
      </w:rPr>
    </w:lvl>
    <w:lvl w:ilvl="4" w:tplc="AB5C72C8">
      <w:start w:val="1"/>
      <w:numFmt w:val="bullet"/>
      <w:lvlText w:val="o"/>
      <w:lvlJc w:val="left"/>
      <w:pPr>
        <w:ind w:left="3600" w:hanging="360"/>
      </w:pPr>
      <w:rPr>
        <w:rFonts w:ascii="Courier New" w:hAnsi="Courier New" w:hint="default"/>
      </w:rPr>
    </w:lvl>
    <w:lvl w:ilvl="5" w:tplc="D2546020">
      <w:start w:val="1"/>
      <w:numFmt w:val="bullet"/>
      <w:lvlText w:val=""/>
      <w:lvlJc w:val="left"/>
      <w:pPr>
        <w:ind w:left="4320" w:hanging="360"/>
      </w:pPr>
      <w:rPr>
        <w:rFonts w:ascii="Wingdings" w:hAnsi="Wingdings" w:hint="default"/>
      </w:rPr>
    </w:lvl>
    <w:lvl w:ilvl="6" w:tplc="3FAE6E3C">
      <w:start w:val="1"/>
      <w:numFmt w:val="bullet"/>
      <w:lvlText w:val=""/>
      <w:lvlJc w:val="left"/>
      <w:pPr>
        <w:ind w:left="5040" w:hanging="360"/>
      </w:pPr>
      <w:rPr>
        <w:rFonts w:ascii="Symbol" w:hAnsi="Symbol" w:hint="default"/>
      </w:rPr>
    </w:lvl>
    <w:lvl w:ilvl="7" w:tplc="84D2D1E0">
      <w:start w:val="1"/>
      <w:numFmt w:val="bullet"/>
      <w:lvlText w:val="o"/>
      <w:lvlJc w:val="left"/>
      <w:pPr>
        <w:ind w:left="5760" w:hanging="360"/>
      </w:pPr>
      <w:rPr>
        <w:rFonts w:ascii="Courier New" w:hAnsi="Courier New" w:hint="default"/>
      </w:rPr>
    </w:lvl>
    <w:lvl w:ilvl="8" w:tplc="03F67548">
      <w:start w:val="1"/>
      <w:numFmt w:val="bullet"/>
      <w:lvlText w:val=""/>
      <w:lvlJc w:val="left"/>
      <w:pPr>
        <w:ind w:left="6480" w:hanging="360"/>
      </w:pPr>
      <w:rPr>
        <w:rFonts w:ascii="Wingdings" w:hAnsi="Wingdings" w:hint="default"/>
      </w:rPr>
    </w:lvl>
  </w:abstractNum>
  <w:abstractNum w:abstractNumId="19" w15:restartNumberingAfterBreak="0">
    <w:nsid w:val="463C0906"/>
    <w:multiLevelType w:val="hybridMultilevel"/>
    <w:tmpl w:val="29C85380"/>
    <w:lvl w:ilvl="0" w:tplc="E4985E7C">
      <w:start w:val="1"/>
      <w:numFmt w:val="bullet"/>
      <w:lvlText w:val=""/>
      <w:lvlJc w:val="left"/>
      <w:pPr>
        <w:ind w:left="360" w:hanging="360"/>
      </w:pPr>
      <w:rPr>
        <w:rFonts w:ascii="Symbol" w:hAnsi="Symbol" w:hint="default"/>
      </w:rPr>
    </w:lvl>
    <w:lvl w:ilvl="1" w:tplc="0DE43364">
      <w:start w:val="1"/>
      <w:numFmt w:val="bullet"/>
      <w:lvlText w:val="o"/>
      <w:lvlJc w:val="left"/>
      <w:pPr>
        <w:ind w:left="1440" w:hanging="360"/>
      </w:pPr>
      <w:rPr>
        <w:rFonts w:ascii="Courier New" w:hAnsi="Courier New" w:hint="default"/>
      </w:rPr>
    </w:lvl>
    <w:lvl w:ilvl="2" w:tplc="E7B49B3A">
      <w:start w:val="1"/>
      <w:numFmt w:val="bullet"/>
      <w:lvlText w:val=""/>
      <w:lvlJc w:val="left"/>
      <w:pPr>
        <w:ind w:left="2160" w:hanging="360"/>
      </w:pPr>
      <w:rPr>
        <w:rFonts w:ascii="Wingdings" w:hAnsi="Wingdings" w:hint="default"/>
      </w:rPr>
    </w:lvl>
    <w:lvl w:ilvl="3" w:tplc="7AF464AA">
      <w:start w:val="1"/>
      <w:numFmt w:val="bullet"/>
      <w:lvlText w:val=""/>
      <w:lvlJc w:val="left"/>
      <w:pPr>
        <w:ind w:left="2880" w:hanging="360"/>
      </w:pPr>
      <w:rPr>
        <w:rFonts w:ascii="Symbol" w:hAnsi="Symbol" w:hint="default"/>
      </w:rPr>
    </w:lvl>
    <w:lvl w:ilvl="4" w:tplc="632621C8">
      <w:start w:val="1"/>
      <w:numFmt w:val="bullet"/>
      <w:lvlText w:val="o"/>
      <w:lvlJc w:val="left"/>
      <w:pPr>
        <w:ind w:left="3600" w:hanging="360"/>
      </w:pPr>
      <w:rPr>
        <w:rFonts w:ascii="Courier New" w:hAnsi="Courier New" w:hint="default"/>
      </w:rPr>
    </w:lvl>
    <w:lvl w:ilvl="5" w:tplc="704EDD76">
      <w:start w:val="1"/>
      <w:numFmt w:val="bullet"/>
      <w:lvlText w:val=""/>
      <w:lvlJc w:val="left"/>
      <w:pPr>
        <w:ind w:left="4320" w:hanging="360"/>
      </w:pPr>
      <w:rPr>
        <w:rFonts w:ascii="Wingdings" w:hAnsi="Wingdings" w:hint="default"/>
      </w:rPr>
    </w:lvl>
    <w:lvl w:ilvl="6" w:tplc="AB2E7EAE">
      <w:start w:val="1"/>
      <w:numFmt w:val="bullet"/>
      <w:lvlText w:val=""/>
      <w:lvlJc w:val="left"/>
      <w:pPr>
        <w:ind w:left="5040" w:hanging="360"/>
      </w:pPr>
      <w:rPr>
        <w:rFonts w:ascii="Symbol" w:hAnsi="Symbol" w:hint="default"/>
      </w:rPr>
    </w:lvl>
    <w:lvl w:ilvl="7" w:tplc="4BB0F056">
      <w:start w:val="1"/>
      <w:numFmt w:val="bullet"/>
      <w:lvlText w:val="o"/>
      <w:lvlJc w:val="left"/>
      <w:pPr>
        <w:ind w:left="5760" w:hanging="360"/>
      </w:pPr>
      <w:rPr>
        <w:rFonts w:ascii="Courier New" w:hAnsi="Courier New" w:hint="default"/>
      </w:rPr>
    </w:lvl>
    <w:lvl w:ilvl="8" w:tplc="D9B6B028">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F9E14B"/>
    <w:multiLevelType w:val="hybridMultilevel"/>
    <w:tmpl w:val="329A8C4E"/>
    <w:lvl w:ilvl="0" w:tplc="F8683512">
      <w:start w:val="1"/>
      <w:numFmt w:val="bullet"/>
      <w:lvlText w:val=""/>
      <w:lvlJc w:val="left"/>
      <w:pPr>
        <w:ind w:left="360" w:hanging="360"/>
      </w:pPr>
      <w:rPr>
        <w:rFonts w:ascii="Symbol" w:hAnsi="Symbol" w:hint="default"/>
      </w:rPr>
    </w:lvl>
    <w:lvl w:ilvl="1" w:tplc="58808DC4">
      <w:start w:val="1"/>
      <w:numFmt w:val="bullet"/>
      <w:lvlText w:val="o"/>
      <w:lvlJc w:val="left"/>
      <w:pPr>
        <w:ind w:left="1440" w:hanging="360"/>
      </w:pPr>
      <w:rPr>
        <w:rFonts w:ascii="Courier New" w:hAnsi="Courier New" w:hint="default"/>
      </w:rPr>
    </w:lvl>
    <w:lvl w:ilvl="2" w:tplc="4060FE0A">
      <w:start w:val="1"/>
      <w:numFmt w:val="bullet"/>
      <w:lvlText w:val=""/>
      <w:lvlJc w:val="left"/>
      <w:pPr>
        <w:ind w:left="2160" w:hanging="360"/>
      </w:pPr>
      <w:rPr>
        <w:rFonts w:ascii="Wingdings" w:hAnsi="Wingdings" w:hint="default"/>
      </w:rPr>
    </w:lvl>
    <w:lvl w:ilvl="3" w:tplc="83A02BA8">
      <w:start w:val="1"/>
      <w:numFmt w:val="bullet"/>
      <w:lvlText w:val=""/>
      <w:lvlJc w:val="left"/>
      <w:pPr>
        <w:ind w:left="2880" w:hanging="360"/>
      </w:pPr>
      <w:rPr>
        <w:rFonts w:ascii="Symbol" w:hAnsi="Symbol" w:hint="default"/>
      </w:rPr>
    </w:lvl>
    <w:lvl w:ilvl="4" w:tplc="20280F86">
      <w:start w:val="1"/>
      <w:numFmt w:val="bullet"/>
      <w:lvlText w:val="o"/>
      <w:lvlJc w:val="left"/>
      <w:pPr>
        <w:ind w:left="3600" w:hanging="360"/>
      </w:pPr>
      <w:rPr>
        <w:rFonts w:ascii="Courier New" w:hAnsi="Courier New" w:hint="default"/>
      </w:rPr>
    </w:lvl>
    <w:lvl w:ilvl="5" w:tplc="DD76A884">
      <w:start w:val="1"/>
      <w:numFmt w:val="bullet"/>
      <w:lvlText w:val=""/>
      <w:lvlJc w:val="left"/>
      <w:pPr>
        <w:ind w:left="4320" w:hanging="360"/>
      </w:pPr>
      <w:rPr>
        <w:rFonts w:ascii="Wingdings" w:hAnsi="Wingdings" w:hint="default"/>
      </w:rPr>
    </w:lvl>
    <w:lvl w:ilvl="6" w:tplc="44F62640">
      <w:start w:val="1"/>
      <w:numFmt w:val="bullet"/>
      <w:lvlText w:val=""/>
      <w:lvlJc w:val="left"/>
      <w:pPr>
        <w:ind w:left="5040" w:hanging="360"/>
      </w:pPr>
      <w:rPr>
        <w:rFonts w:ascii="Symbol" w:hAnsi="Symbol" w:hint="default"/>
      </w:rPr>
    </w:lvl>
    <w:lvl w:ilvl="7" w:tplc="AFC83510">
      <w:start w:val="1"/>
      <w:numFmt w:val="bullet"/>
      <w:lvlText w:val="o"/>
      <w:lvlJc w:val="left"/>
      <w:pPr>
        <w:ind w:left="5760" w:hanging="360"/>
      </w:pPr>
      <w:rPr>
        <w:rFonts w:ascii="Courier New" w:hAnsi="Courier New" w:hint="default"/>
      </w:rPr>
    </w:lvl>
    <w:lvl w:ilvl="8" w:tplc="199E0494">
      <w:start w:val="1"/>
      <w:numFmt w:val="bullet"/>
      <w:lvlText w:val=""/>
      <w:lvlJc w:val="left"/>
      <w:pPr>
        <w:ind w:left="6480" w:hanging="360"/>
      </w:pPr>
      <w:rPr>
        <w:rFonts w:ascii="Wingdings" w:hAnsi="Wingdings" w:hint="default"/>
      </w:rPr>
    </w:lvl>
  </w:abstractNum>
  <w:abstractNum w:abstractNumId="22" w15:restartNumberingAfterBreak="0">
    <w:nsid w:val="5CE3D354"/>
    <w:multiLevelType w:val="hybridMultilevel"/>
    <w:tmpl w:val="05A4DD32"/>
    <w:lvl w:ilvl="0" w:tplc="7C7C1A6A">
      <w:start w:val="1"/>
      <w:numFmt w:val="bullet"/>
      <w:lvlText w:val=""/>
      <w:lvlJc w:val="left"/>
      <w:pPr>
        <w:ind w:left="360" w:hanging="360"/>
      </w:pPr>
      <w:rPr>
        <w:rFonts w:ascii="Symbol" w:hAnsi="Symbol" w:hint="default"/>
      </w:rPr>
    </w:lvl>
    <w:lvl w:ilvl="1" w:tplc="D4069E38">
      <w:start w:val="1"/>
      <w:numFmt w:val="bullet"/>
      <w:lvlText w:val="o"/>
      <w:lvlJc w:val="left"/>
      <w:pPr>
        <w:ind w:left="1440" w:hanging="360"/>
      </w:pPr>
      <w:rPr>
        <w:rFonts w:ascii="Courier New" w:hAnsi="Courier New" w:hint="default"/>
      </w:rPr>
    </w:lvl>
    <w:lvl w:ilvl="2" w:tplc="38348442">
      <w:start w:val="1"/>
      <w:numFmt w:val="bullet"/>
      <w:lvlText w:val=""/>
      <w:lvlJc w:val="left"/>
      <w:pPr>
        <w:ind w:left="2160" w:hanging="360"/>
      </w:pPr>
      <w:rPr>
        <w:rFonts w:ascii="Wingdings" w:hAnsi="Wingdings" w:hint="default"/>
      </w:rPr>
    </w:lvl>
    <w:lvl w:ilvl="3" w:tplc="61627CFA">
      <w:start w:val="1"/>
      <w:numFmt w:val="bullet"/>
      <w:lvlText w:val=""/>
      <w:lvlJc w:val="left"/>
      <w:pPr>
        <w:ind w:left="2880" w:hanging="360"/>
      </w:pPr>
      <w:rPr>
        <w:rFonts w:ascii="Symbol" w:hAnsi="Symbol" w:hint="default"/>
      </w:rPr>
    </w:lvl>
    <w:lvl w:ilvl="4" w:tplc="FF6A4D74">
      <w:start w:val="1"/>
      <w:numFmt w:val="bullet"/>
      <w:lvlText w:val="o"/>
      <w:lvlJc w:val="left"/>
      <w:pPr>
        <w:ind w:left="3600" w:hanging="360"/>
      </w:pPr>
      <w:rPr>
        <w:rFonts w:ascii="Courier New" w:hAnsi="Courier New" w:hint="default"/>
      </w:rPr>
    </w:lvl>
    <w:lvl w:ilvl="5" w:tplc="E1E23E06">
      <w:start w:val="1"/>
      <w:numFmt w:val="bullet"/>
      <w:lvlText w:val=""/>
      <w:lvlJc w:val="left"/>
      <w:pPr>
        <w:ind w:left="4320" w:hanging="360"/>
      </w:pPr>
      <w:rPr>
        <w:rFonts w:ascii="Wingdings" w:hAnsi="Wingdings" w:hint="default"/>
      </w:rPr>
    </w:lvl>
    <w:lvl w:ilvl="6" w:tplc="C4208936">
      <w:start w:val="1"/>
      <w:numFmt w:val="bullet"/>
      <w:lvlText w:val=""/>
      <w:lvlJc w:val="left"/>
      <w:pPr>
        <w:ind w:left="5040" w:hanging="360"/>
      </w:pPr>
      <w:rPr>
        <w:rFonts w:ascii="Symbol" w:hAnsi="Symbol" w:hint="default"/>
      </w:rPr>
    </w:lvl>
    <w:lvl w:ilvl="7" w:tplc="708C1226">
      <w:start w:val="1"/>
      <w:numFmt w:val="bullet"/>
      <w:lvlText w:val="o"/>
      <w:lvlJc w:val="left"/>
      <w:pPr>
        <w:ind w:left="5760" w:hanging="360"/>
      </w:pPr>
      <w:rPr>
        <w:rFonts w:ascii="Courier New" w:hAnsi="Courier New" w:hint="default"/>
      </w:rPr>
    </w:lvl>
    <w:lvl w:ilvl="8" w:tplc="9C4C78EE">
      <w:start w:val="1"/>
      <w:numFmt w:val="bullet"/>
      <w:lvlText w:val=""/>
      <w:lvlJc w:val="left"/>
      <w:pPr>
        <w:ind w:left="6480" w:hanging="360"/>
      </w:pPr>
      <w:rPr>
        <w:rFonts w:ascii="Wingdings" w:hAnsi="Wingdings" w:hint="default"/>
      </w:rPr>
    </w:lvl>
  </w:abstractNum>
  <w:abstractNum w:abstractNumId="23" w15:restartNumberingAfterBreak="0">
    <w:nsid w:val="7056D0E0"/>
    <w:multiLevelType w:val="hybridMultilevel"/>
    <w:tmpl w:val="4D7C02BA"/>
    <w:lvl w:ilvl="0" w:tplc="E2520122">
      <w:start w:val="1"/>
      <w:numFmt w:val="bullet"/>
      <w:lvlText w:val=""/>
      <w:lvlJc w:val="left"/>
      <w:pPr>
        <w:ind w:left="360" w:hanging="360"/>
      </w:pPr>
      <w:rPr>
        <w:rFonts w:ascii="Symbol" w:hAnsi="Symbol" w:hint="default"/>
      </w:rPr>
    </w:lvl>
    <w:lvl w:ilvl="1" w:tplc="EBDAA47E">
      <w:start w:val="1"/>
      <w:numFmt w:val="bullet"/>
      <w:lvlText w:val="o"/>
      <w:lvlJc w:val="left"/>
      <w:pPr>
        <w:ind w:left="1440" w:hanging="360"/>
      </w:pPr>
      <w:rPr>
        <w:rFonts w:ascii="Courier New" w:hAnsi="Courier New" w:hint="default"/>
      </w:rPr>
    </w:lvl>
    <w:lvl w:ilvl="2" w:tplc="F702C074">
      <w:start w:val="1"/>
      <w:numFmt w:val="bullet"/>
      <w:lvlText w:val=""/>
      <w:lvlJc w:val="left"/>
      <w:pPr>
        <w:ind w:left="2160" w:hanging="360"/>
      </w:pPr>
      <w:rPr>
        <w:rFonts w:ascii="Wingdings" w:hAnsi="Wingdings" w:hint="default"/>
      </w:rPr>
    </w:lvl>
    <w:lvl w:ilvl="3" w:tplc="BA3C0A5A">
      <w:start w:val="1"/>
      <w:numFmt w:val="bullet"/>
      <w:lvlText w:val=""/>
      <w:lvlJc w:val="left"/>
      <w:pPr>
        <w:ind w:left="2880" w:hanging="360"/>
      </w:pPr>
      <w:rPr>
        <w:rFonts w:ascii="Symbol" w:hAnsi="Symbol" w:hint="default"/>
      </w:rPr>
    </w:lvl>
    <w:lvl w:ilvl="4" w:tplc="9AE27886">
      <w:start w:val="1"/>
      <w:numFmt w:val="bullet"/>
      <w:lvlText w:val="o"/>
      <w:lvlJc w:val="left"/>
      <w:pPr>
        <w:ind w:left="3600" w:hanging="360"/>
      </w:pPr>
      <w:rPr>
        <w:rFonts w:ascii="Courier New" w:hAnsi="Courier New" w:hint="default"/>
      </w:rPr>
    </w:lvl>
    <w:lvl w:ilvl="5" w:tplc="26D6600E">
      <w:start w:val="1"/>
      <w:numFmt w:val="bullet"/>
      <w:lvlText w:val=""/>
      <w:lvlJc w:val="left"/>
      <w:pPr>
        <w:ind w:left="4320" w:hanging="360"/>
      </w:pPr>
      <w:rPr>
        <w:rFonts w:ascii="Wingdings" w:hAnsi="Wingdings" w:hint="default"/>
      </w:rPr>
    </w:lvl>
    <w:lvl w:ilvl="6" w:tplc="92C64D50">
      <w:start w:val="1"/>
      <w:numFmt w:val="bullet"/>
      <w:lvlText w:val=""/>
      <w:lvlJc w:val="left"/>
      <w:pPr>
        <w:ind w:left="5040" w:hanging="360"/>
      </w:pPr>
      <w:rPr>
        <w:rFonts w:ascii="Symbol" w:hAnsi="Symbol" w:hint="default"/>
      </w:rPr>
    </w:lvl>
    <w:lvl w:ilvl="7" w:tplc="4BC8A224">
      <w:start w:val="1"/>
      <w:numFmt w:val="bullet"/>
      <w:lvlText w:val="o"/>
      <w:lvlJc w:val="left"/>
      <w:pPr>
        <w:ind w:left="5760" w:hanging="360"/>
      </w:pPr>
      <w:rPr>
        <w:rFonts w:ascii="Courier New" w:hAnsi="Courier New" w:hint="default"/>
      </w:rPr>
    </w:lvl>
    <w:lvl w:ilvl="8" w:tplc="DB5019C0">
      <w:start w:val="1"/>
      <w:numFmt w:val="bullet"/>
      <w:lvlText w:val=""/>
      <w:lvlJc w:val="left"/>
      <w:pPr>
        <w:ind w:left="6480" w:hanging="360"/>
      </w:pPr>
      <w:rPr>
        <w:rFonts w:ascii="Wingdings" w:hAnsi="Wingdings" w:hint="default"/>
      </w:rPr>
    </w:lvl>
  </w:abstractNum>
  <w:abstractNum w:abstractNumId="24" w15:restartNumberingAfterBreak="0">
    <w:nsid w:val="79FF5CE4"/>
    <w:multiLevelType w:val="hybridMultilevel"/>
    <w:tmpl w:val="912CBCF0"/>
    <w:lvl w:ilvl="0" w:tplc="CE1C847C">
      <w:start w:val="1"/>
      <w:numFmt w:val="bullet"/>
      <w:lvlText w:val=""/>
      <w:lvlJc w:val="left"/>
      <w:pPr>
        <w:ind w:left="360" w:hanging="360"/>
      </w:pPr>
      <w:rPr>
        <w:rFonts w:ascii="Symbol" w:hAnsi="Symbol" w:hint="default"/>
      </w:rPr>
    </w:lvl>
    <w:lvl w:ilvl="1" w:tplc="F12E0ECC">
      <w:start w:val="1"/>
      <w:numFmt w:val="bullet"/>
      <w:lvlText w:val="o"/>
      <w:lvlJc w:val="left"/>
      <w:pPr>
        <w:ind w:left="1440" w:hanging="360"/>
      </w:pPr>
      <w:rPr>
        <w:rFonts w:ascii="Courier New" w:hAnsi="Courier New" w:hint="default"/>
      </w:rPr>
    </w:lvl>
    <w:lvl w:ilvl="2" w:tplc="0644CFA6">
      <w:start w:val="1"/>
      <w:numFmt w:val="bullet"/>
      <w:lvlText w:val=""/>
      <w:lvlJc w:val="left"/>
      <w:pPr>
        <w:ind w:left="2160" w:hanging="360"/>
      </w:pPr>
      <w:rPr>
        <w:rFonts w:ascii="Wingdings" w:hAnsi="Wingdings" w:hint="default"/>
      </w:rPr>
    </w:lvl>
    <w:lvl w:ilvl="3" w:tplc="9EA485E2">
      <w:start w:val="1"/>
      <w:numFmt w:val="bullet"/>
      <w:lvlText w:val=""/>
      <w:lvlJc w:val="left"/>
      <w:pPr>
        <w:ind w:left="2880" w:hanging="360"/>
      </w:pPr>
      <w:rPr>
        <w:rFonts w:ascii="Symbol" w:hAnsi="Symbol" w:hint="default"/>
      </w:rPr>
    </w:lvl>
    <w:lvl w:ilvl="4" w:tplc="AA982C38">
      <w:start w:val="1"/>
      <w:numFmt w:val="bullet"/>
      <w:lvlText w:val="o"/>
      <w:lvlJc w:val="left"/>
      <w:pPr>
        <w:ind w:left="3600" w:hanging="360"/>
      </w:pPr>
      <w:rPr>
        <w:rFonts w:ascii="Courier New" w:hAnsi="Courier New" w:hint="default"/>
      </w:rPr>
    </w:lvl>
    <w:lvl w:ilvl="5" w:tplc="BCA0BDD4">
      <w:start w:val="1"/>
      <w:numFmt w:val="bullet"/>
      <w:lvlText w:val=""/>
      <w:lvlJc w:val="left"/>
      <w:pPr>
        <w:ind w:left="4320" w:hanging="360"/>
      </w:pPr>
      <w:rPr>
        <w:rFonts w:ascii="Wingdings" w:hAnsi="Wingdings" w:hint="default"/>
      </w:rPr>
    </w:lvl>
    <w:lvl w:ilvl="6" w:tplc="1CCAB804">
      <w:start w:val="1"/>
      <w:numFmt w:val="bullet"/>
      <w:lvlText w:val=""/>
      <w:lvlJc w:val="left"/>
      <w:pPr>
        <w:ind w:left="5040" w:hanging="360"/>
      </w:pPr>
      <w:rPr>
        <w:rFonts w:ascii="Symbol" w:hAnsi="Symbol" w:hint="default"/>
      </w:rPr>
    </w:lvl>
    <w:lvl w:ilvl="7" w:tplc="258A9458">
      <w:start w:val="1"/>
      <w:numFmt w:val="bullet"/>
      <w:lvlText w:val="o"/>
      <w:lvlJc w:val="left"/>
      <w:pPr>
        <w:ind w:left="5760" w:hanging="360"/>
      </w:pPr>
      <w:rPr>
        <w:rFonts w:ascii="Courier New" w:hAnsi="Courier New" w:hint="default"/>
      </w:rPr>
    </w:lvl>
    <w:lvl w:ilvl="8" w:tplc="5D4A58C2">
      <w:start w:val="1"/>
      <w:numFmt w:val="bullet"/>
      <w:lvlText w:val=""/>
      <w:lvlJc w:val="left"/>
      <w:pPr>
        <w:ind w:left="6480" w:hanging="360"/>
      </w:pPr>
      <w:rPr>
        <w:rFonts w:ascii="Wingdings" w:hAnsi="Wingdings" w:hint="default"/>
      </w:rPr>
    </w:lvl>
  </w:abstractNum>
  <w:abstractNum w:abstractNumId="25" w15:restartNumberingAfterBreak="0">
    <w:nsid w:val="7A0FC4FD"/>
    <w:multiLevelType w:val="hybridMultilevel"/>
    <w:tmpl w:val="6010A428"/>
    <w:lvl w:ilvl="0" w:tplc="02C6DB8C">
      <w:start w:val="1"/>
      <w:numFmt w:val="bullet"/>
      <w:lvlText w:val=""/>
      <w:lvlJc w:val="left"/>
      <w:pPr>
        <w:ind w:left="360" w:hanging="360"/>
      </w:pPr>
      <w:rPr>
        <w:rFonts w:ascii="Symbol" w:hAnsi="Symbol" w:hint="default"/>
      </w:rPr>
    </w:lvl>
    <w:lvl w:ilvl="1" w:tplc="38EE5924">
      <w:start w:val="1"/>
      <w:numFmt w:val="bullet"/>
      <w:lvlText w:val="o"/>
      <w:lvlJc w:val="left"/>
      <w:pPr>
        <w:ind w:left="1440" w:hanging="360"/>
      </w:pPr>
      <w:rPr>
        <w:rFonts w:ascii="Courier New" w:hAnsi="Courier New" w:hint="default"/>
      </w:rPr>
    </w:lvl>
    <w:lvl w:ilvl="2" w:tplc="1F461572">
      <w:start w:val="1"/>
      <w:numFmt w:val="bullet"/>
      <w:lvlText w:val=""/>
      <w:lvlJc w:val="left"/>
      <w:pPr>
        <w:ind w:left="2160" w:hanging="360"/>
      </w:pPr>
      <w:rPr>
        <w:rFonts w:ascii="Wingdings" w:hAnsi="Wingdings" w:hint="default"/>
      </w:rPr>
    </w:lvl>
    <w:lvl w:ilvl="3" w:tplc="124EBD18">
      <w:start w:val="1"/>
      <w:numFmt w:val="bullet"/>
      <w:lvlText w:val=""/>
      <w:lvlJc w:val="left"/>
      <w:pPr>
        <w:ind w:left="2880" w:hanging="360"/>
      </w:pPr>
      <w:rPr>
        <w:rFonts w:ascii="Symbol" w:hAnsi="Symbol" w:hint="default"/>
      </w:rPr>
    </w:lvl>
    <w:lvl w:ilvl="4" w:tplc="BADE7744">
      <w:start w:val="1"/>
      <w:numFmt w:val="bullet"/>
      <w:lvlText w:val="o"/>
      <w:lvlJc w:val="left"/>
      <w:pPr>
        <w:ind w:left="3600" w:hanging="360"/>
      </w:pPr>
      <w:rPr>
        <w:rFonts w:ascii="Courier New" w:hAnsi="Courier New" w:hint="default"/>
      </w:rPr>
    </w:lvl>
    <w:lvl w:ilvl="5" w:tplc="F62EC51C">
      <w:start w:val="1"/>
      <w:numFmt w:val="bullet"/>
      <w:lvlText w:val=""/>
      <w:lvlJc w:val="left"/>
      <w:pPr>
        <w:ind w:left="4320" w:hanging="360"/>
      </w:pPr>
      <w:rPr>
        <w:rFonts w:ascii="Wingdings" w:hAnsi="Wingdings" w:hint="default"/>
      </w:rPr>
    </w:lvl>
    <w:lvl w:ilvl="6" w:tplc="5ADC0DDE">
      <w:start w:val="1"/>
      <w:numFmt w:val="bullet"/>
      <w:lvlText w:val=""/>
      <w:lvlJc w:val="left"/>
      <w:pPr>
        <w:ind w:left="5040" w:hanging="360"/>
      </w:pPr>
      <w:rPr>
        <w:rFonts w:ascii="Symbol" w:hAnsi="Symbol" w:hint="default"/>
      </w:rPr>
    </w:lvl>
    <w:lvl w:ilvl="7" w:tplc="7AA22F0E">
      <w:start w:val="1"/>
      <w:numFmt w:val="bullet"/>
      <w:lvlText w:val="o"/>
      <w:lvlJc w:val="left"/>
      <w:pPr>
        <w:ind w:left="5760" w:hanging="360"/>
      </w:pPr>
      <w:rPr>
        <w:rFonts w:ascii="Courier New" w:hAnsi="Courier New" w:hint="default"/>
      </w:rPr>
    </w:lvl>
    <w:lvl w:ilvl="8" w:tplc="AE8CDDFE">
      <w:start w:val="1"/>
      <w:numFmt w:val="bullet"/>
      <w:lvlText w:val=""/>
      <w:lvlJc w:val="left"/>
      <w:pPr>
        <w:ind w:left="6480" w:hanging="360"/>
      </w:pPr>
      <w:rPr>
        <w:rFonts w:ascii="Wingdings" w:hAnsi="Wingdings" w:hint="default"/>
      </w:rPr>
    </w:lvl>
  </w:abstractNum>
  <w:num w:numId="1" w16cid:durableId="1922640354">
    <w:abstractNumId w:val="13"/>
  </w:num>
  <w:num w:numId="2" w16cid:durableId="685863224">
    <w:abstractNumId w:val="17"/>
  </w:num>
  <w:num w:numId="3" w16cid:durableId="953755096">
    <w:abstractNumId w:val="23"/>
  </w:num>
  <w:num w:numId="4" w16cid:durableId="1812818607">
    <w:abstractNumId w:val="18"/>
  </w:num>
  <w:num w:numId="5" w16cid:durableId="1237933430">
    <w:abstractNumId w:val="24"/>
  </w:num>
  <w:num w:numId="6" w16cid:durableId="977300515">
    <w:abstractNumId w:val="22"/>
  </w:num>
  <w:num w:numId="7" w16cid:durableId="855970966">
    <w:abstractNumId w:val="25"/>
  </w:num>
  <w:num w:numId="8" w16cid:durableId="1319533163">
    <w:abstractNumId w:val="19"/>
  </w:num>
  <w:num w:numId="9" w16cid:durableId="1801995459">
    <w:abstractNumId w:val="21"/>
  </w:num>
  <w:num w:numId="10" w16cid:durableId="1354840813">
    <w:abstractNumId w:val="15"/>
  </w:num>
  <w:num w:numId="11" w16cid:durableId="1151411779">
    <w:abstractNumId w:val="16"/>
  </w:num>
  <w:num w:numId="12" w16cid:durableId="1353535290">
    <w:abstractNumId w:val="14"/>
  </w:num>
  <w:num w:numId="13" w16cid:durableId="1758673594">
    <w:abstractNumId w:val="10"/>
  </w:num>
  <w:num w:numId="14" w16cid:durableId="455684066">
    <w:abstractNumId w:val="7"/>
  </w:num>
  <w:num w:numId="15" w16cid:durableId="405614520">
    <w:abstractNumId w:val="6"/>
  </w:num>
  <w:num w:numId="16" w16cid:durableId="1809593170">
    <w:abstractNumId w:val="5"/>
  </w:num>
  <w:num w:numId="17" w16cid:durableId="1813136220">
    <w:abstractNumId w:val="4"/>
  </w:num>
  <w:num w:numId="18" w16cid:durableId="1832482984">
    <w:abstractNumId w:val="8"/>
  </w:num>
  <w:num w:numId="19" w16cid:durableId="57022786">
    <w:abstractNumId w:val="3"/>
  </w:num>
  <w:num w:numId="20" w16cid:durableId="504706098">
    <w:abstractNumId w:val="2"/>
  </w:num>
  <w:num w:numId="21" w16cid:durableId="1417047649">
    <w:abstractNumId w:val="1"/>
  </w:num>
  <w:num w:numId="22" w16cid:durableId="2121949063">
    <w:abstractNumId w:val="0"/>
  </w:num>
  <w:num w:numId="23" w16cid:durableId="527985599">
    <w:abstractNumId w:val="9"/>
  </w:num>
  <w:num w:numId="24" w16cid:durableId="1036272344">
    <w:abstractNumId w:val="11"/>
  </w:num>
  <w:num w:numId="25" w16cid:durableId="1957444402">
    <w:abstractNumId w:val="20"/>
  </w:num>
  <w:num w:numId="26" w16cid:durableId="12851127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398"/>
    <w:rsid w:val="000036EC"/>
    <w:rsid w:val="00003797"/>
    <w:rsid w:val="000049FB"/>
    <w:rsid w:val="00004E7C"/>
    <w:rsid w:val="00005058"/>
    <w:rsid w:val="000055C9"/>
    <w:rsid w:val="00005910"/>
    <w:rsid w:val="00007328"/>
    <w:rsid w:val="00007828"/>
    <w:rsid w:val="0001048E"/>
    <w:rsid w:val="00010672"/>
    <w:rsid w:val="000106BB"/>
    <w:rsid w:val="000114D1"/>
    <w:rsid w:val="000137ED"/>
    <w:rsid w:val="00013862"/>
    <w:rsid w:val="00013F6D"/>
    <w:rsid w:val="0001509F"/>
    <w:rsid w:val="00015169"/>
    <w:rsid w:val="0001542E"/>
    <w:rsid w:val="00015E03"/>
    <w:rsid w:val="00016012"/>
    <w:rsid w:val="000174F4"/>
    <w:rsid w:val="00017D8D"/>
    <w:rsid w:val="00020189"/>
    <w:rsid w:val="00020EE4"/>
    <w:rsid w:val="00020FBF"/>
    <w:rsid w:val="0002112F"/>
    <w:rsid w:val="00022540"/>
    <w:rsid w:val="000225F3"/>
    <w:rsid w:val="000228AA"/>
    <w:rsid w:val="00022ABC"/>
    <w:rsid w:val="00023663"/>
    <w:rsid w:val="00023E9A"/>
    <w:rsid w:val="00024545"/>
    <w:rsid w:val="00025432"/>
    <w:rsid w:val="00026328"/>
    <w:rsid w:val="00026DD2"/>
    <w:rsid w:val="000278AA"/>
    <w:rsid w:val="00027CAD"/>
    <w:rsid w:val="000306D0"/>
    <w:rsid w:val="00030F8E"/>
    <w:rsid w:val="00033CDD"/>
    <w:rsid w:val="00034932"/>
    <w:rsid w:val="00034A84"/>
    <w:rsid w:val="00035E67"/>
    <w:rsid w:val="00036211"/>
    <w:rsid w:val="000366F3"/>
    <w:rsid w:val="00036959"/>
    <w:rsid w:val="00037654"/>
    <w:rsid w:val="00041F0C"/>
    <w:rsid w:val="00047145"/>
    <w:rsid w:val="00047725"/>
    <w:rsid w:val="000536B6"/>
    <w:rsid w:val="00055E55"/>
    <w:rsid w:val="00057359"/>
    <w:rsid w:val="00057512"/>
    <w:rsid w:val="0006024D"/>
    <w:rsid w:val="000603E5"/>
    <w:rsid w:val="000607B5"/>
    <w:rsid w:val="00060C39"/>
    <w:rsid w:val="000613B3"/>
    <w:rsid w:val="00063618"/>
    <w:rsid w:val="00063AE1"/>
    <w:rsid w:val="00063F4C"/>
    <w:rsid w:val="00065363"/>
    <w:rsid w:val="000653CE"/>
    <w:rsid w:val="00065E17"/>
    <w:rsid w:val="0006699B"/>
    <w:rsid w:val="00067068"/>
    <w:rsid w:val="00071193"/>
    <w:rsid w:val="00071A31"/>
    <w:rsid w:val="00071BBC"/>
    <w:rsid w:val="00071F28"/>
    <w:rsid w:val="00072607"/>
    <w:rsid w:val="000732DC"/>
    <w:rsid w:val="00074079"/>
    <w:rsid w:val="00074166"/>
    <w:rsid w:val="0007438D"/>
    <w:rsid w:val="00074E8E"/>
    <w:rsid w:val="00075791"/>
    <w:rsid w:val="00077B13"/>
    <w:rsid w:val="000808FD"/>
    <w:rsid w:val="00080C39"/>
    <w:rsid w:val="0008140E"/>
    <w:rsid w:val="00082AE7"/>
    <w:rsid w:val="00082DF6"/>
    <w:rsid w:val="00082EA8"/>
    <w:rsid w:val="00083038"/>
    <w:rsid w:val="00083192"/>
    <w:rsid w:val="0008392C"/>
    <w:rsid w:val="000839DB"/>
    <w:rsid w:val="00083B9E"/>
    <w:rsid w:val="0008409A"/>
    <w:rsid w:val="0008647A"/>
    <w:rsid w:val="00086814"/>
    <w:rsid w:val="00087748"/>
    <w:rsid w:val="00091026"/>
    <w:rsid w:val="000910CD"/>
    <w:rsid w:val="00092799"/>
    <w:rsid w:val="00092C5F"/>
    <w:rsid w:val="000953ED"/>
    <w:rsid w:val="00096680"/>
    <w:rsid w:val="0009749A"/>
    <w:rsid w:val="000977B5"/>
    <w:rsid w:val="00097FB3"/>
    <w:rsid w:val="000A0769"/>
    <w:rsid w:val="000A0F36"/>
    <w:rsid w:val="000A0F74"/>
    <w:rsid w:val="000A174A"/>
    <w:rsid w:val="000A1B93"/>
    <w:rsid w:val="000A29A5"/>
    <w:rsid w:val="000A3C34"/>
    <w:rsid w:val="000A3E0A"/>
    <w:rsid w:val="000A4289"/>
    <w:rsid w:val="000A4FC5"/>
    <w:rsid w:val="000A597E"/>
    <w:rsid w:val="000A5A0D"/>
    <w:rsid w:val="000A5A4E"/>
    <w:rsid w:val="000A5AA8"/>
    <w:rsid w:val="000A65AC"/>
    <w:rsid w:val="000A6C68"/>
    <w:rsid w:val="000A7159"/>
    <w:rsid w:val="000A755F"/>
    <w:rsid w:val="000B04E3"/>
    <w:rsid w:val="000B3769"/>
    <w:rsid w:val="000B37C5"/>
    <w:rsid w:val="000B3983"/>
    <w:rsid w:val="000B3A45"/>
    <w:rsid w:val="000B3F6E"/>
    <w:rsid w:val="000B504A"/>
    <w:rsid w:val="000B586C"/>
    <w:rsid w:val="000B5979"/>
    <w:rsid w:val="000B7136"/>
    <w:rsid w:val="000B7281"/>
    <w:rsid w:val="000B7D2F"/>
    <w:rsid w:val="000B7FAB"/>
    <w:rsid w:val="000C0163"/>
    <w:rsid w:val="000C18EF"/>
    <w:rsid w:val="000C1BA1"/>
    <w:rsid w:val="000C2129"/>
    <w:rsid w:val="000C3EA9"/>
    <w:rsid w:val="000C4072"/>
    <w:rsid w:val="000C48CE"/>
    <w:rsid w:val="000C4F19"/>
    <w:rsid w:val="000C600A"/>
    <w:rsid w:val="000C6C26"/>
    <w:rsid w:val="000C77DE"/>
    <w:rsid w:val="000D0225"/>
    <w:rsid w:val="000D14FF"/>
    <w:rsid w:val="000D18D4"/>
    <w:rsid w:val="000D26B8"/>
    <w:rsid w:val="000D2FB5"/>
    <w:rsid w:val="000D3469"/>
    <w:rsid w:val="000D386B"/>
    <w:rsid w:val="000D3DF7"/>
    <w:rsid w:val="000D5795"/>
    <w:rsid w:val="000D593A"/>
    <w:rsid w:val="000D5B92"/>
    <w:rsid w:val="000E1FD4"/>
    <w:rsid w:val="000E254F"/>
    <w:rsid w:val="000E3A11"/>
    <w:rsid w:val="000E633A"/>
    <w:rsid w:val="000E7895"/>
    <w:rsid w:val="000E7FB6"/>
    <w:rsid w:val="000F0BCC"/>
    <w:rsid w:val="000F161D"/>
    <w:rsid w:val="000F18FB"/>
    <w:rsid w:val="000F2747"/>
    <w:rsid w:val="000F3CAA"/>
    <w:rsid w:val="000F4199"/>
    <w:rsid w:val="000F4BDF"/>
    <w:rsid w:val="000F5090"/>
    <w:rsid w:val="00101A0C"/>
    <w:rsid w:val="00101D98"/>
    <w:rsid w:val="00102ABB"/>
    <w:rsid w:val="00102F5E"/>
    <w:rsid w:val="00104CF1"/>
    <w:rsid w:val="00104E0B"/>
    <w:rsid w:val="00105607"/>
    <w:rsid w:val="00105D9B"/>
    <w:rsid w:val="001073AC"/>
    <w:rsid w:val="00107B13"/>
    <w:rsid w:val="00110207"/>
    <w:rsid w:val="00110550"/>
    <w:rsid w:val="00112FAB"/>
    <w:rsid w:val="001159CC"/>
    <w:rsid w:val="00116510"/>
    <w:rsid w:val="001177D8"/>
    <w:rsid w:val="00117977"/>
    <w:rsid w:val="00117C89"/>
    <w:rsid w:val="00121328"/>
    <w:rsid w:val="00121951"/>
    <w:rsid w:val="00121BF0"/>
    <w:rsid w:val="00123704"/>
    <w:rsid w:val="00124911"/>
    <w:rsid w:val="00124979"/>
    <w:rsid w:val="00124A95"/>
    <w:rsid w:val="00124BDE"/>
    <w:rsid w:val="0012576D"/>
    <w:rsid w:val="00126502"/>
    <w:rsid w:val="00126998"/>
    <w:rsid w:val="00126CE0"/>
    <w:rsid w:val="001270C7"/>
    <w:rsid w:val="00127321"/>
    <w:rsid w:val="00132540"/>
    <w:rsid w:val="0013304C"/>
    <w:rsid w:val="001332F0"/>
    <w:rsid w:val="001337F4"/>
    <w:rsid w:val="00133F0F"/>
    <w:rsid w:val="00134FD2"/>
    <w:rsid w:val="001350AF"/>
    <w:rsid w:val="001373B4"/>
    <w:rsid w:val="001373FD"/>
    <w:rsid w:val="0013740E"/>
    <w:rsid w:val="001376DE"/>
    <w:rsid w:val="00137C3E"/>
    <w:rsid w:val="00140561"/>
    <w:rsid w:val="00140592"/>
    <w:rsid w:val="00141AD1"/>
    <w:rsid w:val="001420A2"/>
    <w:rsid w:val="0014284B"/>
    <w:rsid w:val="00145C6F"/>
    <w:rsid w:val="0014743A"/>
    <w:rsid w:val="001476AE"/>
    <w:rsid w:val="0014786A"/>
    <w:rsid w:val="00147C48"/>
    <w:rsid w:val="00147E6A"/>
    <w:rsid w:val="001516A4"/>
    <w:rsid w:val="00151E5F"/>
    <w:rsid w:val="001521F2"/>
    <w:rsid w:val="00153403"/>
    <w:rsid w:val="00153D8F"/>
    <w:rsid w:val="00153E28"/>
    <w:rsid w:val="001541D0"/>
    <w:rsid w:val="00154215"/>
    <w:rsid w:val="00154C1A"/>
    <w:rsid w:val="00154C71"/>
    <w:rsid w:val="001569AB"/>
    <w:rsid w:val="001571B7"/>
    <w:rsid w:val="00161956"/>
    <w:rsid w:val="00164147"/>
    <w:rsid w:val="001641FB"/>
    <w:rsid w:val="00164C5A"/>
    <w:rsid w:val="00164D63"/>
    <w:rsid w:val="00165CDE"/>
    <w:rsid w:val="0016725C"/>
    <w:rsid w:val="00170F2B"/>
    <w:rsid w:val="001721E8"/>
    <w:rsid w:val="001726F3"/>
    <w:rsid w:val="00173C51"/>
    <w:rsid w:val="00173DB8"/>
    <w:rsid w:val="00174114"/>
    <w:rsid w:val="00174693"/>
    <w:rsid w:val="00174AFD"/>
    <w:rsid w:val="00174C03"/>
    <w:rsid w:val="00174CC2"/>
    <w:rsid w:val="00175C29"/>
    <w:rsid w:val="00176CC6"/>
    <w:rsid w:val="001778C5"/>
    <w:rsid w:val="001813D6"/>
    <w:rsid w:val="00181868"/>
    <w:rsid w:val="00181BE4"/>
    <w:rsid w:val="00182EC9"/>
    <w:rsid w:val="00183C2D"/>
    <w:rsid w:val="00183FA6"/>
    <w:rsid w:val="00185576"/>
    <w:rsid w:val="00185951"/>
    <w:rsid w:val="00187FB8"/>
    <w:rsid w:val="001909B7"/>
    <w:rsid w:val="00190C8A"/>
    <w:rsid w:val="00194A3A"/>
    <w:rsid w:val="00195B32"/>
    <w:rsid w:val="00196B8B"/>
    <w:rsid w:val="00197367"/>
    <w:rsid w:val="001A030A"/>
    <w:rsid w:val="001A12BA"/>
    <w:rsid w:val="001A2B35"/>
    <w:rsid w:val="001A2BEA"/>
    <w:rsid w:val="001A2E4E"/>
    <w:rsid w:val="001A3BD4"/>
    <w:rsid w:val="001A4218"/>
    <w:rsid w:val="001A42A0"/>
    <w:rsid w:val="001A4532"/>
    <w:rsid w:val="001A482B"/>
    <w:rsid w:val="001A51CD"/>
    <w:rsid w:val="001A5B0B"/>
    <w:rsid w:val="001A5BE0"/>
    <w:rsid w:val="001A6B99"/>
    <w:rsid w:val="001A6D93"/>
    <w:rsid w:val="001A6EA9"/>
    <w:rsid w:val="001B43B3"/>
    <w:rsid w:val="001B4993"/>
    <w:rsid w:val="001B49B3"/>
    <w:rsid w:val="001B5933"/>
    <w:rsid w:val="001B6A45"/>
    <w:rsid w:val="001B6FFA"/>
    <w:rsid w:val="001C18D2"/>
    <w:rsid w:val="001C1CC0"/>
    <w:rsid w:val="001C32EC"/>
    <w:rsid w:val="001C3891"/>
    <w:rsid w:val="001C38BD"/>
    <w:rsid w:val="001C42DD"/>
    <w:rsid w:val="001C4D5A"/>
    <w:rsid w:val="001C62A3"/>
    <w:rsid w:val="001C6F8E"/>
    <w:rsid w:val="001C7A37"/>
    <w:rsid w:val="001D08F0"/>
    <w:rsid w:val="001D0993"/>
    <w:rsid w:val="001D2459"/>
    <w:rsid w:val="001D2F79"/>
    <w:rsid w:val="001D317D"/>
    <w:rsid w:val="001D3407"/>
    <w:rsid w:val="001D3E91"/>
    <w:rsid w:val="001D40D0"/>
    <w:rsid w:val="001D6864"/>
    <w:rsid w:val="001D7CF0"/>
    <w:rsid w:val="001E34C6"/>
    <w:rsid w:val="001E3AA9"/>
    <w:rsid w:val="001E4A80"/>
    <w:rsid w:val="001E5581"/>
    <w:rsid w:val="001E5781"/>
    <w:rsid w:val="001E58E7"/>
    <w:rsid w:val="001E5AD5"/>
    <w:rsid w:val="001E79E1"/>
    <w:rsid w:val="001F14BB"/>
    <w:rsid w:val="001F382E"/>
    <w:rsid w:val="001F3C70"/>
    <w:rsid w:val="001F41B3"/>
    <w:rsid w:val="001F572E"/>
    <w:rsid w:val="001F588C"/>
    <w:rsid w:val="001F713E"/>
    <w:rsid w:val="0020012D"/>
    <w:rsid w:val="00200D88"/>
    <w:rsid w:val="002012EE"/>
    <w:rsid w:val="00201F68"/>
    <w:rsid w:val="00202A52"/>
    <w:rsid w:val="00202AB0"/>
    <w:rsid w:val="0020312E"/>
    <w:rsid w:val="0020383F"/>
    <w:rsid w:val="00203E88"/>
    <w:rsid w:val="0020479A"/>
    <w:rsid w:val="0020497F"/>
    <w:rsid w:val="002049A6"/>
    <w:rsid w:val="00205589"/>
    <w:rsid w:val="00205886"/>
    <w:rsid w:val="0020732A"/>
    <w:rsid w:val="002075DC"/>
    <w:rsid w:val="00207827"/>
    <w:rsid w:val="00207B36"/>
    <w:rsid w:val="00210141"/>
    <w:rsid w:val="00212122"/>
    <w:rsid w:val="00212F2A"/>
    <w:rsid w:val="00214F2B"/>
    <w:rsid w:val="002150C2"/>
    <w:rsid w:val="0021697D"/>
    <w:rsid w:val="002171BB"/>
    <w:rsid w:val="00217880"/>
    <w:rsid w:val="00220EB5"/>
    <w:rsid w:val="002219E5"/>
    <w:rsid w:val="00221FDC"/>
    <w:rsid w:val="00222942"/>
    <w:rsid w:val="00222D66"/>
    <w:rsid w:val="00223549"/>
    <w:rsid w:val="00223802"/>
    <w:rsid w:val="002240FD"/>
    <w:rsid w:val="00224A8A"/>
    <w:rsid w:val="00224B3C"/>
    <w:rsid w:val="00225381"/>
    <w:rsid w:val="00225C50"/>
    <w:rsid w:val="00226694"/>
    <w:rsid w:val="00226D0A"/>
    <w:rsid w:val="002270A8"/>
    <w:rsid w:val="00227A8E"/>
    <w:rsid w:val="00227A92"/>
    <w:rsid w:val="00230672"/>
    <w:rsid w:val="002309A8"/>
    <w:rsid w:val="00230E1A"/>
    <w:rsid w:val="002312C6"/>
    <w:rsid w:val="00231C03"/>
    <w:rsid w:val="00234A7F"/>
    <w:rsid w:val="00234F5F"/>
    <w:rsid w:val="00235117"/>
    <w:rsid w:val="002354D3"/>
    <w:rsid w:val="002358FD"/>
    <w:rsid w:val="00235A6D"/>
    <w:rsid w:val="00236CFE"/>
    <w:rsid w:val="00238FB8"/>
    <w:rsid w:val="00240899"/>
    <w:rsid w:val="002428E3"/>
    <w:rsid w:val="00242E04"/>
    <w:rsid w:val="00243031"/>
    <w:rsid w:val="00243276"/>
    <w:rsid w:val="00245F17"/>
    <w:rsid w:val="00246972"/>
    <w:rsid w:val="00246D0B"/>
    <w:rsid w:val="00247118"/>
    <w:rsid w:val="00247C58"/>
    <w:rsid w:val="00247D70"/>
    <w:rsid w:val="002512FB"/>
    <w:rsid w:val="002514DF"/>
    <w:rsid w:val="00251FA9"/>
    <w:rsid w:val="00252524"/>
    <w:rsid w:val="00252DC7"/>
    <w:rsid w:val="002531BA"/>
    <w:rsid w:val="00253881"/>
    <w:rsid w:val="00256D89"/>
    <w:rsid w:val="00256E67"/>
    <w:rsid w:val="002570F1"/>
    <w:rsid w:val="00260BAF"/>
    <w:rsid w:val="00260D95"/>
    <w:rsid w:val="002612E7"/>
    <w:rsid w:val="002650F7"/>
    <w:rsid w:val="00266CDA"/>
    <w:rsid w:val="00267F12"/>
    <w:rsid w:val="002703AE"/>
    <w:rsid w:val="00270996"/>
    <w:rsid w:val="002719AE"/>
    <w:rsid w:val="00271A8E"/>
    <w:rsid w:val="0027235B"/>
    <w:rsid w:val="00272865"/>
    <w:rsid w:val="00272F43"/>
    <w:rsid w:val="00273F3B"/>
    <w:rsid w:val="00274DB7"/>
    <w:rsid w:val="00274EDB"/>
    <w:rsid w:val="00275913"/>
    <w:rsid w:val="00275984"/>
    <w:rsid w:val="00275A54"/>
    <w:rsid w:val="0027654F"/>
    <w:rsid w:val="00276A13"/>
    <w:rsid w:val="002774E4"/>
    <w:rsid w:val="00277CF2"/>
    <w:rsid w:val="0028054F"/>
    <w:rsid w:val="002806CB"/>
    <w:rsid w:val="00280F74"/>
    <w:rsid w:val="002822CA"/>
    <w:rsid w:val="0028512C"/>
    <w:rsid w:val="002866FC"/>
    <w:rsid w:val="00286998"/>
    <w:rsid w:val="00286F5B"/>
    <w:rsid w:val="00287926"/>
    <w:rsid w:val="002903B5"/>
    <w:rsid w:val="0029055C"/>
    <w:rsid w:val="00291AB7"/>
    <w:rsid w:val="00292EB2"/>
    <w:rsid w:val="0029422B"/>
    <w:rsid w:val="00294C51"/>
    <w:rsid w:val="00295FAE"/>
    <w:rsid w:val="0029608E"/>
    <w:rsid w:val="0029609D"/>
    <w:rsid w:val="00297D48"/>
    <w:rsid w:val="002A0938"/>
    <w:rsid w:val="002A0BE0"/>
    <w:rsid w:val="002A26F6"/>
    <w:rsid w:val="002A2C92"/>
    <w:rsid w:val="002A385B"/>
    <w:rsid w:val="002A3AED"/>
    <w:rsid w:val="002A3C64"/>
    <w:rsid w:val="002A4A55"/>
    <w:rsid w:val="002A5D45"/>
    <w:rsid w:val="002B003E"/>
    <w:rsid w:val="002B153C"/>
    <w:rsid w:val="002B1E17"/>
    <w:rsid w:val="002B3229"/>
    <w:rsid w:val="002B35D7"/>
    <w:rsid w:val="002B4F02"/>
    <w:rsid w:val="002B5083"/>
    <w:rsid w:val="002B52FC"/>
    <w:rsid w:val="002B5386"/>
    <w:rsid w:val="002B6317"/>
    <w:rsid w:val="002B6A3E"/>
    <w:rsid w:val="002B6ABE"/>
    <w:rsid w:val="002B72E0"/>
    <w:rsid w:val="002C022A"/>
    <w:rsid w:val="002C0810"/>
    <w:rsid w:val="002C2830"/>
    <w:rsid w:val="002C3BD5"/>
    <w:rsid w:val="002C455B"/>
    <w:rsid w:val="002C45F2"/>
    <w:rsid w:val="002C4B20"/>
    <w:rsid w:val="002C5285"/>
    <w:rsid w:val="002C531C"/>
    <w:rsid w:val="002C5845"/>
    <w:rsid w:val="002C5C6F"/>
    <w:rsid w:val="002C5D36"/>
    <w:rsid w:val="002D001A"/>
    <w:rsid w:val="002D07C6"/>
    <w:rsid w:val="002D1600"/>
    <w:rsid w:val="002D28E2"/>
    <w:rsid w:val="002D2B8C"/>
    <w:rsid w:val="002D317B"/>
    <w:rsid w:val="002D3587"/>
    <w:rsid w:val="002D405C"/>
    <w:rsid w:val="002D4F29"/>
    <w:rsid w:val="002D502D"/>
    <w:rsid w:val="002D70AC"/>
    <w:rsid w:val="002D7EA6"/>
    <w:rsid w:val="002E0F69"/>
    <w:rsid w:val="002E1B09"/>
    <w:rsid w:val="002E2AC1"/>
    <w:rsid w:val="002E3340"/>
    <w:rsid w:val="002E39D6"/>
    <w:rsid w:val="002E3FC7"/>
    <w:rsid w:val="002E41E7"/>
    <w:rsid w:val="002E4CDD"/>
    <w:rsid w:val="002E4E3C"/>
    <w:rsid w:val="002E507D"/>
    <w:rsid w:val="002F0434"/>
    <w:rsid w:val="002F18B3"/>
    <w:rsid w:val="002F1C4A"/>
    <w:rsid w:val="002F2107"/>
    <w:rsid w:val="002F28A0"/>
    <w:rsid w:val="002F3370"/>
    <w:rsid w:val="002F358A"/>
    <w:rsid w:val="002F483D"/>
    <w:rsid w:val="002F5147"/>
    <w:rsid w:val="002F5615"/>
    <w:rsid w:val="002F5E55"/>
    <w:rsid w:val="002F6155"/>
    <w:rsid w:val="002F6C9C"/>
    <w:rsid w:val="002F77E7"/>
    <w:rsid w:val="002F791E"/>
    <w:rsid w:val="002F7ABD"/>
    <w:rsid w:val="0030003A"/>
    <w:rsid w:val="00302E6D"/>
    <w:rsid w:val="00303647"/>
    <w:rsid w:val="00304F11"/>
    <w:rsid w:val="00306B81"/>
    <w:rsid w:val="003071FF"/>
    <w:rsid w:val="0030750A"/>
    <w:rsid w:val="00310DDE"/>
    <w:rsid w:val="003113F9"/>
    <w:rsid w:val="00312597"/>
    <w:rsid w:val="00313BFD"/>
    <w:rsid w:val="00316220"/>
    <w:rsid w:val="0031785A"/>
    <w:rsid w:val="00317A22"/>
    <w:rsid w:val="00320799"/>
    <w:rsid w:val="0032263F"/>
    <w:rsid w:val="00322EE9"/>
    <w:rsid w:val="00323266"/>
    <w:rsid w:val="00323FB8"/>
    <w:rsid w:val="00324024"/>
    <w:rsid w:val="00325DDF"/>
    <w:rsid w:val="00325E22"/>
    <w:rsid w:val="00325EFD"/>
    <w:rsid w:val="00326BD1"/>
    <w:rsid w:val="00327BA5"/>
    <w:rsid w:val="003300C0"/>
    <w:rsid w:val="0033013F"/>
    <w:rsid w:val="003328C7"/>
    <w:rsid w:val="00332E2C"/>
    <w:rsid w:val="003331F7"/>
    <w:rsid w:val="0033326F"/>
    <w:rsid w:val="00333396"/>
    <w:rsid w:val="00333EC4"/>
    <w:rsid w:val="00334154"/>
    <w:rsid w:val="003341D6"/>
    <w:rsid w:val="00334472"/>
    <w:rsid w:val="00335420"/>
    <w:rsid w:val="00335583"/>
    <w:rsid w:val="003355DB"/>
    <w:rsid w:val="00336CDC"/>
    <w:rsid w:val="003372C4"/>
    <w:rsid w:val="00337828"/>
    <w:rsid w:val="00340606"/>
    <w:rsid w:val="00340B09"/>
    <w:rsid w:val="00340BB3"/>
    <w:rsid w:val="00340ECA"/>
    <w:rsid w:val="003416C3"/>
    <w:rsid w:val="00341FA0"/>
    <w:rsid w:val="00342AEA"/>
    <w:rsid w:val="00344721"/>
    <w:rsid w:val="00344F3D"/>
    <w:rsid w:val="00345299"/>
    <w:rsid w:val="00345F33"/>
    <w:rsid w:val="00347C5E"/>
    <w:rsid w:val="00350420"/>
    <w:rsid w:val="00351A8D"/>
    <w:rsid w:val="003526BB"/>
    <w:rsid w:val="00352BCF"/>
    <w:rsid w:val="00352DFB"/>
    <w:rsid w:val="003530A6"/>
    <w:rsid w:val="00353636"/>
    <w:rsid w:val="00353932"/>
    <w:rsid w:val="0035464B"/>
    <w:rsid w:val="00354F18"/>
    <w:rsid w:val="003554E5"/>
    <w:rsid w:val="0035603D"/>
    <w:rsid w:val="00361A56"/>
    <w:rsid w:val="003622E6"/>
    <w:rsid w:val="0036252A"/>
    <w:rsid w:val="0036410B"/>
    <w:rsid w:val="00364D9D"/>
    <w:rsid w:val="00365BA0"/>
    <w:rsid w:val="00370566"/>
    <w:rsid w:val="00371048"/>
    <w:rsid w:val="0037387E"/>
    <w:rsid w:val="0037396C"/>
    <w:rsid w:val="0037421D"/>
    <w:rsid w:val="00375D55"/>
    <w:rsid w:val="00376093"/>
    <w:rsid w:val="00376285"/>
    <w:rsid w:val="00376771"/>
    <w:rsid w:val="003779CC"/>
    <w:rsid w:val="0038007C"/>
    <w:rsid w:val="003811AB"/>
    <w:rsid w:val="003814FC"/>
    <w:rsid w:val="0038197B"/>
    <w:rsid w:val="00382807"/>
    <w:rsid w:val="00383417"/>
    <w:rsid w:val="00383DA1"/>
    <w:rsid w:val="00383FA9"/>
    <w:rsid w:val="00384486"/>
    <w:rsid w:val="003846B8"/>
    <w:rsid w:val="00385F30"/>
    <w:rsid w:val="00387E9B"/>
    <w:rsid w:val="00392BDC"/>
    <w:rsid w:val="0039359C"/>
    <w:rsid w:val="00393696"/>
    <w:rsid w:val="00393749"/>
    <w:rsid w:val="00393963"/>
    <w:rsid w:val="00393A3C"/>
    <w:rsid w:val="0039493D"/>
    <w:rsid w:val="00395575"/>
    <w:rsid w:val="00395672"/>
    <w:rsid w:val="003957AA"/>
    <w:rsid w:val="003958EE"/>
    <w:rsid w:val="003962F7"/>
    <w:rsid w:val="00396A7A"/>
    <w:rsid w:val="003A0252"/>
    <w:rsid w:val="003A06C8"/>
    <w:rsid w:val="003A0D7C"/>
    <w:rsid w:val="003A10D4"/>
    <w:rsid w:val="003A1653"/>
    <w:rsid w:val="003A5290"/>
    <w:rsid w:val="003A73B3"/>
    <w:rsid w:val="003A7569"/>
    <w:rsid w:val="003A7D9A"/>
    <w:rsid w:val="003B0155"/>
    <w:rsid w:val="003B07BC"/>
    <w:rsid w:val="003B1216"/>
    <w:rsid w:val="003B14EB"/>
    <w:rsid w:val="003B23C7"/>
    <w:rsid w:val="003B27F9"/>
    <w:rsid w:val="003B2BAB"/>
    <w:rsid w:val="003B3F88"/>
    <w:rsid w:val="003B4C34"/>
    <w:rsid w:val="003B50AA"/>
    <w:rsid w:val="003B52F6"/>
    <w:rsid w:val="003B5FA2"/>
    <w:rsid w:val="003B60D4"/>
    <w:rsid w:val="003B622D"/>
    <w:rsid w:val="003B69C0"/>
    <w:rsid w:val="003B7924"/>
    <w:rsid w:val="003B7EE7"/>
    <w:rsid w:val="003C025C"/>
    <w:rsid w:val="003C239C"/>
    <w:rsid w:val="003C2BD9"/>
    <w:rsid w:val="003C2CCB"/>
    <w:rsid w:val="003C3401"/>
    <w:rsid w:val="003C3ED6"/>
    <w:rsid w:val="003C40D2"/>
    <w:rsid w:val="003C414C"/>
    <w:rsid w:val="003C4D16"/>
    <w:rsid w:val="003C4ED7"/>
    <w:rsid w:val="003C5068"/>
    <w:rsid w:val="003C6C83"/>
    <w:rsid w:val="003D0717"/>
    <w:rsid w:val="003D2D0F"/>
    <w:rsid w:val="003D39EC"/>
    <w:rsid w:val="003D417E"/>
    <w:rsid w:val="003D4A08"/>
    <w:rsid w:val="003D5DED"/>
    <w:rsid w:val="003D6AE2"/>
    <w:rsid w:val="003D7CC2"/>
    <w:rsid w:val="003E1735"/>
    <w:rsid w:val="003E2F5E"/>
    <w:rsid w:val="003E3DD5"/>
    <w:rsid w:val="003E3F8F"/>
    <w:rsid w:val="003E7FBA"/>
    <w:rsid w:val="003F07C6"/>
    <w:rsid w:val="003F1CD6"/>
    <w:rsid w:val="003F1F6B"/>
    <w:rsid w:val="003F3757"/>
    <w:rsid w:val="003F3865"/>
    <w:rsid w:val="003F38BD"/>
    <w:rsid w:val="003F38F7"/>
    <w:rsid w:val="003F44B7"/>
    <w:rsid w:val="003F6677"/>
    <w:rsid w:val="003F74B3"/>
    <w:rsid w:val="004005B9"/>
    <w:rsid w:val="004008E9"/>
    <w:rsid w:val="00400C1A"/>
    <w:rsid w:val="00402442"/>
    <w:rsid w:val="00403636"/>
    <w:rsid w:val="0040484D"/>
    <w:rsid w:val="00404AA8"/>
    <w:rsid w:val="00405FA3"/>
    <w:rsid w:val="0040743D"/>
    <w:rsid w:val="004101DF"/>
    <w:rsid w:val="00411386"/>
    <w:rsid w:val="004113AA"/>
    <w:rsid w:val="00412CB7"/>
    <w:rsid w:val="00413B2E"/>
    <w:rsid w:val="00413C8D"/>
    <w:rsid w:val="00413D48"/>
    <w:rsid w:val="004167DF"/>
    <w:rsid w:val="0041756E"/>
    <w:rsid w:val="0041768F"/>
    <w:rsid w:val="00417EFD"/>
    <w:rsid w:val="00420243"/>
    <w:rsid w:val="00420C04"/>
    <w:rsid w:val="00420DB2"/>
    <w:rsid w:val="00420DC2"/>
    <w:rsid w:val="00422394"/>
    <w:rsid w:val="00422561"/>
    <w:rsid w:val="00422A24"/>
    <w:rsid w:val="00423881"/>
    <w:rsid w:val="00427057"/>
    <w:rsid w:val="00427564"/>
    <w:rsid w:val="00430F1D"/>
    <w:rsid w:val="00431460"/>
    <w:rsid w:val="00431596"/>
    <w:rsid w:val="00433931"/>
    <w:rsid w:val="00434428"/>
    <w:rsid w:val="004345C5"/>
    <w:rsid w:val="00435112"/>
    <w:rsid w:val="00435ABC"/>
    <w:rsid w:val="0043643F"/>
    <w:rsid w:val="004365AF"/>
    <w:rsid w:val="00437CF1"/>
    <w:rsid w:val="00440F7B"/>
    <w:rsid w:val="00441AC2"/>
    <w:rsid w:val="00441D9A"/>
    <w:rsid w:val="0044249B"/>
    <w:rsid w:val="00446C5B"/>
    <w:rsid w:val="00447041"/>
    <w:rsid w:val="0044705F"/>
    <w:rsid w:val="0045023C"/>
    <w:rsid w:val="00450AF3"/>
    <w:rsid w:val="00451A5B"/>
    <w:rsid w:val="00452127"/>
    <w:rsid w:val="00452129"/>
    <w:rsid w:val="00452BCD"/>
    <w:rsid w:val="00452CEA"/>
    <w:rsid w:val="0045505B"/>
    <w:rsid w:val="004559AC"/>
    <w:rsid w:val="004560C8"/>
    <w:rsid w:val="00456908"/>
    <w:rsid w:val="0045765F"/>
    <w:rsid w:val="00457DD6"/>
    <w:rsid w:val="00461715"/>
    <w:rsid w:val="00462EBE"/>
    <w:rsid w:val="0046384F"/>
    <w:rsid w:val="00463FFC"/>
    <w:rsid w:val="00464D3E"/>
    <w:rsid w:val="0046554F"/>
    <w:rsid w:val="00465934"/>
    <w:rsid w:val="00465B52"/>
    <w:rsid w:val="00465C40"/>
    <w:rsid w:val="00466159"/>
    <w:rsid w:val="004669FA"/>
    <w:rsid w:val="00466F79"/>
    <w:rsid w:val="0046708E"/>
    <w:rsid w:val="00467EA6"/>
    <w:rsid w:val="00470265"/>
    <w:rsid w:val="004703FC"/>
    <w:rsid w:val="00470753"/>
    <w:rsid w:val="004711C0"/>
    <w:rsid w:val="00472A65"/>
    <w:rsid w:val="0047347A"/>
    <w:rsid w:val="00473F24"/>
    <w:rsid w:val="00474463"/>
    <w:rsid w:val="00474B75"/>
    <w:rsid w:val="00477D1D"/>
    <w:rsid w:val="00483146"/>
    <w:rsid w:val="00483F0B"/>
    <w:rsid w:val="0048584E"/>
    <w:rsid w:val="00485F40"/>
    <w:rsid w:val="00486687"/>
    <w:rsid w:val="00491666"/>
    <w:rsid w:val="00492759"/>
    <w:rsid w:val="00492CFD"/>
    <w:rsid w:val="004931E4"/>
    <w:rsid w:val="00493593"/>
    <w:rsid w:val="00494006"/>
    <w:rsid w:val="0049457C"/>
    <w:rsid w:val="00494583"/>
    <w:rsid w:val="0049495F"/>
    <w:rsid w:val="00496319"/>
    <w:rsid w:val="004965EE"/>
    <w:rsid w:val="004967CA"/>
    <w:rsid w:val="00497279"/>
    <w:rsid w:val="004A0782"/>
    <w:rsid w:val="004A163B"/>
    <w:rsid w:val="004A1FA0"/>
    <w:rsid w:val="004A31EB"/>
    <w:rsid w:val="004A500D"/>
    <w:rsid w:val="004A5997"/>
    <w:rsid w:val="004A670A"/>
    <w:rsid w:val="004A76F7"/>
    <w:rsid w:val="004B060F"/>
    <w:rsid w:val="004B15C2"/>
    <w:rsid w:val="004B188F"/>
    <w:rsid w:val="004B1C14"/>
    <w:rsid w:val="004B2766"/>
    <w:rsid w:val="004B4ECF"/>
    <w:rsid w:val="004B5162"/>
    <w:rsid w:val="004B52A4"/>
    <w:rsid w:val="004B5465"/>
    <w:rsid w:val="004B546E"/>
    <w:rsid w:val="004B5B35"/>
    <w:rsid w:val="004B5DC5"/>
    <w:rsid w:val="004B6D1B"/>
    <w:rsid w:val="004B6F8E"/>
    <w:rsid w:val="004B70F0"/>
    <w:rsid w:val="004B73DE"/>
    <w:rsid w:val="004B73FB"/>
    <w:rsid w:val="004B797D"/>
    <w:rsid w:val="004C1DC3"/>
    <w:rsid w:val="004C21A8"/>
    <w:rsid w:val="004C3419"/>
    <w:rsid w:val="004C4114"/>
    <w:rsid w:val="004C41AE"/>
    <w:rsid w:val="004C4A64"/>
    <w:rsid w:val="004C4B69"/>
    <w:rsid w:val="004C6C92"/>
    <w:rsid w:val="004D1096"/>
    <w:rsid w:val="004D1942"/>
    <w:rsid w:val="004D2AF1"/>
    <w:rsid w:val="004D415C"/>
    <w:rsid w:val="004D4A2E"/>
    <w:rsid w:val="004D505E"/>
    <w:rsid w:val="004D694B"/>
    <w:rsid w:val="004D72CA"/>
    <w:rsid w:val="004E005C"/>
    <w:rsid w:val="004E034D"/>
    <w:rsid w:val="004E0DA7"/>
    <w:rsid w:val="004E1D37"/>
    <w:rsid w:val="004E2242"/>
    <w:rsid w:val="004E27DB"/>
    <w:rsid w:val="004E3054"/>
    <w:rsid w:val="004E505E"/>
    <w:rsid w:val="004E59AE"/>
    <w:rsid w:val="004E5B53"/>
    <w:rsid w:val="004E7465"/>
    <w:rsid w:val="004E7701"/>
    <w:rsid w:val="004E778F"/>
    <w:rsid w:val="004E7F6C"/>
    <w:rsid w:val="004F0895"/>
    <w:rsid w:val="004F1D8B"/>
    <w:rsid w:val="004F2230"/>
    <w:rsid w:val="004F3E1F"/>
    <w:rsid w:val="004F42FF"/>
    <w:rsid w:val="004F44C2"/>
    <w:rsid w:val="004F54C9"/>
    <w:rsid w:val="004F62FD"/>
    <w:rsid w:val="00500D63"/>
    <w:rsid w:val="00501956"/>
    <w:rsid w:val="00501FEF"/>
    <w:rsid w:val="00502512"/>
    <w:rsid w:val="00502B65"/>
    <w:rsid w:val="0050349E"/>
    <w:rsid w:val="00503FD2"/>
    <w:rsid w:val="00505262"/>
    <w:rsid w:val="00505549"/>
    <w:rsid w:val="0050566C"/>
    <w:rsid w:val="00506E99"/>
    <w:rsid w:val="005101B6"/>
    <w:rsid w:val="00510BD4"/>
    <w:rsid w:val="00512549"/>
    <w:rsid w:val="0051374E"/>
    <w:rsid w:val="00513C50"/>
    <w:rsid w:val="005145DF"/>
    <w:rsid w:val="00514EE6"/>
    <w:rsid w:val="00514F8B"/>
    <w:rsid w:val="00515668"/>
    <w:rsid w:val="00516022"/>
    <w:rsid w:val="00516A7B"/>
    <w:rsid w:val="00520E48"/>
    <w:rsid w:val="00520F04"/>
    <w:rsid w:val="00521B7A"/>
    <w:rsid w:val="00521CEE"/>
    <w:rsid w:val="0052235F"/>
    <w:rsid w:val="00522E4F"/>
    <w:rsid w:val="00524BD8"/>
    <w:rsid w:val="00524FB4"/>
    <w:rsid w:val="00525748"/>
    <w:rsid w:val="00526CC2"/>
    <w:rsid w:val="00526D99"/>
    <w:rsid w:val="00526F7F"/>
    <w:rsid w:val="00527BD4"/>
    <w:rsid w:val="00530EC8"/>
    <w:rsid w:val="00533069"/>
    <w:rsid w:val="005330E9"/>
    <w:rsid w:val="00534536"/>
    <w:rsid w:val="00534FFC"/>
    <w:rsid w:val="00536C1E"/>
    <w:rsid w:val="00536E3F"/>
    <w:rsid w:val="00537095"/>
    <w:rsid w:val="0053729D"/>
    <w:rsid w:val="0053761C"/>
    <w:rsid w:val="005403C8"/>
    <w:rsid w:val="00540A33"/>
    <w:rsid w:val="0054128E"/>
    <w:rsid w:val="00542031"/>
    <w:rsid w:val="005429DC"/>
    <w:rsid w:val="00542AAF"/>
    <w:rsid w:val="00542D46"/>
    <w:rsid w:val="005436FD"/>
    <w:rsid w:val="00543F4B"/>
    <w:rsid w:val="005461DA"/>
    <w:rsid w:val="00552CF1"/>
    <w:rsid w:val="00553907"/>
    <w:rsid w:val="00554A35"/>
    <w:rsid w:val="0055527A"/>
    <w:rsid w:val="005565F9"/>
    <w:rsid w:val="00560E30"/>
    <w:rsid w:val="005619FE"/>
    <w:rsid w:val="0056203F"/>
    <w:rsid w:val="0056297A"/>
    <w:rsid w:val="00562E40"/>
    <w:rsid w:val="005643CE"/>
    <w:rsid w:val="0056544F"/>
    <w:rsid w:val="00567EFD"/>
    <w:rsid w:val="00567F10"/>
    <w:rsid w:val="00571729"/>
    <w:rsid w:val="00571B31"/>
    <w:rsid w:val="0057266D"/>
    <w:rsid w:val="00572A1B"/>
    <w:rsid w:val="00572CB0"/>
    <w:rsid w:val="00572E62"/>
    <w:rsid w:val="00573041"/>
    <w:rsid w:val="00575B80"/>
    <w:rsid w:val="0057620F"/>
    <w:rsid w:val="005767A3"/>
    <w:rsid w:val="00576C5F"/>
    <w:rsid w:val="0058071B"/>
    <w:rsid w:val="00580F93"/>
    <w:rsid w:val="005819CE"/>
    <w:rsid w:val="00581E56"/>
    <w:rsid w:val="005822EA"/>
    <w:rsid w:val="0058298D"/>
    <w:rsid w:val="00582ACA"/>
    <w:rsid w:val="00582D70"/>
    <w:rsid w:val="005835FF"/>
    <w:rsid w:val="00583B99"/>
    <w:rsid w:val="0058481E"/>
    <w:rsid w:val="00584C1A"/>
    <w:rsid w:val="00585B21"/>
    <w:rsid w:val="00586836"/>
    <w:rsid w:val="005877B3"/>
    <w:rsid w:val="005904FC"/>
    <w:rsid w:val="00590B6B"/>
    <w:rsid w:val="00592E8C"/>
    <w:rsid w:val="005938C8"/>
    <w:rsid w:val="00593C2B"/>
    <w:rsid w:val="00594ECE"/>
    <w:rsid w:val="00595231"/>
    <w:rsid w:val="005956F0"/>
    <w:rsid w:val="00596166"/>
    <w:rsid w:val="00596EDE"/>
    <w:rsid w:val="00596FF9"/>
    <w:rsid w:val="00597F64"/>
    <w:rsid w:val="005A1CBF"/>
    <w:rsid w:val="005A207F"/>
    <w:rsid w:val="005A2E7E"/>
    <w:rsid w:val="005A2F35"/>
    <w:rsid w:val="005A4230"/>
    <w:rsid w:val="005A4CA9"/>
    <w:rsid w:val="005A7BAA"/>
    <w:rsid w:val="005A7D8C"/>
    <w:rsid w:val="005A7E02"/>
    <w:rsid w:val="005B2319"/>
    <w:rsid w:val="005B3814"/>
    <w:rsid w:val="005B463E"/>
    <w:rsid w:val="005B5B5F"/>
    <w:rsid w:val="005B60E0"/>
    <w:rsid w:val="005B6427"/>
    <w:rsid w:val="005B75C0"/>
    <w:rsid w:val="005C0BD3"/>
    <w:rsid w:val="005C0D95"/>
    <w:rsid w:val="005C292F"/>
    <w:rsid w:val="005C2A24"/>
    <w:rsid w:val="005C2A73"/>
    <w:rsid w:val="005C34E1"/>
    <w:rsid w:val="005C3F68"/>
    <w:rsid w:val="005C3FE0"/>
    <w:rsid w:val="005C40D6"/>
    <w:rsid w:val="005C5C03"/>
    <w:rsid w:val="005C5F3C"/>
    <w:rsid w:val="005C6872"/>
    <w:rsid w:val="005C6B31"/>
    <w:rsid w:val="005C71D9"/>
    <w:rsid w:val="005C740C"/>
    <w:rsid w:val="005D09DD"/>
    <w:rsid w:val="005D0ACB"/>
    <w:rsid w:val="005D10E4"/>
    <w:rsid w:val="005D3BF5"/>
    <w:rsid w:val="005D4CB5"/>
    <w:rsid w:val="005D4D22"/>
    <w:rsid w:val="005D60EC"/>
    <w:rsid w:val="005D625B"/>
    <w:rsid w:val="005D745B"/>
    <w:rsid w:val="005D7513"/>
    <w:rsid w:val="005D75F4"/>
    <w:rsid w:val="005E0A60"/>
    <w:rsid w:val="005E0C89"/>
    <w:rsid w:val="005E285D"/>
    <w:rsid w:val="005E38A2"/>
    <w:rsid w:val="005E4639"/>
    <w:rsid w:val="005E4BAC"/>
    <w:rsid w:val="005E58BE"/>
    <w:rsid w:val="005E58EF"/>
    <w:rsid w:val="005E6C1F"/>
    <w:rsid w:val="005E6DD6"/>
    <w:rsid w:val="005F0448"/>
    <w:rsid w:val="005F153D"/>
    <w:rsid w:val="005F2446"/>
    <w:rsid w:val="005F27BB"/>
    <w:rsid w:val="005F464D"/>
    <w:rsid w:val="005F621B"/>
    <w:rsid w:val="005F62D3"/>
    <w:rsid w:val="005F6629"/>
    <w:rsid w:val="005F6D11"/>
    <w:rsid w:val="00600CF0"/>
    <w:rsid w:val="006011B2"/>
    <w:rsid w:val="00601A72"/>
    <w:rsid w:val="006039BE"/>
    <w:rsid w:val="00603FDB"/>
    <w:rsid w:val="00604635"/>
    <w:rsid w:val="006048F4"/>
    <w:rsid w:val="00605250"/>
    <w:rsid w:val="006056A1"/>
    <w:rsid w:val="0060660A"/>
    <w:rsid w:val="00606773"/>
    <w:rsid w:val="00606C6C"/>
    <w:rsid w:val="00607CEA"/>
    <w:rsid w:val="00611064"/>
    <w:rsid w:val="006118F9"/>
    <w:rsid w:val="00611D2B"/>
    <w:rsid w:val="006121AE"/>
    <w:rsid w:val="00613536"/>
    <w:rsid w:val="00613B1D"/>
    <w:rsid w:val="00613BD6"/>
    <w:rsid w:val="006150AA"/>
    <w:rsid w:val="006151D7"/>
    <w:rsid w:val="00617A44"/>
    <w:rsid w:val="00617D45"/>
    <w:rsid w:val="006202B6"/>
    <w:rsid w:val="006205FC"/>
    <w:rsid w:val="00620902"/>
    <w:rsid w:val="00621941"/>
    <w:rsid w:val="00622AF9"/>
    <w:rsid w:val="006243B2"/>
    <w:rsid w:val="00625CD0"/>
    <w:rsid w:val="0062627D"/>
    <w:rsid w:val="00627432"/>
    <w:rsid w:val="00630EF1"/>
    <w:rsid w:val="006310E4"/>
    <w:rsid w:val="006322EE"/>
    <w:rsid w:val="00634B84"/>
    <w:rsid w:val="006358BD"/>
    <w:rsid w:val="00636123"/>
    <w:rsid w:val="00636455"/>
    <w:rsid w:val="00636C10"/>
    <w:rsid w:val="00640356"/>
    <w:rsid w:val="0064241E"/>
    <w:rsid w:val="00643DA7"/>
    <w:rsid w:val="00644316"/>
    <w:rsid w:val="006448BA"/>
    <w:rsid w:val="006448E4"/>
    <w:rsid w:val="00644D3E"/>
    <w:rsid w:val="00645414"/>
    <w:rsid w:val="00645F73"/>
    <w:rsid w:val="006469BC"/>
    <w:rsid w:val="00646F4A"/>
    <w:rsid w:val="00647A39"/>
    <w:rsid w:val="00651CEE"/>
    <w:rsid w:val="00653606"/>
    <w:rsid w:val="00653ED3"/>
    <w:rsid w:val="006540F9"/>
    <w:rsid w:val="006550E9"/>
    <w:rsid w:val="00660819"/>
    <w:rsid w:val="006610E9"/>
    <w:rsid w:val="006611A1"/>
    <w:rsid w:val="00661438"/>
    <w:rsid w:val="00661591"/>
    <w:rsid w:val="006631C3"/>
    <w:rsid w:val="00664678"/>
    <w:rsid w:val="00665ED9"/>
    <w:rsid w:val="0066632F"/>
    <w:rsid w:val="00666F9C"/>
    <w:rsid w:val="00666FCC"/>
    <w:rsid w:val="006674A7"/>
    <w:rsid w:val="006724BA"/>
    <w:rsid w:val="00673282"/>
    <w:rsid w:val="00674A89"/>
    <w:rsid w:val="00674F3D"/>
    <w:rsid w:val="0067671D"/>
    <w:rsid w:val="00676785"/>
    <w:rsid w:val="00677F98"/>
    <w:rsid w:val="0067841B"/>
    <w:rsid w:val="0068365F"/>
    <w:rsid w:val="00683762"/>
    <w:rsid w:val="006844A4"/>
    <w:rsid w:val="00685545"/>
    <w:rsid w:val="006862F9"/>
    <w:rsid w:val="006864B3"/>
    <w:rsid w:val="006878DF"/>
    <w:rsid w:val="00691090"/>
    <w:rsid w:val="006929DF"/>
    <w:rsid w:val="00692D64"/>
    <w:rsid w:val="006931EE"/>
    <w:rsid w:val="0069462D"/>
    <w:rsid w:val="006951C1"/>
    <w:rsid w:val="0069537F"/>
    <w:rsid w:val="006955E2"/>
    <w:rsid w:val="006A0003"/>
    <w:rsid w:val="006A10F8"/>
    <w:rsid w:val="006A1C06"/>
    <w:rsid w:val="006A1C91"/>
    <w:rsid w:val="006A1FDE"/>
    <w:rsid w:val="006A2100"/>
    <w:rsid w:val="006A3BE3"/>
    <w:rsid w:val="006A43A2"/>
    <w:rsid w:val="006A459D"/>
    <w:rsid w:val="006A47F1"/>
    <w:rsid w:val="006A4A43"/>
    <w:rsid w:val="006A59A0"/>
    <w:rsid w:val="006A5C3B"/>
    <w:rsid w:val="006A5C8F"/>
    <w:rsid w:val="006A6A66"/>
    <w:rsid w:val="006A7004"/>
    <w:rsid w:val="006A72E0"/>
    <w:rsid w:val="006B0BF3"/>
    <w:rsid w:val="006B297D"/>
    <w:rsid w:val="006B2A84"/>
    <w:rsid w:val="006B3A6C"/>
    <w:rsid w:val="006B4614"/>
    <w:rsid w:val="006B5176"/>
    <w:rsid w:val="006B5574"/>
    <w:rsid w:val="006B5DB5"/>
    <w:rsid w:val="006B5E7B"/>
    <w:rsid w:val="006B775E"/>
    <w:rsid w:val="006B7A30"/>
    <w:rsid w:val="006B7A3A"/>
    <w:rsid w:val="006B7BC7"/>
    <w:rsid w:val="006B7FCA"/>
    <w:rsid w:val="006C11E0"/>
    <w:rsid w:val="006C1ACA"/>
    <w:rsid w:val="006C1EAB"/>
    <w:rsid w:val="006C2535"/>
    <w:rsid w:val="006C2B23"/>
    <w:rsid w:val="006C441E"/>
    <w:rsid w:val="006C4B90"/>
    <w:rsid w:val="006D0B52"/>
    <w:rsid w:val="006D0D45"/>
    <w:rsid w:val="006D1016"/>
    <w:rsid w:val="006D1367"/>
    <w:rsid w:val="006D1501"/>
    <w:rsid w:val="006D17F2"/>
    <w:rsid w:val="006D278E"/>
    <w:rsid w:val="006D3116"/>
    <w:rsid w:val="006D4BFE"/>
    <w:rsid w:val="006D673F"/>
    <w:rsid w:val="006D6772"/>
    <w:rsid w:val="006D6901"/>
    <w:rsid w:val="006D6C3E"/>
    <w:rsid w:val="006D7B43"/>
    <w:rsid w:val="006D7D1E"/>
    <w:rsid w:val="006E04A5"/>
    <w:rsid w:val="006E0702"/>
    <w:rsid w:val="006E0B83"/>
    <w:rsid w:val="006E1221"/>
    <w:rsid w:val="006E3546"/>
    <w:rsid w:val="006E3B23"/>
    <w:rsid w:val="006E3FA9"/>
    <w:rsid w:val="006E4760"/>
    <w:rsid w:val="006E561C"/>
    <w:rsid w:val="006E58B9"/>
    <w:rsid w:val="006E7D82"/>
    <w:rsid w:val="006F01E4"/>
    <w:rsid w:val="006F038F"/>
    <w:rsid w:val="006F0F93"/>
    <w:rsid w:val="006F249E"/>
    <w:rsid w:val="006F31F2"/>
    <w:rsid w:val="006F398C"/>
    <w:rsid w:val="006F450B"/>
    <w:rsid w:val="006F453D"/>
    <w:rsid w:val="006F4C4C"/>
    <w:rsid w:val="006F66DA"/>
    <w:rsid w:val="006F7494"/>
    <w:rsid w:val="006F751F"/>
    <w:rsid w:val="00700C79"/>
    <w:rsid w:val="00701CFF"/>
    <w:rsid w:val="007029D0"/>
    <w:rsid w:val="0070355C"/>
    <w:rsid w:val="00705433"/>
    <w:rsid w:val="007072A4"/>
    <w:rsid w:val="0070755E"/>
    <w:rsid w:val="00707DF3"/>
    <w:rsid w:val="007100C5"/>
    <w:rsid w:val="0071011A"/>
    <w:rsid w:val="0071062E"/>
    <w:rsid w:val="00711CC7"/>
    <w:rsid w:val="007129C1"/>
    <w:rsid w:val="00713983"/>
    <w:rsid w:val="00714DC5"/>
    <w:rsid w:val="00715237"/>
    <w:rsid w:val="0071539F"/>
    <w:rsid w:val="00717445"/>
    <w:rsid w:val="00720A4E"/>
    <w:rsid w:val="00721AE1"/>
    <w:rsid w:val="00721D98"/>
    <w:rsid w:val="0072261B"/>
    <w:rsid w:val="0072272F"/>
    <w:rsid w:val="0072278B"/>
    <w:rsid w:val="00724CEC"/>
    <w:rsid w:val="007254A5"/>
    <w:rsid w:val="00725748"/>
    <w:rsid w:val="007269E3"/>
    <w:rsid w:val="0073008F"/>
    <w:rsid w:val="0073097F"/>
    <w:rsid w:val="0073205C"/>
    <w:rsid w:val="0073349D"/>
    <w:rsid w:val="00734C1D"/>
    <w:rsid w:val="00735D88"/>
    <w:rsid w:val="0073720D"/>
    <w:rsid w:val="00737507"/>
    <w:rsid w:val="00737E34"/>
    <w:rsid w:val="0074048B"/>
    <w:rsid w:val="007406F5"/>
    <w:rsid w:val="00740712"/>
    <w:rsid w:val="0074098A"/>
    <w:rsid w:val="00740BBF"/>
    <w:rsid w:val="00740C9E"/>
    <w:rsid w:val="00741045"/>
    <w:rsid w:val="007411D9"/>
    <w:rsid w:val="00742AB9"/>
    <w:rsid w:val="00742BBD"/>
    <w:rsid w:val="00743F3D"/>
    <w:rsid w:val="007468C6"/>
    <w:rsid w:val="00746AF3"/>
    <w:rsid w:val="00746C31"/>
    <w:rsid w:val="00747885"/>
    <w:rsid w:val="00751613"/>
    <w:rsid w:val="00751A0A"/>
    <w:rsid w:val="00751A6A"/>
    <w:rsid w:val="00752358"/>
    <w:rsid w:val="007525C0"/>
    <w:rsid w:val="00752C56"/>
    <w:rsid w:val="00752D08"/>
    <w:rsid w:val="00752D82"/>
    <w:rsid w:val="00753696"/>
    <w:rsid w:val="007542F5"/>
    <w:rsid w:val="00754D77"/>
    <w:rsid w:val="00754F6B"/>
    <w:rsid w:val="00754FBF"/>
    <w:rsid w:val="007555C5"/>
    <w:rsid w:val="007558DF"/>
    <w:rsid w:val="00755F2D"/>
    <w:rsid w:val="007579E8"/>
    <w:rsid w:val="00760E07"/>
    <w:rsid w:val="007610AA"/>
    <w:rsid w:val="00761C78"/>
    <w:rsid w:val="00762076"/>
    <w:rsid w:val="007623C1"/>
    <w:rsid w:val="00763C35"/>
    <w:rsid w:val="0076416E"/>
    <w:rsid w:val="00764DFE"/>
    <w:rsid w:val="00765821"/>
    <w:rsid w:val="007662C2"/>
    <w:rsid w:val="007671D5"/>
    <w:rsid w:val="00767770"/>
    <w:rsid w:val="00770442"/>
    <w:rsid w:val="007707C4"/>
    <w:rsid w:val="007709EF"/>
    <w:rsid w:val="00770C49"/>
    <w:rsid w:val="007721CE"/>
    <w:rsid w:val="00772416"/>
    <w:rsid w:val="0077242B"/>
    <w:rsid w:val="007724AF"/>
    <w:rsid w:val="00773AE7"/>
    <w:rsid w:val="00777A62"/>
    <w:rsid w:val="00777A88"/>
    <w:rsid w:val="007803C4"/>
    <w:rsid w:val="00780B9A"/>
    <w:rsid w:val="007813BF"/>
    <w:rsid w:val="00781F30"/>
    <w:rsid w:val="00782701"/>
    <w:rsid w:val="00783559"/>
    <w:rsid w:val="00784D88"/>
    <w:rsid w:val="00787852"/>
    <w:rsid w:val="00791A7D"/>
    <w:rsid w:val="00792D85"/>
    <w:rsid w:val="00792E41"/>
    <w:rsid w:val="0079551B"/>
    <w:rsid w:val="00796007"/>
    <w:rsid w:val="00796776"/>
    <w:rsid w:val="00797023"/>
    <w:rsid w:val="00797044"/>
    <w:rsid w:val="00797AA5"/>
    <w:rsid w:val="007A0E60"/>
    <w:rsid w:val="007A0F05"/>
    <w:rsid w:val="007A1621"/>
    <w:rsid w:val="007A1D0E"/>
    <w:rsid w:val="007A2171"/>
    <w:rsid w:val="007A21D4"/>
    <w:rsid w:val="007A26BD"/>
    <w:rsid w:val="007A2F40"/>
    <w:rsid w:val="007A3BA9"/>
    <w:rsid w:val="007A4105"/>
    <w:rsid w:val="007A48B6"/>
    <w:rsid w:val="007B03E8"/>
    <w:rsid w:val="007B1295"/>
    <w:rsid w:val="007B2197"/>
    <w:rsid w:val="007B4503"/>
    <w:rsid w:val="007B6437"/>
    <w:rsid w:val="007B6503"/>
    <w:rsid w:val="007B726F"/>
    <w:rsid w:val="007B7972"/>
    <w:rsid w:val="007C406E"/>
    <w:rsid w:val="007C4A39"/>
    <w:rsid w:val="007C5183"/>
    <w:rsid w:val="007C531E"/>
    <w:rsid w:val="007C53DC"/>
    <w:rsid w:val="007C6A2C"/>
    <w:rsid w:val="007C7573"/>
    <w:rsid w:val="007C76BA"/>
    <w:rsid w:val="007C7741"/>
    <w:rsid w:val="007D0082"/>
    <w:rsid w:val="007D0131"/>
    <w:rsid w:val="007D02B9"/>
    <w:rsid w:val="007D2420"/>
    <w:rsid w:val="007D2E89"/>
    <w:rsid w:val="007D357C"/>
    <w:rsid w:val="007D44A2"/>
    <w:rsid w:val="007D5C29"/>
    <w:rsid w:val="007D6085"/>
    <w:rsid w:val="007D616C"/>
    <w:rsid w:val="007D6E42"/>
    <w:rsid w:val="007D7D5E"/>
    <w:rsid w:val="007E0C7B"/>
    <w:rsid w:val="007E2708"/>
    <w:rsid w:val="007E283F"/>
    <w:rsid w:val="007E2B20"/>
    <w:rsid w:val="007E2FD6"/>
    <w:rsid w:val="007E35B7"/>
    <w:rsid w:val="007E5C27"/>
    <w:rsid w:val="007E670F"/>
    <w:rsid w:val="007E7AB3"/>
    <w:rsid w:val="007F19B4"/>
    <w:rsid w:val="007F1FE4"/>
    <w:rsid w:val="007F2746"/>
    <w:rsid w:val="007F4186"/>
    <w:rsid w:val="007F439C"/>
    <w:rsid w:val="007F4AB0"/>
    <w:rsid w:val="007F4B4C"/>
    <w:rsid w:val="007F4FAF"/>
    <w:rsid w:val="007F5331"/>
    <w:rsid w:val="007F5673"/>
    <w:rsid w:val="007F5C32"/>
    <w:rsid w:val="007F6587"/>
    <w:rsid w:val="007F66A6"/>
    <w:rsid w:val="007F69F1"/>
    <w:rsid w:val="00800CCA"/>
    <w:rsid w:val="008011AB"/>
    <w:rsid w:val="008012AA"/>
    <w:rsid w:val="00801ABC"/>
    <w:rsid w:val="00801FC8"/>
    <w:rsid w:val="00802D6E"/>
    <w:rsid w:val="008032C6"/>
    <w:rsid w:val="00803579"/>
    <w:rsid w:val="00804312"/>
    <w:rsid w:val="00805FBF"/>
    <w:rsid w:val="00805FD2"/>
    <w:rsid w:val="00806120"/>
    <w:rsid w:val="00806A1D"/>
    <w:rsid w:val="00806A31"/>
    <w:rsid w:val="00806F63"/>
    <w:rsid w:val="00810A5A"/>
    <w:rsid w:val="00810C93"/>
    <w:rsid w:val="00812028"/>
    <w:rsid w:val="00812384"/>
    <w:rsid w:val="008126C8"/>
    <w:rsid w:val="00812B98"/>
    <w:rsid w:val="00812DD8"/>
    <w:rsid w:val="00813082"/>
    <w:rsid w:val="008136C0"/>
    <w:rsid w:val="00813BF0"/>
    <w:rsid w:val="00813EC8"/>
    <w:rsid w:val="00814D03"/>
    <w:rsid w:val="00816D1F"/>
    <w:rsid w:val="00817B32"/>
    <w:rsid w:val="008202B7"/>
    <w:rsid w:val="00820371"/>
    <w:rsid w:val="0082057E"/>
    <w:rsid w:val="00820C25"/>
    <w:rsid w:val="00821FC1"/>
    <w:rsid w:val="00822E81"/>
    <w:rsid w:val="00823835"/>
    <w:rsid w:val="00823AE2"/>
    <w:rsid w:val="00823B42"/>
    <w:rsid w:val="00823E2D"/>
    <w:rsid w:val="00824F47"/>
    <w:rsid w:val="008256BD"/>
    <w:rsid w:val="0082662E"/>
    <w:rsid w:val="00826736"/>
    <w:rsid w:val="00826F8A"/>
    <w:rsid w:val="00827C53"/>
    <w:rsid w:val="00827F4A"/>
    <w:rsid w:val="0083178B"/>
    <w:rsid w:val="00831A7B"/>
    <w:rsid w:val="00831EE4"/>
    <w:rsid w:val="008320D9"/>
    <w:rsid w:val="00832856"/>
    <w:rsid w:val="00833695"/>
    <w:rsid w:val="008336B7"/>
    <w:rsid w:val="008336D8"/>
    <w:rsid w:val="0083388C"/>
    <w:rsid w:val="00833A8E"/>
    <w:rsid w:val="008345BD"/>
    <w:rsid w:val="00834C92"/>
    <w:rsid w:val="00834CC1"/>
    <w:rsid w:val="008368B3"/>
    <w:rsid w:val="00836ACA"/>
    <w:rsid w:val="00837B3D"/>
    <w:rsid w:val="0084022D"/>
    <w:rsid w:val="00841113"/>
    <w:rsid w:val="00842CD8"/>
    <w:rsid w:val="008431FA"/>
    <w:rsid w:val="00845214"/>
    <w:rsid w:val="0084700E"/>
    <w:rsid w:val="00847444"/>
    <w:rsid w:val="008478BA"/>
    <w:rsid w:val="00850406"/>
    <w:rsid w:val="00850A98"/>
    <w:rsid w:val="008517C6"/>
    <w:rsid w:val="00851F69"/>
    <w:rsid w:val="008541AF"/>
    <w:rsid w:val="008547BA"/>
    <w:rsid w:val="00854B7D"/>
    <w:rsid w:val="008553C7"/>
    <w:rsid w:val="00855912"/>
    <w:rsid w:val="0085700B"/>
    <w:rsid w:val="0085710D"/>
    <w:rsid w:val="00857B5B"/>
    <w:rsid w:val="00857FEB"/>
    <w:rsid w:val="008601AF"/>
    <w:rsid w:val="00860A58"/>
    <w:rsid w:val="00861E6F"/>
    <w:rsid w:val="00862997"/>
    <w:rsid w:val="00864209"/>
    <w:rsid w:val="008657C6"/>
    <w:rsid w:val="008657ED"/>
    <w:rsid w:val="00865D0E"/>
    <w:rsid w:val="00866162"/>
    <w:rsid w:val="0086669D"/>
    <w:rsid w:val="00867102"/>
    <w:rsid w:val="00867178"/>
    <w:rsid w:val="0086766A"/>
    <w:rsid w:val="00867B55"/>
    <w:rsid w:val="00870232"/>
    <w:rsid w:val="00870F5D"/>
    <w:rsid w:val="00872271"/>
    <w:rsid w:val="008738EE"/>
    <w:rsid w:val="00873C2A"/>
    <w:rsid w:val="00874123"/>
    <w:rsid w:val="0087696B"/>
    <w:rsid w:val="0088028D"/>
    <w:rsid w:val="008828AD"/>
    <w:rsid w:val="00883137"/>
    <w:rsid w:val="008842BE"/>
    <w:rsid w:val="00885364"/>
    <w:rsid w:val="0088603B"/>
    <w:rsid w:val="00887073"/>
    <w:rsid w:val="008870A5"/>
    <w:rsid w:val="00887A81"/>
    <w:rsid w:val="00890919"/>
    <w:rsid w:val="0089116F"/>
    <w:rsid w:val="00891722"/>
    <w:rsid w:val="00891F5D"/>
    <w:rsid w:val="00892430"/>
    <w:rsid w:val="00892D18"/>
    <w:rsid w:val="00893DE8"/>
    <w:rsid w:val="00893F9C"/>
    <w:rsid w:val="00894072"/>
    <w:rsid w:val="00894A3B"/>
    <w:rsid w:val="00896FB4"/>
    <w:rsid w:val="00897B1E"/>
    <w:rsid w:val="008A11BE"/>
    <w:rsid w:val="008A1BDF"/>
    <w:rsid w:val="008A1F5D"/>
    <w:rsid w:val="008A251F"/>
    <w:rsid w:val="008A28F5"/>
    <w:rsid w:val="008A3F93"/>
    <w:rsid w:val="008A5950"/>
    <w:rsid w:val="008A619B"/>
    <w:rsid w:val="008A76A1"/>
    <w:rsid w:val="008B03F1"/>
    <w:rsid w:val="008B0C10"/>
    <w:rsid w:val="008B1198"/>
    <w:rsid w:val="008B3471"/>
    <w:rsid w:val="008B3512"/>
    <w:rsid w:val="008B3929"/>
    <w:rsid w:val="008B3DD8"/>
    <w:rsid w:val="008B4125"/>
    <w:rsid w:val="008B4970"/>
    <w:rsid w:val="008B4CB3"/>
    <w:rsid w:val="008B567B"/>
    <w:rsid w:val="008B5B27"/>
    <w:rsid w:val="008B5B86"/>
    <w:rsid w:val="008B5ECE"/>
    <w:rsid w:val="008B63D2"/>
    <w:rsid w:val="008B7469"/>
    <w:rsid w:val="008B7B24"/>
    <w:rsid w:val="008C021B"/>
    <w:rsid w:val="008C151D"/>
    <w:rsid w:val="008C26E2"/>
    <w:rsid w:val="008C2913"/>
    <w:rsid w:val="008C2AD6"/>
    <w:rsid w:val="008C356D"/>
    <w:rsid w:val="008C5034"/>
    <w:rsid w:val="008C57F3"/>
    <w:rsid w:val="008C71C2"/>
    <w:rsid w:val="008D1640"/>
    <w:rsid w:val="008D3B83"/>
    <w:rsid w:val="008D43B5"/>
    <w:rsid w:val="008D4669"/>
    <w:rsid w:val="008E099E"/>
    <w:rsid w:val="008E0B3F"/>
    <w:rsid w:val="008E2203"/>
    <w:rsid w:val="008E26E1"/>
    <w:rsid w:val="008E273C"/>
    <w:rsid w:val="008E28B0"/>
    <w:rsid w:val="008E49AD"/>
    <w:rsid w:val="008E609A"/>
    <w:rsid w:val="008E698E"/>
    <w:rsid w:val="008E771A"/>
    <w:rsid w:val="008E7C1F"/>
    <w:rsid w:val="008E7C76"/>
    <w:rsid w:val="008F2584"/>
    <w:rsid w:val="008F3246"/>
    <w:rsid w:val="008F3C1B"/>
    <w:rsid w:val="008F48CC"/>
    <w:rsid w:val="008F508C"/>
    <w:rsid w:val="008F61D3"/>
    <w:rsid w:val="008F7DC6"/>
    <w:rsid w:val="008F7E0F"/>
    <w:rsid w:val="00900470"/>
    <w:rsid w:val="00900A7D"/>
    <w:rsid w:val="00900E82"/>
    <w:rsid w:val="00901000"/>
    <w:rsid w:val="00901BE9"/>
    <w:rsid w:val="0090271B"/>
    <w:rsid w:val="00902FEC"/>
    <w:rsid w:val="009032EC"/>
    <w:rsid w:val="009047DD"/>
    <w:rsid w:val="0090685A"/>
    <w:rsid w:val="00907700"/>
    <w:rsid w:val="00910085"/>
    <w:rsid w:val="00910642"/>
    <w:rsid w:val="00910DDF"/>
    <w:rsid w:val="0091165A"/>
    <w:rsid w:val="009126F2"/>
    <w:rsid w:val="009134F7"/>
    <w:rsid w:val="0091358A"/>
    <w:rsid w:val="009159BF"/>
    <w:rsid w:val="00915B93"/>
    <w:rsid w:val="00916C47"/>
    <w:rsid w:val="0092076F"/>
    <w:rsid w:val="009218E6"/>
    <w:rsid w:val="00921D83"/>
    <w:rsid w:val="00922290"/>
    <w:rsid w:val="00922FFD"/>
    <w:rsid w:val="00923B94"/>
    <w:rsid w:val="00925FAF"/>
    <w:rsid w:val="00926AE2"/>
    <w:rsid w:val="00930B13"/>
    <w:rsid w:val="009311C8"/>
    <w:rsid w:val="0093161F"/>
    <w:rsid w:val="00933376"/>
    <w:rsid w:val="00933A2F"/>
    <w:rsid w:val="009344BA"/>
    <w:rsid w:val="0093508D"/>
    <w:rsid w:val="0093566C"/>
    <w:rsid w:val="00936755"/>
    <w:rsid w:val="00937DEA"/>
    <w:rsid w:val="00940195"/>
    <w:rsid w:val="009407C5"/>
    <w:rsid w:val="009420FD"/>
    <w:rsid w:val="00943116"/>
    <w:rsid w:val="009434B8"/>
    <w:rsid w:val="00943538"/>
    <w:rsid w:val="0094500A"/>
    <w:rsid w:val="00945D60"/>
    <w:rsid w:val="00947DD9"/>
    <w:rsid w:val="009501B3"/>
    <w:rsid w:val="00954C36"/>
    <w:rsid w:val="00955D8E"/>
    <w:rsid w:val="00956F08"/>
    <w:rsid w:val="00963999"/>
    <w:rsid w:val="00965FE6"/>
    <w:rsid w:val="009663D0"/>
    <w:rsid w:val="00967267"/>
    <w:rsid w:val="00967ADB"/>
    <w:rsid w:val="00967BAE"/>
    <w:rsid w:val="00967C6A"/>
    <w:rsid w:val="00970A07"/>
    <w:rsid w:val="00970EA8"/>
    <w:rsid w:val="009716D8"/>
    <w:rsid w:val="009717A0"/>
    <w:rsid w:val="009718F9"/>
    <w:rsid w:val="009719A1"/>
    <w:rsid w:val="00971A6E"/>
    <w:rsid w:val="00971F42"/>
    <w:rsid w:val="00972CCD"/>
    <w:rsid w:val="00972FB9"/>
    <w:rsid w:val="009732DE"/>
    <w:rsid w:val="00973424"/>
    <w:rsid w:val="00973AA7"/>
    <w:rsid w:val="00975112"/>
    <w:rsid w:val="009763E7"/>
    <w:rsid w:val="00977B52"/>
    <w:rsid w:val="00980487"/>
    <w:rsid w:val="00980A44"/>
    <w:rsid w:val="00981405"/>
    <w:rsid w:val="00981768"/>
    <w:rsid w:val="00981D41"/>
    <w:rsid w:val="00983E8F"/>
    <w:rsid w:val="00986D08"/>
    <w:rsid w:val="0098788A"/>
    <w:rsid w:val="009914D9"/>
    <w:rsid w:val="00991651"/>
    <w:rsid w:val="00993274"/>
    <w:rsid w:val="0099371B"/>
    <w:rsid w:val="00994FDA"/>
    <w:rsid w:val="0099536F"/>
    <w:rsid w:val="009962FC"/>
    <w:rsid w:val="00997826"/>
    <w:rsid w:val="00997B56"/>
    <w:rsid w:val="009A081B"/>
    <w:rsid w:val="009A0848"/>
    <w:rsid w:val="009A093F"/>
    <w:rsid w:val="009A0941"/>
    <w:rsid w:val="009A19FA"/>
    <w:rsid w:val="009A1E85"/>
    <w:rsid w:val="009A31BF"/>
    <w:rsid w:val="009A35CE"/>
    <w:rsid w:val="009A3825"/>
    <w:rsid w:val="009A3B71"/>
    <w:rsid w:val="009A445D"/>
    <w:rsid w:val="009A4EB4"/>
    <w:rsid w:val="009A520D"/>
    <w:rsid w:val="009A61BC"/>
    <w:rsid w:val="009A65AD"/>
    <w:rsid w:val="009A7234"/>
    <w:rsid w:val="009B00E3"/>
    <w:rsid w:val="009B0138"/>
    <w:rsid w:val="009B05BB"/>
    <w:rsid w:val="009B07B8"/>
    <w:rsid w:val="009B0FE9"/>
    <w:rsid w:val="009B173A"/>
    <w:rsid w:val="009B442C"/>
    <w:rsid w:val="009B53B0"/>
    <w:rsid w:val="009B54DA"/>
    <w:rsid w:val="009B6D2D"/>
    <w:rsid w:val="009B7D53"/>
    <w:rsid w:val="009C0CFE"/>
    <w:rsid w:val="009C1BBA"/>
    <w:rsid w:val="009C2074"/>
    <w:rsid w:val="009C243C"/>
    <w:rsid w:val="009C3F20"/>
    <w:rsid w:val="009C56DF"/>
    <w:rsid w:val="009C7081"/>
    <w:rsid w:val="009C70F7"/>
    <w:rsid w:val="009C712A"/>
    <w:rsid w:val="009C7931"/>
    <w:rsid w:val="009C7CA1"/>
    <w:rsid w:val="009D043D"/>
    <w:rsid w:val="009D27F6"/>
    <w:rsid w:val="009D3301"/>
    <w:rsid w:val="009D395A"/>
    <w:rsid w:val="009D4F80"/>
    <w:rsid w:val="009D57D3"/>
    <w:rsid w:val="009D5F0A"/>
    <w:rsid w:val="009D675F"/>
    <w:rsid w:val="009D7FA4"/>
    <w:rsid w:val="009E0250"/>
    <w:rsid w:val="009E2277"/>
    <w:rsid w:val="009E32CD"/>
    <w:rsid w:val="009E3567"/>
    <w:rsid w:val="009E3C59"/>
    <w:rsid w:val="009E44DF"/>
    <w:rsid w:val="009F113C"/>
    <w:rsid w:val="009F3259"/>
    <w:rsid w:val="009F34D1"/>
    <w:rsid w:val="009F3C61"/>
    <w:rsid w:val="009F4014"/>
    <w:rsid w:val="009F41C5"/>
    <w:rsid w:val="009F66B7"/>
    <w:rsid w:val="00A026FD"/>
    <w:rsid w:val="00A028CC"/>
    <w:rsid w:val="00A02C51"/>
    <w:rsid w:val="00A037D5"/>
    <w:rsid w:val="00A048F7"/>
    <w:rsid w:val="00A056DE"/>
    <w:rsid w:val="00A05CC0"/>
    <w:rsid w:val="00A0601D"/>
    <w:rsid w:val="00A10B9D"/>
    <w:rsid w:val="00A118B4"/>
    <w:rsid w:val="00A11CBA"/>
    <w:rsid w:val="00A127CD"/>
    <w:rsid w:val="00A128AD"/>
    <w:rsid w:val="00A13DCA"/>
    <w:rsid w:val="00A14F2A"/>
    <w:rsid w:val="00A16D7E"/>
    <w:rsid w:val="00A16EE2"/>
    <w:rsid w:val="00A20176"/>
    <w:rsid w:val="00A212CE"/>
    <w:rsid w:val="00A2183E"/>
    <w:rsid w:val="00A21E76"/>
    <w:rsid w:val="00A22218"/>
    <w:rsid w:val="00A2255C"/>
    <w:rsid w:val="00A2383A"/>
    <w:rsid w:val="00A23BC8"/>
    <w:rsid w:val="00A245F8"/>
    <w:rsid w:val="00A24C70"/>
    <w:rsid w:val="00A25016"/>
    <w:rsid w:val="00A25B46"/>
    <w:rsid w:val="00A27387"/>
    <w:rsid w:val="00A278A0"/>
    <w:rsid w:val="00A27B7F"/>
    <w:rsid w:val="00A30E68"/>
    <w:rsid w:val="00A31933"/>
    <w:rsid w:val="00A31947"/>
    <w:rsid w:val="00A323D4"/>
    <w:rsid w:val="00A329CE"/>
    <w:rsid w:val="00A329D2"/>
    <w:rsid w:val="00A32A76"/>
    <w:rsid w:val="00A32A8D"/>
    <w:rsid w:val="00A32F75"/>
    <w:rsid w:val="00A335CB"/>
    <w:rsid w:val="00A34AA0"/>
    <w:rsid w:val="00A3561D"/>
    <w:rsid w:val="00A3574B"/>
    <w:rsid w:val="00A360B1"/>
    <w:rsid w:val="00A3715C"/>
    <w:rsid w:val="00A37A22"/>
    <w:rsid w:val="00A41137"/>
    <w:rsid w:val="00A413B4"/>
    <w:rsid w:val="00A41DC1"/>
    <w:rsid w:val="00A41F11"/>
    <w:rsid w:val="00A41FE2"/>
    <w:rsid w:val="00A42FE4"/>
    <w:rsid w:val="00A4537D"/>
    <w:rsid w:val="00A46FEF"/>
    <w:rsid w:val="00A47119"/>
    <w:rsid w:val="00A47948"/>
    <w:rsid w:val="00A479CA"/>
    <w:rsid w:val="00A5042E"/>
    <w:rsid w:val="00A50CF6"/>
    <w:rsid w:val="00A51AF1"/>
    <w:rsid w:val="00A5361F"/>
    <w:rsid w:val="00A541A6"/>
    <w:rsid w:val="00A544B4"/>
    <w:rsid w:val="00A565A2"/>
    <w:rsid w:val="00A56946"/>
    <w:rsid w:val="00A577EA"/>
    <w:rsid w:val="00A57C67"/>
    <w:rsid w:val="00A60911"/>
    <w:rsid w:val="00A6170E"/>
    <w:rsid w:val="00A619ED"/>
    <w:rsid w:val="00A63B8C"/>
    <w:rsid w:val="00A64E48"/>
    <w:rsid w:val="00A65189"/>
    <w:rsid w:val="00A6632A"/>
    <w:rsid w:val="00A67217"/>
    <w:rsid w:val="00A7002E"/>
    <w:rsid w:val="00A715F8"/>
    <w:rsid w:val="00A744D0"/>
    <w:rsid w:val="00A76206"/>
    <w:rsid w:val="00A77F6F"/>
    <w:rsid w:val="00A8078F"/>
    <w:rsid w:val="00A8105B"/>
    <w:rsid w:val="00A831FD"/>
    <w:rsid w:val="00A83352"/>
    <w:rsid w:val="00A8422C"/>
    <w:rsid w:val="00A8459F"/>
    <w:rsid w:val="00A850A2"/>
    <w:rsid w:val="00A869E4"/>
    <w:rsid w:val="00A86AEC"/>
    <w:rsid w:val="00A8774F"/>
    <w:rsid w:val="00A87EE7"/>
    <w:rsid w:val="00A90B9F"/>
    <w:rsid w:val="00A90D5F"/>
    <w:rsid w:val="00A9133C"/>
    <w:rsid w:val="00A9169F"/>
    <w:rsid w:val="00A91FA3"/>
    <w:rsid w:val="00A927D3"/>
    <w:rsid w:val="00A933DA"/>
    <w:rsid w:val="00A94C30"/>
    <w:rsid w:val="00A952A3"/>
    <w:rsid w:val="00A95F6A"/>
    <w:rsid w:val="00A9786C"/>
    <w:rsid w:val="00A97DA0"/>
    <w:rsid w:val="00AA0843"/>
    <w:rsid w:val="00AA11F1"/>
    <w:rsid w:val="00AA1ED7"/>
    <w:rsid w:val="00AA30F1"/>
    <w:rsid w:val="00AA46B6"/>
    <w:rsid w:val="00AA5246"/>
    <w:rsid w:val="00AA5B5E"/>
    <w:rsid w:val="00AA7FC9"/>
    <w:rsid w:val="00AB0271"/>
    <w:rsid w:val="00AB0D49"/>
    <w:rsid w:val="00AB16AA"/>
    <w:rsid w:val="00AB237D"/>
    <w:rsid w:val="00AB2BDD"/>
    <w:rsid w:val="00AB3AE7"/>
    <w:rsid w:val="00AB42F9"/>
    <w:rsid w:val="00AB531A"/>
    <w:rsid w:val="00AB53FC"/>
    <w:rsid w:val="00AB5933"/>
    <w:rsid w:val="00AB5E3C"/>
    <w:rsid w:val="00AB617F"/>
    <w:rsid w:val="00AB6CA8"/>
    <w:rsid w:val="00AB781B"/>
    <w:rsid w:val="00AC05A5"/>
    <w:rsid w:val="00AC2F7B"/>
    <w:rsid w:val="00AC3CCA"/>
    <w:rsid w:val="00AC5232"/>
    <w:rsid w:val="00AC5A6A"/>
    <w:rsid w:val="00AC69E8"/>
    <w:rsid w:val="00AC74AB"/>
    <w:rsid w:val="00AC7B25"/>
    <w:rsid w:val="00AD01B6"/>
    <w:rsid w:val="00AD3783"/>
    <w:rsid w:val="00AD3AD7"/>
    <w:rsid w:val="00AD42EF"/>
    <w:rsid w:val="00AD571C"/>
    <w:rsid w:val="00AD582E"/>
    <w:rsid w:val="00AD5FDF"/>
    <w:rsid w:val="00AE013D"/>
    <w:rsid w:val="00AE0150"/>
    <w:rsid w:val="00AE05DF"/>
    <w:rsid w:val="00AE11B7"/>
    <w:rsid w:val="00AE2492"/>
    <w:rsid w:val="00AE266B"/>
    <w:rsid w:val="00AE2DC2"/>
    <w:rsid w:val="00AE363D"/>
    <w:rsid w:val="00AE3873"/>
    <w:rsid w:val="00AE3AA1"/>
    <w:rsid w:val="00AE40CE"/>
    <w:rsid w:val="00AE426F"/>
    <w:rsid w:val="00AE540B"/>
    <w:rsid w:val="00AE54E1"/>
    <w:rsid w:val="00AE6738"/>
    <w:rsid w:val="00AE6966"/>
    <w:rsid w:val="00AE72CE"/>
    <w:rsid w:val="00AE7F68"/>
    <w:rsid w:val="00AF0A6A"/>
    <w:rsid w:val="00AF2321"/>
    <w:rsid w:val="00AF4C0F"/>
    <w:rsid w:val="00AF52F6"/>
    <w:rsid w:val="00AF52FD"/>
    <w:rsid w:val="00AF54A8"/>
    <w:rsid w:val="00AF66FF"/>
    <w:rsid w:val="00AF6C65"/>
    <w:rsid w:val="00AF6E60"/>
    <w:rsid w:val="00AF7237"/>
    <w:rsid w:val="00B0043A"/>
    <w:rsid w:val="00B0076C"/>
    <w:rsid w:val="00B00D75"/>
    <w:rsid w:val="00B00E87"/>
    <w:rsid w:val="00B01D26"/>
    <w:rsid w:val="00B01E8D"/>
    <w:rsid w:val="00B02102"/>
    <w:rsid w:val="00B02907"/>
    <w:rsid w:val="00B03CA2"/>
    <w:rsid w:val="00B043CB"/>
    <w:rsid w:val="00B05CA2"/>
    <w:rsid w:val="00B06399"/>
    <w:rsid w:val="00B070CB"/>
    <w:rsid w:val="00B111DD"/>
    <w:rsid w:val="00B12456"/>
    <w:rsid w:val="00B12E6A"/>
    <w:rsid w:val="00B1322B"/>
    <w:rsid w:val="00B144A7"/>
    <w:rsid w:val="00B145F0"/>
    <w:rsid w:val="00B15F67"/>
    <w:rsid w:val="00B17133"/>
    <w:rsid w:val="00B17424"/>
    <w:rsid w:val="00B17440"/>
    <w:rsid w:val="00B200A1"/>
    <w:rsid w:val="00B20152"/>
    <w:rsid w:val="00B22202"/>
    <w:rsid w:val="00B22BFA"/>
    <w:rsid w:val="00B2338B"/>
    <w:rsid w:val="00B240BA"/>
    <w:rsid w:val="00B2473E"/>
    <w:rsid w:val="00B24AE3"/>
    <w:rsid w:val="00B25676"/>
    <w:rsid w:val="00B25962"/>
    <w:rsid w:val="00B259C8"/>
    <w:rsid w:val="00B26CCF"/>
    <w:rsid w:val="00B26DE2"/>
    <w:rsid w:val="00B2713C"/>
    <w:rsid w:val="00B27C15"/>
    <w:rsid w:val="00B27DDE"/>
    <w:rsid w:val="00B30DC2"/>
    <w:rsid w:val="00B30FC2"/>
    <w:rsid w:val="00B3123A"/>
    <w:rsid w:val="00B31CFF"/>
    <w:rsid w:val="00B31D0C"/>
    <w:rsid w:val="00B320D1"/>
    <w:rsid w:val="00B331A2"/>
    <w:rsid w:val="00B34BF5"/>
    <w:rsid w:val="00B351F9"/>
    <w:rsid w:val="00B36FBC"/>
    <w:rsid w:val="00B3763C"/>
    <w:rsid w:val="00B3764E"/>
    <w:rsid w:val="00B40444"/>
    <w:rsid w:val="00B41E79"/>
    <w:rsid w:val="00B425F0"/>
    <w:rsid w:val="00B42C67"/>
    <w:rsid w:val="00B42DFA"/>
    <w:rsid w:val="00B4376E"/>
    <w:rsid w:val="00B4431D"/>
    <w:rsid w:val="00B450E6"/>
    <w:rsid w:val="00B46668"/>
    <w:rsid w:val="00B4767D"/>
    <w:rsid w:val="00B47E60"/>
    <w:rsid w:val="00B50CBF"/>
    <w:rsid w:val="00B50E0D"/>
    <w:rsid w:val="00B52012"/>
    <w:rsid w:val="00B52AAC"/>
    <w:rsid w:val="00B531DD"/>
    <w:rsid w:val="00B53F5B"/>
    <w:rsid w:val="00B5416F"/>
    <w:rsid w:val="00B54445"/>
    <w:rsid w:val="00B5460D"/>
    <w:rsid w:val="00B55014"/>
    <w:rsid w:val="00B55B44"/>
    <w:rsid w:val="00B5637D"/>
    <w:rsid w:val="00B56B95"/>
    <w:rsid w:val="00B5791B"/>
    <w:rsid w:val="00B57D39"/>
    <w:rsid w:val="00B57DCE"/>
    <w:rsid w:val="00B609CA"/>
    <w:rsid w:val="00B6177D"/>
    <w:rsid w:val="00B62232"/>
    <w:rsid w:val="00B623E0"/>
    <w:rsid w:val="00B63477"/>
    <w:rsid w:val="00B639F3"/>
    <w:rsid w:val="00B668D0"/>
    <w:rsid w:val="00B66D29"/>
    <w:rsid w:val="00B70BF3"/>
    <w:rsid w:val="00B7155B"/>
    <w:rsid w:val="00B7190F"/>
    <w:rsid w:val="00B71C97"/>
    <w:rsid w:val="00B71DC2"/>
    <w:rsid w:val="00B71EC2"/>
    <w:rsid w:val="00B72FC9"/>
    <w:rsid w:val="00B7340A"/>
    <w:rsid w:val="00B74BC9"/>
    <w:rsid w:val="00B7511C"/>
    <w:rsid w:val="00B7608B"/>
    <w:rsid w:val="00B772DF"/>
    <w:rsid w:val="00B77403"/>
    <w:rsid w:val="00B8280C"/>
    <w:rsid w:val="00B849F5"/>
    <w:rsid w:val="00B84A84"/>
    <w:rsid w:val="00B852ED"/>
    <w:rsid w:val="00B85B6F"/>
    <w:rsid w:val="00B867FA"/>
    <w:rsid w:val="00B87BE4"/>
    <w:rsid w:val="00B91CFC"/>
    <w:rsid w:val="00B92074"/>
    <w:rsid w:val="00B93841"/>
    <w:rsid w:val="00B93893"/>
    <w:rsid w:val="00B9411C"/>
    <w:rsid w:val="00B94884"/>
    <w:rsid w:val="00B956C7"/>
    <w:rsid w:val="00B96EC4"/>
    <w:rsid w:val="00B97ED0"/>
    <w:rsid w:val="00BA005B"/>
    <w:rsid w:val="00BA1397"/>
    <w:rsid w:val="00BA14F2"/>
    <w:rsid w:val="00BA1E69"/>
    <w:rsid w:val="00BA21D9"/>
    <w:rsid w:val="00BA2349"/>
    <w:rsid w:val="00BA2775"/>
    <w:rsid w:val="00BA5691"/>
    <w:rsid w:val="00BA6424"/>
    <w:rsid w:val="00BA678A"/>
    <w:rsid w:val="00BA7965"/>
    <w:rsid w:val="00BA7E0A"/>
    <w:rsid w:val="00BB1F9E"/>
    <w:rsid w:val="00BB2357"/>
    <w:rsid w:val="00BB25B6"/>
    <w:rsid w:val="00BB2619"/>
    <w:rsid w:val="00BB3A65"/>
    <w:rsid w:val="00BB4B23"/>
    <w:rsid w:val="00BB5509"/>
    <w:rsid w:val="00BC0975"/>
    <w:rsid w:val="00BC0F5C"/>
    <w:rsid w:val="00BC1A7F"/>
    <w:rsid w:val="00BC1AFF"/>
    <w:rsid w:val="00BC222D"/>
    <w:rsid w:val="00BC2C00"/>
    <w:rsid w:val="00BC3B53"/>
    <w:rsid w:val="00BC3B96"/>
    <w:rsid w:val="00BC3EFE"/>
    <w:rsid w:val="00BC4AE3"/>
    <w:rsid w:val="00BC5AC3"/>
    <w:rsid w:val="00BC5B28"/>
    <w:rsid w:val="00BD206A"/>
    <w:rsid w:val="00BD22AF"/>
    <w:rsid w:val="00BD2312"/>
    <w:rsid w:val="00BD2370"/>
    <w:rsid w:val="00BD2958"/>
    <w:rsid w:val="00BD2C93"/>
    <w:rsid w:val="00BD4144"/>
    <w:rsid w:val="00BD44EB"/>
    <w:rsid w:val="00BD4A2F"/>
    <w:rsid w:val="00BD5D6D"/>
    <w:rsid w:val="00BD6347"/>
    <w:rsid w:val="00BD7CCB"/>
    <w:rsid w:val="00BE0D63"/>
    <w:rsid w:val="00BE0E21"/>
    <w:rsid w:val="00BE10E2"/>
    <w:rsid w:val="00BE1A1C"/>
    <w:rsid w:val="00BE3A97"/>
    <w:rsid w:val="00BE3F88"/>
    <w:rsid w:val="00BE4333"/>
    <w:rsid w:val="00BE45CE"/>
    <w:rsid w:val="00BE4756"/>
    <w:rsid w:val="00BE4870"/>
    <w:rsid w:val="00BE515E"/>
    <w:rsid w:val="00BE527F"/>
    <w:rsid w:val="00BE560C"/>
    <w:rsid w:val="00BE5706"/>
    <w:rsid w:val="00BE5ED9"/>
    <w:rsid w:val="00BE5F53"/>
    <w:rsid w:val="00BE5FAA"/>
    <w:rsid w:val="00BE6063"/>
    <w:rsid w:val="00BE6DAB"/>
    <w:rsid w:val="00BE6E33"/>
    <w:rsid w:val="00BE7B41"/>
    <w:rsid w:val="00BF14D6"/>
    <w:rsid w:val="00BF1903"/>
    <w:rsid w:val="00BF271F"/>
    <w:rsid w:val="00BF4D3E"/>
    <w:rsid w:val="00BF5795"/>
    <w:rsid w:val="00BF6987"/>
    <w:rsid w:val="00BF6AAB"/>
    <w:rsid w:val="00BF7031"/>
    <w:rsid w:val="00C0124E"/>
    <w:rsid w:val="00C0126D"/>
    <w:rsid w:val="00C02C6C"/>
    <w:rsid w:val="00C03494"/>
    <w:rsid w:val="00C03AEC"/>
    <w:rsid w:val="00C06804"/>
    <w:rsid w:val="00C06BD4"/>
    <w:rsid w:val="00C06F0B"/>
    <w:rsid w:val="00C078E4"/>
    <w:rsid w:val="00C14577"/>
    <w:rsid w:val="00C15280"/>
    <w:rsid w:val="00C15A91"/>
    <w:rsid w:val="00C15D28"/>
    <w:rsid w:val="00C16269"/>
    <w:rsid w:val="00C206F1"/>
    <w:rsid w:val="00C209A5"/>
    <w:rsid w:val="00C209ED"/>
    <w:rsid w:val="00C217E1"/>
    <w:rsid w:val="00C219B1"/>
    <w:rsid w:val="00C21CB2"/>
    <w:rsid w:val="00C231C2"/>
    <w:rsid w:val="00C238A4"/>
    <w:rsid w:val="00C23CDE"/>
    <w:rsid w:val="00C24D29"/>
    <w:rsid w:val="00C25D94"/>
    <w:rsid w:val="00C26712"/>
    <w:rsid w:val="00C26A37"/>
    <w:rsid w:val="00C27102"/>
    <w:rsid w:val="00C272F3"/>
    <w:rsid w:val="00C312E0"/>
    <w:rsid w:val="00C31E28"/>
    <w:rsid w:val="00C3221A"/>
    <w:rsid w:val="00C32B5B"/>
    <w:rsid w:val="00C33700"/>
    <w:rsid w:val="00C33FC7"/>
    <w:rsid w:val="00C34A4E"/>
    <w:rsid w:val="00C34DEA"/>
    <w:rsid w:val="00C3527A"/>
    <w:rsid w:val="00C361B7"/>
    <w:rsid w:val="00C37BF2"/>
    <w:rsid w:val="00C37BFA"/>
    <w:rsid w:val="00C37D78"/>
    <w:rsid w:val="00C400F2"/>
    <w:rsid w:val="00C4015B"/>
    <w:rsid w:val="00C40B19"/>
    <w:rsid w:val="00C40C60"/>
    <w:rsid w:val="00C41527"/>
    <w:rsid w:val="00C418C3"/>
    <w:rsid w:val="00C427F4"/>
    <w:rsid w:val="00C431DF"/>
    <w:rsid w:val="00C4367B"/>
    <w:rsid w:val="00C43FE6"/>
    <w:rsid w:val="00C44267"/>
    <w:rsid w:val="00C4445D"/>
    <w:rsid w:val="00C444DD"/>
    <w:rsid w:val="00C44A18"/>
    <w:rsid w:val="00C45409"/>
    <w:rsid w:val="00C50CEF"/>
    <w:rsid w:val="00C514DE"/>
    <w:rsid w:val="00C5258E"/>
    <w:rsid w:val="00C530C9"/>
    <w:rsid w:val="00C53A3E"/>
    <w:rsid w:val="00C55513"/>
    <w:rsid w:val="00C5590E"/>
    <w:rsid w:val="00C562CB"/>
    <w:rsid w:val="00C60494"/>
    <w:rsid w:val="00C60B1B"/>
    <w:rsid w:val="00C60F00"/>
    <w:rsid w:val="00C60FC2"/>
    <w:rsid w:val="00C619A7"/>
    <w:rsid w:val="00C6273D"/>
    <w:rsid w:val="00C642BD"/>
    <w:rsid w:val="00C65314"/>
    <w:rsid w:val="00C65FA2"/>
    <w:rsid w:val="00C66E66"/>
    <w:rsid w:val="00C67A75"/>
    <w:rsid w:val="00C70C50"/>
    <w:rsid w:val="00C7298B"/>
    <w:rsid w:val="00C730E9"/>
    <w:rsid w:val="00C7378D"/>
    <w:rsid w:val="00C73A7E"/>
    <w:rsid w:val="00C73CE1"/>
    <w:rsid w:val="00C73D5F"/>
    <w:rsid w:val="00C74486"/>
    <w:rsid w:val="00C74AA4"/>
    <w:rsid w:val="00C74AEF"/>
    <w:rsid w:val="00C76038"/>
    <w:rsid w:val="00C76B25"/>
    <w:rsid w:val="00C80F75"/>
    <w:rsid w:val="00C815D4"/>
    <w:rsid w:val="00C827F2"/>
    <w:rsid w:val="00C82AFE"/>
    <w:rsid w:val="00C83903"/>
    <w:rsid w:val="00C83DBC"/>
    <w:rsid w:val="00C84767"/>
    <w:rsid w:val="00C86029"/>
    <w:rsid w:val="00C8669F"/>
    <w:rsid w:val="00C86768"/>
    <w:rsid w:val="00C872BC"/>
    <w:rsid w:val="00C87338"/>
    <w:rsid w:val="00C875A5"/>
    <w:rsid w:val="00C90F3C"/>
    <w:rsid w:val="00C91823"/>
    <w:rsid w:val="00C92A8A"/>
    <w:rsid w:val="00C94461"/>
    <w:rsid w:val="00C97034"/>
    <w:rsid w:val="00C979FD"/>
    <w:rsid w:val="00C97C80"/>
    <w:rsid w:val="00CA0DEF"/>
    <w:rsid w:val="00CA1204"/>
    <w:rsid w:val="00CA2B9C"/>
    <w:rsid w:val="00CA302A"/>
    <w:rsid w:val="00CA3B74"/>
    <w:rsid w:val="00CA408D"/>
    <w:rsid w:val="00CA470C"/>
    <w:rsid w:val="00CA47D3"/>
    <w:rsid w:val="00CA5C8C"/>
    <w:rsid w:val="00CA5DEF"/>
    <w:rsid w:val="00CA6533"/>
    <w:rsid w:val="00CA65BD"/>
    <w:rsid w:val="00CA6A25"/>
    <w:rsid w:val="00CA6A3F"/>
    <w:rsid w:val="00CA70DB"/>
    <w:rsid w:val="00CA7B82"/>
    <w:rsid w:val="00CA7C99"/>
    <w:rsid w:val="00CB011D"/>
    <w:rsid w:val="00CB05E0"/>
    <w:rsid w:val="00CB0C99"/>
    <w:rsid w:val="00CB0D07"/>
    <w:rsid w:val="00CB529A"/>
    <w:rsid w:val="00CB589A"/>
    <w:rsid w:val="00CB5D7B"/>
    <w:rsid w:val="00CB7F7F"/>
    <w:rsid w:val="00CC0AFF"/>
    <w:rsid w:val="00CC2552"/>
    <w:rsid w:val="00CC2698"/>
    <w:rsid w:val="00CC3451"/>
    <w:rsid w:val="00CC6290"/>
    <w:rsid w:val="00CC6947"/>
    <w:rsid w:val="00CC6DF9"/>
    <w:rsid w:val="00CC6E2C"/>
    <w:rsid w:val="00CC7B6B"/>
    <w:rsid w:val="00CD03C9"/>
    <w:rsid w:val="00CD0DDE"/>
    <w:rsid w:val="00CD1039"/>
    <w:rsid w:val="00CD233D"/>
    <w:rsid w:val="00CD29F8"/>
    <w:rsid w:val="00CD3499"/>
    <w:rsid w:val="00CD362D"/>
    <w:rsid w:val="00CD71F3"/>
    <w:rsid w:val="00CE02CA"/>
    <w:rsid w:val="00CE067E"/>
    <w:rsid w:val="00CE101D"/>
    <w:rsid w:val="00CE1814"/>
    <w:rsid w:val="00CE18A8"/>
    <w:rsid w:val="00CE1A95"/>
    <w:rsid w:val="00CE1C84"/>
    <w:rsid w:val="00CE3E03"/>
    <w:rsid w:val="00CE5055"/>
    <w:rsid w:val="00CE56EB"/>
    <w:rsid w:val="00CE6457"/>
    <w:rsid w:val="00CE6613"/>
    <w:rsid w:val="00CE6ABA"/>
    <w:rsid w:val="00CF053F"/>
    <w:rsid w:val="00CF0C1E"/>
    <w:rsid w:val="00CF0D57"/>
    <w:rsid w:val="00CF1A17"/>
    <w:rsid w:val="00CF1EFE"/>
    <w:rsid w:val="00CF20FF"/>
    <w:rsid w:val="00CF2431"/>
    <w:rsid w:val="00CF3AB0"/>
    <w:rsid w:val="00CF6A3E"/>
    <w:rsid w:val="00CF7668"/>
    <w:rsid w:val="00CF7F73"/>
    <w:rsid w:val="00D003F2"/>
    <w:rsid w:val="00D00CF6"/>
    <w:rsid w:val="00D016B0"/>
    <w:rsid w:val="00D0192F"/>
    <w:rsid w:val="00D02605"/>
    <w:rsid w:val="00D02839"/>
    <w:rsid w:val="00D0375A"/>
    <w:rsid w:val="00D03CD1"/>
    <w:rsid w:val="00D03E3F"/>
    <w:rsid w:val="00D053D6"/>
    <w:rsid w:val="00D05FE3"/>
    <w:rsid w:val="00D0609E"/>
    <w:rsid w:val="00D06BF5"/>
    <w:rsid w:val="00D078E1"/>
    <w:rsid w:val="00D100E9"/>
    <w:rsid w:val="00D11610"/>
    <w:rsid w:val="00D11C77"/>
    <w:rsid w:val="00D1247C"/>
    <w:rsid w:val="00D1416B"/>
    <w:rsid w:val="00D154B0"/>
    <w:rsid w:val="00D16255"/>
    <w:rsid w:val="00D17790"/>
    <w:rsid w:val="00D17942"/>
    <w:rsid w:val="00D20B46"/>
    <w:rsid w:val="00D20C33"/>
    <w:rsid w:val="00D2156F"/>
    <w:rsid w:val="00D216F6"/>
    <w:rsid w:val="00D21AC3"/>
    <w:rsid w:val="00D21E4B"/>
    <w:rsid w:val="00D22441"/>
    <w:rsid w:val="00D22721"/>
    <w:rsid w:val="00D2286B"/>
    <w:rsid w:val="00D23256"/>
    <w:rsid w:val="00D23522"/>
    <w:rsid w:val="00D23972"/>
    <w:rsid w:val="00D264D6"/>
    <w:rsid w:val="00D323F7"/>
    <w:rsid w:val="00D32D9D"/>
    <w:rsid w:val="00D33BF0"/>
    <w:rsid w:val="00D33DE0"/>
    <w:rsid w:val="00D350B2"/>
    <w:rsid w:val="00D35779"/>
    <w:rsid w:val="00D35DE0"/>
    <w:rsid w:val="00D36447"/>
    <w:rsid w:val="00D402C4"/>
    <w:rsid w:val="00D40E61"/>
    <w:rsid w:val="00D41088"/>
    <w:rsid w:val="00D419A4"/>
    <w:rsid w:val="00D41D7E"/>
    <w:rsid w:val="00D41F4A"/>
    <w:rsid w:val="00D4211B"/>
    <w:rsid w:val="00D442C7"/>
    <w:rsid w:val="00D47229"/>
    <w:rsid w:val="00D47514"/>
    <w:rsid w:val="00D47608"/>
    <w:rsid w:val="00D479A4"/>
    <w:rsid w:val="00D50188"/>
    <w:rsid w:val="00D50955"/>
    <w:rsid w:val="00D51293"/>
    <w:rsid w:val="00D516BE"/>
    <w:rsid w:val="00D522BE"/>
    <w:rsid w:val="00D53B9D"/>
    <w:rsid w:val="00D5423B"/>
    <w:rsid w:val="00D54E6A"/>
    <w:rsid w:val="00D54F4E"/>
    <w:rsid w:val="00D56C96"/>
    <w:rsid w:val="00D56E01"/>
    <w:rsid w:val="00D56F18"/>
    <w:rsid w:val="00D57606"/>
    <w:rsid w:val="00D57A56"/>
    <w:rsid w:val="00D600BC"/>
    <w:rsid w:val="00D604B3"/>
    <w:rsid w:val="00D60716"/>
    <w:rsid w:val="00D60AA7"/>
    <w:rsid w:val="00D60BA4"/>
    <w:rsid w:val="00D61E50"/>
    <w:rsid w:val="00D62145"/>
    <w:rsid w:val="00D62419"/>
    <w:rsid w:val="00D64CE8"/>
    <w:rsid w:val="00D64E53"/>
    <w:rsid w:val="00D66AA1"/>
    <w:rsid w:val="00D67148"/>
    <w:rsid w:val="00D67914"/>
    <w:rsid w:val="00D70BB2"/>
    <w:rsid w:val="00D71807"/>
    <w:rsid w:val="00D72A87"/>
    <w:rsid w:val="00D7336F"/>
    <w:rsid w:val="00D7448E"/>
    <w:rsid w:val="00D746CE"/>
    <w:rsid w:val="00D7633A"/>
    <w:rsid w:val="00D76BC5"/>
    <w:rsid w:val="00D77870"/>
    <w:rsid w:val="00D80977"/>
    <w:rsid w:val="00D80CCE"/>
    <w:rsid w:val="00D821CA"/>
    <w:rsid w:val="00D831E0"/>
    <w:rsid w:val="00D83718"/>
    <w:rsid w:val="00D85D7C"/>
    <w:rsid w:val="00D85EBA"/>
    <w:rsid w:val="00D868EE"/>
    <w:rsid w:val="00D86EEA"/>
    <w:rsid w:val="00D8779E"/>
    <w:rsid w:val="00D87A16"/>
    <w:rsid w:val="00D87BD4"/>
    <w:rsid w:val="00D87D03"/>
    <w:rsid w:val="00D92792"/>
    <w:rsid w:val="00D9360B"/>
    <w:rsid w:val="00D93A69"/>
    <w:rsid w:val="00D95C88"/>
    <w:rsid w:val="00D95CE8"/>
    <w:rsid w:val="00D95DFB"/>
    <w:rsid w:val="00D97B2E"/>
    <w:rsid w:val="00DA0D69"/>
    <w:rsid w:val="00DA0F18"/>
    <w:rsid w:val="00DA126F"/>
    <w:rsid w:val="00DA16A0"/>
    <w:rsid w:val="00DA241E"/>
    <w:rsid w:val="00DA3043"/>
    <w:rsid w:val="00DA387E"/>
    <w:rsid w:val="00DA464B"/>
    <w:rsid w:val="00DA4845"/>
    <w:rsid w:val="00DA4877"/>
    <w:rsid w:val="00DA58EE"/>
    <w:rsid w:val="00DA5B08"/>
    <w:rsid w:val="00DA6438"/>
    <w:rsid w:val="00DB06F0"/>
    <w:rsid w:val="00DB1967"/>
    <w:rsid w:val="00DB1C45"/>
    <w:rsid w:val="00DB1CD5"/>
    <w:rsid w:val="00DB2A34"/>
    <w:rsid w:val="00DB2E6E"/>
    <w:rsid w:val="00DB36FE"/>
    <w:rsid w:val="00DB3962"/>
    <w:rsid w:val="00DB4B7E"/>
    <w:rsid w:val="00DB533A"/>
    <w:rsid w:val="00DB60AE"/>
    <w:rsid w:val="00DB6209"/>
    <w:rsid w:val="00DB6307"/>
    <w:rsid w:val="00DC267B"/>
    <w:rsid w:val="00DC2886"/>
    <w:rsid w:val="00DC3456"/>
    <w:rsid w:val="00DD13CE"/>
    <w:rsid w:val="00DD1DCD"/>
    <w:rsid w:val="00DD1F9F"/>
    <w:rsid w:val="00DD26B6"/>
    <w:rsid w:val="00DD338F"/>
    <w:rsid w:val="00DD5569"/>
    <w:rsid w:val="00DD591C"/>
    <w:rsid w:val="00DD61E0"/>
    <w:rsid w:val="00DD65D5"/>
    <w:rsid w:val="00DD66F2"/>
    <w:rsid w:val="00DD6BC7"/>
    <w:rsid w:val="00DD6F49"/>
    <w:rsid w:val="00DD770E"/>
    <w:rsid w:val="00DE0FD8"/>
    <w:rsid w:val="00DE1AC1"/>
    <w:rsid w:val="00DE26F9"/>
    <w:rsid w:val="00DE2E2C"/>
    <w:rsid w:val="00DE30D8"/>
    <w:rsid w:val="00DE3FE0"/>
    <w:rsid w:val="00DE4F3E"/>
    <w:rsid w:val="00DE5562"/>
    <w:rsid w:val="00DE578A"/>
    <w:rsid w:val="00DE5D83"/>
    <w:rsid w:val="00DF08AD"/>
    <w:rsid w:val="00DF23BD"/>
    <w:rsid w:val="00DF2583"/>
    <w:rsid w:val="00DF3A85"/>
    <w:rsid w:val="00DF3CB7"/>
    <w:rsid w:val="00DF54D9"/>
    <w:rsid w:val="00DF6084"/>
    <w:rsid w:val="00DF7010"/>
    <w:rsid w:val="00DF7283"/>
    <w:rsid w:val="00DF7A33"/>
    <w:rsid w:val="00E000E9"/>
    <w:rsid w:val="00E0011B"/>
    <w:rsid w:val="00E01961"/>
    <w:rsid w:val="00E01A59"/>
    <w:rsid w:val="00E01BAB"/>
    <w:rsid w:val="00E02901"/>
    <w:rsid w:val="00E02ECF"/>
    <w:rsid w:val="00E03C1B"/>
    <w:rsid w:val="00E042C4"/>
    <w:rsid w:val="00E06E4F"/>
    <w:rsid w:val="00E07490"/>
    <w:rsid w:val="00E078B8"/>
    <w:rsid w:val="00E07DF7"/>
    <w:rsid w:val="00E10789"/>
    <w:rsid w:val="00E10DC6"/>
    <w:rsid w:val="00E10F6E"/>
    <w:rsid w:val="00E11A43"/>
    <w:rsid w:val="00E11A85"/>
    <w:rsid w:val="00E11F8E"/>
    <w:rsid w:val="00E12981"/>
    <w:rsid w:val="00E14103"/>
    <w:rsid w:val="00E146F5"/>
    <w:rsid w:val="00E14D05"/>
    <w:rsid w:val="00E15063"/>
    <w:rsid w:val="00E15881"/>
    <w:rsid w:val="00E16905"/>
    <w:rsid w:val="00E16A8F"/>
    <w:rsid w:val="00E17A02"/>
    <w:rsid w:val="00E201A5"/>
    <w:rsid w:val="00E21DE3"/>
    <w:rsid w:val="00E23307"/>
    <w:rsid w:val="00E25075"/>
    <w:rsid w:val="00E25078"/>
    <w:rsid w:val="00E25A50"/>
    <w:rsid w:val="00E26566"/>
    <w:rsid w:val="00E273C5"/>
    <w:rsid w:val="00E27D12"/>
    <w:rsid w:val="00E307D1"/>
    <w:rsid w:val="00E30D4C"/>
    <w:rsid w:val="00E31B34"/>
    <w:rsid w:val="00E32960"/>
    <w:rsid w:val="00E34E46"/>
    <w:rsid w:val="00E3731D"/>
    <w:rsid w:val="00E37E0D"/>
    <w:rsid w:val="00E401C7"/>
    <w:rsid w:val="00E406CF"/>
    <w:rsid w:val="00E40F6B"/>
    <w:rsid w:val="00E4128D"/>
    <w:rsid w:val="00E43754"/>
    <w:rsid w:val="00E43F70"/>
    <w:rsid w:val="00E441E3"/>
    <w:rsid w:val="00E44EC0"/>
    <w:rsid w:val="00E45542"/>
    <w:rsid w:val="00E4585F"/>
    <w:rsid w:val="00E46AC6"/>
    <w:rsid w:val="00E46C27"/>
    <w:rsid w:val="00E47EA8"/>
    <w:rsid w:val="00E51469"/>
    <w:rsid w:val="00E52301"/>
    <w:rsid w:val="00E53DCE"/>
    <w:rsid w:val="00E54BAB"/>
    <w:rsid w:val="00E5639B"/>
    <w:rsid w:val="00E60E5C"/>
    <w:rsid w:val="00E61613"/>
    <w:rsid w:val="00E61A9D"/>
    <w:rsid w:val="00E634E3"/>
    <w:rsid w:val="00E65CBC"/>
    <w:rsid w:val="00E67042"/>
    <w:rsid w:val="00E70120"/>
    <w:rsid w:val="00E705F6"/>
    <w:rsid w:val="00E717C4"/>
    <w:rsid w:val="00E71F93"/>
    <w:rsid w:val="00E724F9"/>
    <w:rsid w:val="00E77E18"/>
    <w:rsid w:val="00E77F89"/>
    <w:rsid w:val="00E80330"/>
    <w:rsid w:val="00E80494"/>
    <w:rsid w:val="00E806C5"/>
    <w:rsid w:val="00E80E71"/>
    <w:rsid w:val="00E81DC6"/>
    <w:rsid w:val="00E83548"/>
    <w:rsid w:val="00E8400A"/>
    <w:rsid w:val="00E843F1"/>
    <w:rsid w:val="00E8496F"/>
    <w:rsid w:val="00E85041"/>
    <w:rsid w:val="00E850D3"/>
    <w:rsid w:val="00E853D6"/>
    <w:rsid w:val="00E85C10"/>
    <w:rsid w:val="00E87047"/>
    <w:rsid w:val="00E8726D"/>
    <w:rsid w:val="00E876A8"/>
    <w:rsid w:val="00E876B9"/>
    <w:rsid w:val="00E87B67"/>
    <w:rsid w:val="00E87CD3"/>
    <w:rsid w:val="00E90DEE"/>
    <w:rsid w:val="00E91547"/>
    <w:rsid w:val="00E928A1"/>
    <w:rsid w:val="00E94571"/>
    <w:rsid w:val="00EA0590"/>
    <w:rsid w:val="00EA0F40"/>
    <w:rsid w:val="00EA43FD"/>
    <w:rsid w:val="00EA4BF6"/>
    <w:rsid w:val="00EA4C9F"/>
    <w:rsid w:val="00EA4D3C"/>
    <w:rsid w:val="00EA5E07"/>
    <w:rsid w:val="00EA5F23"/>
    <w:rsid w:val="00EA7F1C"/>
    <w:rsid w:val="00EB09AB"/>
    <w:rsid w:val="00EB5FC7"/>
    <w:rsid w:val="00EB6992"/>
    <w:rsid w:val="00EB7DB8"/>
    <w:rsid w:val="00EC04F4"/>
    <w:rsid w:val="00EC0DFF"/>
    <w:rsid w:val="00EC237D"/>
    <w:rsid w:val="00EC2918"/>
    <w:rsid w:val="00EC4B20"/>
    <w:rsid w:val="00EC4D0E"/>
    <w:rsid w:val="00EC4E2B"/>
    <w:rsid w:val="00EC598B"/>
    <w:rsid w:val="00EC650D"/>
    <w:rsid w:val="00EC6E02"/>
    <w:rsid w:val="00EC7080"/>
    <w:rsid w:val="00EC7D95"/>
    <w:rsid w:val="00ED072A"/>
    <w:rsid w:val="00ED1649"/>
    <w:rsid w:val="00ED25BA"/>
    <w:rsid w:val="00ED4344"/>
    <w:rsid w:val="00ED45E7"/>
    <w:rsid w:val="00ED539E"/>
    <w:rsid w:val="00ED66E1"/>
    <w:rsid w:val="00EE1B6C"/>
    <w:rsid w:val="00EE271E"/>
    <w:rsid w:val="00EE35CA"/>
    <w:rsid w:val="00EE4A1F"/>
    <w:rsid w:val="00EE4C2D"/>
    <w:rsid w:val="00EE7717"/>
    <w:rsid w:val="00EF065E"/>
    <w:rsid w:val="00EF06D2"/>
    <w:rsid w:val="00EF0A7A"/>
    <w:rsid w:val="00EF10A2"/>
    <w:rsid w:val="00EF11DD"/>
    <w:rsid w:val="00EF1312"/>
    <w:rsid w:val="00EF167A"/>
    <w:rsid w:val="00EF1A4F"/>
    <w:rsid w:val="00EF1B5A"/>
    <w:rsid w:val="00EF24FB"/>
    <w:rsid w:val="00EF2CCA"/>
    <w:rsid w:val="00EF3551"/>
    <w:rsid w:val="00EF3EF6"/>
    <w:rsid w:val="00EF46C7"/>
    <w:rsid w:val="00EF495B"/>
    <w:rsid w:val="00EF4E7D"/>
    <w:rsid w:val="00EF60DC"/>
    <w:rsid w:val="00F00651"/>
    <w:rsid w:val="00F00F54"/>
    <w:rsid w:val="00F021FC"/>
    <w:rsid w:val="00F02DAB"/>
    <w:rsid w:val="00F031B0"/>
    <w:rsid w:val="00F0348C"/>
    <w:rsid w:val="00F03963"/>
    <w:rsid w:val="00F04191"/>
    <w:rsid w:val="00F04BCA"/>
    <w:rsid w:val="00F04D34"/>
    <w:rsid w:val="00F0531F"/>
    <w:rsid w:val="00F0682A"/>
    <w:rsid w:val="00F0739F"/>
    <w:rsid w:val="00F07BAD"/>
    <w:rsid w:val="00F07C3E"/>
    <w:rsid w:val="00F1017F"/>
    <w:rsid w:val="00F10A3B"/>
    <w:rsid w:val="00F11068"/>
    <w:rsid w:val="00F11625"/>
    <w:rsid w:val="00F1234F"/>
    <w:rsid w:val="00F1256D"/>
    <w:rsid w:val="00F13882"/>
    <w:rsid w:val="00F13A4E"/>
    <w:rsid w:val="00F14E16"/>
    <w:rsid w:val="00F15909"/>
    <w:rsid w:val="00F16E95"/>
    <w:rsid w:val="00F172BB"/>
    <w:rsid w:val="00F17B10"/>
    <w:rsid w:val="00F21BEF"/>
    <w:rsid w:val="00F22F63"/>
    <w:rsid w:val="00F230D8"/>
    <w:rsid w:val="00F2315B"/>
    <w:rsid w:val="00F308DE"/>
    <w:rsid w:val="00F309FC"/>
    <w:rsid w:val="00F3121F"/>
    <w:rsid w:val="00F3191A"/>
    <w:rsid w:val="00F31FB3"/>
    <w:rsid w:val="00F323D7"/>
    <w:rsid w:val="00F323ED"/>
    <w:rsid w:val="00F32540"/>
    <w:rsid w:val="00F334A5"/>
    <w:rsid w:val="00F34805"/>
    <w:rsid w:val="00F359AA"/>
    <w:rsid w:val="00F3619F"/>
    <w:rsid w:val="00F375C2"/>
    <w:rsid w:val="00F37D6D"/>
    <w:rsid w:val="00F41029"/>
    <w:rsid w:val="00F41A6F"/>
    <w:rsid w:val="00F41B5C"/>
    <w:rsid w:val="00F432AA"/>
    <w:rsid w:val="00F435D9"/>
    <w:rsid w:val="00F441FA"/>
    <w:rsid w:val="00F442B0"/>
    <w:rsid w:val="00F45A25"/>
    <w:rsid w:val="00F50F86"/>
    <w:rsid w:val="00F51923"/>
    <w:rsid w:val="00F521A8"/>
    <w:rsid w:val="00F52DE9"/>
    <w:rsid w:val="00F53E94"/>
    <w:rsid w:val="00F53F91"/>
    <w:rsid w:val="00F547CB"/>
    <w:rsid w:val="00F55194"/>
    <w:rsid w:val="00F57043"/>
    <w:rsid w:val="00F577DB"/>
    <w:rsid w:val="00F606EF"/>
    <w:rsid w:val="00F61569"/>
    <w:rsid w:val="00F61985"/>
    <w:rsid w:val="00F61A72"/>
    <w:rsid w:val="00F620F6"/>
    <w:rsid w:val="00F62B67"/>
    <w:rsid w:val="00F62C67"/>
    <w:rsid w:val="00F62DEA"/>
    <w:rsid w:val="00F641A1"/>
    <w:rsid w:val="00F64AFB"/>
    <w:rsid w:val="00F66C62"/>
    <w:rsid w:val="00F66F13"/>
    <w:rsid w:val="00F67C96"/>
    <w:rsid w:val="00F70122"/>
    <w:rsid w:val="00F703B3"/>
    <w:rsid w:val="00F717B6"/>
    <w:rsid w:val="00F71C64"/>
    <w:rsid w:val="00F72858"/>
    <w:rsid w:val="00F73985"/>
    <w:rsid w:val="00F74073"/>
    <w:rsid w:val="00F75603"/>
    <w:rsid w:val="00F76000"/>
    <w:rsid w:val="00F7615C"/>
    <w:rsid w:val="00F80667"/>
    <w:rsid w:val="00F81530"/>
    <w:rsid w:val="00F81DDF"/>
    <w:rsid w:val="00F820DD"/>
    <w:rsid w:val="00F82D71"/>
    <w:rsid w:val="00F845B4"/>
    <w:rsid w:val="00F85C5D"/>
    <w:rsid w:val="00F866DB"/>
    <w:rsid w:val="00F86789"/>
    <w:rsid w:val="00F8713B"/>
    <w:rsid w:val="00F9095B"/>
    <w:rsid w:val="00F9285C"/>
    <w:rsid w:val="00F92EE4"/>
    <w:rsid w:val="00F937A6"/>
    <w:rsid w:val="00F93F9E"/>
    <w:rsid w:val="00F96728"/>
    <w:rsid w:val="00F97024"/>
    <w:rsid w:val="00F97EF0"/>
    <w:rsid w:val="00FA0882"/>
    <w:rsid w:val="00FA141F"/>
    <w:rsid w:val="00FA1B96"/>
    <w:rsid w:val="00FA228E"/>
    <w:rsid w:val="00FA2CD7"/>
    <w:rsid w:val="00FA2F66"/>
    <w:rsid w:val="00FA4FFD"/>
    <w:rsid w:val="00FA547B"/>
    <w:rsid w:val="00FA66D1"/>
    <w:rsid w:val="00FA682B"/>
    <w:rsid w:val="00FA70FC"/>
    <w:rsid w:val="00FA751A"/>
    <w:rsid w:val="00FB06ED"/>
    <w:rsid w:val="00FB16E8"/>
    <w:rsid w:val="00FB1FAD"/>
    <w:rsid w:val="00FB22D9"/>
    <w:rsid w:val="00FB2E55"/>
    <w:rsid w:val="00FB49F6"/>
    <w:rsid w:val="00FB4FD9"/>
    <w:rsid w:val="00FB6519"/>
    <w:rsid w:val="00FB71EC"/>
    <w:rsid w:val="00FC1F75"/>
    <w:rsid w:val="00FC2311"/>
    <w:rsid w:val="00FC2CDE"/>
    <w:rsid w:val="00FC3088"/>
    <w:rsid w:val="00FC3165"/>
    <w:rsid w:val="00FC36AB"/>
    <w:rsid w:val="00FC4300"/>
    <w:rsid w:val="00FC5DC6"/>
    <w:rsid w:val="00FC698D"/>
    <w:rsid w:val="00FC740A"/>
    <w:rsid w:val="00FC7F66"/>
    <w:rsid w:val="00FC7FD4"/>
    <w:rsid w:val="00FD02D4"/>
    <w:rsid w:val="00FD0995"/>
    <w:rsid w:val="00FD141E"/>
    <w:rsid w:val="00FD1FDF"/>
    <w:rsid w:val="00FD201A"/>
    <w:rsid w:val="00FD2D05"/>
    <w:rsid w:val="00FD2DBC"/>
    <w:rsid w:val="00FD2DCE"/>
    <w:rsid w:val="00FD372C"/>
    <w:rsid w:val="00FD3853"/>
    <w:rsid w:val="00FD3A1D"/>
    <w:rsid w:val="00FD45D6"/>
    <w:rsid w:val="00FD5776"/>
    <w:rsid w:val="00FD8407"/>
    <w:rsid w:val="00FE0592"/>
    <w:rsid w:val="00FE1CB6"/>
    <w:rsid w:val="00FE2656"/>
    <w:rsid w:val="00FE486B"/>
    <w:rsid w:val="00FE4B21"/>
    <w:rsid w:val="00FE4F08"/>
    <w:rsid w:val="00FE5AE0"/>
    <w:rsid w:val="00FE5BE9"/>
    <w:rsid w:val="00FE64D4"/>
    <w:rsid w:val="00FE6E1C"/>
    <w:rsid w:val="00FE6F58"/>
    <w:rsid w:val="00FE7277"/>
    <w:rsid w:val="00FF0478"/>
    <w:rsid w:val="00FF091B"/>
    <w:rsid w:val="00FF10FE"/>
    <w:rsid w:val="00FF15FB"/>
    <w:rsid w:val="00FF192E"/>
    <w:rsid w:val="00FF1DCA"/>
    <w:rsid w:val="00FF242B"/>
    <w:rsid w:val="00FF2524"/>
    <w:rsid w:val="00FF2AEE"/>
    <w:rsid w:val="00FF2B22"/>
    <w:rsid w:val="00FF3064"/>
    <w:rsid w:val="00FF5499"/>
    <w:rsid w:val="01223032"/>
    <w:rsid w:val="014F42D3"/>
    <w:rsid w:val="0166D259"/>
    <w:rsid w:val="01670359"/>
    <w:rsid w:val="016F20D0"/>
    <w:rsid w:val="01747AB1"/>
    <w:rsid w:val="0175B00C"/>
    <w:rsid w:val="018D3D0C"/>
    <w:rsid w:val="01998883"/>
    <w:rsid w:val="01B883D8"/>
    <w:rsid w:val="01DB1E33"/>
    <w:rsid w:val="0210C432"/>
    <w:rsid w:val="0234B702"/>
    <w:rsid w:val="024CE525"/>
    <w:rsid w:val="028D3DDC"/>
    <w:rsid w:val="0291D087"/>
    <w:rsid w:val="02CAD7EF"/>
    <w:rsid w:val="02DFE4F8"/>
    <w:rsid w:val="02F75907"/>
    <w:rsid w:val="03BFE83E"/>
    <w:rsid w:val="03C27DEE"/>
    <w:rsid w:val="03C5FD47"/>
    <w:rsid w:val="03D47526"/>
    <w:rsid w:val="03E679E2"/>
    <w:rsid w:val="03F27EF7"/>
    <w:rsid w:val="03F3ECF0"/>
    <w:rsid w:val="03F7FDD6"/>
    <w:rsid w:val="0438BB52"/>
    <w:rsid w:val="04A3DD76"/>
    <w:rsid w:val="04AD6751"/>
    <w:rsid w:val="04C4DE46"/>
    <w:rsid w:val="04DF259D"/>
    <w:rsid w:val="04F39FBB"/>
    <w:rsid w:val="0523C646"/>
    <w:rsid w:val="05408EFC"/>
    <w:rsid w:val="0557AC21"/>
    <w:rsid w:val="05A5BEE5"/>
    <w:rsid w:val="05AEA90B"/>
    <w:rsid w:val="05B1DEFD"/>
    <w:rsid w:val="05CBABF7"/>
    <w:rsid w:val="05CF6486"/>
    <w:rsid w:val="05D20E67"/>
    <w:rsid w:val="05EB3A9F"/>
    <w:rsid w:val="05FAA7D1"/>
    <w:rsid w:val="0605C32F"/>
    <w:rsid w:val="060D9C27"/>
    <w:rsid w:val="060DA779"/>
    <w:rsid w:val="06139DE9"/>
    <w:rsid w:val="062B6524"/>
    <w:rsid w:val="06390049"/>
    <w:rsid w:val="06562FF6"/>
    <w:rsid w:val="065EC6F4"/>
    <w:rsid w:val="06600C35"/>
    <w:rsid w:val="06777F29"/>
    <w:rsid w:val="06A6DB95"/>
    <w:rsid w:val="06EF27AF"/>
    <w:rsid w:val="06F257CE"/>
    <w:rsid w:val="06F90447"/>
    <w:rsid w:val="0705D74C"/>
    <w:rsid w:val="071177FE"/>
    <w:rsid w:val="07408DA6"/>
    <w:rsid w:val="075E42B5"/>
    <w:rsid w:val="076007A0"/>
    <w:rsid w:val="07763D53"/>
    <w:rsid w:val="077B1D36"/>
    <w:rsid w:val="07B2BB01"/>
    <w:rsid w:val="07BDCD7E"/>
    <w:rsid w:val="07D7235C"/>
    <w:rsid w:val="08222EB6"/>
    <w:rsid w:val="0866644C"/>
    <w:rsid w:val="086A55F6"/>
    <w:rsid w:val="0885970E"/>
    <w:rsid w:val="08880451"/>
    <w:rsid w:val="08A487D7"/>
    <w:rsid w:val="08BB0ED4"/>
    <w:rsid w:val="08BB88B7"/>
    <w:rsid w:val="08D7673C"/>
    <w:rsid w:val="08DC02B4"/>
    <w:rsid w:val="08E05BC7"/>
    <w:rsid w:val="0901D7D1"/>
    <w:rsid w:val="099C0754"/>
    <w:rsid w:val="09C71200"/>
    <w:rsid w:val="09D21C71"/>
    <w:rsid w:val="0A0A4ED2"/>
    <w:rsid w:val="0A2E564A"/>
    <w:rsid w:val="0A2ED35E"/>
    <w:rsid w:val="0A51589F"/>
    <w:rsid w:val="0A52E4B8"/>
    <w:rsid w:val="0A626209"/>
    <w:rsid w:val="0A6BEFD1"/>
    <w:rsid w:val="0A89821D"/>
    <w:rsid w:val="0AB76526"/>
    <w:rsid w:val="0AD66BEF"/>
    <w:rsid w:val="0AE7FA50"/>
    <w:rsid w:val="0AF1108A"/>
    <w:rsid w:val="0B138479"/>
    <w:rsid w:val="0B28B6DB"/>
    <w:rsid w:val="0B2C4A59"/>
    <w:rsid w:val="0B312461"/>
    <w:rsid w:val="0B93D3CB"/>
    <w:rsid w:val="0BC26A85"/>
    <w:rsid w:val="0BE0AB3B"/>
    <w:rsid w:val="0C0BAE28"/>
    <w:rsid w:val="0C2340F9"/>
    <w:rsid w:val="0C2E0378"/>
    <w:rsid w:val="0C4BDAD6"/>
    <w:rsid w:val="0C61DC63"/>
    <w:rsid w:val="0C6F024E"/>
    <w:rsid w:val="0C70EEE8"/>
    <w:rsid w:val="0C7F588F"/>
    <w:rsid w:val="0CBE2D62"/>
    <w:rsid w:val="0CE83941"/>
    <w:rsid w:val="0D02765B"/>
    <w:rsid w:val="0D5A5F9E"/>
    <w:rsid w:val="0DB478D0"/>
    <w:rsid w:val="0DD0FCA7"/>
    <w:rsid w:val="0DD856BA"/>
    <w:rsid w:val="0DDE8854"/>
    <w:rsid w:val="0E02A6BE"/>
    <w:rsid w:val="0E807411"/>
    <w:rsid w:val="0E995AFC"/>
    <w:rsid w:val="0E9CC600"/>
    <w:rsid w:val="0EC23C99"/>
    <w:rsid w:val="0F0CE992"/>
    <w:rsid w:val="0F16A96F"/>
    <w:rsid w:val="0F43091D"/>
    <w:rsid w:val="0F48CBE9"/>
    <w:rsid w:val="0F85E7D5"/>
    <w:rsid w:val="0F986E40"/>
    <w:rsid w:val="0FBD319F"/>
    <w:rsid w:val="10057998"/>
    <w:rsid w:val="103F2417"/>
    <w:rsid w:val="104701AF"/>
    <w:rsid w:val="104B5FB5"/>
    <w:rsid w:val="106587E3"/>
    <w:rsid w:val="1082B9FF"/>
    <w:rsid w:val="10932351"/>
    <w:rsid w:val="1093BFB9"/>
    <w:rsid w:val="10B7116A"/>
    <w:rsid w:val="10BD473A"/>
    <w:rsid w:val="10D6EF30"/>
    <w:rsid w:val="10EC21E4"/>
    <w:rsid w:val="10F546F1"/>
    <w:rsid w:val="1101351E"/>
    <w:rsid w:val="115A43D6"/>
    <w:rsid w:val="1163425E"/>
    <w:rsid w:val="1190A59E"/>
    <w:rsid w:val="11CED524"/>
    <w:rsid w:val="1214CA3A"/>
    <w:rsid w:val="12155950"/>
    <w:rsid w:val="122BC636"/>
    <w:rsid w:val="1234E85E"/>
    <w:rsid w:val="127EE7AB"/>
    <w:rsid w:val="12A12CC9"/>
    <w:rsid w:val="12C48815"/>
    <w:rsid w:val="12DD2515"/>
    <w:rsid w:val="132200D0"/>
    <w:rsid w:val="13520A2C"/>
    <w:rsid w:val="1366596A"/>
    <w:rsid w:val="136A4402"/>
    <w:rsid w:val="136BE28B"/>
    <w:rsid w:val="137D41F1"/>
    <w:rsid w:val="13969D83"/>
    <w:rsid w:val="13A4D7AD"/>
    <w:rsid w:val="13B3B7CA"/>
    <w:rsid w:val="13BB853B"/>
    <w:rsid w:val="142FB987"/>
    <w:rsid w:val="144E3C20"/>
    <w:rsid w:val="14522CD3"/>
    <w:rsid w:val="1466B9B5"/>
    <w:rsid w:val="1496FB14"/>
    <w:rsid w:val="14A2D29A"/>
    <w:rsid w:val="14B6ACED"/>
    <w:rsid w:val="14F0076C"/>
    <w:rsid w:val="14F15307"/>
    <w:rsid w:val="151DC6AB"/>
    <w:rsid w:val="1523642E"/>
    <w:rsid w:val="152DB5FA"/>
    <w:rsid w:val="154E2ECD"/>
    <w:rsid w:val="15512C76"/>
    <w:rsid w:val="15946A6E"/>
    <w:rsid w:val="15C2CF55"/>
    <w:rsid w:val="15E08BF2"/>
    <w:rsid w:val="162BAD3B"/>
    <w:rsid w:val="16368A02"/>
    <w:rsid w:val="16616680"/>
    <w:rsid w:val="16730EE3"/>
    <w:rsid w:val="167337F7"/>
    <w:rsid w:val="169B7B8E"/>
    <w:rsid w:val="16B06B57"/>
    <w:rsid w:val="16BE84F2"/>
    <w:rsid w:val="16C795F6"/>
    <w:rsid w:val="16CBD752"/>
    <w:rsid w:val="16DA7B72"/>
    <w:rsid w:val="16F18493"/>
    <w:rsid w:val="17029F6C"/>
    <w:rsid w:val="17486879"/>
    <w:rsid w:val="178CEAC7"/>
    <w:rsid w:val="179246A8"/>
    <w:rsid w:val="179AFD14"/>
    <w:rsid w:val="17A38FFB"/>
    <w:rsid w:val="17AAC0E5"/>
    <w:rsid w:val="17FB325A"/>
    <w:rsid w:val="183A4E74"/>
    <w:rsid w:val="1844690B"/>
    <w:rsid w:val="18723605"/>
    <w:rsid w:val="188B54D4"/>
    <w:rsid w:val="18B3EE54"/>
    <w:rsid w:val="18C11203"/>
    <w:rsid w:val="18C616F8"/>
    <w:rsid w:val="18C71F42"/>
    <w:rsid w:val="18F7895F"/>
    <w:rsid w:val="19589A63"/>
    <w:rsid w:val="195EDF8D"/>
    <w:rsid w:val="198A6E2B"/>
    <w:rsid w:val="19A31215"/>
    <w:rsid w:val="19B05E2F"/>
    <w:rsid w:val="19BE1CAA"/>
    <w:rsid w:val="19D1798A"/>
    <w:rsid w:val="19DB88B1"/>
    <w:rsid w:val="19FA410E"/>
    <w:rsid w:val="1A0C8939"/>
    <w:rsid w:val="1A249487"/>
    <w:rsid w:val="1A5BBD7F"/>
    <w:rsid w:val="1A5C7BD0"/>
    <w:rsid w:val="1A88A4B1"/>
    <w:rsid w:val="1A9D1312"/>
    <w:rsid w:val="1ABBE27B"/>
    <w:rsid w:val="1AC6D39C"/>
    <w:rsid w:val="1ACD4834"/>
    <w:rsid w:val="1AE5CEE5"/>
    <w:rsid w:val="1AEF38A7"/>
    <w:rsid w:val="1B16B5EE"/>
    <w:rsid w:val="1B223EB7"/>
    <w:rsid w:val="1B22C046"/>
    <w:rsid w:val="1B3B320A"/>
    <w:rsid w:val="1B3ECDB3"/>
    <w:rsid w:val="1B4DB5FC"/>
    <w:rsid w:val="1B93E7B7"/>
    <w:rsid w:val="1B9F29A4"/>
    <w:rsid w:val="1BB722AB"/>
    <w:rsid w:val="1BC652D8"/>
    <w:rsid w:val="1BE9C3ED"/>
    <w:rsid w:val="1BEAC037"/>
    <w:rsid w:val="1BF4F4A3"/>
    <w:rsid w:val="1BFA7175"/>
    <w:rsid w:val="1C14FFBA"/>
    <w:rsid w:val="1C2B7C14"/>
    <w:rsid w:val="1C32C7F8"/>
    <w:rsid w:val="1C38A4B2"/>
    <w:rsid w:val="1C416F4C"/>
    <w:rsid w:val="1C809063"/>
    <w:rsid w:val="1C83DCC2"/>
    <w:rsid w:val="1C8A7BF9"/>
    <w:rsid w:val="1CB06438"/>
    <w:rsid w:val="1D2518F8"/>
    <w:rsid w:val="1D2E297E"/>
    <w:rsid w:val="1D42D306"/>
    <w:rsid w:val="1D48A138"/>
    <w:rsid w:val="1D5F8B35"/>
    <w:rsid w:val="1D94679A"/>
    <w:rsid w:val="1DA0DD1F"/>
    <w:rsid w:val="1DB36702"/>
    <w:rsid w:val="1DC8002C"/>
    <w:rsid w:val="1DDFEB18"/>
    <w:rsid w:val="1E3A18C2"/>
    <w:rsid w:val="1E94E7D9"/>
    <w:rsid w:val="1EE52E9F"/>
    <w:rsid w:val="1EEF5E39"/>
    <w:rsid w:val="1EFDFCB2"/>
    <w:rsid w:val="1F2D8C83"/>
    <w:rsid w:val="1F5A6FD6"/>
    <w:rsid w:val="1F60C1E7"/>
    <w:rsid w:val="1FAC17B8"/>
    <w:rsid w:val="1FF60C8C"/>
    <w:rsid w:val="20585220"/>
    <w:rsid w:val="206317D6"/>
    <w:rsid w:val="2093A5AB"/>
    <w:rsid w:val="20A94A2F"/>
    <w:rsid w:val="20BAED5C"/>
    <w:rsid w:val="20EEA8D4"/>
    <w:rsid w:val="20EFE35E"/>
    <w:rsid w:val="20FA3D00"/>
    <w:rsid w:val="2102467C"/>
    <w:rsid w:val="21027D96"/>
    <w:rsid w:val="2104E57C"/>
    <w:rsid w:val="210DF635"/>
    <w:rsid w:val="210ED9A2"/>
    <w:rsid w:val="2127BAA4"/>
    <w:rsid w:val="2161BD1F"/>
    <w:rsid w:val="2162B5BB"/>
    <w:rsid w:val="216A754A"/>
    <w:rsid w:val="21874EE2"/>
    <w:rsid w:val="21B1E0C4"/>
    <w:rsid w:val="21C6AE4C"/>
    <w:rsid w:val="21D44860"/>
    <w:rsid w:val="21DC0EF3"/>
    <w:rsid w:val="21F35DF9"/>
    <w:rsid w:val="21F972A1"/>
    <w:rsid w:val="2201E6B8"/>
    <w:rsid w:val="22155553"/>
    <w:rsid w:val="224BB05B"/>
    <w:rsid w:val="2264B4E4"/>
    <w:rsid w:val="22C50A40"/>
    <w:rsid w:val="230B7B22"/>
    <w:rsid w:val="231897D9"/>
    <w:rsid w:val="232BBCA8"/>
    <w:rsid w:val="234B99C1"/>
    <w:rsid w:val="23C09D89"/>
    <w:rsid w:val="23E1AB3C"/>
    <w:rsid w:val="23E49F40"/>
    <w:rsid w:val="23F94D1E"/>
    <w:rsid w:val="240ACC69"/>
    <w:rsid w:val="241C380C"/>
    <w:rsid w:val="242EA2D5"/>
    <w:rsid w:val="2433C384"/>
    <w:rsid w:val="2437E6E2"/>
    <w:rsid w:val="2444356D"/>
    <w:rsid w:val="2445DC38"/>
    <w:rsid w:val="247AB107"/>
    <w:rsid w:val="24DADFB0"/>
    <w:rsid w:val="25076324"/>
    <w:rsid w:val="250B7FEC"/>
    <w:rsid w:val="253A25BB"/>
    <w:rsid w:val="253E427C"/>
    <w:rsid w:val="254080CA"/>
    <w:rsid w:val="25496DD4"/>
    <w:rsid w:val="25572B76"/>
    <w:rsid w:val="256C94AD"/>
    <w:rsid w:val="259E4F84"/>
    <w:rsid w:val="25A9A5F6"/>
    <w:rsid w:val="25D53AD7"/>
    <w:rsid w:val="25D8635D"/>
    <w:rsid w:val="25FD4424"/>
    <w:rsid w:val="26077527"/>
    <w:rsid w:val="2625D49B"/>
    <w:rsid w:val="265BAB69"/>
    <w:rsid w:val="266621B6"/>
    <w:rsid w:val="267EF268"/>
    <w:rsid w:val="2693563F"/>
    <w:rsid w:val="269374BA"/>
    <w:rsid w:val="2696B9AA"/>
    <w:rsid w:val="26B5E55D"/>
    <w:rsid w:val="26B9AA5C"/>
    <w:rsid w:val="26C70B01"/>
    <w:rsid w:val="26FD5987"/>
    <w:rsid w:val="270F0138"/>
    <w:rsid w:val="271DCA6F"/>
    <w:rsid w:val="2760A191"/>
    <w:rsid w:val="27ED0C06"/>
    <w:rsid w:val="27F4EC71"/>
    <w:rsid w:val="282639D5"/>
    <w:rsid w:val="282F5B4F"/>
    <w:rsid w:val="286C2568"/>
    <w:rsid w:val="2889EF16"/>
    <w:rsid w:val="288B0B99"/>
    <w:rsid w:val="28904B52"/>
    <w:rsid w:val="2893F45B"/>
    <w:rsid w:val="28971E21"/>
    <w:rsid w:val="28A41089"/>
    <w:rsid w:val="28AC5539"/>
    <w:rsid w:val="28D043B6"/>
    <w:rsid w:val="290ABE11"/>
    <w:rsid w:val="290E5E01"/>
    <w:rsid w:val="291E8DBD"/>
    <w:rsid w:val="293975FC"/>
    <w:rsid w:val="2958F847"/>
    <w:rsid w:val="297DCAB0"/>
    <w:rsid w:val="29BF794B"/>
    <w:rsid w:val="29D6400B"/>
    <w:rsid w:val="29DDC3C7"/>
    <w:rsid w:val="29FD954C"/>
    <w:rsid w:val="2A11EBA8"/>
    <w:rsid w:val="2A2AFC45"/>
    <w:rsid w:val="2A2CB4CD"/>
    <w:rsid w:val="2A2F6BF7"/>
    <w:rsid w:val="2A358BB4"/>
    <w:rsid w:val="2A72C4ED"/>
    <w:rsid w:val="2A76EE08"/>
    <w:rsid w:val="2AB0FD3A"/>
    <w:rsid w:val="2AD4838B"/>
    <w:rsid w:val="2B02E4E7"/>
    <w:rsid w:val="2B0BB724"/>
    <w:rsid w:val="2B2468AB"/>
    <w:rsid w:val="2B3B3BC8"/>
    <w:rsid w:val="2B5AF7A7"/>
    <w:rsid w:val="2B6695C7"/>
    <w:rsid w:val="2B6F4841"/>
    <w:rsid w:val="2BC7D335"/>
    <w:rsid w:val="2BCCADBA"/>
    <w:rsid w:val="2BD6D555"/>
    <w:rsid w:val="2BDFE4F0"/>
    <w:rsid w:val="2BF31B0E"/>
    <w:rsid w:val="2BF90D26"/>
    <w:rsid w:val="2C06771D"/>
    <w:rsid w:val="2C463803"/>
    <w:rsid w:val="2C4A3EB8"/>
    <w:rsid w:val="2C798E90"/>
    <w:rsid w:val="2C847E4C"/>
    <w:rsid w:val="2CA772E9"/>
    <w:rsid w:val="2CC3974E"/>
    <w:rsid w:val="2CDB8E45"/>
    <w:rsid w:val="2CDF1E62"/>
    <w:rsid w:val="2CE19EB7"/>
    <w:rsid w:val="2CE524D4"/>
    <w:rsid w:val="2CF6A744"/>
    <w:rsid w:val="2CF6E28B"/>
    <w:rsid w:val="2D34C8D3"/>
    <w:rsid w:val="2D3F093D"/>
    <w:rsid w:val="2D429061"/>
    <w:rsid w:val="2D4368C8"/>
    <w:rsid w:val="2D863AD2"/>
    <w:rsid w:val="2DBEDEEB"/>
    <w:rsid w:val="2DE13B39"/>
    <w:rsid w:val="2DEC4E6F"/>
    <w:rsid w:val="2DEF2BDC"/>
    <w:rsid w:val="2E11559C"/>
    <w:rsid w:val="2E4A9273"/>
    <w:rsid w:val="2E5B0AD9"/>
    <w:rsid w:val="2E5DDBD0"/>
    <w:rsid w:val="2E782AED"/>
    <w:rsid w:val="2E91DEC6"/>
    <w:rsid w:val="2E9A70CF"/>
    <w:rsid w:val="2E9E45DF"/>
    <w:rsid w:val="2EA8A201"/>
    <w:rsid w:val="2EC54647"/>
    <w:rsid w:val="2ED67BBE"/>
    <w:rsid w:val="2EDE7985"/>
    <w:rsid w:val="2F1F8926"/>
    <w:rsid w:val="2F2F4E56"/>
    <w:rsid w:val="2F40B5A6"/>
    <w:rsid w:val="2F4112A8"/>
    <w:rsid w:val="2F732D09"/>
    <w:rsid w:val="2F9AB4D6"/>
    <w:rsid w:val="2FA6273E"/>
    <w:rsid w:val="302CC8AD"/>
    <w:rsid w:val="306A4AB9"/>
    <w:rsid w:val="30BBD237"/>
    <w:rsid w:val="30CC9930"/>
    <w:rsid w:val="30E0E250"/>
    <w:rsid w:val="30E81D58"/>
    <w:rsid w:val="3104287F"/>
    <w:rsid w:val="310B520A"/>
    <w:rsid w:val="315D34DA"/>
    <w:rsid w:val="3187FFCD"/>
    <w:rsid w:val="31905631"/>
    <w:rsid w:val="3192D04E"/>
    <w:rsid w:val="319BC023"/>
    <w:rsid w:val="31D31DF3"/>
    <w:rsid w:val="31EBB36F"/>
    <w:rsid w:val="32082C20"/>
    <w:rsid w:val="3217824E"/>
    <w:rsid w:val="32226A17"/>
    <w:rsid w:val="322F4318"/>
    <w:rsid w:val="323E0156"/>
    <w:rsid w:val="32469C76"/>
    <w:rsid w:val="325688EF"/>
    <w:rsid w:val="326E34B8"/>
    <w:rsid w:val="327CE70E"/>
    <w:rsid w:val="328BF0D0"/>
    <w:rsid w:val="32D51959"/>
    <w:rsid w:val="32D69A9B"/>
    <w:rsid w:val="32F77F44"/>
    <w:rsid w:val="32FB44AF"/>
    <w:rsid w:val="32FC6606"/>
    <w:rsid w:val="3326AAC0"/>
    <w:rsid w:val="3363B873"/>
    <w:rsid w:val="336E13B0"/>
    <w:rsid w:val="337B0D77"/>
    <w:rsid w:val="33AA246F"/>
    <w:rsid w:val="33DF4D89"/>
    <w:rsid w:val="33E2460E"/>
    <w:rsid w:val="33F83A47"/>
    <w:rsid w:val="340D5A08"/>
    <w:rsid w:val="342534C0"/>
    <w:rsid w:val="34B17C5D"/>
    <w:rsid w:val="34EBE363"/>
    <w:rsid w:val="34EFFDCE"/>
    <w:rsid w:val="350280E5"/>
    <w:rsid w:val="350E348A"/>
    <w:rsid w:val="35472E34"/>
    <w:rsid w:val="355C49E7"/>
    <w:rsid w:val="35833B59"/>
    <w:rsid w:val="358443BC"/>
    <w:rsid w:val="3584F1AA"/>
    <w:rsid w:val="35956149"/>
    <w:rsid w:val="35A2E2A2"/>
    <w:rsid w:val="35C4140D"/>
    <w:rsid w:val="35D6B9C0"/>
    <w:rsid w:val="35E5629A"/>
    <w:rsid w:val="35E8A1BF"/>
    <w:rsid w:val="35FE0A06"/>
    <w:rsid w:val="35FFEAF7"/>
    <w:rsid w:val="36015DF0"/>
    <w:rsid w:val="360858FA"/>
    <w:rsid w:val="36231325"/>
    <w:rsid w:val="367242A7"/>
    <w:rsid w:val="367523DF"/>
    <w:rsid w:val="36E94EB2"/>
    <w:rsid w:val="36EC5E2B"/>
    <w:rsid w:val="36F6D725"/>
    <w:rsid w:val="373CDBF4"/>
    <w:rsid w:val="37459AED"/>
    <w:rsid w:val="3777ECAF"/>
    <w:rsid w:val="378BCC0C"/>
    <w:rsid w:val="3792EEC5"/>
    <w:rsid w:val="37A57B2D"/>
    <w:rsid w:val="37E58A44"/>
    <w:rsid w:val="37EA58EF"/>
    <w:rsid w:val="37F49381"/>
    <w:rsid w:val="37F60249"/>
    <w:rsid w:val="37F7701C"/>
    <w:rsid w:val="381B092B"/>
    <w:rsid w:val="38457F23"/>
    <w:rsid w:val="391CAE44"/>
    <w:rsid w:val="3934F9CF"/>
    <w:rsid w:val="393F558C"/>
    <w:rsid w:val="3941D53A"/>
    <w:rsid w:val="394E17FC"/>
    <w:rsid w:val="397AFB83"/>
    <w:rsid w:val="399ABAC8"/>
    <w:rsid w:val="39D67930"/>
    <w:rsid w:val="39E7DE5B"/>
    <w:rsid w:val="39EECBB5"/>
    <w:rsid w:val="3A09B826"/>
    <w:rsid w:val="3A158AA6"/>
    <w:rsid w:val="3A3557E2"/>
    <w:rsid w:val="3A57E666"/>
    <w:rsid w:val="3A956D36"/>
    <w:rsid w:val="3AE20F94"/>
    <w:rsid w:val="3B0C71EA"/>
    <w:rsid w:val="3B2854D3"/>
    <w:rsid w:val="3B2B8B9B"/>
    <w:rsid w:val="3B384510"/>
    <w:rsid w:val="3B58EB84"/>
    <w:rsid w:val="3B59F6F7"/>
    <w:rsid w:val="3B6CD246"/>
    <w:rsid w:val="3B8DA997"/>
    <w:rsid w:val="3BC202B0"/>
    <w:rsid w:val="3BD705E7"/>
    <w:rsid w:val="3BDDC6D7"/>
    <w:rsid w:val="3BFE910E"/>
    <w:rsid w:val="3C0790C2"/>
    <w:rsid w:val="3C27E06E"/>
    <w:rsid w:val="3C39A6B5"/>
    <w:rsid w:val="3C5EF949"/>
    <w:rsid w:val="3C7E7FDF"/>
    <w:rsid w:val="3C818DF8"/>
    <w:rsid w:val="3CB3935A"/>
    <w:rsid w:val="3CF45CF9"/>
    <w:rsid w:val="3D0FD905"/>
    <w:rsid w:val="3D288F93"/>
    <w:rsid w:val="3D582EF4"/>
    <w:rsid w:val="3D9B2895"/>
    <w:rsid w:val="3DB8368F"/>
    <w:rsid w:val="3DBC2CA2"/>
    <w:rsid w:val="3DE1D3F7"/>
    <w:rsid w:val="3DE61B09"/>
    <w:rsid w:val="3DF772AA"/>
    <w:rsid w:val="3E059F33"/>
    <w:rsid w:val="3E293873"/>
    <w:rsid w:val="3E330B70"/>
    <w:rsid w:val="3E553B6A"/>
    <w:rsid w:val="3E5AD0EB"/>
    <w:rsid w:val="3E92FA0F"/>
    <w:rsid w:val="3E973D25"/>
    <w:rsid w:val="3EC5B658"/>
    <w:rsid w:val="3ECB2B29"/>
    <w:rsid w:val="3EE1D226"/>
    <w:rsid w:val="3EE31DF2"/>
    <w:rsid w:val="3EEE31DD"/>
    <w:rsid w:val="3F2D56BD"/>
    <w:rsid w:val="3F582139"/>
    <w:rsid w:val="3F588CD6"/>
    <w:rsid w:val="3F686C24"/>
    <w:rsid w:val="3F7D4693"/>
    <w:rsid w:val="3FA3177E"/>
    <w:rsid w:val="3FA55D9E"/>
    <w:rsid w:val="3FE801CD"/>
    <w:rsid w:val="4048B5B2"/>
    <w:rsid w:val="407FA395"/>
    <w:rsid w:val="4080F7FE"/>
    <w:rsid w:val="40902863"/>
    <w:rsid w:val="40DFCC05"/>
    <w:rsid w:val="4114223C"/>
    <w:rsid w:val="411FEA63"/>
    <w:rsid w:val="413155BB"/>
    <w:rsid w:val="414A08B8"/>
    <w:rsid w:val="4154620D"/>
    <w:rsid w:val="41770428"/>
    <w:rsid w:val="4183C4DD"/>
    <w:rsid w:val="41DD0F1E"/>
    <w:rsid w:val="41E2B262"/>
    <w:rsid w:val="41F25889"/>
    <w:rsid w:val="420B8308"/>
    <w:rsid w:val="42204A06"/>
    <w:rsid w:val="4236F893"/>
    <w:rsid w:val="425D8EDB"/>
    <w:rsid w:val="426049F8"/>
    <w:rsid w:val="427F90EE"/>
    <w:rsid w:val="42CBE55B"/>
    <w:rsid w:val="42F17CA2"/>
    <w:rsid w:val="42F8C1C9"/>
    <w:rsid w:val="4377DC68"/>
    <w:rsid w:val="4397ABDA"/>
    <w:rsid w:val="43AA27A9"/>
    <w:rsid w:val="43B4B9EC"/>
    <w:rsid w:val="43B9DDC6"/>
    <w:rsid w:val="43CB5AFD"/>
    <w:rsid w:val="43D69D7E"/>
    <w:rsid w:val="43F01E1C"/>
    <w:rsid w:val="440DEFCA"/>
    <w:rsid w:val="441F6E3C"/>
    <w:rsid w:val="4458D122"/>
    <w:rsid w:val="44680D3A"/>
    <w:rsid w:val="4495B732"/>
    <w:rsid w:val="44B0AD2A"/>
    <w:rsid w:val="44DC2017"/>
    <w:rsid w:val="44E5628C"/>
    <w:rsid w:val="44F2A8D0"/>
    <w:rsid w:val="45046885"/>
    <w:rsid w:val="45066200"/>
    <w:rsid w:val="455FB503"/>
    <w:rsid w:val="45673939"/>
    <w:rsid w:val="457BB049"/>
    <w:rsid w:val="4590AA9A"/>
    <w:rsid w:val="4590BFDA"/>
    <w:rsid w:val="4591D0CA"/>
    <w:rsid w:val="459369EB"/>
    <w:rsid w:val="45D38B6C"/>
    <w:rsid w:val="45D82D5C"/>
    <w:rsid w:val="45DFA38F"/>
    <w:rsid w:val="45E197C0"/>
    <w:rsid w:val="45EC1343"/>
    <w:rsid w:val="45EE25AC"/>
    <w:rsid w:val="460B684C"/>
    <w:rsid w:val="46286239"/>
    <w:rsid w:val="463801C9"/>
    <w:rsid w:val="464D813E"/>
    <w:rsid w:val="469984D2"/>
    <w:rsid w:val="46B499B3"/>
    <w:rsid w:val="46BB225D"/>
    <w:rsid w:val="46D49586"/>
    <w:rsid w:val="46FC228E"/>
    <w:rsid w:val="46FEBAC0"/>
    <w:rsid w:val="4707F1D2"/>
    <w:rsid w:val="4708643B"/>
    <w:rsid w:val="471075F5"/>
    <w:rsid w:val="472EB0B1"/>
    <w:rsid w:val="475354FF"/>
    <w:rsid w:val="4767D0C1"/>
    <w:rsid w:val="4773A8EB"/>
    <w:rsid w:val="4799B1D4"/>
    <w:rsid w:val="47A789CE"/>
    <w:rsid w:val="47B755B2"/>
    <w:rsid w:val="47BD6B70"/>
    <w:rsid w:val="47CD570A"/>
    <w:rsid w:val="480CC23B"/>
    <w:rsid w:val="4818BED7"/>
    <w:rsid w:val="4819244C"/>
    <w:rsid w:val="481E28D5"/>
    <w:rsid w:val="4820740D"/>
    <w:rsid w:val="4844DC59"/>
    <w:rsid w:val="485C4518"/>
    <w:rsid w:val="4886935C"/>
    <w:rsid w:val="4893D630"/>
    <w:rsid w:val="4894917D"/>
    <w:rsid w:val="48D13857"/>
    <w:rsid w:val="48E3A38A"/>
    <w:rsid w:val="48EDE696"/>
    <w:rsid w:val="48EEC4BA"/>
    <w:rsid w:val="48FC518A"/>
    <w:rsid w:val="491C68D1"/>
    <w:rsid w:val="4934F052"/>
    <w:rsid w:val="49489600"/>
    <w:rsid w:val="495E3893"/>
    <w:rsid w:val="4961E018"/>
    <w:rsid w:val="4991ACBD"/>
    <w:rsid w:val="49A119B9"/>
    <w:rsid w:val="49FC5F41"/>
    <w:rsid w:val="4A25E384"/>
    <w:rsid w:val="4A4DDD5C"/>
    <w:rsid w:val="4A5C8C06"/>
    <w:rsid w:val="4A8F2399"/>
    <w:rsid w:val="4A9127E2"/>
    <w:rsid w:val="4A96E2D3"/>
    <w:rsid w:val="4AAC53F9"/>
    <w:rsid w:val="4AAFC3CE"/>
    <w:rsid w:val="4AF5CE07"/>
    <w:rsid w:val="4B023DEA"/>
    <w:rsid w:val="4B0F84FA"/>
    <w:rsid w:val="4B44980E"/>
    <w:rsid w:val="4B65324F"/>
    <w:rsid w:val="4B6F9CF8"/>
    <w:rsid w:val="4B758866"/>
    <w:rsid w:val="4B994C4B"/>
    <w:rsid w:val="4BA4E36C"/>
    <w:rsid w:val="4BE4D36C"/>
    <w:rsid w:val="4C23C657"/>
    <w:rsid w:val="4C507CB3"/>
    <w:rsid w:val="4C5F09C4"/>
    <w:rsid w:val="4C68B60F"/>
    <w:rsid w:val="4C6D72C4"/>
    <w:rsid w:val="4C844F4B"/>
    <w:rsid w:val="4C91F3C4"/>
    <w:rsid w:val="4CB8E499"/>
    <w:rsid w:val="4CEA9EE6"/>
    <w:rsid w:val="4CEE5055"/>
    <w:rsid w:val="4CF25FE3"/>
    <w:rsid w:val="4CF96497"/>
    <w:rsid w:val="4D0F1856"/>
    <w:rsid w:val="4D25D756"/>
    <w:rsid w:val="4D2F477C"/>
    <w:rsid w:val="4D4D66F0"/>
    <w:rsid w:val="4D7B5C2A"/>
    <w:rsid w:val="4DA9E7DA"/>
    <w:rsid w:val="4DB7C2DD"/>
    <w:rsid w:val="4DC1A4CA"/>
    <w:rsid w:val="4DDF2D84"/>
    <w:rsid w:val="4E032DDC"/>
    <w:rsid w:val="4E2FD0C9"/>
    <w:rsid w:val="4E593B86"/>
    <w:rsid w:val="4E5F03F3"/>
    <w:rsid w:val="4E6F7845"/>
    <w:rsid w:val="4E81D57A"/>
    <w:rsid w:val="4EC3C029"/>
    <w:rsid w:val="4EDD541A"/>
    <w:rsid w:val="4EE78D4C"/>
    <w:rsid w:val="4EF5A07B"/>
    <w:rsid w:val="4F31B136"/>
    <w:rsid w:val="4F4E127C"/>
    <w:rsid w:val="4F672331"/>
    <w:rsid w:val="4F9ACFF4"/>
    <w:rsid w:val="4FA65C7E"/>
    <w:rsid w:val="4FC16283"/>
    <w:rsid w:val="4FD0C707"/>
    <w:rsid w:val="4FE574A5"/>
    <w:rsid w:val="5010DFAE"/>
    <w:rsid w:val="501D59EE"/>
    <w:rsid w:val="5035FFA1"/>
    <w:rsid w:val="505564B8"/>
    <w:rsid w:val="506FD683"/>
    <w:rsid w:val="508EB5AF"/>
    <w:rsid w:val="50D4D122"/>
    <w:rsid w:val="510B63F1"/>
    <w:rsid w:val="512D91FE"/>
    <w:rsid w:val="513849EE"/>
    <w:rsid w:val="516F9301"/>
    <w:rsid w:val="5176C2F0"/>
    <w:rsid w:val="51AC7427"/>
    <w:rsid w:val="51AEBBB6"/>
    <w:rsid w:val="51BBBCA8"/>
    <w:rsid w:val="51C24D1F"/>
    <w:rsid w:val="51D9D4A3"/>
    <w:rsid w:val="51F25AAA"/>
    <w:rsid w:val="52352DF1"/>
    <w:rsid w:val="52492E0A"/>
    <w:rsid w:val="5263A7F8"/>
    <w:rsid w:val="52670633"/>
    <w:rsid w:val="526D2045"/>
    <w:rsid w:val="527B0465"/>
    <w:rsid w:val="52F2C0D8"/>
    <w:rsid w:val="53203329"/>
    <w:rsid w:val="539A7050"/>
    <w:rsid w:val="53B70D63"/>
    <w:rsid w:val="53DBDD09"/>
    <w:rsid w:val="53F53ADD"/>
    <w:rsid w:val="542F2046"/>
    <w:rsid w:val="54340D47"/>
    <w:rsid w:val="5455B4EF"/>
    <w:rsid w:val="5494010C"/>
    <w:rsid w:val="54A3A012"/>
    <w:rsid w:val="54D216D5"/>
    <w:rsid w:val="54D655F1"/>
    <w:rsid w:val="54FDA643"/>
    <w:rsid w:val="5514AEB0"/>
    <w:rsid w:val="552887B3"/>
    <w:rsid w:val="55401EC1"/>
    <w:rsid w:val="55430DA7"/>
    <w:rsid w:val="55655063"/>
    <w:rsid w:val="559EE3C7"/>
    <w:rsid w:val="55A921E8"/>
    <w:rsid w:val="55C6D0D0"/>
    <w:rsid w:val="55CA6823"/>
    <w:rsid w:val="55D5CB6F"/>
    <w:rsid w:val="5619954C"/>
    <w:rsid w:val="562E6589"/>
    <w:rsid w:val="562FDC3E"/>
    <w:rsid w:val="563F557F"/>
    <w:rsid w:val="56446FD2"/>
    <w:rsid w:val="564693BD"/>
    <w:rsid w:val="564FF93B"/>
    <w:rsid w:val="5699A5EC"/>
    <w:rsid w:val="56A5AC07"/>
    <w:rsid w:val="56DD6D88"/>
    <w:rsid w:val="570783B8"/>
    <w:rsid w:val="570F2262"/>
    <w:rsid w:val="573B3DD5"/>
    <w:rsid w:val="57438FC4"/>
    <w:rsid w:val="579809FF"/>
    <w:rsid w:val="57FD49BF"/>
    <w:rsid w:val="58042D51"/>
    <w:rsid w:val="5805F7EE"/>
    <w:rsid w:val="582AB1BC"/>
    <w:rsid w:val="582C88C0"/>
    <w:rsid w:val="582D707A"/>
    <w:rsid w:val="5830BC50"/>
    <w:rsid w:val="58412CD6"/>
    <w:rsid w:val="58417564"/>
    <w:rsid w:val="58434786"/>
    <w:rsid w:val="5862C64B"/>
    <w:rsid w:val="58769794"/>
    <w:rsid w:val="58A8FEEB"/>
    <w:rsid w:val="58F90389"/>
    <w:rsid w:val="58F9051B"/>
    <w:rsid w:val="591146CA"/>
    <w:rsid w:val="591CD392"/>
    <w:rsid w:val="59285278"/>
    <w:rsid w:val="59313986"/>
    <w:rsid w:val="59635DF7"/>
    <w:rsid w:val="596D0581"/>
    <w:rsid w:val="5972E625"/>
    <w:rsid w:val="597B3D26"/>
    <w:rsid w:val="59BAA1DD"/>
    <w:rsid w:val="59CEC51E"/>
    <w:rsid w:val="5A05A367"/>
    <w:rsid w:val="5A09FD0E"/>
    <w:rsid w:val="5A744AE7"/>
    <w:rsid w:val="5AA2F5CB"/>
    <w:rsid w:val="5AA99FE3"/>
    <w:rsid w:val="5AD903DA"/>
    <w:rsid w:val="5ADD8CCC"/>
    <w:rsid w:val="5AE7FA53"/>
    <w:rsid w:val="5AFD6661"/>
    <w:rsid w:val="5B1C481D"/>
    <w:rsid w:val="5B387535"/>
    <w:rsid w:val="5B452869"/>
    <w:rsid w:val="5B5D8B15"/>
    <w:rsid w:val="5B7A92A5"/>
    <w:rsid w:val="5B8323CF"/>
    <w:rsid w:val="5B941229"/>
    <w:rsid w:val="5B9AEAEC"/>
    <w:rsid w:val="5B9D8AA2"/>
    <w:rsid w:val="5BBDD68E"/>
    <w:rsid w:val="5BC6F589"/>
    <w:rsid w:val="5C3162B7"/>
    <w:rsid w:val="5C70366E"/>
    <w:rsid w:val="5C7AD0DF"/>
    <w:rsid w:val="5C98ED51"/>
    <w:rsid w:val="5CA4F78C"/>
    <w:rsid w:val="5CD8D94D"/>
    <w:rsid w:val="5CD9D66B"/>
    <w:rsid w:val="5CE04003"/>
    <w:rsid w:val="5CFA27D4"/>
    <w:rsid w:val="5DA7582A"/>
    <w:rsid w:val="5DBC16A3"/>
    <w:rsid w:val="5DCAE68A"/>
    <w:rsid w:val="5DD534E1"/>
    <w:rsid w:val="5DF46D06"/>
    <w:rsid w:val="5DF47693"/>
    <w:rsid w:val="5E3ED29D"/>
    <w:rsid w:val="5E6559E2"/>
    <w:rsid w:val="5E8D71B4"/>
    <w:rsid w:val="5EB1FA82"/>
    <w:rsid w:val="5EBD0022"/>
    <w:rsid w:val="5F040E36"/>
    <w:rsid w:val="5F254DA0"/>
    <w:rsid w:val="5F46B8B8"/>
    <w:rsid w:val="5F78FA77"/>
    <w:rsid w:val="5FB92431"/>
    <w:rsid w:val="5FCDADB4"/>
    <w:rsid w:val="5FE95D90"/>
    <w:rsid w:val="60146C6C"/>
    <w:rsid w:val="601EF64F"/>
    <w:rsid w:val="60340E93"/>
    <w:rsid w:val="60504D67"/>
    <w:rsid w:val="60A66DD2"/>
    <w:rsid w:val="60D2EF1C"/>
    <w:rsid w:val="60DB02C0"/>
    <w:rsid w:val="60F0945C"/>
    <w:rsid w:val="60F1348D"/>
    <w:rsid w:val="60F2880C"/>
    <w:rsid w:val="610FEF42"/>
    <w:rsid w:val="6113C45D"/>
    <w:rsid w:val="611AD42A"/>
    <w:rsid w:val="614517B5"/>
    <w:rsid w:val="61534139"/>
    <w:rsid w:val="615CF986"/>
    <w:rsid w:val="61B77443"/>
    <w:rsid w:val="61D3147D"/>
    <w:rsid w:val="61DF2A33"/>
    <w:rsid w:val="61E3B75D"/>
    <w:rsid w:val="61F66B96"/>
    <w:rsid w:val="61FF4BB2"/>
    <w:rsid w:val="6207B525"/>
    <w:rsid w:val="6224CC49"/>
    <w:rsid w:val="622E0DB3"/>
    <w:rsid w:val="623EFDEF"/>
    <w:rsid w:val="6243046A"/>
    <w:rsid w:val="627A5728"/>
    <w:rsid w:val="6288B85D"/>
    <w:rsid w:val="6291A12E"/>
    <w:rsid w:val="62A79A3E"/>
    <w:rsid w:val="62DA3E1B"/>
    <w:rsid w:val="62FB0467"/>
    <w:rsid w:val="6314378B"/>
    <w:rsid w:val="63312997"/>
    <w:rsid w:val="63585892"/>
    <w:rsid w:val="63616F00"/>
    <w:rsid w:val="636957B5"/>
    <w:rsid w:val="636EE98B"/>
    <w:rsid w:val="636FE251"/>
    <w:rsid w:val="63C128E5"/>
    <w:rsid w:val="63D94244"/>
    <w:rsid w:val="63ED7261"/>
    <w:rsid w:val="63F42D3F"/>
    <w:rsid w:val="640D25B2"/>
    <w:rsid w:val="64259251"/>
    <w:rsid w:val="6426DE81"/>
    <w:rsid w:val="642B3ED4"/>
    <w:rsid w:val="6455AC39"/>
    <w:rsid w:val="64566CF1"/>
    <w:rsid w:val="645C313F"/>
    <w:rsid w:val="648173C4"/>
    <w:rsid w:val="64A72D5B"/>
    <w:rsid w:val="64B824EE"/>
    <w:rsid w:val="64BCDD52"/>
    <w:rsid w:val="64FADCFD"/>
    <w:rsid w:val="6514980E"/>
    <w:rsid w:val="6514C3FD"/>
    <w:rsid w:val="65243AF5"/>
    <w:rsid w:val="655F20B6"/>
    <w:rsid w:val="65A8B083"/>
    <w:rsid w:val="65F92CC3"/>
    <w:rsid w:val="65FC01AD"/>
    <w:rsid w:val="66134459"/>
    <w:rsid w:val="662041EF"/>
    <w:rsid w:val="663806C2"/>
    <w:rsid w:val="66421D79"/>
    <w:rsid w:val="66485D98"/>
    <w:rsid w:val="6668BB61"/>
    <w:rsid w:val="667F2EDC"/>
    <w:rsid w:val="66D1565E"/>
    <w:rsid w:val="66DB1538"/>
    <w:rsid w:val="670A5004"/>
    <w:rsid w:val="67421130"/>
    <w:rsid w:val="674A33EC"/>
    <w:rsid w:val="675B17A2"/>
    <w:rsid w:val="67689079"/>
    <w:rsid w:val="677998F1"/>
    <w:rsid w:val="678B1810"/>
    <w:rsid w:val="678B6217"/>
    <w:rsid w:val="6792FD69"/>
    <w:rsid w:val="679DD013"/>
    <w:rsid w:val="67A249F8"/>
    <w:rsid w:val="67E2D9A0"/>
    <w:rsid w:val="67E4C67F"/>
    <w:rsid w:val="67F78C1F"/>
    <w:rsid w:val="6800F48E"/>
    <w:rsid w:val="6818305F"/>
    <w:rsid w:val="6837E624"/>
    <w:rsid w:val="6847DB88"/>
    <w:rsid w:val="6885F4F8"/>
    <w:rsid w:val="68E22BE2"/>
    <w:rsid w:val="68F5973A"/>
    <w:rsid w:val="6925B133"/>
    <w:rsid w:val="6952EB7C"/>
    <w:rsid w:val="6959DD5C"/>
    <w:rsid w:val="696475E2"/>
    <w:rsid w:val="696C5F57"/>
    <w:rsid w:val="6972BAF8"/>
    <w:rsid w:val="698B81D1"/>
    <w:rsid w:val="69CDC423"/>
    <w:rsid w:val="69E7F730"/>
    <w:rsid w:val="69FAAFDE"/>
    <w:rsid w:val="6A5AA926"/>
    <w:rsid w:val="6A5F40AF"/>
    <w:rsid w:val="6A7CD191"/>
    <w:rsid w:val="6A9830CA"/>
    <w:rsid w:val="6ABF80A1"/>
    <w:rsid w:val="6AC06960"/>
    <w:rsid w:val="6AC17AD6"/>
    <w:rsid w:val="6AC3D916"/>
    <w:rsid w:val="6AC4EA0C"/>
    <w:rsid w:val="6AD7AA57"/>
    <w:rsid w:val="6B15E714"/>
    <w:rsid w:val="6B28BC1C"/>
    <w:rsid w:val="6B2FCE09"/>
    <w:rsid w:val="6B347E9F"/>
    <w:rsid w:val="6B395572"/>
    <w:rsid w:val="6B45816D"/>
    <w:rsid w:val="6B697FC0"/>
    <w:rsid w:val="6B9ACD60"/>
    <w:rsid w:val="6BAD35B3"/>
    <w:rsid w:val="6BCD1D97"/>
    <w:rsid w:val="6C107620"/>
    <w:rsid w:val="6C2E719D"/>
    <w:rsid w:val="6C79D90C"/>
    <w:rsid w:val="6C8052A9"/>
    <w:rsid w:val="6C88D476"/>
    <w:rsid w:val="6D207346"/>
    <w:rsid w:val="6D2C53B8"/>
    <w:rsid w:val="6D507FD6"/>
    <w:rsid w:val="6D70E917"/>
    <w:rsid w:val="6D7F0E22"/>
    <w:rsid w:val="6D8EFCF2"/>
    <w:rsid w:val="6DA635F5"/>
    <w:rsid w:val="6DBE767D"/>
    <w:rsid w:val="6DC7D554"/>
    <w:rsid w:val="6DEC56A4"/>
    <w:rsid w:val="6E04A396"/>
    <w:rsid w:val="6E1E6254"/>
    <w:rsid w:val="6E39147B"/>
    <w:rsid w:val="6E44F1F3"/>
    <w:rsid w:val="6E486D95"/>
    <w:rsid w:val="6E9D6144"/>
    <w:rsid w:val="6EC2651B"/>
    <w:rsid w:val="6ED304E0"/>
    <w:rsid w:val="6EE550C4"/>
    <w:rsid w:val="6F13C133"/>
    <w:rsid w:val="6F3AFA68"/>
    <w:rsid w:val="6F4C55AA"/>
    <w:rsid w:val="6F50F582"/>
    <w:rsid w:val="6F60BE2D"/>
    <w:rsid w:val="6F9C42C9"/>
    <w:rsid w:val="6FAB1E25"/>
    <w:rsid w:val="6FAF9D1F"/>
    <w:rsid w:val="6FBCE7C1"/>
    <w:rsid w:val="6FC23345"/>
    <w:rsid w:val="6FE24885"/>
    <w:rsid w:val="70053CF8"/>
    <w:rsid w:val="70233B69"/>
    <w:rsid w:val="70252294"/>
    <w:rsid w:val="70366C86"/>
    <w:rsid w:val="7053C903"/>
    <w:rsid w:val="705C606C"/>
    <w:rsid w:val="7071BCAD"/>
    <w:rsid w:val="707BC877"/>
    <w:rsid w:val="707C41D9"/>
    <w:rsid w:val="70817E9C"/>
    <w:rsid w:val="70A88160"/>
    <w:rsid w:val="70CFFD82"/>
    <w:rsid w:val="70E41D98"/>
    <w:rsid w:val="70FB5081"/>
    <w:rsid w:val="71082AFF"/>
    <w:rsid w:val="7122D78D"/>
    <w:rsid w:val="71517A9D"/>
    <w:rsid w:val="720D6278"/>
    <w:rsid w:val="724ABE08"/>
    <w:rsid w:val="726B6E03"/>
    <w:rsid w:val="727ED213"/>
    <w:rsid w:val="72C50975"/>
    <w:rsid w:val="72CAE097"/>
    <w:rsid w:val="72CF1ABD"/>
    <w:rsid w:val="72F62929"/>
    <w:rsid w:val="72F95698"/>
    <w:rsid w:val="7340AD03"/>
    <w:rsid w:val="734F7AA5"/>
    <w:rsid w:val="7350C410"/>
    <w:rsid w:val="73D24C72"/>
    <w:rsid w:val="73DCE6A6"/>
    <w:rsid w:val="73E6E5D4"/>
    <w:rsid w:val="73FDFB18"/>
    <w:rsid w:val="7400C113"/>
    <w:rsid w:val="74305A5F"/>
    <w:rsid w:val="7458A86C"/>
    <w:rsid w:val="749D34D3"/>
    <w:rsid w:val="74DB83D5"/>
    <w:rsid w:val="74F9211C"/>
    <w:rsid w:val="74FBD699"/>
    <w:rsid w:val="74FBF918"/>
    <w:rsid w:val="750347E9"/>
    <w:rsid w:val="7505F63C"/>
    <w:rsid w:val="7511CB82"/>
    <w:rsid w:val="7514DEC1"/>
    <w:rsid w:val="752325B7"/>
    <w:rsid w:val="752FD747"/>
    <w:rsid w:val="756B3963"/>
    <w:rsid w:val="756C572C"/>
    <w:rsid w:val="758C2A13"/>
    <w:rsid w:val="75AE77E7"/>
    <w:rsid w:val="75F717BE"/>
    <w:rsid w:val="75F727BC"/>
    <w:rsid w:val="7658AEDF"/>
    <w:rsid w:val="76680D0E"/>
    <w:rsid w:val="767469F4"/>
    <w:rsid w:val="76B69D14"/>
    <w:rsid w:val="76D0FA45"/>
    <w:rsid w:val="76D449A1"/>
    <w:rsid w:val="76EB24DF"/>
    <w:rsid w:val="77026680"/>
    <w:rsid w:val="772CC1B3"/>
    <w:rsid w:val="7761EFCF"/>
    <w:rsid w:val="77685CE4"/>
    <w:rsid w:val="77710273"/>
    <w:rsid w:val="77913EF4"/>
    <w:rsid w:val="77E52428"/>
    <w:rsid w:val="780B0635"/>
    <w:rsid w:val="7812CB24"/>
    <w:rsid w:val="7835A697"/>
    <w:rsid w:val="7849DC71"/>
    <w:rsid w:val="785996ED"/>
    <w:rsid w:val="787FE3FD"/>
    <w:rsid w:val="788B1749"/>
    <w:rsid w:val="788B2FA3"/>
    <w:rsid w:val="78A591F0"/>
    <w:rsid w:val="78B01412"/>
    <w:rsid w:val="78BF4748"/>
    <w:rsid w:val="78D15594"/>
    <w:rsid w:val="78D59EB5"/>
    <w:rsid w:val="78F07759"/>
    <w:rsid w:val="78F8CF2E"/>
    <w:rsid w:val="794C6182"/>
    <w:rsid w:val="79539E2B"/>
    <w:rsid w:val="797B7DC2"/>
    <w:rsid w:val="7989BAE7"/>
    <w:rsid w:val="798A5DF4"/>
    <w:rsid w:val="79BD7E13"/>
    <w:rsid w:val="79C868D5"/>
    <w:rsid w:val="79D0EA31"/>
    <w:rsid w:val="79DF9B6D"/>
    <w:rsid w:val="79FFD286"/>
    <w:rsid w:val="7A17D400"/>
    <w:rsid w:val="7A379F5E"/>
    <w:rsid w:val="7A39926C"/>
    <w:rsid w:val="7A3D8E0D"/>
    <w:rsid w:val="7A58B7F5"/>
    <w:rsid w:val="7AD50945"/>
    <w:rsid w:val="7AE1F65A"/>
    <w:rsid w:val="7B0292EF"/>
    <w:rsid w:val="7B0AD13D"/>
    <w:rsid w:val="7B0C6C35"/>
    <w:rsid w:val="7B174F9A"/>
    <w:rsid w:val="7B2A74CB"/>
    <w:rsid w:val="7B2B49CB"/>
    <w:rsid w:val="7B2B90DA"/>
    <w:rsid w:val="7B42BE16"/>
    <w:rsid w:val="7B58DA1C"/>
    <w:rsid w:val="7B68F076"/>
    <w:rsid w:val="7B923E8A"/>
    <w:rsid w:val="7BCD2808"/>
    <w:rsid w:val="7C02598D"/>
    <w:rsid w:val="7C2118D5"/>
    <w:rsid w:val="7C2C7EF6"/>
    <w:rsid w:val="7C840E71"/>
    <w:rsid w:val="7CDA2661"/>
    <w:rsid w:val="7CEBDC99"/>
    <w:rsid w:val="7D19ECD2"/>
    <w:rsid w:val="7D2FCD32"/>
    <w:rsid w:val="7D73307E"/>
    <w:rsid w:val="7D773F11"/>
    <w:rsid w:val="7E16544F"/>
    <w:rsid w:val="7E29662C"/>
    <w:rsid w:val="7E2C7386"/>
    <w:rsid w:val="7E307F9D"/>
    <w:rsid w:val="7E37D56A"/>
    <w:rsid w:val="7E62C616"/>
    <w:rsid w:val="7E71495F"/>
    <w:rsid w:val="7E726A42"/>
    <w:rsid w:val="7E81B366"/>
    <w:rsid w:val="7E8482E8"/>
    <w:rsid w:val="7E9E93E9"/>
    <w:rsid w:val="7ECA10BC"/>
    <w:rsid w:val="7ED7BB85"/>
    <w:rsid w:val="7EFDC0B1"/>
    <w:rsid w:val="7F0253D7"/>
    <w:rsid w:val="7F6552FB"/>
    <w:rsid w:val="7F6F0259"/>
    <w:rsid w:val="7FB679E2"/>
    <w:rsid w:val="7FB9F064"/>
    <w:rsid w:val="7FCA4154"/>
    <w:rsid w:val="7FD3293F"/>
    <w:rsid w:val="7FD3951B"/>
    <w:rsid w:val="7FE3DB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04A3"/>
  <w15:docId w15:val="{872CE58F-265A-4B94-B392-8AAD3E18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6"/>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21B1E0C4"/>
    <w:pPr>
      <w:ind w:left="720"/>
      <w:contextualSpacing/>
    </w:pPr>
  </w:style>
  <w:style w:type="paragraph" w:styleId="Geenafstand">
    <w:name w:val="No Spacing"/>
    <w:uiPriority w:val="1"/>
    <w:qFormat/>
    <w:rsid w:val="21B1E0C4"/>
  </w:style>
  <w:style w:type="table" w:styleId="Lijsttabel3-Accent1">
    <w:name w:val="List Table 3 Accent 1"/>
    <w:basedOn w:val="Standaardtabe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Voetnootmarkering">
    <w:name w:val="footnote reference"/>
    <w:basedOn w:val="Standaardalinea-lettertype"/>
    <w:uiPriority w:val="99"/>
    <w:semiHidden/>
    <w:unhideWhenUsed/>
    <w:rPr>
      <w:vertAlign w:val="superscript"/>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F67C9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CF7668"/>
    <w:rPr>
      <w:b/>
      <w:bCs/>
    </w:rPr>
  </w:style>
  <w:style w:type="character" w:customStyle="1" w:styleId="OnderwerpvanopmerkingChar">
    <w:name w:val="Onderwerp van opmerking Char"/>
    <w:basedOn w:val="TekstopmerkingChar"/>
    <w:link w:val="Onderwerpvanopmerking"/>
    <w:semiHidden/>
    <w:rsid w:val="00CF7668"/>
    <w:rPr>
      <w:rFonts w:ascii="Verdana" w:hAnsi="Verdana"/>
      <w:b/>
      <w:bCs/>
      <w:lang w:val="nl-NL" w:eastAsia="nl-NL"/>
    </w:rPr>
  </w:style>
  <w:style w:type="character" w:styleId="Vermelding">
    <w:name w:val="Mention"/>
    <w:basedOn w:val="Standaardalinea-lettertype"/>
    <w:uiPriority w:val="99"/>
    <w:unhideWhenUsed/>
    <w:rsid w:val="005D0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4857">
      <w:bodyDiv w:val="1"/>
      <w:marLeft w:val="0"/>
      <w:marRight w:val="0"/>
      <w:marTop w:val="0"/>
      <w:marBottom w:val="0"/>
      <w:divBdr>
        <w:top w:val="none" w:sz="0" w:space="0" w:color="auto"/>
        <w:left w:val="none" w:sz="0" w:space="0" w:color="auto"/>
        <w:bottom w:val="none" w:sz="0" w:space="0" w:color="auto"/>
        <w:right w:val="none" w:sz="0" w:space="0" w:color="auto"/>
      </w:divBdr>
    </w:div>
    <w:div w:id="382604045">
      <w:bodyDiv w:val="1"/>
      <w:marLeft w:val="0"/>
      <w:marRight w:val="0"/>
      <w:marTop w:val="0"/>
      <w:marBottom w:val="0"/>
      <w:divBdr>
        <w:top w:val="none" w:sz="0" w:space="0" w:color="auto"/>
        <w:left w:val="none" w:sz="0" w:space="0" w:color="auto"/>
        <w:bottom w:val="none" w:sz="0" w:space="0" w:color="auto"/>
        <w:right w:val="none" w:sz="0" w:space="0" w:color="auto"/>
      </w:divBdr>
    </w:div>
    <w:div w:id="706877203">
      <w:bodyDiv w:val="1"/>
      <w:marLeft w:val="0"/>
      <w:marRight w:val="0"/>
      <w:marTop w:val="0"/>
      <w:marBottom w:val="0"/>
      <w:divBdr>
        <w:top w:val="none" w:sz="0" w:space="0" w:color="auto"/>
        <w:left w:val="none" w:sz="0" w:space="0" w:color="auto"/>
        <w:bottom w:val="none" w:sz="0" w:space="0" w:color="auto"/>
        <w:right w:val="none" w:sz="0" w:space="0" w:color="auto"/>
      </w:divBdr>
    </w:div>
    <w:div w:id="827095461">
      <w:bodyDiv w:val="1"/>
      <w:marLeft w:val="0"/>
      <w:marRight w:val="0"/>
      <w:marTop w:val="0"/>
      <w:marBottom w:val="0"/>
      <w:divBdr>
        <w:top w:val="none" w:sz="0" w:space="0" w:color="auto"/>
        <w:left w:val="none" w:sz="0" w:space="0" w:color="auto"/>
        <w:bottom w:val="none" w:sz="0" w:space="0" w:color="auto"/>
        <w:right w:val="none" w:sz="0" w:space="0" w:color="auto"/>
      </w:divBdr>
    </w:div>
    <w:div w:id="974287523">
      <w:bodyDiv w:val="1"/>
      <w:marLeft w:val="0"/>
      <w:marRight w:val="0"/>
      <w:marTop w:val="0"/>
      <w:marBottom w:val="0"/>
      <w:divBdr>
        <w:top w:val="none" w:sz="0" w:space="0" w:color="auto"/>
        <w:left w:val="none" w:sz="0" w:space="0" w:color="auto"/>
        <w:bottom w:val="none" w:sz="0" w:space="0" w:color="auto"/>
        <w:right w:val="none" w:sz="0" w:space="0" w:color="auto"/>
      </w:divBdr>
    </w:div>
    <w:div w:id="1005745471">
      <w:bodyDiv w:val="1"/>
      <w:marLeft w:val="0"/>
      <w:marRight w:val="0"/>
      <w:marTop w:val="0"/>
      <w:marBottom w:val="0"/>
      <w:divBdr>
        <w:top w:val="none" w:sz="0" w:space="0" w:color="auto"/>
        <w:left w:val="none" w:sz="0" w:space="0" w:color="auto"/>
        <w:bottom w:val="none" w:sz="0" w:space="0" w:color="auto"/>
        <w:right w:val="none" w:sz="0" w:space="0" w:color="auto"/>
      </w:divBdr>
    </w:div>
    <w:div w:id="1087994551">
      <w:bodyDiv w:val="1"/>
      <w:marLeft w:val="0"/>
      <w:marRight w:val="0"/>
      <w:marTop w:val="0"/>
      <w:marBottom w:val="0"/>
      <w:divBdr>
        <w:top w:val="none" w:sz="0" w:space="0" w:color="auto"/>
        <w:left w:val="none" w:sz="0" w:space="0" w:color="auto"/>
        <w:bottom w:val="none" w:sz="0" w:space="0" w:color="auto"/>
        <w:right w:val="none" w:sz="0" w:space="0" w:color="auto"/>
      </w:divBdr>
    </w:div>
    <w:div w:id="1429034610">
      <w:bodyDiv w:val="1"/>
      <w:marLeft w:val="0"/>
      <w:marRight w:val="0"/>
      <w:marTop w:val="0"/>
      <w:marBottom w:val="0"/>
      <w:divBdr>
        <w:top w:val="none" w:sz="0" w:space="0" w:color="auto"/>
        <w:left w:val="none" w:sz="0" w:space="0" w:color="auto"/>
        <w:bottom w:val="none" w:sz="0" w:space="0" w:color="auto"/>
        <w:right w:val="none" w:sz="0" w:space="0" w:color="auto"/>
      </w:divBdr>
    </w:div>
    <w:div w:id="1875539986">
      <w:bodyDiv w:val="1"/>
      <w:marLeft w:val="0"/>
      <w:marRight w:val="0"/>
      <w:marTop w:val="0"/>
      <w:marBottom w:val="0"/>
      <w:divBdr>
        <w:top w:val="none" w:sz="0" w:space="0" w:color="auto"/>
        <w:left w:val="none" w:sz="0" w:space="0" w:color="auto"/>
        <w:bottom w:val="none" w:sz="0" w:space="0" w:color="auto"/>
        <w:right w:val="none" w:sz="0" w:space="0" w:color="auto"/>
      </w:divBdr>
    </w:div>
    <w:div w:id="1950503797">
      <w:bodyDiv w:val="1"/>
      <w:marLeft w:val="0"/>
      <w:marRight w:val="0"/>
      <w:marTop w:val="0"/>
      <w:marBottom w:val="0"/>
      <w:divBdr>
        <w:top w:val="none" w:sz="0" w:space="0" w:color="auto"/>
        <w:left w:val="none" w:sz="0" w:space="0" w:color="auto"/>
        <w:bottom w:val="none" w:sz="0" w:space="0" w:color="auto"/>
        <w:right w:val="none" w:sz="0" w:space="0" w:color="auto"/>
      </w:divBdr>
    </w:div>
    <w:div w:id="201209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6547</ap:Words>
  <ap:Characters>36010</ap:Characters>
  <ap:DocSecurity>0</ap:DocSecurity>
  <ap:Lines>300</ap:Lines>
  <ap:Paragraphs>84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2009-07-03T02:30:00.0000000Z</lastPrinted>
  <dcterms:created xsi:type="dcterms:W3CDTF">2025-02-19T17:22:00.0000000Z</dcterms:created>
  <dcterms:modified xsi:type="dcterms:W3CDTF">2025-02-21T14:37:00.0000000Z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SpieringC</vt:lpwstr>
  </property>
  <property fmtid="{D5CDD505-2E9C-101B-9397-08002B2CF9AE}" pid="3" name="AUTHOR_ID">
    <vt:lpwstr>SpieringC</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Openstelling SED++ 2025</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SpieringC</vt:lpwstr>
  </property>
  <property fmtid="{D5CDD505-2E9C-101B-9397-08002B2CF9AE}" pid="16" name="ContentTypeId">
    <vt:lpwstr>0x0101006C3962ACF8831849A020FEB5C25F7FD9</vt:lpwstr>
  </property>
  <property fmtid="{D5CDD505-2E9C-101B-9397-08002B2CF9AE}" pid="17" name="MediaServiceImageTags">
    <vt:lpwstr/>
  </property>
</Properties>
</file>