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DB1D09" w:rsidR="00DB1D09" w:rsidP="0094626F" w:rsidRDefault="00DB1D09">
      <w:pPr>
        <w:spacing w:after="160"/>
        <w:jc w:val="center"/>
        <w:rPr>
          <w:b/>
          <w:bCs/>
          <w:sz w:val="24"/>
          <w:lang w:val="en-US"/>
        </w:rPr>
      </w:pPr>
      <w:bookmarkStart w:name="_GoBack" w:id="0"/>
      <w:bookmarkEnd w:id="0"/>
      <w:r w:rsidRPr="00DB1D09">
        <w:rPr>
          <w:b/>
          <w:lang w:val="en-US"/>
        </w:rPr>
        <w:t>NL non</w:t>
      </w:r>
      <w:r w:rsidR="003E733F">
        <w:rPr>
          <w:b/>
          <w:lang w:val="en-US"/>
        </w:rPr>
        <w:t>-</w:t>
      </w:r>
      <w:r w:rsidRPr="00DB1D09">
        <w:rPr>
          <w:b/>
          <w:lang w:val="en-US"/>
        </w:rPr>
        <w:t>paper</w:t>
      </w:r>
      <w:r>
        <w:rPr>
          <w:b/>
          <w:lang w:val="en-US"/>
        </w:rPr>
        <w:br/>
      </w:r>
      <w:r w:rsidR="000E4160">
        <w:rPr>
          <w:b/>
          <w:bCs/>
          <w:sz w:val="24"/>
          <w:lang w:val="en-US"/>
        </w:rPr>
        <w:br/>
        <w:t>Position</w:t>
      </w:r>
      <w:r w:rsidRPr="00DB1D09">
        <w:rPr>
          <w:b/>
          <w:bCs/>
          <w:sz w:val="24"/>
          <w:lang w:val="en-US"/>
        </w:rPr>
        <w:t xml:space="preserve"> on White Paper on the Future of </w:t>
      </w:r>
      <w:r w:rsidR="007A7E21">
        <w:rPr>
          <w:b/>
          <w:bCs/>
          <w:sz w:val="24"/>
          <w:lang w:val="en-US"/>
        </w:rPr>
        <w:t xml:space="preserve">European </w:t>
      </w:r>
      <w:r w:rsidRPr="007A7E21">
        <w:rPr>
          <w:b/>
          <w:bCs/>
          <w:sz w:val="24"/>
          <w:lang w:val="en-GB"/>
        </w:rPr>
        <w:t>Defence</w:t>
      </w:r>
    </w:p>
    <w:p w:rsidR="00DB1D09" w:rsidP="0094626F" w:rsidRDefault="00DB1D09">
      <w:pPr>
        <w:pBdr>
          <w:bottom w:val="single" w:color="auto" w:sz="6" w:space="1"/>
        </w:pBdr>
        <w:spacing w:after="160"/>
        <w:jc w:val="center"/>
        <w:rPr>
          <w:b/>
          <w:lang w:val="en-US"/>
        </w:rPr>
      </w:pPr>
    </w:p>
    <w:p w:rsidRPr="005D1A08" w:rsidR="005D1A08" w:rsidP="0094626F" w:rsidRDefault="00DB1D09">
      <w:pPr>
        <w:tabs>
          <w:tab w:val="left" w:pos="2745"/>
        </w:tabs>
        <w:spacing w:after="160"/>
        <w:rPr>
          <w:b/>
          <w:lang w:val="en-US"/>
        </w:rPr>
      </w:pPr>
      <w:r w:rsidRPr="005D1A08">
        <w:rPr>
          <w:lang w:val="en-US"/>
        </w:rPr>
        <w:br/>
      </w:r>
      <w:r w:rsidR="005D1A08">
        <w:rPr>
          <w:b/>
          <w:lang w:val="en-US"/>
        </w:rPr>
        <w:t>Introduction</w:t>
      </w:r>
    </w:p>
    <w:p w:rsidR="004D5910" w:rsidP="004D5910" w:rsidRDefault="004D5910">
      <w:pPr>
        <w:tabs>
          <w:tab w:val="left" w:pos="2745"/>
        </w:tabs>
        <w:spacing w:after="160" w:line="240" w:lineRule="auto"/>
        <w:rPr>
          <w:lang w:val="en-US"/>
        </w:rPr>
      </w:pPr>
      <w:r w:rsidRPr="005D1A08">
        <w:rPr>
          <w:lang w:val="en-US"/>
        </w:rPr>
        <w:t>As the g</w:t>
      </w:r>
      <w:r w:rsidR="003E733F">
        <w:rPr>
          <w:lang w:val="en-US"/>
        </w:rPr>
        <w:t>eopolitical</w:t>
      </w:r>
      <w:r w:rsidRPr="005D1A08">
        <w:rPr>
          <w:lang w:val="en-US"/>
        </w:rPr>
        <w:t xml:space="preserve"> landscape </w:t>
      </w:r>
      <w:r w:rsidR="003E733F">
        <w:rPr>
          <w:lang w:val="en-US"/>
        </w:rPr>
        <w:t>evolves</w:t>
      </w:r>
      <w:r w:rsidRPr="005D1A08">
        <w:rPr>
          <w:lang w:val="en-US"/>
        </w:rPr>
        <w:t xml:space="preserve">, it is </w:t>
      </w:r>
      <w:r>
        <w:rPr>
          <w:lang w:val="en-US"/>
        </w:rPr>
        <w:t>clear that EU member states’ contribution to the collective security and defence of NATO needs to increase</w:t>
      </w:r>
      <w:r w:rsidRPr="005D1A08">
        <w:rPr>
          <w:lang w:val="en-US"/>
        </w:rPr>
        <w:t xml:space="preserve">. </w:t>
      </w:r>
      <w:r w:rsidR="003E733F">
        <w:rPr>
          <w:lang w:val="en-US"/>
        </w:rPr>
        <w:t xml:space="preserve">The EU and its member states need to take more responsibility to ensure security and stability on the continent </w:t>
      </w:r>
      <w:r w:rsidR="00DB2EA8">
        <w:rPr>
          <w:lang w:val="en-US"/>
        </w:rPr>
        <w:t xml:space="preserve">including </w:t>
      </w:r>
      <w:r w:rsidR="003E733F">
        <w:rPr>
          <w:lang w:val="en-US"/>
        </w:rPr>
        <w:t>providing support Ukraine</w:t>
      </w:r>
      <w:r w:rsidRPr="005D1A08">
        <w:rPr>
          <w:lang w:val="en-US"/>
        </w:rPr>
        <w:t>.</w:t>
      </w:r>
    </w:p>
    <w:p w:rsidRPr="005D1A08" w:rsidR="005D1A08" w:rsidP="0094626F" w:rsidRDefault="005D1A08">
      <w:pPr>
        <w:tabs>
          <w:tab w:val="left" w:pos="2745"/>
        </w:tabs>
        <w:spacing w:after="160"/>
        <w:rPr>
          <w:lang w:val="en-US"/>
        </w:rPr>
      </w:pPr>
      <w:r w:rsidRPr="005D1A08">
        <w:rPr>
          <w:lang w:val="en-US"/>
        </w:rPr>
        <w:t xml:space="preserve">We advocate for structuring the discussion on the future of European security and </w:t>
      </w:r>
      <w:r w:rsidR="00F93E4C">
        <w:rPr>
          <w:lang w:val="en-US"/>
        </w:rPr>
        <w:t>defence</w:t>
      </w:r>
      <w:r w:rsidRPr="005D1A08">
        <w:rPr>
          <w:lang w:val="en-US"/>
        </w:rPr>
        <w:t xml:space="preserve"> </w:t>
      </w:r>
      <w:r w:rsidR="009D111E">
        <w:rPr>
          <w:lang w:val="en-US"/>
        </w:rPr>
        <w:t xml:space="preserve">in the following </w:t>
      </w:r>
      <w:r w:rsidR="00DB2EA8">
        <w:rPr>
          <w:lang w:val="en-US"/>
        </w:rPr>
        <w:t>way</w:t>
      </w:r>
      <w:r w:rsidRPr="005D1A08">
        <w:rPr>
          <w:lang w:val="en-US"/>
        </w:rPr>
        <w:t>:</w:t>
      </w:r>
    </w:p>
    <w:p w:rsidRPr="005D1A08" w:rsidR="005D1A08" w:rsidP="0094626F" w:rsidRDefault="006F7945">
      <w:pPr>
        <w:pStyle w:val="Lijstalinea"/>
        <w:numPr>
          <w:ilvl w:val="0"/>
          <w:numId w:val="13"/>
        </w:numPr>
        <w:spacing w:after="160"/>
        <w:rPr>
          <w:lang w:val="en-US"/>
        </w:rPr>
      </w:pPr>
      <w:r>
        <w:rPr>
          <w:lang w:val="en-US"/>
        </w:rPr>
        <w:t>T</w:t>
      </w:r>
      <w:r w:rsidRPr="005D1A08" w:rsidR="005D1A08">
        <w:rPr>
          <w:lang w:val="en-US"/>
        </w:rPr>
        <w:t xml:space="preserve">he EU's role and </w:t>
      </w:r>
      <w:r w:rsidR="004D5910">
        <w:rPr>
          <w:lang w:val="en-US"/>
        </w:rPr>
        <w:t xml:space="preserve">required </w:t>
      </w:r>
      <w:r w:rsidRPr="005D1A08" w:rsidR="005D1A08">
        <w:rPr>
          <w:lang w:val="en-US"/>
        </w:rPr>
        <w:t>level of ambition, including its relationship with NATO</w:t>
      </w:r>
      <w:r w:rsidR="004D5910">
        <w:rPr>
          <w:lang w:val="en-US"/>
        </w:rPr>
        <w:t>.</w:t>
      </w:r>
    </w:p>
    <w:p w:rsidRPr="005D1A08" w:rsidR="003732EC" w:rsidP="003732EC" w:rsidRDefault="003732EC">
      <w:pPr>
        <w:pStyle w:val="Lijstalinea"/>
        <w:numPr>
          <w:ilvl w:val="0"/>
          <w:numId w:val="13"/>
        </w:numPr>
        <w:spacing w:after="160"/>
        <w:rPr>
          <w:lang w:val="en-US"/>
        </w:rPr>
      </w:pPr>
      <w:r w:rsidRPr="005D1A08">
        <w:rPr>
          <w:lang w:val="en-US"/>
        </w:rPr>
        <w:t xml:space="preserve">Industrial policy to strengthen the European </w:t>
      </w:r>
      <w:r>
        <w:rPr>
          <w:lang w:val="en-US"/>
        </w:rPr>
        <w:t>defence</w:t>
      </w:r>
      <w:r w:rsidRPr="005D1A08">
        <w:rPr>
          <w:lang w:val="en-US"/>
        </w:rPr>
        <w:t xml:space="preserve"> industry</w:t>
      </w:r>
      <w:r>
        <w:rPr>
          <w:lang w:val="en-US"/>
        </w:rPr>
        <w:t>.</w:t>
      </w:r>
    </w:p>
    <w:p w:rsidRPr="005D1A08" w:rsidR="005D1A08" w:rsidP="0094626F" w:rsidRDefault="00DB2EA8">
      <w:pPr>
        <w:pStyle w:val="Lijstalinea"/>
        <w:numPr>
          <w:ilvl w:val="0"/>
          <w:numId w:val="13"/>
        </w:numPr>
        <w:spacing w:after="160"/>
        <w:rPr>
          <w:lang w:val="en-US"/>
        </w:rPr>
      </w:pPr>
      <w:r>
        <w:rPr>
          <w:lang w:val="en-US"/>
        </w:rPr>
        <w:t>Cooperation amongst Member States during the entire life</w:t>
      </w:r>
      <w:r w:rsidR="007A7E21">
        <w:rPr>
          <w:lang w:val="en-US"/>
        </w:rPr>
        <w:t>-</w:t>
      </w:r>
      <w:r>
        <w:rPr>
          <w:lang w:val="en-US"/>
        </w:rPr>
        <w:t xml:space="preserve">cycle </w:t>
      </w:r>
      <w:r w:rsidRPr="005D1A08" w:rsidR="005D1A08">
        <w:rPr>
          <w:lang w:val="en-US"/>
        </w:rPr>
        <w:t>of military capabilities</w:t>
      </w:r>
      <w:r w:rsidR="004D5910">
        <w:rPr>
          <w:lang w:val="en-US"/>
        </w:rPr>
        <w:t>.</w:t>
      </w:r>
    </w:p>
    <w:p w:rsidR="00217332" w:rsidP="0094626F" w:rsidRDefault="005D1A08">
      <w:pPr>
        <w:pStyle w:val="Lijstalinea"/>
        <w:numPr>
          <w:ilvl w:val="0"/>
          <w:numId w:val="13"/>
        </w:numPr>
        <w:spacing w:after="160"/>
        <w:rPr>
          <w:lang w:val="en-US"/>
        </w:rPr>
      </w:pPr>
      <w:r w:rsidRPr="00217332">
        <w:rPr>
          <w:lang w:val="en-US"/>
        </w:rPr>
        <w:t>Financing.</w:t>
      </w:r>
    </w:p>
    <w:p w:rsidRPr="00245518" w:rsidR="00CE5A5C" w:rsidP="0094626F" w:rsidRDefault="00CE5A5C">
      <w:pPr>
        <w:pStyle w:val="Lijstalinea"/>
        <w:spacing w:after="160"/>
        <w:rPr>
          <w:lang w:val="en-US"/>
        </w:rPr>
      </w:pPr>
    </w:p>
    <w:p w:rsidRPr="006D29E3" w:rsidR="006D29E3" w:rsidP="00CD343F" w:rsidRDefault="005D1A08">
      <w:pPr>
        <w:pStyle w:val="Lijstalinea"/>
        <w:numPr>
          <w:ilvl w:val="0"/>
          <w:numId w:val="16"/>
        </w:numPr>
        <w:tabs>
          <w:tab w:val="left" w:pos="2745"/>
        </w:tabs>
        <w:spacing w:after="160"/>
        <w:ind w:left="357" w:hanging="357"/>
        <w:contextualSpacing w:val="0"/>
        <w:rPr>
          <w:b/>
          <w:lang w:val="en-US"/>
        </w:rPr>
      </w:pPr>
      <w:r>
        <w:rPr>
          <w:b/>
          <w:lang w:val="en-US"/>
        </w:rPr>
        <w:t>Role and ambition of the EU</w:t>
      </w:r>
    </w:p>
    <w:p w:rsidRPr="00CD343F" w:rsidR="00CF62E2" w:rsidP="00CD343F" w:rsidRDefault="00CF62E2">
      <w:pPr>
        <w:pStyle w:val="Lijstalinea"/>
        <w:numPr>
          <w:ilvl w:val="0"/>
          <w:numId w:val="30"/>
        </w:numPr>
        <w:spacing w:after="160"/>
        <w:rPr>
          <w:i/>
          <w:lang w:val="en-US"/>
        </w:rPr>
      </w:pPr>
      <w:r w:rsidRPr="00CD343F">
        <w:rPr>
          <w:i/>
          <w:lang w:val="en-US"/>
        </w:rPr>
        <w:t>Role of the EU</w:t>
      </w:r>
    </w:p>
    <w:p w:rsidR="00CF62E2" w:rsidP="0094626F" w:rsidRDefault="005D1A08">
      <w:pPr>
        <w:tabs>
          <w:tab w:val="left" w:pos="2745"/>
        </w:tabs>
        <w:spacing w:after="160"/>
        <w:rPr>
          <w:lang w:val="en-US"/>
        </w:rPr>
      </w:pPr>
      <w:r w:rsidRPr="005D1A08">
        <w:rPr>
          <w:lang w:val="en-US"/>
        </w:rPr>
        <w:t xml:space="preserve">To </w:t>
      </w:r>
      <w:r w:rsidR="00E223C2">
        <w:rPr>
          <w:lang w:val="en-US"/>
        </w:rPr>
        <w:t>strengthen</w:t>
      </w:r>
      <w:r w:rsidRPr="005D1A08" w:rsidR="00E223C2">
        <w:rPr>
          <w:lang w:val="en-US"/>
        </w:rPr>
        <w:t xml:space="preserve"> </w:t>
      </w:r>
      <w:r w:rsidR="00E223C2">
        <w:rPr>
          <w:lang w:val="en-US"/>
        </w:rPr>
        <w:t xml:space="preserve">NATO’s </w:t>
      </w:r>
      <w:r w:rsidRPr="005D1A08">
        <w:rPr>
          <w:lang w:val="en-US"/>
        </w:rPr>
        <w:t xml:space="preserve">collective </w:t>
      </w:r>
      <w:r w:rsidR="00F93E4C">
        <w:rPr>
          <w:lang w:val="en-US"/>
        </w:rPr>
        <w:t>defence</w:t>
      </w:r>
      <w:r w:rsidRPr="005D1A08">
        <w:rPr>
          <w:lang w:val="en-US"/>
        </w:rPr>
        <w:t xml:space="preserve"> and deterrence</w:t>
      </w:r>
      <w:r w:rsidR="00E223C2">
        <w:rPr>
          <w:lang w:val="en-US"/>
        </w:rPr>
        <w:t xml:space="preserve"> – </w:t>
      </w:r>
      <w:r w:rsidRPr="005D1A08">
        <w:rPr>
          <w:lang w:val="en-US"/>
        </w:rPr>
        <w:t>the cornerstone of our collective security</w:t>
      </w:r>
      <w:r w:rsidR="00E223C2">
        <w:rPr>
          <w:lang w:val="en-US"/>
        </w:rPr>
        <w:t xml:space="preserve"> – </w:t>
      </w:r>
      <w:r w:rsidR="004D5910">
        <w:rPr>
          <w:lang w:val="en-US"/>
        </w:rPr>
        <w:t xml:space="preserve">the EU should use </w:t>
      </w:r>
      <w:r w:rsidR="007A7E21">
        <w:rPr>
          <w:lang w:val="en-US"/>
        </w:rPr>
        <w:t>its</w:t>
      </w:r>
      <w:r w:rsidR="004D5910">
        <w:rPr>
          <w:lang w:val="en-US"/>
        </w:rPr>
        <w:t xml:space="preserve"> unique </w:t>
      </w:r>
      <w:r w:rsidR="00B2200A">
        <w:rPr>
          <w:lang w:val="en-US"/>
        </w:rPr>
        <w:t xml:space="preserve">strengths </w:t>
      </w:r>
      <w:r w:rsidR="004D5910">
        <w:rPr>
          <w:lang w:val="en-US"/>
        </w:rPr>
        <w:t>to support this effort</w:t>
      </w:r>
      <w:r w:rsidRPr="005D1A08">
        <w:rPr>
          <w:lang w:val="en-US"/>
        </w:rPr>
        <w:t xml:space="preserve">. </w:t>
      </w:r>
      <w:r w:rsidR="00064E5E">
        <w:rPr>
          <w:lang w:val="en-US"/>
        </w:rPr>
        <w:t>In our view</w:t>
      </w:r>
      <w:r w:rsidR="00E223C2">
        <w:rPr>
          <w:lang w:val="en-US"/>
        </w:rPr>
        <w:t>,</w:t>
      </w:r>
      <w:r w:rsidR="00064E5E">
        <w:rPr>
          <w:lang w:val="en-US"/>
        </w:rPr>
        <w:t xml:space="preserve"> </w:t>
      </w:r>
      <w:r w:rsidR="00E223C2">
        <w:rPr>
          <w:lang w:val="en-US"/>
        </w:rPr>
        <w:t xml:space="preserve">the EU’s </w:t>
      </w:r>
      <w:r w:rsidR="00064E5E">
        <w:rPr>
          <w:lang w:val="en-US"/>
        </w:rPr>
        <w:t xml:space="preserve">key roles </w:t>
      </w:r>
      <w:r w:rsidR="00E223C2">
        <w:rPr>
          <w:lang w:val="en-US"/>
        </w:rPr>
        <w:t xml:space="preserve">in </w:t>
      </w:r>
      <w:r w:rsidR="00064E5E">
        <w:rPr>
          <w:lang w:val="en-US"/>
        </w:rPr>
        <w:t xml:space="preserve">defence </w:t>
      </w:r>
      <w:r w:rsidR="00F10882">
        <w:rPr>
          <w:lang w:val="en-US"/>
        </w:rPr>
        <w:t>should</w:t>
      </w:r>
      <w:r w:rsidR="00064E5E">
        <w:rPr>
          <w:lang w:val="en-US"/>
        </w:rPr>
        <w:t xml:space="preserve"> be</w:t>
      </w:r>
      <w:r w:rsidR="00CF62E2">
        <w:rPr>
          <w:lang w:val="en-US"/>
        </w:rPr>
        <w:t>:</w:t>
      </w:r>
    </w:p>
    <w:p w:rsidR="0039613D" w:rsidP="0094626F" w:rsidRDefault="0039613D">
      <w:pPr>
        <w:pStyle w:val="Lijstalinea"/>
        <w:numPr>
          <w:ilvl w:val="0"/>
          <w:numId w:val="15"/>
        </w:numPr>
        <w:spacing w:after="160"/>
        <w:rPr>
          <w:lang w:val="en-US"/>
        </w:rPr>
      </w:pPr>
      <w:r>
        <w:rPr>
          <w:lang w:val="en-US"/>
        </w:rPr>
        <w:t xml:space="preserve">Strengthening </w:t>
      </w:r>
      <w:r w:rsidR="00B84D79">
        <w:rPr>
          <w:lang w:val="en-US"/>
        </w:rPr>
        <w:t xml:space="preserve">a demand driven </w:t>
      </w:r>
      <w:r>
        <w:rPr>
          <w:lang w:val="en-US"/>
        </w:rPr>
        <w:t>European defence</w:t>
      </w:r>
      <w:r w:rsidR="00D31EE4">
        <w:rPr>
          <w:lang w:val="en-US"/>
        </w:rPr>
        <w:t xml:space="preserve"> industry</w:t>
      </w:r>
      <w:r w:rsidR="00B84D79">
        <w:rPr>
          <w:lang w:val="en-US"/>
        </w:rPr>
        <w:t>, based on military needs</w:t>
      </w:r>
      <w:r>
        <w:rPr>
          <w:lang w:val="en-US"/>
        </w:rPr>
        <w:t>.</w:t>
      </w:r>
    </w:p>
    <w:p w:rsidR="0039613D" w:rsidP="0094626F" w:rsidRDefault="00D31EE4">
      <w:pPr>
        <w:pStyle w:val="Lijstalinea"/>
        <w:numPr>
          <w:ilvl w:val="0"/>
          <w:numId w:val="15"/>
        </w:numPr>
        <w:spacing w:after="160"/>
        <w:rPr>
          <w:lang w:val="en-US"/>
        </w:rPr>
      </w:pPr>
      <w:r>
        <w:rPr>
          <w:lang w:val="en-US"/>
        </w:rPr>
        <w:t xml:space="preserve">Ensuring that </w:t>
      </w:r>
      <w:r w:rsidRPr="0096507B">
        <w:rPr>
          <w:lang w:val="en-GB"/>
        </w:rPr>
        <w:t>EU regulations allow for the readiness and deployment of the armed forces of Member States</w:t>
      </w:r>
      <w:r w:rsidR="0039613D">
        <w:rPr>
          <w:lang w:val="en-US"/>
        </w:rPr>
        <w:t>.</w:t>
      </w:r>
    </w:p>
    <w:p w:rsidR="0039613D" w:rsidP="0094626F" w:rsidRDefault="0039613D">
      <w:pPr>
        <w:pStyle w:val="Lijstalinea"/>
        <w:numPr>
          <w:ilvl w:val="0"/>
          <w:numId w:val="15"/>
        </w:numPr>
        <w:spacing w:after="160"/>
        <w:rPr>
          <w:lang w:val="en-US"/>
        </w:rPr>
      </w:pPr>
      <w:r>
        <w:rPr>
          <w:lang w:val="en-US"/>
        </w:rPr>
        <w:t>Coordinating and stimulating civilian and military support for Ukraine</w:t>
      </w:r>
      <w:r w:rsidR="00DB2EA8">
        <w:rPr>
          <w:lang w:val="en-US"/>
        </w:rPr>
        <w:t>.</w:t>
      </w:r>
    </w:p>
    <w:p w:rsidR="0039613D" w:rsidP="0094626F" w:rsidRDefault="00A83A4C">
      <w:pPr>
        <w:pStyle w:val="Lijstalinea"/>
        <w:numPr>
          <w:ilvl w:val="0"/>
          <w:numId w:val="15"/>
        </w:numPr>
        <w:spacing w:after="160"/>
        <w:rPr>
          <w:lang w:val="en-US"/>
        </w:rPr>
      </w:pPr>
      <w:r>
        <w:rPr>
          <w:lang w:val="en-US"/>
        </w:rPr>
        <w:t xml:space="preserve">Enhancing </w:t>
      </w:r>
      <w:r w:rsidR="0039613D">
        <w:rPr>
          <w:lang w:val="en-US"/>
        </w:rPr>
        <w:t>military mobility across the continent.</w:t>
      </w:r>
    </w:p>
    <w:p w:rsidR="0039613D" w:rsidP="0094626F" w:rsidRDefault="0039613D">
      <w:pPr>
        <w:pStyle w:val="Lijstalinea"/>
        <w:numPr>
          <w:ilvl w:val="0"/>
          <w:numId w:val="15"/>
        </w:numPr>
        <w:spacing w:after="160"/>
        <w:rPr>
          <w:lang w:val="en-US"/>
        </w:rPr>
      </w:pPr>
      <w:r>
        <w:rPr>
          <w:lang w:val="en-US"/>
        </w:rPr>
        <w:t>Fostering cooperation and partnerships with NATO and important allies.</w:t>
      </w:r>
    </w:p>
    <w:p w:rsidR="00C33B8B" w:rsidP="004B7CF7" w:rsidRDefault="004D5910">
      <w:pPr>
        <w:tabs>
          <w:tab w:val="left" w:pos="2745"/>
        </w:tabs>
        <w:spacing w:after="160"/>
        <w:rPr>
          <w:lang w:val="en-US"/>
        </w:rPr>
      </w:pPr>
      <w:r>
        <w:rPr>
          <w:lang w:val="en-US"/>
        </w:rPr>
        <w:t>Firstly, a</w:t>
      </w:r>
      <w:r w:rsidRPr="0039613D" w:rsidR="005D1A08">
        <w:rPr>
          <w:lang w:val="en-US"/>
        </w:rPr>
        <w:t xml:space="preserve"> stronger and more innovative </w:t>
      </w:r>
      <w:r w:rsidRPr="00CE5A5C" w:rsidR="005D1A08">
        <w:rPr>
          <w:b/>
          <w:lang w:val="en-US"/>
        </w:rPr>
        <w:t xml:space="preserve">European </w:t>
      </w:r>
      <w:r w:rsidR="00F93E4C">
        <w:rPr>
          <w:b/>
          <w:lang w:val="en-US"/>
        </w:rPr>
        <w:t>defence</w:t>
      </w:r>
      <w:r w:rsidR="00DC55C6">
        <w:rPr>
          <w:b/>
          <w:lang w:val="en-US"/>
        </w:rPr>
        <w:t xml:space="preserve"> industry</w:t>
      </w:r>
      <w:r w:rsidRPr="00CE5A5C" w:rsidR="005D1A08">
        <w:rPr>
          <w:b/>
          <w:lang w:val="en-US"/>
        </w:rPr>
        <w:t xml:space="preserve"> </w:t>
      </w:r>
      <w:r w:rsidRPr="0039613D" w:rsidR="005D1A08">
        <w:rPr>
          <w:lang w:val="en-US"/>
        </w:rPr>
        <w:t xml:space="preserve">is essential, as the current EU-wide </w:t>
      </w:r>
      <w:r w:rsidR="00D31EE4">
        <w:rPr>
          <w:lang w:val="en-US"/>
        </w:rPr>
        <w:t xml:space="preserve">production </w:t>
      </w:r>
      <w:r w:rsidRPr="0039613D" w:rsidR="005D1A08">
        <w:rPr>
          <w:lang w:val="en-US"/>
        </w:rPr>
        <w:t>capacity is insufficient to address existing threats and meet NATO capability targets</w:t>
      </w:r>
      <w:r w:rsidR="00ED65AF">
        <w:rPr>
          <w:lang w:val="en-US"/>
        </w:rPr>
        <w:t xml:space="preserve"> within reasonable time</w:t>
      </w:r>
      <w:r w:rsidRPr="0039613D" w:rsidR="005D1A08">
        <w:rPr>
          <w:lang w:val="en-US"/>
        </w:rPr>
        <w:t xml:space="preserve">. </w:t>
      </w:r>
      <w:r w:rsidR="0090662E">
        <w:rPr>
          <w:lang w:val="en-US"/>
        </w:rPr>
        <w:t>Member States remain responsible for</w:t>
      </w:r>
      <w:r w:rsidR="00794D40">
        <w:rPr>
          <w:lang w:val="en-US"/>
        </w:rPr>
        <w:t xml:space="preserve"> the formulation of the military needs,</w:t>
      </w:r>
      <w:r w:rsidR="0090662E">
        <w:rPr>
          <w:lang w:val="en-US"/>
        </w:rPr>
        <w:t xml:space="preserve"> </w:t>
      </w:r>
      <w:r w:rsidR="00794D40">
        <w:rPr>
          <w:lang w:val="en-US"/>
        </w:rPr>
        <w:t xml:space="preserve">that result in </w:t>
      </w:r>
      <w:r w:rsidR="0090662E">
        <w:rPr>
          <w:lang w:val="en-US"/>
        </w:rPr>
        <w:t>capability development</w:t>
      </w:r>
      <w:r w:rsidR="002D4DA3">
        <w:rPr>
          <w:lang w:val="en-US"/>
        </w:rPr>
        <w:t>, -prioritization</w:t>
      </w:r>
      <w:r w:rsidR="0090662E">
        <w:rPr>
          <w:lang w:val="en-US"/>
        </w:rPr>
        <w:t xml:space="preserve">, </w:t>
      </w:r>
      <w:r w:rsidR="002D4DA3">
        <w:rPr>
          <w:lang w:val="en-US"/>
        </w:rPr>
        <w:t>-</w:t>
      </w:r>
      <w:r w:rsidR="0090662E">
        <w:rPr>
          <w:lang w:val="en-US"/>
        </w:rPr>
        <w:t xml:space="preserve">planning and </w:t>
      </w:r>
      <w:r w:rsidR="002D4DA3">
        <w:rPr>
          <w:lang w:val="en-US"/>
        </w:rPr>
        <w:t>-</w:t>
      </w:r>
      <w:r w:rsidR="0090662E">
        <w:rPr>
          <w:lang w:val="en-US"/>
        </w:rPr>
        <w:t>procurement. EDA</w:t>
      </w:r>
      <w:r w:rsidR="00183A34">
        <w:rPr>
          <w:lang w:val="en-US"/>
        </w:rPr>
        <w:t>, as the European intergovernmental agency,</w:t>
      </w:r>
      <w:r w:rsidR="0090662E">
        <w:rPr>
          <w:lang w:val="en-US"/>
        </w:rPr>
        <w:t xml:space="preserve"> should play an enabling role in joint capability development, mainly by identifying</w:t>
      </w:r>
      <w:r w:rsidR="00183A34">
        <w:rPr>
          <w:lang w:val="en-US"/>
        </w:rPr>
        <w:t>,</w:t>
      </w:r>
      <w:r w:rsidR="003818A7">
        <w:rPr>
          <w:lang w:val="en-US"/>
        </w:rPr>
        <w:t xml:space="preserve"> accelerating,</w:t>
      </w:r>
      <w:r w:rsidR="00183A34">
        <w:rPr>
          <w:lang w:val="en-US"/>
        </w:rPr>
        <w:t xml:space="preserve"> prioritizing, and supporting development</w:t>
      </w:r>
      <w:r w:rsidR="0090662E">
        <w:rPr>
          <w:lang w:val="en-US"/>
        </w:rPr>
        <w:t xml:space="preserve"> </w:t>
      </w:r>
      <w:r w:rsidR="003B59F4">
        <w:rPr>
          <w:lang w:val="en-US"/>
        </w:rPr>
        <w:t xml:space="preserve">of </w:t>
      </w:r>
      <w:r w:rsidR="0090662E">
        <w:rPr>
          <w:lang w:val="en-US"/>
        </w:rPr>
        <w:t xml:space="preserve">joint capability opportunities and supporting joint procurement. </w:t>
      </w:r>
      <w:r w:rsidR="00DC5B9E">
        <w:rPr>
          <w:lang w:val="en-US"/>
        </w:rPr>
        <w:t xml:space="preserve">The EU should develop </w:t>
      </w:r>
      <w:r w:rsidR="00B84D79">
        <w:rPr>
          <w:lang w:val="en-US"/>
        </w:rPr>
        <w:t>a demand driven</w:t>
      </w:r>
      <w:r w:rsidR="00ED65AF">
        <w:rPr>
          <w:lang w:val="en-US"/>
        </w:rPr>
        <w:t xml:space="preserve"> defence</w:t>
      </w:r>
      <w:r w:rsidR="00B84D79">
        <w:rPr>
          <w:lang w:val="en-US"/>
        </w:rPr>
        <w:t xml:space="preserve"> </w:t>
      </w:r>
      <w:r w:rsidR="00DC5B9E">
        <w:rPr>
          <w:lang w:val="en-US"/>
        </w:rPr>
        <w:t>industr</w:t>
      </w:r>
      <w:r w:rsidR="00CF64CF">
        <w:rPr>
          <w:lang w:val="en-US"/>
        </w:rPr>
        <w:t>ial</w:t>
      </w:r>
      <w:r w:rsidR="00DC5B9E">
        <w:rPr>
          <w:lang w:val="en-US"/>
        </w:rPr>
        <w:t xml:space="preserve"> policy to better enable Member States </w:t>
      </w:r>
      <w:r w:rsidR="00413592">
        <w:rPr>
          <w:lang w:val="en-US"/>
        </w:rPr>
        <w:t xml:space="preserve">to </w:t>
      </w:r>
      <w:r w:rsidR="00E223C2">
        <w:rPr>
          <w:lang w:val="en-US"/>
        </w:rPr>
        <w:t xml:space="preserve">meet the </w:t>
      </w:r>
      <w:r w:rsidR="00DC5B9E">
        <w:rPr>
          <w:lang w:val="en-US"/>
        </w:rPr>
        <w:t>NATO Defence Planning Process (NDPP)</w:t>
      </w:r>
      <w:r w:rsidR="00183A34">
        <w:rPr>
          <w:lang w:val="en-US"/>
        </w:rPr>
        <w:t xml:space="preserve"> </w:t>
      </w:r>
      <w:r w:rsidR="00E223C2">
        <w:rPr>
          <w:lang w:val="en-US"/>
        </w:rPr>
        <w:t xml:space="preserve">targets </w:t>
      </w:r>
      <w:r w:rsidR="00183A34">
        <w:rPr>
          <w:lang w:val="en-US"/>
        </w:rPr>
        <w:t xml:space="preserve">and </w:t>
      </w:r>
      <w:r w:rsidR="00413592">
        <w:rPr>
          <w:lang w:val="en-US"/>
        </w:rPr>
        <w:t>EU</w:t>
      </w:r>
      <w:r w:rsidR="00183A34">
        <w:rPr>
          <w:lang w:val="en-US"/>
        </w:rPr>
        <w:t xml:space="preserve"> Capability Development Priorities</w:t>
      </w:r>
      <w:r w:rsidR="00413592">
        <w:rPr>
          <w:lang w:val="en-US"/>
        </w:rPr>
        <w:t xml:space="preserve"> (CDP)</w:t>
      </w:r>
      <w:r w:rsidR="00DC5B9E">
        <w:rPr>
          <w:lang w:val="en-US"/>
        </w:rPr>
        <w:t>.</w:t>
      </w:r>
    </w:p>
    <w:p w:rsidR="00C33B8B" w:rsidP="0094626F" w:rsidRDefault="004B7CF7">
      <w:pPr>
        <w:spacing w:after="160"/>
        <w:rPr>
          <w:lang w:val="en-US"/>
        </w:rPr>
      </w:pPr>
      <w:r w:rsidRPr="003107E6">
        <w:rPr>
          <w:lang w:val="en-US"/>
        </w:rPr>
        <w:t xml:space="preserve">The EU should strive to ensure that </w:t>
      </w:r>
      <w:r w:rsidRPr="006049D4">
        <w:rPr>
          <w:b/>
          <w:lang w:val="en-US"/>
        </w:rPr>
        <w:t>existing and future EU legislation allows for the readiness and deployment of member states’ armed forces</w:t>
      </w:r>
      <w:r w:rsidRPr="003107E6">
        <w:rPr>
          <w:lang w:val="en-US"/>
        </w:rPr>
        <w:t xml:space="preserve">. Legislation should not stand in the way of preparing for one of the biggest threats to our security: military aggression. That is why the Netherlands is currently developing national legislation with the aim to remove obstacles that may stand in the way of our forces’ readiness for deployment (e.g. expanding and swiftly adapting training(grounds) and infrastructure, purchasing and maintenance of military products). This is needed as training in real-life circumstances is essential for combat effectiveness, as we have seen in the Russian war against Ukraine. Other member states are conducting similar national explorations since they face comparable challenges. The Netherlands looks forward to working together with the Commission to conduct a similar exercise at EU level, by for instance looking at legislation on procurement and legislation with spatial implications, without prejudice to the goals of this legislation. Elongated and labor-intensive license applications deriving from some obligations in EU-legislation should be heeded to, since well-intended policies now create genuine barriers to operational readiness. The aim of this exercise would be to ensure that EU legislation written in a zeitgeist of peace, does not hinder national armed forces’ readiness and deployment in this new </w:t>
      </w:r>
      <w:r w:rsidRPr="003107E6">
        <w:rPr>
          <w:lang w:val="en-US"/>
        </w:rPr>
        <w:lastRenderedPageBreak/>
        <w:t xml:space="preserve">deteriorated security environment. The Netherlands stands ready to cooperate with the Commission on developing concrete proposals to address potential legal barriers, potentially working towards an EU </w:t>
      </w:r>
      <w:r w:rsidR="003732EC">
        <w:rPr>
          <w:lang w:val="en-US"/>
        </w:rPr>
        <w:t xml:space="preserve">Defence </w:t>
      </w:r>
      <w:r w:rsidRPr="003107E6">
        <w:rPr>
          <w:lang w:val="en-US"/>
        </w:rPr>
        <w:t>Readiness Act.</w:t>
      </w:r>
    </w:p>
    <w:p w:rsidR="0090662E" w:rsidP="0094626F" w:rsidRDefault="004D5910">
      <w:pPr>
        <w:spacing w:after="160"/>
        <w:rPr>
          <w:lang w:val="en-US"/>
        </w:rPr>
      </w:pPr>
      <w:r>
        <w:rPr>
          <w:lang w:val="en-US"/>
        </w:rPr>
        <w:t xml:space="preserve">Thirdly, </w:t>
      </w:r>
      <w:r w:rsidR="00DB2EA8">
        <w:rPr>
          <w:lang w:val="en-US"/>
        </w:rPr>
        <w:t>increased</w:t>
      </w:r>
      <w:r w:rsidRPr="0090662E" w:rsidR="00DB2EA8">
        <w:rPr>
          <w:lang w:val="en-US"/>
        </w:rPr>
        <w:t xml:space="preserve"> </w:t>
      </w:r>
      <w:r w:rsidRPr="0090662E" w:rsidR="0090662E">
        <w:rPr>
          <w:lang w:val="en-US"/>
        </w:rPr>
        <w:t xml:space="preserve">support for </w:t>
      </w:r>
      <w:r w:rsidRPr="00CE5A5C" w:rsidR="0090662E">
        <w:rPr>
          <w:b/>
          <w:lang w:val="en-US"/>
        </w:rPr>
        <w:t>Ukraine</w:t>
      </w:r>
      <w:r w:rsidRPr="0090662E" w:rsidR="0090662E">
        <w:rPr>
          <w:lang w:val="en-US"/>
        </w:rPr>
        <w:t xml:space="preserve"> </w:t>
      </w:r>
      <w:r w:rsidR="00DB2EA8">
        <w:rPr>
          <w:lang w:val="en-US"/>
        </w:rPr>
        <w:t xml:space="preserve">is </w:t>
      </w:r>
      <w:r w:rsidRPr="0090662E" w:rsidR="0090662E">
        <w:rPr>
          <w:lang w:val="en-US"/>
        </w:rPr>
        <w:t>crucial. European countries must step up their contributions, requiring more sustainable and structural funding.</w:t>
      </w:r>
      <w:r w:rsidR="0090662E">
        <w:rPr>
          <w:lang w:val="en-US"/>
        </w:rPr>
        <w:t xml:space="preserve"> The EU should continue to support this by stimulating and coordinating military </w:t>
      </w:r>
      <w:r w:rsidR="00CE5A5C">
        <w:rPr>
          <w:lang w:val="en-US"/>
        </w:rPr>
        <w:t xml:space="preserve">and civilian support to Ukraine and strengthening its </w:t>
      </w:r>
      <w:r w:rsidR="00F93E4C">
        <w:rPr>
          <w:lang w:val="en-US"/>
        </w:rPr>
        <w:t>defence</w:t>
      </w:r>
      <w:r w:rsidR="00CE5A5C">
        <w:rPr>
          <w:lang w:val="en-US"/>
        </w:rPr>
        <w:t xml:space="preserve"> industry. This should be done by leveraging existing instruments </w:t>
      </w:r>
      <w:r w:rsidR="005663B8">
        <w:rPr>
          <w:lang w:val="en-US"/>
        </w:rPr>
        <w:t xml:space="preserve">such as </w:t>
      </w:r>
      <w:r w:rsidR="00E16A28">
        <w:rPr>
          <w:lang w:val="en-US"/>
        </w:rPr>
        <w:t xml:space="preserve">the Ukraine Support Instrument </w:t>
      </w:r>
      <w:r w:rsidR="005663B8">
        <w:rPr>
          <w:lang w:val="en-US"/>
        </w:rPr>
        <w:t xml:space="preserve">(within </w:t>
      </w:r>
      <w:r w:rsidR="00E16A28">
        <w:rPr>
          <w:lang w:val="en-US"/>
        </w:rPr>
        <w:t>EDIP</w:t>
      </w:r>
      <w:r w:rsidR="005663B8">
        <w:rPr>
          <w:lang w:val="en-US"/>
        </w:rPr>
        <w:t>)</w:t>
      </w:r>
      <w:r w:rsidR="00E16A28">
        <w:rPr>
          <w:lang w:val="en-US"/>
        </w:rPr>
        <w:t xml:space="preserve"> and </w:t>
      </w:r>
      <w:r w:rsidR="00CE5A5C">
        <w:rPr>
          <w:lang w:val="en-US"/>
        </w:rPr>
        <w:t>the</w:t>
      </w:r>
      <w:r w:rsidR="00E16A28">
        <w:rPr>
          <w:lang w:val="en-US"/>
        </w:rPr>
        <w:t xml:space="preserve"> European Peace Facility</w:t>
      </w:r>
      <w:r w:rsidR="00CE5A5C">
        <w:rPr>
          <w:lang w:val="en-US"/>
        </w:rPr>
        <w:t>.</w:t>
      </w:r>
    </w:p>
    <w:p w:rsidR="006E671F" w:rsidP="0094626F" w:rsidRDefault="004D5910">
      <w:pPr>
        <w:spacing w:after="160"/>
        <w:rPr>
          <w:lang w:val="en-US"/>
        </w:rPr>
      </w:pPr>
      <w:r>
        <w:rPr>
          <w:lang w:val="en-US"/>
        </w:rPr>
        <w:t>Fourthly, t</w:t>
      </w:r>
      <w:r w:rsidR="006E671F">
        <w:rPr>
          <w:lang w:val="en-US"/>
        </w:rPr>
        <w:t xml:space="preserve">he </w:t>
      </w:r>
      <w:r w:rsidRPr="003917D7" w:rsidR="006E671F">
        <w:rPr>
          <w:lang w:val="en-US"/>
        </w:rPr>
        <w:t xml:space="preserve">EU must play a key role in enhancing </w:t>
      </w:r>
      <w:r w:rsidRPr="00CE5A5C" w:rsidR="006E671F">
        <w:rPr>
          <w:b/>
          <w:lang w:val="en-US"/>
        </w:rPr>
        <w:t>military mobility</w:t>
      </w:r>
      <w:r w:rsidRPr="003917D7" w:rsidR="006E671F">
        <w:rPr>
          <w:lang w:val="en-US"/>
        </w:rPr>
        <w:t xml:space="preserve">, as it is a cross-border challenge critical to strengthening our collective </w:t>
      </w:r>
      <w:r w:rsidR="00F93E4C">
        <w:rPr>
          <w:lang w:val="en-US"/>
        </w:rPr>
        <w:t>defence</w:t>
      </w:r>
      <w:r w:rsidRPr="003917D7" w:rsidR="006E671F">
        <w:rPr>
          <w:lang w:val="en-US"/>
        </w:rPr>
        <w:t>. Military mobility requires investments</w:t>
      </w:r>
      <w:r w:rsidR="006E671F">
        <w:rPr>
          <w:lang w:val="en-US"/>
        </w:rPr>
        <w:t xml:space="preserve"> </w:t>
      </w:r>
      <w:r w:rsidR="003B59F4">
        <w:rPr>
          <w:lang w:val="en-US"/>
        </w:rPr>
        <w:t xml:space="preserve">and harmonization of national rules and regulations </w:t>
      </w:r>
      <w:r w:rsidR="006E671F">
        <w:rPr>
          <w:lang w:val="en-US"/>
        </w:rPr>
        <w:t>throughout the EU</w:t>
      </w:r>
      <w:r w:rsidRPr="003917D7" w:rsidR="006E671F">
        <w:rPr>
          <w:lang w:val="en-US"/>
        </w:rPr>
        <w:t>, making EU-level measures essential to ensure efficiency and coherence.</w:t>
      </w:r>
    </w:p>
    <w:p w:rsidRPr="00CE5A5C" w:rsidR="00BC2C8A" w:rsidP="0094626F" w:rsidRDefault="004D5910">
      <w:pPr>
        <w:spacing w:after="160"/>
        <w:rPr>
          <w:lang w:val="en-US"/>
        </w:rPr>
      </w:pPr>
      <w:r>
        <w:rPr>
          <w:lang w:val="en-US"/>
        </w:rPr>
        <w:t>Lastly, e</w:t>
      </w:r>
      <w:r w:rsidRPr="00BC2C8A" w:rsidR="00BC2C8A">
        <w:rPr>
          <w:lang w:val="en-US"/>
        </w:rPr>
        <w:t xml:space="preserve">ffective </w:t>
      </w:r>
      <w:r w:rsidRPr="00BC2C8A" w:rsidR="00BC2C8A">
        <w:rPr>
          <w:b/>
          <w:lang w:val="en-US"/>
        </w:rPr>
        <w:t>cooperation and strategic partnerships</w:t>
      </w:r>
      <w:r w:rsidRPr="00BC2C8A" w:rsidR="00BC2C8A">
        <w:rPr>
          <w:lang w:val="en-US"/>
        </w:rPr>
        <w:t xml:space="preserve"> with key allies, such as the UK, US, Norway, </w:t>
      </w:r>
      <w:r w:rsidR="00ED65AF">
        <w:rPr>
          <w:lang w:val="en-US"/>
        </w:rPr>
        <w:t>Canada and T</w:t>
      </w:r>
      <w:r w:rsidR="00AD132D">
        <w:rPr>
          <w:lang w:val="en-US"/>
        </w:rPr>
        <w:t>ürkiye</w:t>
      </w:r>
      <w:r w:rsidR="00ED65AF">
        <w:rPr>
          <w:lang w:val="en-US"/>
        </w:rPr>
        <w:t xml:space="preserve"> </w:t>
      </w:r>
      <w:r w:rsidRPr="00BC2C8A" w:rsidR="00BC2C8A">
        <w:rPr>
          <w:lang w:val="en-US"/>
        </w:rPr>
        <w:t xml:space="preserve">are vital to enhancing our collective defence capabilities. In areas like capability development, defence industry, and military mobility, collaboration can facilitate knowledge sharing, reduce costs, and increase interoperability. For instance, in the defence industry sector, the Netherlands strongly advocates for EU instruments that foster cooperation with the defence industries of allies. </w:t>
      </w:r>
      <w:r w:rsidR="00194015">
        <w:rPr>
          <w:lang w:val="en-US"/>
        </w:rPr>
        <w:t>This approach should strengthen the European Defence Technological and Industrial Base by ramping-up production and development of the most urgent critical defence capabilities within Europe for the security of supply of our armed forces</w:t>
      </w:r>
      <w:r w:rsidR="002969A7">
        <w:rPr>
          <w:lang w:val="en-US"/>
        </w:rPr>
        <w:t xml:space="preserve"> and support for Ukraine</w:t>
      </w:r>
      <w:r w:rsidR="00194015">
        <w:rPr>
          <w:lang w:val="en-US"/>
        </w:rPr>
        <w:t xml:space="preserve">. </w:t>
      </w:r>
      <w:r w:rsidRPr="00BC2C8A" w:rsidR="00BC2C8A">
        <w:rPr>
          <w:lang w:val="en-US"/>
        </w:rPr>
        <w:t>By adopting a balanced approach</w:t>
      </w:r>
      <w:r w:rsidR="001B5FD1">
        <w:rPr>
          <w:lang w:val="en-US"/>
        </w:rPr>
        <w:t>,</w:t>
      </w:r>
      <w:r w:rsidRPr="00BC2C8A" w:rsidR="00BC2C8A">
        <w:rPr>
          <w:lang w:val="en-US"/>
        </w:rPr>
        <w:t xml:space="preserve"> we can strengthen both EU industry and NATO's collective defence capabilities, ultimately enhancing our ability to addr</w:t>
      </w:r>
      <w:r w:rsidR="0094626F">
        <w:rPr>
          <w:lang w:val="en-US"/>
        </w:rPr>
        <w:t>ess common security challenges.</w:t>
      </w:r>
      <w:r w:rsidR="00E12E4E">
        <w:rPr>
          <w:lang w:val="en-US"/>
        </w:rPr>
        <w:t xml:space="preserve"> Stimulating the adoption of NATO </w:t>
      </w:r>
      <w:r w:rsidRPr="007A7E21" w:rsidR="00E12E4E">
        <w:rPr>
          <w:lang w:val="en-GB"/>
        </w:rPr>
        <w:t>Standardisation</w:t>
      </w:r>
      <w:r w:rsidR="00E12E4E">
        <w:rPr>
          <w:lang w:val="en-US"/>
        </w:rPr>
        <w:t xml:space="preserve"> Agreements (STANAGs) is another way the EU could support cooperation.</w:t>
      </w:r>
      <w:r w:rsidR="004C5000">
        <w:rPr>
          <w:lang w:val="en-US"/>
        </w:rPr>
        <w:t xml:space="preserve"> </w:t>
      </w:r>
    </w:p>
    <w:p w:rsidRPr="00CD343F" w:rsidR="006D29E3" w:rsidP="00CD343F" w:rsidRDefault="006D29E3">
      <w:pPr>
        <w:pStyle w:val="Lijstalinea"/>
        <w:numPr>
          <w:ilvl w:val="0"/>
          <w:numId w:val="30"/>
        </w:numPr>
        <w:spacing w:after="160"/>
        <w:rPr>
          <w:i/>
          <w:lang w:val="en-US"/>
        </w:rPr>
      </w:pPr>
      <w:r w:rsidRPr="00CD343F">
        <w:rPr>
          <w:i/>
          <w:lang w:val="en-US"/>
        </w:rPr>
        <w:t>Ambition of the EU</w:t>
      </w:r>
    </w:p>
    <w:p w:rsidRPr="00CD343F" w:rsidR="007A684A" w:rsidP="0094626F" w:rsidRDefault="007A684A">
      <w:pPr>
        <w:tabs>
          <w:tab w:val="left" w:pos="2745"/>
        </w:tabs>
        <w:spacing w:after="160"/>
        <w:rPr>
          <w:lang w:val="en-US"/>
        </w:rPr>
      </w:pPr>
      <w:r w:rsidRPr="00CD343F">
        <w:rPr>
          <w:lang w:val="en-US"/>
        </w:rPr>
        <w:t>To achieve a coherent and effective security and defence approach, the EU must define a clear level of ambition. This requires a shared vision on three key points:</w:t>
      </w:r>
    </w:p>
    <w:p w:rsidR="003C1582" w:rsidP="008945DA" w:rsidRDefault="007A684A">
      <w:pPr>
        <w:pStyle w:val="Lijstalinea"/>
        <w:numPr>
          <w:ilvl w:val="0"/>
          <w:numId w:val="20"/>
        </w:numPr>
        <w:tabs>
          <w:tab w:val="left" w:pos="2745"/>
        </w:tabs>
        <w:spacing w:after="160"/>
        <w:rPr>
          <w:lang w:val="en-US"/>
        </w:rPr>
      </w:pPr>
      <w:r>
        <w:rPr>
          <w:lang w:val="en-US"/>
        </w:rPr>
        <w:t xml:space="preserve">Member States </w:t>
      </w:r>
      <w:r w:rsidRPr="00CD343F">
        <w:rPr>
          <w:lang w:val="en-US"/>
        </w:rPr>
        <w:t>identify which joint military</w:t>
      </w:r>
      <w:r w:rsidRPr="000A2D22" w:rsidR="003C1582">
        <w:rPr>
          <w:lang w:val="en-US"/>
        </w:rPr>
        <w:t xml:space="preserve"> capabilities must be developed</w:t>
      </w:r>
      <w:r w:rsidR="003C1582">
        <w:rPr>
          <w:lang w:val="en-US"/>
        </w:rPr>
        <w:t xml:space="preserve">, </w:t>
      </w:r>
      <w:r w:rsidRPr="00CD343F">
        <w:rPr>
          <w:lang w:val="en-US"/>
        </w:rPr>
        <w:t xml:space="preserve">building on </w:t>
      </w:r>
      <w:r w:rsidR="003C1582">
        <w:rPr>
          <w:lang w:val="en-US"/>
        </w:rPr>
        <w:t>the NDPP, CDP and CARD</w:t>
      </w:r>
      <w:r w:rsidRPr="00CD343F">
        <w:rPr>
          <w:lang w:val="en-US"/>
        </w:rPr>
        <w:t>.</w:t>
      </w:r>
    </w:p>
    <w:p w:rsidR="003C1582" w:rsidP="008945DA" w:rsidRDefault="003C1582">
      <w:pPr>
        <w:pStyle w:val="Lijstalinea"/>
        <w:numPr>
          <w:ilvl w:val="0"/>
          <w:numId w:val="20"/>
        </w:numPr>
        <w:tabs>
          <w:tab w:val="left" w:pos="2745"/>
        </w:tabs>
        <w:spacing w:after="160"/>
        <w:rPr>
          <w:lang w:val="en-US"/>
        </w:rPr>
      </w:pPr>
      <w:r w:rsidRPr="00CD343F">
        <w:rPr>
          <w:lang w:val="en-US"/>
        </w:rPr>
        <w:t xml:space="preserve">Member States and the Commission determine the required industrial capacity (R&amp;D, production, and resilience) </w:t>
      </w:r>
      <w:r>
        <w:rPr>
          <w:lang w:val="en-US"/>
        </w:rPr>
        <w:t xml:space="preserve">within the EU </w:t>
      </w:r>
      <w:r w:rsidRPr="00CD343F">
        <w:rPr>
          <w:lang w:val="en-US"/>
        </w:rPr>
        <w:t>to fill military capability gaps.</w:t>
      </w:r>
    </w:p>
    <w:p w:rsidRPr="008945DA" w:rsidR="00F16878" w:rsidP="008945DA" w:rsidRDefault="007D0A63">
      <w:pPr>
        <w:pStyle w:val="Lijstalinea"/>
        <w:numPr>
          <w:ilvl w:val="0"/>
          <w:numId w:val="20"/>
        </w:numPr>
        <w:tabs>
          <w:tab w:val="left" w:pos="2745"/>
        </w:tabs>
        <w:spacing w:after="160"/>
        <w:rPr>
          <w:lang w:val="en-US"/>
        </w:rPr>
      </w:pPr>
      <w:r w:rsidRPr="00CD343F">
        <w:rPr>
          <w:lang w:val="en-US"/>
        </w:rPr>
        <w:t>The Commission identifies the EU-level policies and instruments</w:t>
      </w:r>
      <w:r w:rsidR="00B2200A">
        <w:rPr>
          <w:lang w:val="en-US"/>
        </w:rPr>
        <w:t xml:space="preserve"> </w:t>
      </w:r>
      <w:r w:rsidRPr="00CD343F">
        <w:rPr>
          <w:lang w:val="en-US"/>
        </w:rPr>
        <w:t>—</w:t>
      </w:r>
      <w:r w:rsidR="00B2200A">
        <w:rPr>
          <w:lang w:val="en-US"/>
        </w:rPr>
        <w:t xml:space="preserve"> </w:t>
      </w:r>
      <w:r w:rsidRPr="00CD343F">
        <w:rPr>
          <w:lang w:val="en-US"/>
        </w:rPr>
        <w:t>such as funding mechanisms, regulations, and incentives</w:t>
      </w:r>
      <w:r w:rsidR="00B2200A">
        <w:rPr>
          <w:lang w:val="en-US"/>
        </w:rPr>
        <w:t xml:space="preserve"> </w:t>
      </w:r>
      <w:r w:rsidRPr="00CD343F">
        <w:rPr>
          <w:lang w:val="en-US"/>
        </w:rPr>
        <w:t>—</w:t>
      </w:r>
      <w:r w:rsidR="00B2200A">
        <w:rPr>
          <w:lang w:val="en-US"/>
        </w:rPr>
        <w:t xml:space="preserve"> </w:t>
      </w:r>
      <w:r w:rsidRPr="00CD343F">
        <w:rPr>
          <w:lang w:val="en-US"/>
        </w:rPr>
        <w:t xml:space="preserve">needed to support these objectives at various levels of ambition, making optimal use of existing EU </w:t>
      </w:r>
      <w:r>
        <w:rPr>
          <w:lang w:val="en-US"/>
        </w:rPr>
        <w:t>instruments</w:t>
      </w:r>
      <w:r w:rsidRPr="00CD343F">
        <w:rPr>
          <w:lang w:val="en-US"/>
        </w:rPr>
        <w:t xml:space="preserve"> wherever possible.</w:t>
      </w:r>
      <w:r w:rsidRPr="008945DA" w:rsidDel="00907540" w:rsidR="003C1582">
        <w:rPr>
          <w:lang w:val="en-US"/>
        </w:rPr>
        <w:t xml:space="preserve"> </w:t>
      </w:r>
    </w:p>
    <w:p w:rsidRPr="00F16878" w:rsidR="003C1582" w:rsidP="0094626F" w:rsidRDefault="00F16878">
      <w:pPr>
        <w:tabs>
          <w:tab w:val="left" w:pos="2745"/>
        </w:tabs>
        <w:spacing w:after="160"/>
        <w:rPr>
          <w:lang w:val="en-US"/>
        </w:rPr>
      </w:pPr>
      <w:r w:rsidRPr="00F16878">
        <w:rPr>
          <w:lang w:val="en-US"/>
        </w:rPr>
        <w:t xml:space="preserve">Only with a unified vision on these fundamental issues can we </w:t>
      </w:r>
      <w:r w:rsidR="00844507">
        <w:rPr>
          <w:lang w:val="en-US"/>
        </w:rPr>
        <w:t>conduct</w:t>
      </w:r>
      <w:r w:rsidRPr="00F16878" w:rsidR="00844507">
        <w:rPr>
          <w:lang w:val="en-US"/>
        </w:rPr>
        <w:t xml:space="preserve"> </w:t>
      </w:r>
      <w:r w:rsidRPr="00F16878">
        <w:rPr>
          <w:lang w:val="en-US"/>
        </w:rPr>
        <w:t>a meaningful discussion on how to finance our ambitions and ensure the security</w:t>
      </w:r>
      <w:r w:rsidR="001E648B">
        <w:rPr>
          <w:lang w:val="en-US"/>
        </w:rPr>
        <w:t xml:space="preserve"> and stability</w:t>
      </w:r>
      <w:r w:rsidRPr="00F16878">
        <w:rPr>
          <w:lang w:val="en-US"/>
        </w:rPr>
        <w:t xml:space="preserve"> of EU member states. The forthcoming White Paper’s analysis </w:t>
      </w:r>
      <w:r w:rsidR="0094626F">
        <w:rPr>
          <w:lang w:val="en-US"/>
        </w:rPr>
        <w:t xml:space="preserve">should </w:t>
      </w:r>
      <w:r w:rsidR="00DB2EA8">
        <w:rPr>
          <w:lang w:val="en-US"/>
        </w:rPr>
        <w:t xml:space="preserve">form </w:t>
      </w:r>
      <w:r w:rsidRPr="00F16878">
        <w:rPr>
          <w:lang w:val="en-US"/>
        </w:rPr>
        <w:t>a solid foundation for informed decision-making and guiding the next steps.</w:t>
      </w:r>
    </w:p>
    <w:tbl>
      <w:tblPr>
        <w:tblStyle w:val="Tabelraster"/>
        <w:tblW w:w="0" w:type="auto"/>
        <w:tblLook w:val="04A0" w:firstRow="1" w:lastRow="0" w:firstColumn="1" w:lastColumn="0" w:noHBand="0" w:noVBand="1"/>
      </w:tblPr>
      <w:tblGrid>
        <w:gridCol w:w="9062"/>
      </w:tblGrid>
      <w:tr w:rsidRPr="007A7E21" w:rsidR="0094626F" w:rsidTr="0094626F">
        <w:tc>
          <w:tcPr>
            <w:tcW w:w="9062" w:type="dxa"/>
          </w:tcPr>
          <w:p w:rsidRPr="008B7960" w:rsidR="0094626F" w:rsidP="0094626F" w:rsidRDefault="0094626F">
            <w:pPr>
              <w:spacing w:before="80" w:after="40"/>
              <w:rPr>
                <w:b/>
                <w:lang w:val="en-US"/>
              </w:rPr>
            </w:pPr>
            <w:r w:rsidRPr="008B7960">
              <w:rPr>
                <w:b/>
                <w:lang w:val="en-US"/>
              </w:rPr>
              <w:t>Way forward</w:t>
            </w:r>
            <w:r w:rsidR="003C1582">
              <w:rPr>
                <w:b/>
                <w:lang w:val="en-US"/>
              </w:rPr>
              <w:t>: Role and ambition of the EU</w:t>
            </w:r>
          </w:p>
          <w:p w:rsidR="00772516" w:rsidP="005D1ED2" w:rsidRDefault="0078493C">
            <w:pPr>
              <w:pStyle w:val="Lijstalinea"/>
              <w:numPr>
                <w:ilvl w:val="1"/>
                <w:numId w:val="3"/>
              </w:numPr>
              <w:spacing w:after="160"/>
              <w:ind w:left="737" w:hanging="357"/>
              <w:rPr>
                <w:lang w:val="en-US"/>
              </w:rPr>
            </w:pPr>
            <w:r>
              <w:rPr>
                <w:lang w:val="en-US"/>
              </w:rPr>
              <w:t xml:space="preserve">Member States and EU institutions should first determine the roles and </w:t>
            </w:r>
            <w:r w:rsidR="00844507">
              <w:rPr>
                <w:lang w:val="en-US"/>
              </w:rPr>
              <w:t>responsibilities</w:t>
            </w:r>
            <w:r>
              <w:rPr>
                <w:lang w:val="en-US"/>
              </w:rPr>
              <w:t xml:space="preserve"> within the EU defence framework</w:t>
            </w:r>
            <w:r w:rsidR="00837DAF">
              <w:rPr>
                <w:lang w:val="en-US"/>
              </w:rPr>
              <w:t>, taking into account the competences conferred by the Treaties</w:t>
            </w:r>
            <w:r>
              <w:rPr>
                <w:lang w:val="en-US"/>
              </w:rPr>
              <w:t>.</w:t>
            </w:r>
            <w:r w:rsidR="00772516">
              <w:rPr>
                <w:lang w:val="en-US"/>
              </w:rPr>
              <w:t xml:space="preserve"> </w:t>
            </w:r>
          </w:p>
          <w:p w:rsidR="00F83788" w:rsidP="0078493C" w:rsidRDefault="00F83788">
            <w:pPr>
              <w:pStyle w:val="Lijstalinea"/>
              <w:numPr>
                <w:ilvl w:val="1"/>
                <w:numId w:val="3"/>
              </w:numPr>
              <w:spacing w:after="160"/>
              <w:ind w:left="737" w:hanging="357"/>
              <w:rPr>
                <w:lang w:val="en-US"/>
              </w:rPr>
            </w:pPr>
            <w:r>
              <w:rPr>
                <w:lang w:val="en-US"/>
              </w:rPr>
              <w:t xml:space="preserve">Next, Member States should jointly determine the level of </w:t>
            </w:r>
            <w:r w:rsidR="007A7E21">
              <w:rPr>
                <w:lang w:val="en-US"/>
              </w:rPr>
              <w:t>ambition regarding</w:t>
            </w:r>
            <w:r>
              <w:rPr>
                <w:lang w:val="en-US"/>
              </w:rPr>
              <w:t>:</w:t>
            </w:r>
          </w:p>
          <w:p w:rsidR="00F83788" w:rsidP="00CD343F" w:rsidRDefault="00F83788">
            <w:pPr>
              <w:pStyle w:val="Lijstalinea"/>
              <w:numPr>
                <w:ilvl w:val="2"/>
                <w:numId w:val="3"/>
              </w:numPr>
              <w:spacing w:after="160"/>
              <w:ind w:left="1451"/>
              <w:rPr>
                <w:lang w:val="en-US"/>
              </w:rPr>
            </w:pPr>
            <w:r w:rsidRPr="001754A4">
              <w:rPr>
                <w:lang w:val="en-US"/>
              </w:rPr>
              <w:t>which joint military</w:t>
            </w:r>
            <w:r w:rsidRPr="000A2D22">
              <w:rPr>
                <w:lang w:val="en-US"/>
              </w:rPr>
              <w:t xml:space="preserve"> capabilities must be developed</w:t>
            </w:r>
            <w:r>
              <w:rPr>
                <w:lang w:val="en-US"/>
              </w:rPr>
              <w:t xml:space="preserve">, </w:t>
            </w:r>
            <w:r w:rsidRPr="001754A4">
              <w:rPr>
                <w:lang w:val="en-US"/>
              </w:rPr>
              <w:t xml:space="preserve">building on </w:t>
            </w:r>
            <w:r>
              <w:rPr>
                <w:lang w:val="en-US"/>
              </w:rPr>
              <w:t>the NDPP, CDP and CARD</w:t>
            </w:r>
            <w:r w:rsidR="00DB2EA8">
              <w:rPr>
                <w:lang w:val="en-US"/>
              </w:rPr>
              <w:t>;</w:t>
            </w:r>
          </w:p>
          <w:p w:rsidR="00F83788" w:rsidP="00CD343F" w:rsidRDefault="00F83788">
            <w:pPr>
              <w:pStyle w:val="Lijstalinea"/>
              <w:numPr>
                <w:ilvl w:val="2"/>
                <w:numId w:val="3"/>
              </w:numPr>
              <w:spacing w:after="160"/>
              <w:ind w:left="1451"/>
              <w:rPr>
                <w:lang w:val="en-US"/>
              </w:rPr>
            </w:pPr>
            <w:r w:rsidRPr="001754A4">
              <w:rPr>
                <w:lang w:val="en-US"/>
              </w:rPr>
              <w:t>required industrial capacity</w:t>
            </w:r>
            <w:r>
              <w:rPr>
                <w:lang w:val="en-US"/>
              </w:rPr>
              <w:t>;</w:t>
            </w:r>
          </w:p>
          <w:p w:rsidR="0078493C" w:rsidP="00CD343F" w:rsidRDefault="00F83788">
            <w:pPr>
              <w:pStyle w:val="Lijstalinea"/>
              <w:numPr>
                <w:ilvl w:val="2"/>
                <w:numId w:val="3"/>
              </w:numPr>
              <w:spacing w:after="160"/>
              <w:ind w:left="1451"/>
              <w:rPr>
                <w:lang w:val="en-US"/>
              </w:rPr>
            </w:pPr>
            <w:r>
              <w:rPr>
                <w:lang w:val="en-US"/>
              </w:rPr>
              <w:t>EU-level policies and instruments needed to support these objectives.</w:t>
            </w:r>
          </w:p>
          <w:p w:rsidRPr="008B7960" w:rsidR="0078493C" w:rsidP="00DB2EA8" w:rsidRDefault="00DB2EA8">
            <w:pPr>
              <w:pStyle w:val="Lijstalinea"/>
              <w:numPr>
                <w:ilvl w:val="1"/>
                <w:numId w:val="3"/>
              </w:numPr>
              <w:spacing w:after="160"/>
              <w:ind w:left="737" w:hanging="357"/>
              <w:rPr>
                <w:lang w:val="en-US"/>
              </w:rPr>
            </w:pPr>
            <w:r>
              <w:rPr>
                <w:lang w:val="en-US"/>
              </w:rPr>
              <w:t>T</w:t>
            </w:r>
            <w:r w:rsidR="00F83788">
              <w:rPr>
                <w:lang w:val="en-US"/>
              </w:rPr>
              <w:t>he White Paper should provide the analysis on the required industrial capacity and EU-level policies and instruments to support this.</w:t>
            </w:r>
          </w:p>
        </w:tc>
      </w:tr>
    </w:tbl>
    <w:p w:rsidR="00CB2122" w:rsidP="0094626F" w:rsidRDefault="00CB2122">
      <w:pPr>
        <w:tabs>
          <w:tab w:val="left" w:pos="2745"/>
        </w:tabs>
        <w:spacing w:after="160"/>
        <w:rPr>
          <w:lang w:val="en-US"/>
        </w:rPr>
      </w:pPr>
    </w:p>
    <w:p w:rsidRPr="00646608" w:rsidR="00646608" w:rsidP="00646608" w:rsidRDefault="00646608">
      <w:pPr>
        <w:tabs>
          <w:tab w:val="left" w:pos="2745"/>
        </w:tabs>
        <w:spacing w:after="160"/>
        <w:rPr>
          <w:b/>
          <w:lang w:val="en-US"/>
        </w:rPr>
      </w:pPr>
    </w:p>
    <w:p w:rsidR="0094626F" w:rsidP="0094626F" w:rsidRDefault="0094626F">
      <w:pPr>
        <w:tabs>
          <w:tab w:val="left" w:pos="2745"/>
        </w:tabs>
        <w:spacing w:after="160"/>
        <w:rPr>
          <w:lang w:val="en-US"/>
        </w:rPr>
      </w:pPr>
    </w:p>
    <w:p w:rsidR="00F10882" w:rsidP="0094626F" w:rsidRDefault="00F10882">
      <w:pPr>
        <w:pStyle w:val="Lijstalinea"/>
        <w:numPr>
          <w:ilvl w:val="0"/>
          <w:numId w:val="16"/>
        </w:numPr>
        <w:tabs>
          <w:tab w:val="left" w:pos="2745"/>
        </w:tabs>
        <w:spacing w:after="160"/>
        <w:rPr>
          <w:b/>
          <w:lang w:val="en-US"/>
        </w:rPr>
      </w:pPr>
      <w:r w:rsidRPr="00F10882">
        <w:rPr>
          <w:b/>
          <w:lang w:val="en-US"/>
        </w:rPr>
        <w:lastRenderedPageBreak/>
        <w:t>Strengthening the European defence industry</w:t>
      </w:r>
    </w:p>
    <w:p w:rsidR="00E83480" w:rsidP="0094626F" w:rsidRDefault="008E5BE3">
      <w:pPr>
        <w:spacing w:after="160"/>
        <w:rPr>
          <w:lang w:val="en-US"/>
        </w:rPr>
      </w:pPr>
      <w:r>
        <w:rPr>
          <w:lang w:val="en-US"/>
        </w:rPr>
        <w:t xml:space="preserve">The </w:t>
      </w:r>
      <w:r w:rsidR="0069406D">
        <w:rPr>
          <w:lang w:val="en-US"/>
        </w:rPr>
        <w:t>most important instrument for strengthening the European defence industry</w:t>
      </w:r>
      <w:r>
        <w:rPr>
          <w:lang w:val="en-US"/>
        </w:rPr>
        <w:t xml:space="preserve"> will be the </w:t>
      </w:r>
      <w:r w:rsidRPr="0069406D">
        <w:rPr>
          <w:b/>
          <w:lang w:val="en-US"/>
        </w:rPr>
        <w:t>European Defence Projects of Common Interest</w:t>
      </w:r>
      <w:r w:rsidR="0069406D">
        <w:rPr>
          <w:lang w:val="en-US"/>
        </w:rPr>
        <w:t>.</w:t>
      </w:r>
    </w:p>
    <w:p w:rsidR="00F10882" w:rsidP="0094626F" w:rsidRDefault="00F10882">
      <w:pPr>
        <w:spacing w:after="160"/>
        <w:rPr>
          <w:lang w:val="en-US"/>
        </w:rPr>
      </w:pPr>
      <w:r>
        <w:rPr>
          <w:lang w:val="en-US"/>
        </w:rPr>
        <w:t xml:space="preserve">In addition to EDPCIs, we need </w:t>
      </w:r>
      <w:r w:rsidRPr="00B91A80">
        <w:rPr>
          <w:lang w:val="en-US"/>
        </w:rPr>
        <w:t xml:space="preserve">a </w:t>
      </w:r>
      <w:r w:rsidRPr="0069406D">
        <w:rPr>
          <w:b/>
          <w:lang w:val="en-US"/>
        </w:rPr>
        <w:t>comprehensive defence industry program</w:t>
      </w:r>
      <w:r>
        <w:rPr>
          <w:lang w:val="en-US"/>
        </w:rPr>
        <w:t xml:space="preserve"> with a focus on innovation to fulfill (evolving) military needs. As Draghi points out, the EU’s investment in defence research and innovation is much lower than that of its industrial peers. A broad-based </w:t>
      </w:r>
      <w:r w:rsidR="00F93E4C">
        <w:rPr>
          <w:lang w:val="en-US"/>
        </w:rPr>
        <w:t>defence</w:t>
      </w:r>
      <w:r>
        <w:rPr>
          <w:lang w:val="en-US"/>
        </w:rPr>
        <w:t xml:space="preserve"> industry program not only underpins a robust foundation for technologies, production capacities, and know-how, but also ensures ongoing innovation well beyond the scope of individual flagship projects. This program should </w:t>
      </w:r>
      <w:r w:rsidR="00CF5529">
        <w:rPr>
          <w:lang w:val="en-US"/>
        </w:rPr>
        <w:t xml:space="preserve">build on existing EU instruments and </w:t>
      </w:r>
      <w:r>
        <w:rPr>
          <w:lang w:val="en-US"/>
        </w:rPr>
        <w:t xml:space="preserve">bring together R&amp;D, </w:t>
      </w:r>
      <w:r w:rsidR="00CA6289">
        <w:rPr>
          <w:lang w:val="en-US"/>
        </w:rPr>
        <w:t>industrialization</w:t>
      </w:r>
      <w:r>
        <w:rPr>
          <w:lang w:val="en-US"/>
        </w:rPr>
        <w:t xml:space="preserve"> of R&amp;D, procurement, maintenance and resilience.</w:t>
      </w:r>
    </w:p>
    <w:p w:rsidRPr="008E5BE3" w:rsidR="008E5BE3" w:rsidP="008E5BE3" w:rsidRDefault="00413592">
      <w:pPr>
        <w:spacing w:after="160"/>
        <w:rPr>
          <w:lang w:val="en-US"/>
        </w:rPr>
      </w:pPr>
      <w:r>
        <w:rPr>
          <w:b/>
          <w:lang w:val="en-US"/>
        </w:rPr>
        <w:t>Cross-border</w:t>
      </w:r>
      <w:r w:rsidRPr="0069406D">
        <w:rPr>
          <w:b/>
          <w:lang w:val="en-US"/>
        </w:rPr>
        <w:t xml:space="preserve"> </w:t>
      </w:r>
      <w:r w:rsidRPr="0069406D" w:rsidR="00F10882">
        <w:rPr>
          <w:b/>
          <w:lang w:val="en-US"/>
        </w:rPr>
        <w:t>supply chains</w:t>
      </w:r>
      <w:r w:rsidRPr="00B91A80" w:rsidR="00F10882">
        <w:rPr>
          <w:lang w:val="en-US"/>
        </w:rPr>
        <w:t xml:space="preserve"> that facilitate industrial cooperation are essential for building a cost-efficient and resilient EU defence industry that fully leverages the innovative potential of European SMEs. </w:t>
      </w:r>
      <w:r w:rsidRPr="008E5BE3" w:rsidR="008E5BE3">
        <w:rPr>
          <w:lang w:val="en-US"/>
        </w:rPr>
        <w:t>European cross</w:t>
      </w:r>
      <w:r w:rsidR="008A06CF">
        <w:rPr>
          <w:lang w:val="en-US"/>
        </w:rPr>
        <w:t>-</w:t>
      </w:r>
      <w:r w:rsidRPr="008E5BE3" w:rsidR="008E5BE3">
        <w:rPr>
          <w:lang w:val="en-US"/>
        </w:rPr>
        <w:t xml:space="preserve">border supply chains will not </w:t>
      </w:r>
      <w:r w:rsidR="006550A0">
        <w:rPr>
          <w:lang w:val="en-US"/>
        </w:rPr>
        <w:t>materialize</w:t>
      </w:r>
      <w:r w:rsidRPr="008E5BE3" w:rsidR="006550A0">
        <w:rPr>
          <w:lang w:val="en-US"/>
        </w:rPr>
        <w:t xml:space="preserve"> </w:t>
      </w:r>
      <w:r w:rsidRPr="008E5BE3" w:rsidR="008E5BE3">
        <w:rPr>
          <w:lang w:val="en-US"/>
        </w:rPr>
        <w:t>spontaneously but require new rules, conditions and incentives in order to realize a significant increase in cross border cooperation:</w:t>
      </w:r>
    </w:p>
    <w:p w:rsidRPr="008E5BE3" w:rsidR="008E5BE3" w:rsidP="008E5BE3" w:rsidRDefault="008B02B6">
      <w:pPr>
        <w:numPr>
          <w:ilvl w:val="0"/>
          <w:numId w:val="22"/>
        </w:numPr>
        <w:spacing w:after="160"/>
        <w:ind w:left="714" w:hanging="357"/>
        <w:contextualSpacing/>
        <w:rPr>
          <w:lang w:val="en-US"/>
        </w:rPr>
      </w:pPr>
      <w:r>
        <w:rPr>
          <w:lang w:val="en-US"/>
        </w:rPr>
        <w:t>P</w:t>
      </w:r>
      <w:r w:rsidRPr="008E5BE3" w:rsidR="008E5BE3">
        <w:rPr>
          <w:lang w:val="en-US"/>
        </w:rPr>
        <w:t xml:space="preserve">rime contractors in common procurement </w:t>
      </w:r>
      <w:r w:rsidR="006550A0">
        <w:rPr>
          <w:lang w:val="en-US"/>
        </w:rPr>
        <w:t>that</w:t>
      </w:r>
      <w:r w:rsidRPr="008E5BE3" w:rsidR="006550A0">
        <w:rPr>
          <w:lang w:val="en-US"/>
        </w:rPr>
        <w:t xml:space="preserve"> </w:t>
      </w:r>
      <w:r w:rsidRPr="008E5BE3" w:rsidR="008E5BE3">
        <w:rPr>
          <w:lang w:val="en-US"/>
        </w:rPr>
        <w:t>award contracts to direct (tier 1) suppliers in a more competitive way.</w:t>
      </w:r>
    </w:p>
    <w:p w:rsidRPr="008E5BE3" w:rsidR="008E5BE3" w:rsidP="008E5BE3" w:rsidRDefault="008B02B6">
      <w:pPr>
        <w:numPr>
          <w:ilvl w:val="0"/>
          <w:numId w:val="22"/>
        </w:numPr>
        <w:spacing w:after="160"/>
        <w:ind w:left="714" w:hanging="357"/>
        <w:contextualSpacing/>
        <w:rPr>
          <w:lang w:val="en-US"/>
        </w:rPr>
      </w:pPr>
      <w:r>
        <w:rPr>
          <w:lang w:val="en-US"/>
        </w:rPr>
        <w:t>B</w:t>
      </w:r>
      <w:r w:rsidRPr="008E5BE3" w:rsidR="008E5BE3">
        <w:rPr>
          <w:lang w:val="en-US"/>
        </w:rPr>
        <w:t>onus schemes and award criteria that are aimed at enhancing cross-border defence industrial cooperation and the inclusion of SMEs in defence supply chains</w:t>
      </w:r>
      <w:r w:rsidR="000171B6">
        <w:rPr>
          <w:lang w:val="en-US"/>
        </w:rPr>
        <w:t>.</w:t>
      </w:r>
    </w:p>
    <w:p w:rsidR="003F748F" w:rsidP="008E5BE3" w:rsidRDefault="003F748F">
      <w:pPr>
        <w:numPr>
          <w:ilvl w:val="0"/>
          <w:numId w:val="22"/>
        </w:numPr>
        <w:spacing w:after="160"/>
        <w:ind w:left="714" w:hanging="357"/>
        <w:contextualSpacing/>
        <w:rPr>
          <w:lang w:val="en-US"/>
        </w:rPr>
      </w:pPr>
      <w:r w:rsidRPr="005D1ED2">
        <w:rPr>
          <w:lang w:val="en-US"/>
        </w:rPr>
        <w:t xml:space="preserve">Development of an arrangement to ensure a fair and balanced distribution of work across </w:t>
      </w:r>
      <w:r>
        <w:rPr>
          <w:lang w:val="en-US"/>
        </w:rPr>
        <w:t>the EU</w:t>
      </w:r>
      <w:r w:rsidRPr="005D1ED2">
        <w:rPr>
          <w:lang w:val="en-US"/>
        </w:rPr>
        <w:t xml:space="preserve"> in EU capability and materiel collaboration</w:t>
      </w:r>
      <w:r>
        <w:rPr>
          <w:lang w:val="en-US"/>
        </w:rPr>
        <w:t xml:space="preserve"> (e.g. global work share)</w:t>
      </w:r>
      <w:r w:rsidRPr="005D1ED2">
        <w:rPr>
          <w:lang w:val="en-US"/>
        </w:rPr>
        <w:t>.</w:t>
      </w:r>
    </w:p>
    <w:p w:rsidRPr="008E5BE3" w:rsidR="008E5BE3" w:rsidP="008E5BE3" w:rsidRDefault="00B05017">
      <w:pPr>
        <w:numPr>
          <w:ilvl w:val="0"/>
          <w:numId w:val="22"/>
        </w:numPr>
        <w:spacing w:after="160"/>
        <w:ind w:left="714" w:hanging="357"/>
        <w:contextualSpacing/>
        <w:rPr>
          <w:lang w:val="en-US"/>
        </w:rPr>
      </w:pPr>
      <w:r>
        <w:rPr>
          <w:lang w:val="en-US"/>
        </w:rPr>
        <w:t xml:space="preserve">Further convergence in the field of exports of military technology and equipment </w:t>
      </w:r>
      <w:r w:rsidRPr="008E5BE3" w:rsidR="008E5BE3">
        <w:rPr>
          <w:lang w:val="en-US"/>
        </w:rPr>
        <w:t>to ensure a level playing field.</w:t>
      </w:r>
    </w:p>
    <w:p w:rsidRPr="008E5BE3" w:rsidR="008E5BE3" w:rsidP="008E5BE3" w:rsidRDefault="008E5BE3">
      <w:pPr>
        <w:spacing w:after="160"/>
        <w:contextualSpacing/>
        <w:rPr>
          <w:lang w:val="en-US"/>
        </w:rPr>
      </w:pPr>
    </w:p>
    <w:p w:rsidR="00100DE6" w:rsidP="0094626F" w:rsidRDefault="00F10882">
      <w:pPr>
        <w:spacing w:after="160"/>
        <w:rPr>
          <w:lang w:val="en-US"/>
        </w:rPr>
      </w:pPr>
      <w:r w:rsidRPr="00DE42B9">
        <w:rPr>
          <w:lang w:val="en-US"/>
        </w:rPr>
        <w:t xml:space="preserve">To enhance resilience and safeguard </w:t>
      </w:r>
      <w:r w:rsidR="00DB2EA8">
        <w:rPr>
          <w:lang w:val="en-US"/>
        </w:rPr>
        <w:t xml:space="preserve">options </w:t>
      </w:r>
      <w:r w:rsidRPr="00DE42B9">
        <w:rPr>
          <w:lang w:val="en-US"/>
        </w:rPr>
        <w:t xml:space="preserve">during crises, the EU must support strengthening the </w:t>
      </w:r>
      <w:r w:rsidRPr="0069406D">
        <w:rPr>
          <w:b/>
          <w:lang w:val="en-US"/>
        </w:rPr>
        <w:t>security of supply</w:t>
      </w:r>
      <w:r w:rsidRPr="00DE42B9">
        <w:rPr>
          <w:lang w:val="en-US"/>
        </w:rPr>
        <w:t xml:space="preserve"> of the defence industry. In addition to the security of supply framework within the European Defence Industry Programme (EDIP), the EU should better connect national security of supply regimes and encourage Member States to collaboratively establish strategic reserves and sustain reserve production capacity.</w:t>
      </w:r>
      <w:r w:rsidR="007416BC">
        <w:rPr>
          <w:lang w:val="en-US"/>
        </w:rPr>
        <w:t xml:space="preserve"> </w:t>
      </w:r>
    </w:p>
    <w:p w:rsidRPr="003F268D" w:rsidR="003F268D" w:rsidP="003F268D" w:rsidRDefault="003F268D">
      <w:pPr>
        <w:spacing w:after="160"/>
        <w:rPr>
          <w:lang w:val="en-US"/>
        </w:rPr>
      </w:pPr>
      <w:r w:rsidRPr="003F268D">
        <w:rPr>
          <w:lang w:val="en-US"/>
        </w:rPr>
        <w:t xml:space="preserve">To support </w:t>
      </w:r>
      <w:r w:rsidRPr="003F268D">
        <w:rPr>
          <w:b/>
          <w:lang w:val="en-US"/>
        </w:rPr>
        <w:t xml:space="preserve">Ukraine's </w:t>
      </w:r>
      <w:r w:rsidR="00F93E4C">
        <w:rPr>
          <w:b/>
          <w:lang w:val="en-US"/>
        </w:rPr>
        <w:t>defence</w:t>
      </w:r>
      <w:r w:rsidRPr="003F268D">
        <w:rPr>
          <w:b/>
          <w:lang w:val="en-US"/>
        </w:rPr>
        <w:t xml:space="preserve"> </w:t>
      </w:r>
      <w:r>
        <w:rPr>
          <w:b/>
          <w:lang w:val="en-US"/>
        </w:rPr>
        <w:t>industry</w:t>
      </w:r>
      <w:r w:rsidRPr="003F268D">
        <w:rPr>
          <w:lang w:val="en-US"/>
        </w:rPr>
        <w:t xml:space="preserve">, we should procure directly from the Ukrainian </w:t>
      </w:r>
      <w:r w:rsidR="00F93E4C">
        <w:rPr>
          <w:lang w:val="en-US"/>
        </w:rPr>
        <w:t>defence</w:t>
      </w:r>
      <w:r w:rsidRPr="003F268D">
        <w:rPr>
          <w:lang w:val="en-US"/>
        </w:rPr>
        <w:t xml:space="preserve"> industry through bilateral agreements and by utilizing EU instruments like the European Peace Facility (EPF). Additionally, we should promote financing, joint ventures, and maintenance activities on Ukrainian territory to strengthen the local </w:t>
      </w:r>
      <w:r w:rsidR="00F93E4C">
        <w:rPr>
          <w:lang w:val="en-US"/>
        </w:rPr>
        <w:t>defence</w:t>
      </w:r>
      <w:r w:rsidRPr="003F268D">
        <w:rPr>
          <w:lang w:val="en-US"/>
        </w:rPr>
        <w:t xml:space="preserve"> industry.</w:t>
      </w:r>
      <w:r>
        <w:rPr>
          <w:lang w:val="en-US"/>
        </w:rPr>
        <w:t xml:space="preserve"> </w:t>
      </w:r>
      <w:r w:rsidRPr="003F268D">
        <w:rPr>
          <w:lang w:val="en-US"/>
        </w:rPr>
        <w:t xml:space="preserve">Ultimately, our goal is integrating Ukraine's </w:t>
      </w:r>
      <w:r w:rsidR="00F93E4C">
        <w:rPr>
          <w:lang w:val="en-US"/>
        </w:rPr>
        <w:t>Defence</w:t>
      </w:r>
      <w:r w:rsidRPr="003F268D">
        <w:rPr>
          <w:lang w:val="en-US"/>
        </w:rPr>
        <w:t xml:space="preserve"> Technological and Industrial Base (DTIB) into the European </w:t>
      </w:r>
      <w:r w:rsidR="00F93E4C">
        <w:rPr>
          <w:lang w:val="en-US"/>
        </w:rPr>
        <w:t>Defence</w:t>
      </w:r>
      <w:r w:rsidRPr="003F268D">
        <w:rPr>
          <w:lang w:val="en-US"/>
        </w:rPr>
        <w:t xml:space="preserve"> Technological and Industrial Base (EDTIB). To facilitate this, we </w:t>
      </w:r>
      <w:r w:rsidR="006550A0">
        <w:rPr>
          <w:lang w:val="en-US"/>
        </w:rPr>
        <w:t>should</w:t>
      </w:r>
      <w:r w:rsidRPr="003F268D" w:rsidR="006550A0">
        <w:rPr>
          <w:lang w:val="en-US"/>
        </w:rPr>
        <w:t xml:space="preserve"> </w:t>
      </w:r>
      <w:r w:rsidRPr="003F268D">
        <w:rPr>
          <w:lang w:val="en-US"/>
        </w:rPr>
        <w:t xml:space="preserve">grant the Ukrainian </w:t>
      </w:r>
      <w:r w:rsidR="00F93E4C">
        <w:rPr>
          <w:lang w:val="en-US"/>
        </w:rPr>
        <w:t>defence</w:t>
      </w:r>
      <w:r w:rsidRPr="003F268D">
        <w:rPr>
          <w:lang w:val="en-US"/>
        </w:rPr>
        <w:t xml:space="preserve"> industry access to EU instruments such as the European </w:t>
      </w:r>
      <w:r w:rsidR="00F93E4C">
        <w:rPr>
          <w:lang w:val="en-US"/>
        </w:rPr>
        <w:t>Defence</w:t>
      </w:r>
      <w:r w:rsidRPr="003F268D">
        <w:rPr>
          <w:lang w:val="en-US"/>
        </w:rPr>
        <w:t xml:space="preserve"> Fund (EDF), fostering deeper cooperation and collaboration between our </w:t>
      </w:r>
      <w:r w:rsidR="00F93E4C">
        <w:rPr>
          <w:lang w:val="en-US"/>
        </w:rPr>
        <w:t>defence</w:t>
      </w:r>
      <w:r w:rsidRPr="003F268D">
        <w:rPr>
          <w:lang w:val="en-US"/>
        </w:rPr>
        <w:t xml:space="preserve"> industries.</w:t>
      </w:r>
    </w:p>
    <w:p w:rsidRPr="0094626F" w:rsidR="00F10882" w:rsidP="0094626F" w:rsidRDefault="00F10882">
      <w:pPr>
        <w:spacing w:after="160"/>
        <w:rPr>
          <w:lang w:val="en-GB"/>
        </w:rPr>
      </w:pPr>
      <w:r w:rsidRPr="00D74E6C">
        <w:rPr>
          <w:lang w:val="en-US"/>
        </w:rPr>
        <w:t xml:space="preserve">Close collaboration with </w:t>
      </w:r>
      <w:r w:rsidRPr="0069406D">
        <w:rPr>
          <w:b/>
          <w:lang w:val="en-US"/>
        </w:rPr>
        <w:t>industries from third countries</w:t>
      </w:r>
      <w:r w:rsidRPr="00D74E6C">
        <w:rPr>
          <w:lang w:val="en-US"/>
        </w:rPr>
        <w:t xml:space="preserve">, particularly the US and the UK, is crucial for ensuring a strong and capable European </w:t>
      </w:r>
      <w:r w:rsidR="00F93E4C">
        <w:rPr>
          <w:lang w:val="en-US"/>
        </w:rPr>
        <w:t>defence</w:t>
      </w:r>
      <w:r w:rsidRPr="00D74E6C">
        <w:rPr>
          <w:lang w:val="en-US"/>
        </w:rPr>
        <w:t>. Such partnerships provide access to high-quality components and advanced technologies, which are essential for maintaining the operational readiness of armed forces</w:t>
      </w:r>
      <w:r w:rsidR="00DB2EA8">
        <w:rPr>
          <w:lang w:val="en-US"/>
        </w:rPr>
        <w:t xml:space="preserve"> T</w:t>
      </w:r>
      <w:r w:rsidRPr="00D74E6C">
        <w:rPr>
          <w:lang w:val="en-US"/>
        </w:rPr>
        <w:t>his collaboration enhances interoperability and operational cooperation, critical for successful joint missions and exercises. Importantly, these partnerships reinforce</w:t>
      </w:r>
      <w:r>
        <w:rPr>
          <w:lang w:val="en-US"/>
        </w:rPr>
        <w:t xml:space="preserve"> the transatlantic relationship, which is </w:t>
      </w:r>
      <w:r w:rsidRPr="00D74E6C">
        <w:rPr>
          <w:lang w:val="en-US"/>
        </w:rPr>
        <w:t>a cornerstone of collective security and a key factor in addressing global security challenges.</w:t>
      </w:r>
    </w:p>
    <w:p w:rsidRPr="00D74E6C" w:rsidR="00F10882" w:rsidP="0094626F" w:rsidRDefault="00F10882">
      <w:pPr>
        <w:spacing w:after="160"/>
        <w:rPr>
          <w:lang w:val="en-US"/>
        </w:rPr>
      </w:pPr>
      <w:r w:rsidRPr="00D74E6C">
        <w:rPr>
          <w:lang w:val="en-US"/>
        </w:rPr>
        <w:t xml:space="preserve">European </w:t>
      </w:r>
      <w:r w:rsidRPr="0032209D">
        <w:rPr>
          <w:lang w:val="en-US"/>
        </w:rPr>
        <w:t>coordination in the procurement of equipment from third countries</w:t>
      </w:r>
      <w:r w:rsidRPr="00D74E6C">
        <w:rPr>
          <w:lang w:val="en-US"/>
        </w:rPr>
        <w:t xml:space="preserve"> and key non-EU allies is </w:t>
      </w:r>
      <w:r>
        <w:rPr>
          <w:lang w:val="en-US"/>
        </w:rPr>
        <w:t>equally essential,</w:t>
      </w:r>
      <w:r w:rsidRPr="00D74E6C">
        <w:rPr>
          <w:lang w:val="en-US"/>
        </w:rPr>
        <w:t xml:space="preserve"> </w:t>
      </w:r>
      <w:r w:rsidR="006550A0">
        <w:rPr>
          <w:lang w:val="en-US"/>
        </w:rPr>
        <w:t xml:space="preserve">for the </w:t>
      </w:r>
      <w:r w:rsidRPr="00CD343F" w:rsidR="006550A0">
        <w:rPr>
          <w:b/>
          <w:lang w:val="en-US"/>
        </w:rPr>
        <w:t>short term</w:t>
      </w:r>
      <w:r w:rsidR="006550A0">
        <w:rPr>
          <w:lang w:val="en-US"/>
        </w:rPr>
        <w:t xml:space="preserve"> also</w:t>
      </w:r>
      <w:r w:rsidRPr="00D74E6C" w:rsidR="006550A0">
        <w:rPr>
          <w:lang w:val="en-US"/>
        </w:rPr>
        <w:t xml:space="preserve"> </w:t>
      </w:r>
      <w:r w:rsidRPr="00D74E6C">
        <w:rPr>
          <w:lang w:val="en-US"/>
        </w:rPr>
        <w:t xml:space="preserve">through </w:t>
      </w:r>
      <w:r w:rsidRPr="0032209D">
        <w:rPr>
          <w:b/>
          <w:lang w:val="en-US"/>
        </w:rPr>
        <w:t>co-production of third country military equipment</w:t>
      </w:r>
      <w:r>
        <w:rPr>
          <w:lang w:val="en-US"/>
        </w:rPr>
        <w:t xml:space="preserve">. Key benefits are: </w:t>
      </w:r>
    </w:p>
    <w:p w:rsidRPr="00D74E6C" w:rsidR="00F10882" w:rsidP="0094626F" w:rsidRDefault="00F10882">
      <w:pPr>
        <w:numPr>
          <w:ilvl w:val="0"/>
          <w:numId w:val="7"/>
        </w:numPr>
        <w:spacing w:after="160"/>
        <w:rPr>
          <w:lang w:val="en-US"/>
        </w:rPr>
      </w:pPr>
      <w:r w:rsidRPr="00D74E6C">
        <w:rPr>
          <w:b/>
          <w:bCs/>
          <w:lang w:val="en-US"/>
        </w:rPr>
        <w:t xml:space="preserve">Accelerated </w:t>
      </w:r>
      <w:r>
        <w:rPr>
          <w:b/>
          <w:bCs/>
          <w:lang w:val="en-US"/>
        </w:rPr>
        <w:t>s</w:t>
      </w:r>
      <w:r w:rsidRPr="00D74E6C">
        <w:rPr>
          <w:b/>
          <w:bCs/>
          <w:lang w:val="en-US"/>
        </w:rPr>
        <w:t xml:space="preserve">trengthening of </w:t>
      </w:r>
      <w:r>
        <w:rPr>
          <w:b/>
          <w:bCs/>
          <w:lang w:val="en-US"/>
        </w:rPr>
        <w:t>a</w:t>
      </w:r>
      <w:r w:rsidRPr="00D74E6C">
        <w:rPr>
          <w:b/>
          <w:bCs/>
          <w:lang w:val="en-US"/>
        </w:rPr>
        <w:t xml:space="preserve">rmed </w:t>
      </w:r>
      <w:r>
        <w:rPr>
          <w:b/>
          <w:bCs/>
          <w:lang w:val="en-US"/>
        </w:rPr>
        <w:t>f</w:t>
      </w:r>
      <w:r w:rsidRPr="00D74E6C">
        <w:rPr>
          <w:b/>
          <w:bCs/>
          <w:lang w:val="en-US"/>
        </w:rPr>
        <w:t xml:space="preserve">orces and </w:t>
      </w:r>
      <w:r>
        <w:rPr>
          <w:b/>
          <w:bCs/>
          <w:lang w:val="en-US"/>
        </w:rPr>
        <w:t>s</w:t>
      </w:r>
      <w:r w:rsidRPr="00D74E6C">
        <w:rPr>
          <w:b/>
          <w:bCs/>
          <w:lang w:val="en-US"/>
        </w:rPr>
        <w:t>upport for Ukraine</w:t>
      </w:r>
      <w:r>
        <w:rPr>
          <w:b/>
          <w:bCs/>
          <w:lang w:val="en-US"/>
        </w:rPr>
        <w:t xml:space="preserve">. </w:t>
      </w:r>
      <w:r>
        <w:rPr>
          <w:lang w:val="en-US"/>
        </w:rPr>
        <w:t>Co-</w:t>
      </w:r>
      <w:r w:rsidRPr="00D74E6C">
        <w:rPr>
          <w:lang w:val="en-US"/>
        </w:rPr>
        <w:t>production enables faster delivery of critical capabilities by utilizing existing designs and production knowledge. This ensures the rapid enhancement of military readiness while maintaining the ability to provide timely and sustained support to Ukraine.</w:t>
      </w:r>
      <w:r w:rsidR="00CE0588">
        <w:rPr>
          <w:lang w:val="en-US"/>
        </w:rPr>
        <w:t xml:space="preserve"> </w:t>
      </w:r>
    </w:p>
    <w:p w:rsidRPr="00D74E6C" w:rsidR="00F10882" w:rsidP="0094626F" w:rsidRDefault="00F10882">
      <w:pPr>
        <w:numPr>
          <w:ilvl w:val="0"/>
          <w:numId w:val="7"/>
        </w:numPr>
        <w:spacing w:after="160"/>
        <w:rPr>
          <w:lang w:val="en-US"/>
        </w:rPr>
      </w:pPr>
      <w:r w:rsidRPr="00D74E6C">
        <w:rPr>
          <w:b/>
          <w:bCs/>
          <w:lang w:val="en-US"/>
        </w:rPr>
        <w:lastRenderedPageBreak/>
        <w:t xml:space="preserve">Reinforcement of the European </w:t>
      </w:r>
      <w:r w:rsidR="00F93E4C">
        <w:rPr>
          <w:b/>
          <w:bCs/>
          <w:lang w:val="en-US"/>
        </w:rPr>
        <w:t>defence</w:t>
      </w:r>
      <w:r w:rsidRPr="00D74E6C">
        <w:rPr>
          <w:b/>
          <w:bCs/>
          <w:lang w:val="en-US"/>
        </w:rPr>
        <w:t xml:space="preserve"> </w:t>
      </w:r>
      <w:r>
        <w:rPr>
          <w:b/>
          <w:bCs/>
          <w:lang w:val="en-US"/>
        </w:rPr>
        <w:t>i</w:t>
      </w:r>
      <w:r w:rsidRPr="00D74E6C">
        <w:rPr>
          <w:b/>
          <w:bCs/>
          <w:lang w:val="en-US"/>
        </w:rPr>
        <w:t>ndustry</w:t>
      </w:r>
      <w:r>
        <w:rPr>
          <w:b/>
          <w:bCs/>
          <w:lang w:val="en-US"/>
        </w:rPr>
        <w:t xml:space="preserve">. </w:t>
      </w:r>
      <w:r>
        <w:rPr>
          <w:lang w:val="en-US"/>
        </w:rPr>
        <w:t>Co-</w:t>
      </w:r>
      <w:r w:rsidRPr="00D74E6C">
        <w:rPr>
          <w:lang w:val="en-US"/>
        </w:rPr>
        <w:t xml:space="preserve">production brings significant benefits to the European </w:t>
      </w:r>
      <w:r w:rsidR="00F93E4C">
        <w:rPr>
          <w:lang w:val="en-US"/>
        </w:rPr>
        <w:t>defence</w:t>
      </w:r>
      <w:r w:rsidRPr="00D74E6C">
        <w:rPr>
          <w:lang w:val="en-US"/>
        </w:rPr>
        <w:t xml:space="preserve"> industry </w:t>
      </w:r>
      <w:r w:rsidR="007A43FE">
        <w:rPr>
          <w:lang w:val="en-US"/>
        </w:rPr>
        <w:t xml:space="preserve">and our armed forces </w:t>
      </w:r>
      <w:r w:rsidRPr="00D74E6C">
        <w:rPr>
          <w:lang w:val="en-US"/>
        </w:rPr>
        <w:t>by introducing advanced expertise, expanding production facilities within the EU, reducing costs through economies of scale</w:t>
      </w:r>
      <w:r w:rsidR="007A43FE">
        <w:rPr>
          <w:lang w:val="en-US"/>
        </w:rPr>
        <w:t>, and shorten the lead-time of the needed defence capabilities</w:t>
      </w:r>
      <w:r w:rsidRPr="00D74E6C">
        <w:rPr>
          <w:lang w:val="en-US"/>
        </w:rPr>
        <w:t>.</w:t>
      </w:r>
      <w:r w:rsidR="007A43FE">
        <w:rPr>
          <w:lang w:val="en-US"/>
        </w:rPr>
        <w:t xml:space="preserve"> </w:t>
      </w:r>
    </w:p>
    <w:p w:rsidR="00F10882" w:rsidP="0094626F" w:rsidRDefault="00F10882">
      <w:pPr>
        <w:numPr>
          <w:ilvl w:val="0"/>
          <w:numId w:val="7"/>
        </w:numPr>
        <w:spacing w:after="160"/>
        <w:rPr>
          <w:lang w:val="en-US"/>
        </w:rPr>
      </w:pPr>
      <w:r>
        <w:rPr>
          <w:b/>
          <w:bCs/>
          <w:lang w:val="en-US"/>
        </w:rPr>
        <w:t>Strengthening r</w:t>
      </w:r>
      <w:r w:rsidRPr="00D74E6C">
        <w:rPr>
          <w:b/>
          <w:bCs/>
          <w:lang w:val="en-US"/>
        </w:rPr>
        <w:t xml:space="preserve">elationships with </w:t>
      </w:r>
      <w:r>
        <w:rPr>
          <w:b/>
          <w:bCs/>
          <w:lang w:val="en-US"/>
        </w:rPr>
        <w:t>s</w:t>
      </w:r>
      <w:r w:rsidRPr="00D74E6C">
        <w:rPr>
          <w:b/>
          <w:bCs/>
          <w:lang w:val="en-US"/>
        </w:rPr>
        <w:t xml:space="preserve">trategic </w:t>
      </w:r>
      <w:r>
        <w:rPr>
          <w:b/>
          <w:bCs/>
          <w:lang w:val="en-US"/>
        </w:rPr>
        <w:t>p</w:t>
      </w:r>
      <w:r w:rsidRPr="00D74E6C">
        <w:rPr>
          <w:b/>
          <w:bCs/>
          <w:lang w:val="en-US"/>
        </w:rPr>
        <w:t>artners</w:t>
      </w:r>
      <w:r>
        <w:rPr>
          <w:b/>
          <w:bCs/>
          <w:lang w:val="en-US"/>
        </w:rPr>
        <w:t xml:space="preserve">. </w:t>
      </w:r>
      <w:r w:rsidRPr="00D74E6C">
        <w:rPr>
          <w:lang w:val="en-US"/>
        </w:rPr>
        <w:t xml:space="preserve">By engaging in </w:t>
      </w:r>
      <w:r>
        <w:rPr>
          <w:lang w:val="en-US"/>
        </w:rPr>
        <w:t>co-</w:t>
      </w:r>
      <w:r w:rsidRPr="00D74E6C">
        <w:rPr>
          <w:lang w:val="en-US"/>
        </w:rPr>
        <w:t xml:space="preserve">production agreements, the EU can deepen its ties with key strategic partners, such as the US and the UK. This not only </w:t>
      </w:r>
      <w:r>
        <w:rPr>
          <w:lang w:val="en-US"/>
        </w:rPr>
        <w:t>boosts</w:t>
      </w:r>
      <w:r w:rsidRPr="00D74E6C">
        <w:rPr>
          <w:lang w:val="en-US"/>
        </w:rPr>
        <w:t xml:space="preserve"> interoperability </w:t>
      </w:r>
      <w:r>
        <w:rPr>
          <w:lang w:val="en-US"/>
        </w:rPr>
        <w:t xml:space="preserve">within NATO </w:t>
      </w:r>
      <w:r w:rsidRPr="00D74E6C">
        <w:rPr>
          <w:lang w:val="en-US"/>
        </w:rPr>
        <w:t>and operational collaboration but also strengthens the transatlantic partnership critical to addressing shared security challenges.</w:t>
      </w:r>
    </w:p>
    <w:tbl>
      <w:tblPr>
        <w:tblStyle w:val="Tabelraster"/>
        <w:tblW w:w="0" w:type="auto"/>
        <w:tblLook w:val="04A0" w:firstRow="1" w:lastRow="0" w:firstColumn="1" w:lastColumn="0" w:noHBand="0" w:noVBand="1"/>
      </w:tblPr>
      <w:tblGrid>
        <w:gridCol w:w="9062"/>
      </w:tblGrid>
      <w:tr w:rsidRPr="007A7E21" w:rsidR="0094626F" w:rsidTr="0094626F">
        <w:tc>
          <w:tcPr>
            <w:tcW w:w="9062" w:type="dxa"/>
          </w:tcPr>
          <w:p w:rsidRPr="008B7960" w:rsidR="0094626F" w:rsidP="0094626F" w:rsidRDefault="0094626F">
            <w:pPr>
              <w:spacing w:before="80" w:after="160"/>
              <w:rPr>
                <w:b/>
                <w:lang w:val="en-US"/>
              </w:rPr>
            </w:pPr>
            <w:r w:rsidRPr="008B7960">
              <w:rPr>
                <w:b/>
                <w:lang w:val="en-US"/>
              </w:rPr>
              <w:t>Way forward</w:t>
            </w:r>
            <w:r w:rsidR="00203B2D">
              <w:rPr>
                <w:b/>
                <w:lang w:val="en-US"/>
              </w:rPr>
              <w:t>: Strengthening the European Defence industry</w:t>
            </w:r>
          </w:p>
          <w:p w:rsidR="0094626F" w:rsidP="0094626F" w:rsidRDefault="0094626F">
            <w:pPr>
              <w:pStyle w:val="Lijstalinea"/>
              <w:numPr>
                <w:ilvl w:val="1"/>
                <w:numId w:val="3"/>
              </w:numPr>
              <w:spacing w:after="160"/>
              <w:ind w:left="737" w:hanging="357"/>
              <w:rPr>
                <w:lang w:val="en-US"/>
              </w:rPr>
            </w:pPr>
            <w:r>
              <w:rPr>
                <w:lang w:val="en-US"/>
              </w:rPr>
              <w:t>EU industr</w:t>
            </w:r>
            <w:r w:rsidR="006550A0">
              <w:rPr>
                <w:lang w:val="en-US"/>
              </w:rPr>
              <w:t>ial</w:t>
            </w:r>
            <w:r>
              <w:rPr>
                <w:lang w:val="en-US"/>
              </w:rPr>
              <w:t xml:space="preserve"> policy should be directed towards delivering </w:t>
            </w:r>
            <w:r w:rsidR="00413592">
              <w:rPr>
                <w:lang w:val="en-US"/>
              </w:rPr>
              <w:t xml:space="preserve">the knowledge and </w:t>
            </w:r>
            <w:r>
              <w:rPr>
                <w:lang w:val="en-US"/>
              </w:rPr>
              <w:t>industrial capacities needed</w:t>
            </w:r>
            <w:r w:rsidR="00413592">
              <w:rPr>
                <w:lang w:val="en-US"/>
              </w:rPr>
              <w:t>, including R&amp;D and resilience,</w:t>
            </w:r>
            <w:r>
              <w:rPr>
                <w:lang w:val="en-US"/>
              </w:rPr>
              <w:t xml:space="preserve"> for delivering </w:t>
            </w:r>
            <w:r w:rsidR="00413592">
              <w:rPr>
                <w:lang w:val="en-US"/>
              </w:rPr>
              <w:t xml:space="preserve">military </w:t>
            </w:r>
            <w:r>
              <w:rPr>
                <w:lang w:val="en-US"/>
              </w:rPr>
              <w:t>capabilities. Should be based on NATO capability targets, CDP and CARD.</w:t>
            </w:r>
          </w:p>
          <w:p w:rsidR="00203B2D" w:rsidP="0094626F" w:rsidRDefault="00203B2D">
            <w:pPr>
              <w:pStyle w:val="Lijstalinea"/>
              <w:numPr>
                <w:ilvl w:val="1"/>
                <w:numId w:val="3"/>
              </w:numPr>
              <w:spacing w:after="160"/>
              <w:ind w:left="737" w:hanging="357"/>
              <w:rPr>
                <w:lang w:val="en-US"/>
              </w:rPr>
            </w:pPr>
            <w:r w:rsidRPr="00203B2D">
              <w:rPr>
                <w:lang w:val="en-US"/>
              </w:rPr>
              <w:t>Set up a comprehensive defence industry program</w:t>
            </w:r>
            <w:r>
              <w:rPr>
                <w:lang w:val="en-US"/>
              </w:rPr>
              <w:t xml:space="preserve">, </w:t>
            </w:r>
            <w:r w:rsidR="007A43FE">
              <w:rPr>
                <w:lang w:val="en-US"/>
              </w:rPr>
              <w:t xml:space="preserve">that includes instruments for collaborative </w:t>
            </w:r>
            <w:r>
              <w:rPr>
                <w:lang w:val="en-US"/>
              </w:rPr>
              <w:t>R&amp;D</w:t>
            </w:r>
            <w:r w:rsidR="007A43FE">
              <w:rPr>
                <w:lang w:val="en-US"/>
              </w:rPr>
              <w:t>,</w:t>
            </w:r>
            <w:r>
              <w:rPr>
                <w:lang w:val="en-US"/>
              </w:rPr>
              <w:t xml:space="preserve"> </w:t>
            </w:r>
            <w:r w:rsidR="00413592">
              <w:rPr>
                <w:lang w:val="en-US"/>
              </w:rPr>
              <w:t>industrialization, procurement,</w:t>
            </w:r>
            <w:r w:rsidR="007A43FE">
              <w:rPr>
                <w:lang w:val="en-US"/>
              </w:rPr>
              <w:t xml:space="preserve"> </w:t>
            </w:r>
            <w:r>
              <w:rPr>
                <w:lang w:val="en-US"/>
              </w:rPr>
              <w:t>maintenance</w:t>
            </w:r>
            <w:r w:rsidR="00413592">
              <w:rPr>
                <w:lang w:val="en-US"/>
              </w:rPr>
              <w:t xml:space="preserve"> and security of supply</w:t>
            </w:r>
            <w:r>
              <w:rPr>
                <w:lang w:val="en-US"/>
              </w:rPr>
              <w:t>.</w:t>
            </w:r>
          </w:p>
          <w:p w:rsidR="00A6208B" w:rsidP="00CD343F" w:rsidRDefault="00203B2D">
            <w:pPr>
              <w:pStyle w:val="Lijstalinea"/>
              <w:numPr>
                <w:ilvl w:val="1"/>
                <w:numId w:val="3"/>
              </w:numPr>
              <w:spacing w:after="160"/>
              <w:ind w:left="737" w:hanging="357"/>
              <w:rPr>
                <w:lang w:val="en-US"/>
              </w:rPr>
            </w:pPr>
            <w:r w:rsidRPr="00CD343F">
              <w:rPr>
                <w:lang w:val="en-US"/>
              </w:rPr>
              <w:t>Include in all EU instruments rules, incentives to strengthen cross-border open supply chains.</w:t>
            </w:r>
          </w:p>
          <w:p w:rsidRPr="00C70DA4" w:rsidR="00A6208B" w:rsidP="00F256C5" w:rsidRDefault="00A6208B">
            <w:pPr>
              <w:pStyle w:val="Lijstalinea"/>
              <w:numPr>
                <w:ilvl w:val="1"/>
                <w:numId w:val="3"/>
              </w:numPr>
              <w:spacing w:after="160"/>
              <w:ind w:left="737" w:hanging="357"/>
              <w:rPr>
                <w:lang w:val="en-US"/>
              </w:rPr>
            </w:pPr>
            <w:r>
              <w:rPr>
                <w:lang w:val="en-US"/>
              </w:rPr>
              <w:t xml:space="preserve">Strengthen the UKR </w:t>
            </w:r>
            <w:r w:rsidR="00336195">
              <w:rPr>
                <w:lang w:val="en-US"/>
              </w:rPr>
              <w:t>i</w:t>
            </w:r>
            <w:r>
              <w:rPr>
                <w:lang w:val="en-US"/>
              </w:rPr>
              <w:t>ndustry.</w:t>
            </w:r>
          </w:p>
          <w:p w:rsidRPr="00DD1E09" w:rsidR="00DD1E09" w:rsidP="00CD343F" w:rsidRDefault="00A6208B">
            <w:pPr>
              <w:pStyle w:val="Lijstalinea"/>
              <w:numPr>
                <w:ilvl w:val="1"/>
                <w:numId w:val="3"/>
              </w:numPr>
              <w:spacing w:after="160"/>
              <w:ind w:left="737" w:hanging="357"/>
              <w:rPr>
                <w:lang w:val="en-US"/>
              </w:rPr>
            </w:pPr>
            <w:r>
              <w:rPr>
                <w:lang w:val="en-US"/>
              </w:rPr>
              <w:t xml:space="preserve">Ensure that </w:t>
            </w:r>
            <w:r w:rsidRPr="00D74E6C">
              <w:rPr>
                <w:lang w:val="en-US"/>
              </w:rPr>
              <w:t xml:space="preserve">collaboration with </w:t>
            </w:r>
            <w:r w:rsidRPr="0069406D">
              <w:rPr>
                <w:b/>
                <w:lang w:val="en-US"/>
              </w:rPr>
              <w:t>industries from third countries</w:t>
            </w:r>
            <w:r w:rsidRPr="00D74E6C">
              <w:rPr>
                <w:lang w:val="en-US"/>
              </w:rPr>
              <w:t xml:space="preserve">, particularly the US and the UK, </w:t>
            </w:r>
            <w:r>
              <w:rPr>
                <w:lang w:val="en-US"/>
              </w:rPr>
              <w:t>remain possible</w:t>
            </w:r>
            <w:r w:rsidR="00A252C6">
              <w:rPr>
                <w:lang w:val="en-US"/>
              </w:rPr>
              <w:t xml:space="preserve"> within the EU framework</w:t>
            </w:r>
            <w:r>
              <w:rPr>
                <w:lang w:val="en-US"/>
              </w:rPr>
              <w:t xml:space="preserve">. </w:t>
            </w:r>
          </w:p>
        </w:tc>
      </w:tr>
    </w:tbl>
    <w:p w:rsidRPr="00B1040E" w:rsidR="00B1040E" w:rsidP="00B1040E" w:rsidRDefault="00B1040E">
      <w:pPr>
        <w:tabs>
          <w:tab w:val="left" w:pos="2745"/>
        </w:tabs>
        <w:spacing w:after="160"/>
        <w:rPr>
          <w:b/>
          <w:lang w:val="en-US"/>
        </w:rPr>
      </w:pPr>
    </w:p>
    <w:p w:rsidRPr="00DB2EA8" w:rsidR="00B1040E" w:rsidP="00B1040E" w:rsidRDefault="00B1040E">
      <w:pPr>
        <w:pStyle w:val="Lijstalinea"/>
        <w:numPr>
          <w:ilvl w:val="0"/>
          <w:numId w:val="16"/>
        </w:numPr>
        <w:tabs>
          <w:tab w:val="left" w:pos="2745"/>
        </w:tabs>
        <w:spacing w:after="160"/>
        <w:rPr>
          <w:b/>
          <w:lang w:val="en-US"/>
        </w:rPr>
      </w:pPr>
      <w:r w:rsidRPr="00DB2EA8">
        <w:rPr>
          <w:b/>
          <w:lang w:val="en-US"/>
        </w:rPr>
        <w:t xml:space="preserve">Cooperation amongst Member States during the entire life-cycle </w:t>
      </w:r>
      <w:r>
        <w:rPr>
          <w:b/>
          <w:lang w:val="en-US"/>
        </w:rPr>
        <w:t>of</w:t>
      </w:r>
      <w:r w:rsidRPr="00DB2EA8" w:rsidDel="00DB2EA8">
        <w:rPr>
          <w:b/>
          <w:lang w:val="en-US"/>
        </w:rPr>
        <w:t xml:space="preserve"> </w:t>
      </w:r>
      <w:r w:rsidRPr="00DB2EA8">
        <w:rPr>
          <w:b/>
          <w:lang w:val="en-US"/>
        </w:rPr>
        <w:t>capability development</w:t>
      </w:r>
    </w:p>
    <w:p w:rsidR="00B1040E" w:rsidP="00B1040E" w:rsidRDefault="00B1040E">
      <w:pPr>
        <w:spacing w:after="160"/>
        <w:rPr>
          <w:lang w:val="en-US"/>
        </w:rPr>
      </w:pPr>
      <w:r>
        <w:rPr>
          <w:lang w:val="en-US"/>
        </w:rPr>
        <w:t>M</w:t>
      </w:r>
      <w:r w:rsidRPr="005663B8">
        <w:rPr>
          <w:lang w:val="en-US"/>
        </w:rPr>
        <w:t xml:space="preserve">ilitary capability is much more than just </w:t>
      </w:r>
      <w:r>
        <w:rPr>
          <w:lang w:val="en-US"/>
        </w:rPr>
        <w:t>equipment</w:t>
      </w:r>
      <w:r w:rsidRPr="005663B8">
        <w:rPr>
          <w:lang w:val="en-US"/>
        </w:rPr>
        <w:t xml:space="preserve">; </w:t>
      </w:r>
      <w:r>
        <w:rPr>
          <w:lang w:val="en-US"/>
        </w:rPr>
        <w:t xml:space="preserve">it includes training, </w:t>
      </w:r>
      <w:r w:rsidRPr="005663B8">
        <w:rPr>
          <w:lang w:val="en-US"/>
        </w:rPr>
        <w:t>personnel</w:t>
      </w:r>
      <w:r>
        <w:rPr>
          <w:lang w:val="en-US"/>
        </w:rPr>
        <w:t xml:space="preserve"> and </w:t>
      </w:r>
      <w:r w:rsidRPr="005663B8">
        <w:rPr>
          <w:lang w:val="en-US"/>
        </w:rPr>
        <w:t>doctrine</w:t>
      </w:r>
      <w:r>
        <w:rPr>
          <w:lang w:val="en-US"/>
        </w:rPr>
        <w:t xml:space="preserve">, amongst others. </w:t>
      </w:r>
      <w:r w:rsidRPr="00B31CCC">
        <w:rPr>
          <w:lang w:val="en-US"/>
        </w:rPr>
        <w:t>Delivering military capabilities that meet</w:t>
      </w:r>
      <w:r>
        <w:rPr>
          <w:lang w:val="en-US"/>
        </w:rPr>
        <w:t xml:space="preserve"> NATO's capability targets is the </w:t>
      </w:r>
      <w:r w:rsidRPr="00B31CCC">
        <w:rPr>
          <w:lang w:val="en-US"/>
        </w:rPr>
        <w:t>responsibility of Member States. However, to effectively address the most pressing capability shortfalls</w:t>
      </w:r>
      <w:r>
        <w:rPr>
          <w:lang w:val="en-US"/>
        </w:rPr>
        <w:t xml:space="preserve">, </w:t>
      </w:r>
      <w:r w:rsidRPr="008B7960">
        <w:rPr>
          <w:b/>
          <w:lang w:val="en-US"/>
        </w:rPr>
        <w:t>Member States cooperat</w:t>
      </w:r>
      <w:r>
        <w:rPr>
          <w:b/>
          <w:lang w:val="en-US"/>
        </w:rPr>
        <w:t>ion is critical</w:t>
      </w:r>
      <w:r w:rsidRPr="0045410C">
        <w:rPr>
          <w:lang w:val="en-US"/>
        </w:rPr>
        <w:t xml:space="preserve">. The </w:t>
      </w:r>
      <w:r w:rsidRPr="008B7960">
        <w:rPr>
          <w:b/>
          <w:lang w:val="en-US"/>
        </w:rPr>
        <w:t>European Defence Agency</w:t>
      </w:r>
      <w:r w:rsidRPr="0045410C">
        <w:rPr>
          <w:lang w:val="en-US"/>
        </w:rPr>
        <w:t xml:space="preserve"> (EDA) plays a crucial role in facilitating cooperation opportunities</w:t>
      </w:r>
      <w:r>
        <w:rPr>
          <w:lang w:val="en-US"/>
        </w:rPr>
        <w:t>, leveraging existing instruments such as the Capability Development Priorities (CDP) and Coordinated Annual Review on Defence (CARD)</w:t>
      </w:r>
      <w:r w:rsidRPr="0045410C">
        <w:rPr>
          <w:lang w:val="en-US"/>
        </w:rPr>
        <w:t>.</w:t>
      </w:r>
    </w:p>
    <w:p w:rsidR="00B1040E" w:rsidP="00B1040E" w:rsidRDefault="00B1040E">
      <w:pPr>
        <w:spacing w:after="160"/>
        <w:rPr>
          <w:lang w:val="en-US"/>
        </w:rPr>
      </w:pPr>
      <w:r w:rsidRPr="008B7960">
        <w:rPr>
          <w:lang w:val="en-US"/>
        </w:rPr>
        <w:t>European Defence Projects of Common Interest (EDPCIs) play a</w:t>
      </w:r>
      <w:r>
        <w:rPr>
          <w:lang w:val="en-US"/>
        </w:rPr>
        <w:t>n important</w:t>
      </w:r>
      <w:r w:rsidRPr="008B7960">
        <w:rPr>
          <w:lang w:val="en-US"/>
        </w:rPr>
        <w:t xml:space="preserve"> role in stimulating the industrial component of military capabilities. These large-scale, cross-border projects are negotiated through the European Defence Industry Programme (EDIP) and have EU-wide significance. To ensure effective </w:t>
      </w:r>
      <w:r w:rsidRPr="008B7960">
        <w:rPr>
          <w:b/>
          <w:lang w:val="en-US"/>
        </w:rPr>
        <w:t>governance</w:t>
      </w:r>
      <w:r w:rsidRPr="008B7960">
        <w:rPr>
          <w:lang w:val="en-US"/>
        </w:rPr>
        <w:t xml:space="preserve">, EDIP should reflect the division of competences between Member States, who are responsible for delivering military capabilities, and the EU, which oversees EU-wide industrial policy. Specifically, Member States should identify and define the military domains or areas where </w:t>
      </w:r>
      <w:r>
        <w:rPr>
          <w:lang w:val="en-US"/>
        </w:rPr>
        <w:t xml:space="preserve">projects within an </w:t>
      </w:r>
      <w:r w:rsidRPr="008B7960">
        <w:rPr>
          <w:lang w:val="en-US"/>
        </w:rPr>
        <w:t>EDPCI will be developed, as industry is an integral part of the capability delivery process</w:t>
      </w:r>
      <w:r>
        <w:rPr>
          <w:lang w:val="en-US"/>
        </w:rPr>
        <w:t>.</w:t>
      </w:r>
    </w:p>
    <w:p w:rsidRPr="006550A0" w:rsidR="00B1040E" w:rsidP="00B1040E" w:rsidRDefault="00B1040E">
      <w:pPr>
        <w:spacing w:after="160"/>
        <w:rPr>
          <w:rFonts w:eastAsia="Segoe UI" w:cs="Segoe UI"/>
          <w:lang w:val="en-US"/>
        </w:rPr>
      </w:pPr>
      <w:r>
        <w:rPr>
          <w:rFonts w:eastAsia="Segoe UI" w:cs="Segoe UI"/>
          <w:lang w:val="en-US"/>
        </w:rPr>
        <w:t>EDPCI</w:t>
      </w:r>
      <w:r w:rsidRPr="006550A0">
        <w:rPr>
          <w:rFonts w:eastAsia="Segoe UI" w:cs="Segoe UI"/>
          <w:lang w:val="en-US"/>
        </w:rPr>
        <w:t xml:space="preserve"> priorities </w:t>
      </w:r>
      <w:r>
        <w:rPr>
          <w:rFonts w:eastAsia="Segoe UI" w:cs="Segoe UI"/>
          <w:lang w:val="en-US"/>
        </w:rPr>
        <w:t xml:space="preserve">should </w:t>
      </w:r>
      <w:r w:rsidRPr="006550A0">
        <w:rPr>
          <w:rFonts w:eastAsia="Segoe UI" w:cs="Segoe UI"/>
          <w:lang w:val="en-US"/>
        </w:rPr>
        <w:t xml:space="preserve">be </w:t>
      </w:r>
      <w:r>
        <w:rPr>
          <w:rFonts w:eastAsia="Segoe UI" w:cs="Segoe UI"/>
          <w:lang w:val="en-US"/>
        </w:rPr>
        <w:t>based on</w:t>
      </w:r>
      <w:r w:rsidRPr="006550A0">
        <w:rPr>
          <w:rFonts w:eastAsia="Segoe UI" w:cs="Segoe UI"/>
          <w:lang w:val="en-US"/>
        </w:rPr>
        <w:t xml:space="preserve"> the following criteria:</w:t>
      </w:r>
    </w:p>
    <w:p w:rsidRPr="00CD343F" w:rsidR="00B1040E" w:rsidP="00B1040E" w:rsidRDefault="00B1040E">
      <w:pPr>
        <w:pStyle w:val="Lijstalinea"/>
        <w:numPr>
          <w:ilvl w:val="0"/>
          <w:numId w:val="31"/>
        </w:numPr>
        <w:spacing w:after="160"/>
        <w:rPr>
          <w:rFonts w:eastAsia="Segoe UI" w:cs="Segoe UI"/>
          <w:lang w:val="en-US"/>
        </w:rPr>
      </w:pPr>
      <w:r w:rsidRPr="00CD343F">
        <w:rPr>
          <w:rFonts w:eastAsia="Segoe UI" w:cs="Segoe UI"/>
          <w:lang w:val="en-US"/>
        </w:rPr>
        <w:t>Alignment with national</w:t>
      </w:r>
      <w:r>
        <w:rPr>
          <w:rFonts w:eastAsia="Segoe UI" w:cs="Segoe UI"/>
          <w:lang w:val="en-US"/>
        </w:rPr>
        <w:t xml:space="preserve"> and</w:t>
      </w:r>
      <w:r w:rsidRPr="00CD343F">
        <w:rPr>
          <w:rFonts w:eastAsia="Segoe UI" w:cs="Segoe UI"/>
          <w:lang w:val="en-US"/>
        </w:rPr>
        <w:t xml:space="preserve"> NATO capability targets</w:t>
      </w:r>
      <w:r>
        <w:rPr>
          <w:rFonts w:eastAsia="Segoe UI" w:cs="Segoe UI"/>
          <w:lang w:val="en-US"/>
        </w:rPr>
        <w:t>, and the CDP.</w:t>
      </w:r>
    </w:p>
    <w:p w:rsidRPr="00CD343F" w:rsidR="00B1040E" w:rsidP="00B1040E" w:rsidRDefault="00B1040E">
      <w:pPr>
        <w:pStyle w:val="Lijstalinea"/>
        <w:numPr>
          <w:ilvl w:val="0"/>
          <w:numId w:val="31"/>
        </w:numPr>
        <w:spacing w:after="160"/>
        <w:rPr>
          <w:rFonts w:eastAsia="Segoe UI" w:cs="Segoe UI"/>
          <w:lang w:val="en-US"/>
        </w:rPr>
      </w:pPr>
      <w:r w:rsidRPr="00CD343F">
        <w:rPr>
          <w:rFonts w:eastAsia="Segoe UI" w:cs="Segoe UI"/>
          <w:lang w:val="en-US"/>
        </w:rPr>
        <w:t>Added value of development within the EU framework</w:t>
      </w:r>
      <w:r>
        <w:rPr>
          <w:rFonts w:eastAsia="Segoe UI" w:cs="Segoe UI"/>
          <w:lang w:val="en-US"/>
        </w:rPr>
        <w:t>.</w:t>
      </w:r>
    </w:p>
    <w:p w:rsidRPr="00CD343F" w:rsidR="00B1040E" w:rsidP="00B1040E" w:rsidRDefault="00B1040E">
      <w:pPr>
        <w:pStyle w:val="Lijstalinea"/>
        <w:numPr>
          <w:ilvl w:val="0"/>
          <w:numId w:val="31"/>
        </w:numPr>
        <w:spacing w:after="160"/>
        <w:rPr>
          <w:rFonts w:eastAsia="Segoe UI" w:cs="Segoe UI"/>
          <w:lang w:val="en-US"/>
        </w:rPr>
      </w:pPr>
      <w:r w:rsidRPr="00CD343F">
        <w:rPr>
          <w:rFonts w:eastAsia="Segoe UI" w:cs="Segoe UI"/>
          <w:lang w:val="en-US"/>
        </w:rPr>
        <w:t>Strengthening the European defence industry</w:t>
      </w:r>
      <w:r>
        <w:rPr>
          <w:rFonts w:eastAsia="Segoe UI" w:cs="Segoe UI"/>
          <w:lang w:val="en-US"/>
        </w:rPr>
        <w:t>.</w:t>
      </w:r>
    </w:p>
    <w:p w:rsidRPr="00CD343F" w:rsidR="00B1040E" w:rsidP="00B1040E" w:rsidRDefault="00B1040E">
      <w:pPr>
        <w:pStyle w:val="Lijstalinea"/>
        <w:numPr>
          <w:ilvl w:val="0"/>
          <w:numId w:val="31"/>
        </w:numPr>
        <w:spacing w:after="160"/>
        <w:rPr>
          <w:rFonts w:eastAsia="Segoe UI" w:cs="Segoe UI"/>
          <w:lang w:val="en-US"/>
        </w:rPr>
      </w:pPr>
      <w:r w:rsidRPr="00CD343F">
        <w:rPr>
          <w:rFonts w:eastAsia="Segoe UI" w:cs="Segoe UI"/>
          <w:lang w:val="en-US"/>
        </w:rPr>
        <w:t>Coherence with ongoing European initiatives.</w:t>
      </w:r>
    </w:p>
    <w:p w:rsidRPr="006123C6" w:rsidR="00B1040E" w:rsidP="00B1040E" w:rsidRDefault="00B1040E">
      <w:pPr>
        <w:spacing w:after="160"/>
        <w:rPr>
          <w:lang w:val="en-US"/>
        </w:rPr>
      </w:pPr>
      <w:r>
        <w:rPr>
          <w:lang w:val="en-US"/>
        </w:rPr>
        <w:t>Consequently, w</w:t>
      </w:r>
      <w:r w:rsidRPr="006123C6">
        <w:rPr>
          <w:lang w:val="en-US"/>
        </w:rPr>
        <w:t xml:space="preserve">e </w:t>
      </w:r>
      <w:r>
        <w:rPr>
          <w:lang w:val="en-US"/>
        </w:rPr>
        <w:t>advocate for</w:t>
      </w:r>
      <w:r w:rsidRPr="006123C6">
        <w:rPr>
          <w:lang w:val="en-US"/>
        </w:rPr>
        <w:t xml:space="preserve"> the </w:t>
      </w:r>
      <w:r>
        <w:rPr>
          <w:lang w:val="en-US"/>
        </w:rPr>
        <w:t xml:space="preserve">EU to focus on the following joint capability development </w:t>
      </w:r>
      <w:r w:rsidRPr="006123C6">
        <w:rPr>
          <w:lang w:val="en-US"/>
        </w:rPr>
        <w:t>priorities:</w:t>
      </w:r>
    </w:p>
    <w:p w:rsidR="00B1040E" w:rsidP="00B1040E" w:rsidRDefault="00B1040E">
      <w:pPr>
        <w:pStyle w:val="Lijstalinea"/>
        <w:numPr>
          <w:ilvl w:val="1"/>
          <w:numId w:val="3"/>
        </w:numPr>
        <w:spacing w:after="160" w:line="240" w:lineRule="auto"/>
        <w:ind w:left="851"/>
        <w:contextualSpacing w:val="0"/>
        <w:rPr>
          <w:rFonts w:cs="Segoe UI"/>
          <w:lang w:val="en-US"/>
        </w:rPr>
      </w:pPr>
      <w:r w:rsidRPr="00DB1D09">
        <w:rPr>
          <w:b/>
          <w:lang w:val="en-US"/>
        </w:rPr>
        <w:t>Space</w:t>
      </w:r>
      <w:r>
        <w:rPr>
          <w:lang w:val="en-US"/>
        </w:rPr>
        <w:t xml:space="preserve"> </w:t>
      </w:r>
      <w:r>
        <w:rPr>
          <w:kern w:val="0"/>
          <w:lang w:val="en-US"/>
          <w14:ligatures w14:val="none"/>
        </w:rPr>
        <w:t xml:space="preserve">has become </w:t>
      </w:r>
      <w:r w:rsidRPr="00900660">
        <w:rPr>
          <w:kern w:val="0"/>
          <w:lang w:val="en-US"/>
          <w14:ligatures w14:val="none"/>
        </w:rPr>
        <w:t xml:space="preserve">the fifth operational </w:t>
      </w:r>
      <w:r w:rsidRPr="00900660" w:rsidR="007A7E21">
        <w:rPr>
          <w:kern w:val="0"/>
          <w:lang w:val="en-US"/>
          <w14:ligatures w14:val="none"/>
        </w:rPr>
        <w:t>domain and</w:t>
      </w:r>
      <w:r w:rsidRPr="00900660">
        <w:rPr>
          <w:kern w:val="0"/>
          <w:lang w:val="en-US"/>
          <w14:ligatures w14:val="none"/>
        </w:rPr>
        <w:t xml:space="preserve"> recognized as a strategic domain within the EU. To strengthen societal resilience, the EU must protect its space infrastructure more effectively </w:t>
      </w:r>
      <w:r>
        <w:rPr>
          <w:kern w:val="0"/>
          <w:lang w:val="en-US"/>
          <w14:ligatures w14:val="none"/>
        </w:rPr>
        <w:t xml:space="preserve">against threats within and from this domain. The EU Space Shield can play a major role by expanding, developing, or enhancing intelligence, situational awareness, communication, and Positioning, Navigation and Timing (PNT) capabilities—making the security of space infrastructure a crucial, integral part of the effort. Close military-civil cooperation is essential to ensure these capabilities complement NATO. </w:t>
      </w:r>
      <w:r>
        <w:rPr>
          <w:lang w:val="en-US"/>
        </w:rPr>
        <w:t xml:space="preserve"> </w:t>
      </w:r>
    </w:p>
    <w:p w:rsidRPr="0067103E" w:rsidR="00B1040E" w:rsidP="00B1040E" w:rsidRDefault="00B1040E">
      <w:pPr>
        <w:pStyle w:val="Lijstalinea"/>
        <w:numPr>
          <w:ilvl w:val="1"/>
          <w:numId w:val="3"/>
        </w:numPr>
        <w:spacing w:after="160" w:line="240" w:lineRule="auto"/>
        <w:ind w:left="851"/>
        <w:contextualSpacing w:val="0"/>
        <w:rPr>
          <w:lang w:val="en-US"/>
        </w:rPr>
      </w:pPr>
      <w:r w:rsidRPr="00DB1D09">
        <w:rPr>
          <w:b/>
          <w:lang w:val="en-US"/>
        </w:rPr>
        <w:lastRenderedPageBreak/>
        <w:t>Maritime Domain Awareness</w:t>
      </w:r>
      <w:r w:rsidRPr="00BA29B3">
        <w:rPr>
          <w:b/>
          <w:lang w:val="en-US"/>
        </w:rPr>
        <w:t xml:space="preserve"> </w:t>
      </w:r>
      <w:r w:rsidRPr="00BA29B3">
        <w:rPr>
          <w:lang w:val="en-US"/>
        </w:rPr>
        <w:t xml:space="preserve">is particularly crucial for the protection of our critical underwater infrastructure. A coordinated approach based on a shared </w:t>
      </w:r>
      <w:r>
        <w:rPr>
          <w:lang w:val="en-US"/>
        </w:rPr>
        <w:t>R</w:t>
      </w:r>
      <w:r w:rsidRPr="00BA29B3">
        <w:rPr>
          <w:lang w:val="en-US"/>
        </w:rPr>
        <w:t xml:space="preserve">ecognized </w:t>
      </w:r>
      <w:r>
        <w:rPr>
          <w:lang w:val="en-US"/>
        </w:rPr>
        <w:t>M</w:t>
      </w:r>
      <w:r w:rsidRPr="00BA29B3">
        <w:rPr>
          <w:lang w:val="en-US"/>
        </w:rPr>
        <w:t xml:space="preserve">aritime </w:t>
      </w:r>
      <w:r>
        <w:rPr>
          <w:lang w:val="en-US"/>
        </w:rPr>
        <w:t>P</w:t>
      </w:r>
      <w:r w:rsidRPr="00BA29B3">
        <w:rPr>
          <w:lang w:val="en-US"/>
        </w:rPr>
        <w:t>icture (RMP) is essential for identifying and mitigating all maritime threats, both for safety and security.</w:t>
      </w:r>
      <w:r>
        <w:rPr>
          <w:lang w:val="en-US"/>
        </w:rPr>
        <w:t xml:space="preserve"> R</w:t>
      </w:r>
      <w:r w:rsidRPr="0067103E">
        <w:rPr>
          <w:lang w:val="en-US"/>
        </w:rPr>
        <w:t>egional efforts should be reinforced and connected to increase our common European Maritime Domain Awareness. Interoperability with (</w:t>
      </w:r>
      <w:r w:rsidRPr="0067103E" w:rsidR="00AD132D">
        <w:rPr>
          <w:lang w:val="en-US"/>
        </w:rPr>
        <w:t>non-EU</w:t>
      </w:r>
      <w:r w:rsidRPr="0067103E">
        <w:rPr>
          <w:lang w:val="en-US"/>
        </w:rPr>
        <w:t xml:space="preserve">) NATO partners, both military and civil is important, as threats do not end at EU borders. Finally, there are also many </w:t>
      </w:r>
      <w:r>
        <w:rPr>
          <w:lang w:val="en-US"/>
        </w:rPr>
        <w:t xml:space="preserve">R&amp;D </w:t>
      </w:r>
      <w:r w:rsidRPr="0067103E">
        <w:rPr>
          <w:lang w:val="en-US"/>
        </w:rPr>
        <w:t xml:space="preserve">projects </w:t>
      </w:r>
      <w:r>
        <w:rPr>
          <w:lang w:val="en-US"/>
        </w:rPr>
        <w:t xml:space="preserve">financed through the EDF </w:t>
      </w:r>
      <w:r w:rsidRPr="0067103E">
        <w:rPr>
          <w:lang w:val="en-US"/>
        </w:rPr>
        <w:t>on this topic</w:t>
      </w:r>
      <w:r>
        <w:rPr>
          <w:lang w:val="en-US"/>
        </w:rPr>
        <w:t>.</w:t>
      </w:r>
      <w:r w:rsidRPr="0067103E">
        <w:rPr>
          <w:lang w:val="en-US"/>
        </w:rPr>
        <w:t xml:space="preserve"> </w:t>
      </w:r>
      <w:r>
        <w:rPr>
          <w:lang w:val="en-US"/>
        </w:rPr>
        <w:t xml:space="preserve">These </w:t>
      </w:r>
      <w:r w:rsidRPr="0067103E">
        <w:rPr>
          <w:lang w:val="en-US"/>
        </w:rPr>
        <w:t xml:space="preserve">can be </w:t>
      </w:r>
      <w:r>
        <w:rPr>
          <w:lang w:val="en-US"/>
        </w:rPr>
        <w:t xml:space="preserve">further developed </w:t>
      </w:r>
      <w:r w:rsidRPr="0067103E">
        <w:rPr>
          <w:lang w:val="en-US"/>
        </w:rPr>
        <w:t xml:space="preserve">into concrete capabilities and that can augment each other and civil initiatives.  </w:t>
      </w:r>
    </w:p>
    <w:p w:rsidRPr="00820CC8" w:rsidR="00B1040E" w:rsidP="00B1040E" w:rsidRDefault="00B1040E">
      <w:pPr>
        <w:pStyle w:val="Lijstalinea"/>
        <w:numPr>
          <w:ilvl w:val="1"/>
          <w:numId w:val="3"/>
        </w:numPr>
        <w:spacing w:after="160" w:line="240" w:lineRule="auto"/>
        <w:ind w:left="851"/>
        <w:contextualSpacing w:val="0"/>
        <w:rPr>
          <w:lang w:val="en-US"/>
        </w:rPr>
      </w:pPr>
      <w:r w:rsidRPr="00820CC8">
        <w:rPr>
          <w:b/>
          <w:lang w:val="en-US"/>
        </w:rPr>
        <w:t>Integrated Air and Missile Defence</w:t>
      </w:r>
      <w:r w:rsidRPr="00CD343F">
        <w:rPr>
          <w:lang w:val="en-US"/>
        </w:rPr>
        <w:t xml:space="preserve"> </w:t>
      </w:r>
      <w:r w:rsidRPr="00820CC8">
        <w:rPr>
          <w:lang w:val="en-US"/>
        </w:rPr>
        <w:t>is</w:t>
      </w:r>
      <w:r w:rsidRPr="00CD343F">
        <w:rPr>
          <w:lang w:val="en-US"/>
        </w:rPr>
        <w:t xml:space="preserve"> </w:t>
      </w:r>
      <w:r w:rsidRPr="00820CC8">
        <w:rPr>
          <w:lang w:val="en-US"/>
        </w:rPr>
        <w:t xml:space="preserve">the most urgent critical capability gap. </w:t>
      </w:r>
      <w:r>
        <w:rPr>
          <w:lang w:val="en-US"/>
        </w:rPr>
        <w:t>We have</w:t>
      </w:r>
      <w:r w:rsidRPr="00820CC8">
        <w:rPr>
          <w:lang w:val="en-US"/>
        </w:rPr>
        <w:t xml:space="preserve"> to protect populations</w:t>
      </w:r>
      <w:r>
        <w:rPr>
          <w:lang w:val="en-US"/>
        </w:rPr>
        <w:t>,</w:t>
      </w:r>
      <w:r w:rsidRPr="00820CC8">
        <w:rPr>
          <w:lang w:val="en-US"/>
        </w:rPr>
        <w:t xml:space="preserve"> vital interests, territory and armed forces from the entire spectrum of air and missile threats. </w:t>
      </w:r>
      <w:r w:rsidRPr="00CD343F">
        <w:rPr>
          <w:lang w:val="en-US"/>
        </w:rPr>
        <w:t>This spectrum ranges from small UAS through fourth and fifth generation fighter aircraft and stealthy cruise missiles, to hypersonic (ballistic) weapons, with or without maneuvering re-entry vehicles (MARVs) or CBRN payloads.</w:t>
      </w:r>
      <w:r>
        <w:rPr>
          <w:lang w:val="en-US"/>
        </w:rPr>
        <w:t xml:space="preserve"> </w:t>
      </w:r>
      <w:r w:rsidRPr="00916673">
        <w:rPr>
          <w:lang w:val="en-US"/>
        </w:rPr>
        <w:t>Any future multinational</w:t>
      </w:r>
      <w:r>
        <w:rPr>
          <w:lang w:val="en-US"/>
        </w:rPr>
        <w:t xml:space="preserve"> European</w:t>
      </w:r>
      <w:r w:rsidRPr="00916673">
        <w:rPr>
          <w:lang w:val="en-US"/>
        </w:rPr>
        <w:t xml:space="preserve"> cooperation efforts should build on work already done in NATO and investments already made by MS</w:t>
      </w:r>
      <w:r>
        <w:rPr>
          <w:lang w:val="en-US"/>
        </w:rPr>
        <w:t xml:space="preserve">. </w:t>
      </w:r>
      <w:r w:rsidRPr="00CD343F">
        <w:rPr>
          <w:lang w:val="en-US"/>
        </w:rPr>
        <w:t xml:space="preserve">The air and missile threat is developing and diversifying at a high pace and requires both defensive and offensive multi-domain response capabilities. Technology is proliferating at high speed and developing not only in the traditional domains, but also in the new cyber and space domains. An open architecture to allow for integration of multiple systems (also from third countries) is critical. The EU’s </w:t>
      </w:r>
      <w:r w:rsidRPr="00CD343F" w:rsidR="00AD132D">
        <w:rPr>
          <w:lang w:val="en-US"/>
        </w:rPr>
        <w:t>short-term</w:t>
      </w:r>
      <w:r w:rsidRPr="00CD343F">
        <w:rPr>
          <w:lang w:val="en-US"/>
        </w:rPr>
        <w:t xml:space="preserve"> focus should be on scaling existing capabilities through actions such as aggregation of demand and joint procurement. Mid-to-long term focus should be on joint development, given its urgency and high investment costs.</w:t>
      </w:r>
    </w:p>
    <w:tbl>
      <w:tblPr>
        <w:tblStyle w:val="Tabelraster"/>
        <w:tblW w:w="0" w:type="auto"/>
        <w:tblLook w:val="04A0" w:firstRow="1" w:lastRow="0" w:firstColumn="1" w:lastColumn="0" w:noHBand="0" w:noVBand="1"/>
      </w:tblPr>
      <w:tblGrid>
        <w:gridCol w:w="9062"/>
      </w:tblGrid>
      <w:tr w:rsidRPr="007A7E21" w:rsidR="00B1040E" w:rsidTr="002446C2">
        <w:tc>
          <w:tcPr>
            <w:tcW w:w="9062" w:type="dxa"/>
          </w:tcPr>
          <w:p w:rsidRPr="008B7960" w:rsidR="00B1040E" w:rsidP="002446C2" w:rsidRDefault="00B1040E">
            <w:pPr>
              <w:spacing w:before="80" w:after="40"/>
              <w:rPr>
                <w:b/>
                <w:lang w:val="en-US"/>
              </w:rPr>
            </w:pPr>
            <w:r w:rsidRPr="008B7960">
              <w:rPr>
                <w:b/>
                <w:lang w:val="en-US"/>
              </w:rPr>
              <w:t>Way forward</w:t>
            </w:r>
            <w:r>
              <w:rPr>
                <w:b/>
                <w:lang w:val="en-US"/>
              </w:rPr>
              <w:t>: joint capability development</w:t>
            </w:r>
          </w:p>
          <w:p w:rsidR="00B1040E" w:rsidP="002446C2" w:rsidRDefault="00B1040E">
            <w:pPr>
              <w:pStyle w:val="Lijstalinea"/>
              <w:numPr>
                <w:ilvl w:val="1"/>
                <w:numId w:val="3"/>
              </w:numPr>
              <w:spacing w:after="160"/>
              <w:ind w:left="737" w:hanging="357"/>
              <w:rPr>
                <w:lang w:val="en-US"/>
              </w:rPr>
            </w:pPr>
            <w:r>
              <w:rPr>
                <w:lang w:val="en-US"/>
              </w:rPr>
              <w:t xml:space="preserve">Member States should cooperate more on capability development, aggregation of demand and joint procurement to deliver on NATO capability </w:t>
            </w:r>
            <w:r w:rsidR="00AD132D">
              <w:rPr>
                <w:lang w:val="en-US"/>
              </w:rPr>
              <w:t>targets.</w:t>
            </w:r>
            <w:r>
              <w:rPr>
                <w:lang w:val="en-US"/>
              </w:rPr>
              <w:t xml:space="preserve"> </w:t>
            </w:r>
          </w:p>
          <w:p w:rsidR="00B1040E" w:rsidP="002446C2" w:rsidRDefault="00B1040E">
            <w:pPr>
              <w:pStyle w:val="Lijstalinea"/>
              <w:numPr>
                <w:ilvl w:val="1"/>
                <w:numId w:val="3"/>
              </w:numPr>
              <w:spacing w:after="160"/>
              <w:ind w:left="737" w:hanging="357"/>
              <w:rPr>
                <w:lang w:val="en-US"/>
              </w:rPr>
            </w:pPr>
            <w:r>
              <w:rPr>
                <w:lang w:val="en-US"/>
              </w:rPr>
              <w:t>EDA</w:t>
            </w:r>
            <w:r w:rsidRPr="002969A7">
              <w:rPr>
                <w:lang w:val="en-US"/>
              </w:rPr>
              <w:t xml:space="preserve"> plays a crucial role in mapping out and facilit</w:t>
            </w:r>
            <w:r>
              <w:rPr>
                <w:lang w:val="en-US"/>
              </w:rPr>
              <w:t>ating cooperation opportunities.</w:t>
            </w:r>
            <w:r w:rsidRPr="002969A7">
              <w:rPr>
                <w:lang w:val="en-US"/>
              </w:rPr>
              <w:t xml:space="preserve"> </w:t>
            </w:r>
          </w:p>
          <w:p w:rsidR="00B1040E" w:rsidP="002446C2" w:rsidRDefault="00B1040E">
            <w:pPr>
              <w:pStyle w:val="Lijstalinea"/>
              <w:numPr>
                <w:ilvl w:val="1"/>
                <w:numId w:val="3"/>
              </w:numPr>
              <w:spacing w:after="160"/>
              <w:ind w:left="737" w:hanging="357"/>
              <w:rPr>
                <w:lang w:val="en-US"/>
              </w:rPr>
            </w:pPr>
            <w:r>
              <w:rPr>
                <w:lang w:val="en-US"/>
              </w:rPr>
              <w:t>EDPCI’s can deliver on the industrial part of military capabilities, this should be reflected in their governance within EDIP.</w:t>
            </w:r>
          </w:p>
          <w:p w:rsidRPr="008B7960" w:rsidR="00B1040E" w:rsidP="002446C2" w:rsidRDefault="00B1040E">
            <w:pPr>
              <w:pStyle w:val="Lijstalinea"/>
              <w:numPr>
                <w:ilvl w:val="1"/>
                <w:numId w:val="3"/>
              </w:numPr>
              <w:spacing w:after="160"/>
              <w:ind w:left="737" w:hanging="357"/>
              <w:rPr>
                <w:lang w:val="en-US"/>
              </w:rPr>
            </w:pPr>
            <w:r>
              <w:rPr>
                <w:lang w:val="en-US"/>
              </w:rPr>
              <w:t xml:space="preserve">Our joint capability development priorities </w:t>
            </w:r>
            <w:r w:rsidR="00AD132D">
              <w:rPr>
                <w:lang w:val="en-US"/>
              </w:rPr>
              <w:t>are</w:t>
            </w:r>
            <w:r>
              <w:rPr>
                <w:lang w:val="en-US"/>
              </w:rPr>
              <w:t xml:space="preserve"> Space, Maritime Domain Awareness, and Integrated Air Missile Defence.</w:t>
            </w:r>
          </w:p>
        </w:tc>
      </w:tr>
    </w:tbl>
    <w:p w:rsidR="005D1A08" w:rsidP="0094626F" w:rsidRDefault="005D1A08">
      <w:pPr>
        <w:tabs>
          <w:tab w:val="left" w:pos="2745"/>
        </w:tabs>
        <w:spacing w:after="160"/>
        <w:rPr>
          <w:lang w:val="en-US"/>
        </w:rPr>
      </w:pPr>
    </w:p>
    <w:p w:rsidR="002A5380" w:rsidP="0094626F" w:rsidRDefault="002A5380">
      <w:pPr>
        <w:pStyle w:val="Lijstalinea"/>
        <w:numPr>
          <w:ilvl w:val="0"/>
          <w:numId w:val="16"/>
        </w:numPr>
        <w:tabs>
          <w:tab w:val="left" w:pos="2745"/>
        </w:tabs>
        <w:spacing w:after="160"/>
        <w:rPr>
          <w:b/>
          <w:lang w:val="en-US"/>
        </w:rPr>
      </w:pPr>
      <w:r>
        <w:rPr>
          <w:b/>
          <w:lang w:val="en-US"/>
        </w:rPr>
        <w:t>Financing</w:t>
      </w:r>
    </w:p>
    <w:p w:rsidR="00F256C5" w:rsidP="0094626F" w:rsidRDefault="00A50325">
      <w:pPr>
        <w:spacing w:after="160"/>
        <w:rPr>
          <w:lang w:val="en-US"/>
        </w:rPr>
      </w:pPr>
      <w:r>
        <w:rPr>
          <w:lang w:val="en-US"/>
        </w:rPr>
        <w:t>N</w:t>
      </w:r>
      <w:r w:rsidRPr="001830E2" w:rsidR="001830E2">
        <w:rPr>
          <w:lang w:val="en-US"/>
        </w:rPr>
        <w:t xml:space="preserve">ational </w:t>
      </w:r>
      <w:r w:rsidR="00F93E4C">
        <w:rPr>
          <w:lang w:val="en-US"/>
        </w:rPr>
        <w:t>defence</w:t>
      </w:r>
      <w:r w:rsidRPr="001830E2" w:rsidR="001830E2">
        <w:rPr>
          <w:lang w:val="en-US"/>
        </w:rPr>
        <w:t xml:space="preserve"> budgets are the primary source of funding, with the NATO </w:t>
      </w:r>
      <w:r>
        <w:rPr>
          <w:lang w:val="en-US"/>
        </w:rPr>
        <w:t>Defence Investment Pledge</w:t>
      </w:r>
      <w:r w:rsidRPr="001830E2">
        <w:rPr>
          <w:lang w:val="en-US"/>
        </w:rPr>
        <w:t xml:space="preserve"> </w:t>
      </w:r>
      <w:r>
        <w:rPr>
          <w:lang w:val="en-US"/>
        </w:rPr>
        <w:t xml:space="preserve">(DIP) </w:t>
      </w:r>
      <w:r w:rsidRPr="001830E2" w:rsidR="001830E2">
        <w:rPr>
          <w:lang w:val="en-US"/>
        </w:rPr>
        <w:t>serving as the guiding framework</w:t>
      </w:r>
      <w:r w:rsidR="0015102C">
        <w:rPr>
          <w:lang w:val="en-US"/>
        </w:rPr>
        <w:t xml:space="preserve"> for all NATO Allies</w:t>
      </w:r>
      <w:r w:rsidRPr="001830E2" w:rsidR="001830E2">
        <w:rPr>
          <w:lang w:val="en-US"/>
        </w:rPr>
        <w:t xml:space="preserve">. </w:t>
      </w:r>
      <w:r w:rsidR="004B5539">
        <w:rPr>
          <w:kern w:val="0"/>
          <w:lang w:val="en-US"/>
          <w14:ligatures w14:val="none"/>
        </w:rPr>
        <w:t xml:space="preserve">It is crucial that all NATO Allies reach the NATO target. </w:t>
      </w:r>
      <w:r w:rsidRPr="001830E2" w:rsidR="001830E2">
        <w:rPr>
          <w:lang w:val="en-US"/>
        </w:rPr>
        <w:t xml:space="preserve">Stable national </w:t>
      </w:r>
      <w:r w:rsidR="00F93E4C">
        <w:rPr>
          <w:lang w:val="en-US"/>
        </w:rPr>
        <w:t>defence</w:t>
      </w:r>
      <w:r w:rsidRPr="001830E2" w:rsidR="001830E2">
        <w:rPr>
          <w:lang w:val="en-US"/>
        </w:rPr>
        <w:t xml:space="preserve"> budgets provide </w:t>
      </w:r>
      <w:r w:rsidR="0015102C">
        <w:rPr>
          <w:lang w:val="en-US"/>
        </w:rPr>
        <w:t xml:space="preserve">the </w:t>
      </w:r>
      <w:r w:rsidRPr="001830E2" w:rsidR="001830E2">
        <w:rPr>
          <w:lang w:val="en-US"/>
        </w:rPr>
        <w:t xml:space="preserve">certainty for armed forces and the </w:t>
      </w:r>
      <w:r w:rsidR="00F93E4C">
        <w:rPr>
          <w:lang w:val="en-US"/>
        </w:rPr>
        <w:t>defence</w:t>
      </w:r>
      <w:r w:rsidRPr="001830E2" w:rsidR="001830E2">
        <w:rPr>
          <w:lang w:val="en-US"/>
        </w:rPr>
        <w:t xml:space="preserve"> industry necessary to scale up. </w:t>
      </w:r>
      <w:r w:rsidR="0015102C">
        <w:rPr>
          <w:lang w:val="en-US"/>
        </w:rPr>
        <w:t xml:space="preserve">From the viewpoint </w:t>
      </w:r>
      <w:r w:rsidRPr="001830E2" w:rsidR="001830E2">
        <w:rPr>
          <w:lang w:val="en-US"/>
        </w:rPr>
        <w:t xml:space="preserve">of solidarity, all Member States </w:t>
      </w:r>
      <w:r w:rsidR="0015102C">
        <w:rPr>
          <w:lang w:val="en-US"/>
        </w:rPr>
        <w:t xml:space="preserve">should be </w:t>
      </w:r>
      <w:r w:rsidRPr="001830E2" w:rsidR="001830E2">
        <w:rPr>
          <w:lang w:val="en-US"/>
        </w:rPr>
        <w:t xml:space="preserve">willing to make comparable </w:t>
      </w:r>
      <w:r w:rsidR="00F93E4C">
        <w:rPr>
          <w:lang w:val="en-US"/>
        </w:rPr>
        <w:t>defence</w:t>
      </w:r>
      <w:r w:rsidRPr="001830E2" w:rsidR="001830E2">
        <w:rPr>
          <w:lang w:val="en-US"/>
        </w:rPr>
        <w:t xml:space="preserve"> efforts.</w:t>
      </w:r>
      <w:r w:rsidR="00F32E7E">
        <w:rPr>
          <w:lang w:val="en-US"/>
        </w:rPr>
        <w:t xml:space="preserve"> </w:t>
      </w:r>
      <w:r w:rsidRPr="00F32E7E" w:rsidR="00F32E7E">
        <w:rPr>
          <w:lang w:val="en-US"/>
        </w:rPr>
        <w:t>The EU can play a critical role in</w:t>
      </w:r>
      <w:r w:rsidR="00F32E7E">
        <w:rPr>
          <w:lang w:val="en-US"/>
        </w:rPr>
        <w:t xml:space="preserve"> coordinating and stimulating support for Ukraine. Additionally, the EU should contribute to the</w:t>
      </w:r>
      <w:r w:rsidRPr="00F32E7E" w:rsidR="00F32E7E">
        <w:rPr>
          <w:lang w:val="en-US"/>
        </w:rPr>
        <w:t xml:space="preserve"> strengthening </w:t>
      </w:r>
      <w:r w:rsidR="00F32E7E">
        <w:rPr>
          <w:lang w:val="en-US"/>
        </w:rPr>
        <w:t xml:space="preserve">of the EU-wide </w:t>
      </w:r>
      <w:r w:rsidRPr="00F32E7E" w:rsidR="00F32E7E">
        <w:rPr>
          <w:lang w:val="en-US"/>
        </w:rPr>
        <w:t xml:space="preserve">production capacity, stimulating innovation </w:t>
      </w:r>
      <w:r w:rsidR="002969A7">
        <w:rPr>
          <w:lang w:val="en-US"/>
        </w:rPr>
        <w:t>and cooperation between Member States during the entire life-cycle of military capabilities,</w:t>
      </w:r>
      <w:r w:rsidRPr="00F32E7E" w:rsidR="002969A7">
        <w:rPr>
          <w:lang w:val="en-US"/>
        </w:rPr>
        <w:t xml:space="preserve"> </w:t>
      </w:r>
      <w:r w:rsidRPr="00F32E7E" w:rsidR="00F32E7E">
        <w:rPr>
          <w:lang w:val="en-US"/>
        </w:rPr>
        <w:t xml:space="preserve">and </w:t>
      </w:r>
      <w:r w:rsidR="00F32E7E">
        <w:rPr>
          <w:lang w:val="en-US"/>
        </w:rPr>
        <w:t xml:space="preserve">supporting </w:t>
      </w:r>
      <w:r w:rsidRPr="00F32E7E" w:rsidR="00F32E7E">
        <w:rPr>
          <w:lang w:val="en-US"/>
        </w:rPr>
        <w:t>resilience.</w:t>
      </w:r>
      <w:r w:rsidR="00F256C5">
        <w:rPr>
          <w:lang w:val="en-US"/>
        </w:rPr>
        <w:t xml:space="preserve"> </w:t>
      </w:r>
    </w:p>
    <w:p w:rsidRPr="00F256C5" w:rsidR="001830E2" w:rsidP="0094626F" w:rsidRDefault="00F256C5">
      <w:pPr>
        <w:spacing w:after="160"/>
        <w:rPr>
          <w:lang w:val="en-US"/>
        </w:rPr>
      </w:pPr>
      <w:r w:rsidRPr="00F256C5">
        <w:rPr>
          <w:lang w:val="en-US"/>
        </w:rPr>
        <w:t xml:space="preserve">In addition, the discussion on the NATO </w:t>
      </w:r>
      <w:r w:rsidR="00A50325">
        <w:rPr>
          <w:lang w:val="en-US"/>
        </w:rPr>
        <w:t>DIP</w:t>
      </w:r>
      <w:r w:rsidRPr="00F256C5" w:rsidR="00A50325">
        <w:rPr>
          <w:lang w:val="en-US"/>
        </w:rPr>
        <w:t xml:space="preserve"> </w:t>
      </w:r>
      <w:r w:rsidRPr="00F256C5">
        <w:rPr>
          <w:lang w:val="en-US"/>
        </w:rPr>
        <w:t>and on financing of EU defence cooperation must be seen in conjunction.</w:t>
      </w:r>
    </w:p>
    <w:p w:rsidRPr="00CD343F" w:rsidR="00632C61" w:rsidP="00CD343F" w:rsidRDefault="00632C61">
      <w:pPr>
        <w:pStyle w:val="Lijstalinea"/>
        <w:numPr>
          <w:ilvl w:val="0"/>
          <w:numId w:val="29"/>
        </w:numPr>
        <w:spacing w:after="160"/>
        <w:rPr>
          <w:i/>
          <w:lang w:val="en-US"/>
        </w:rPr>
      </w:pPr>
      <w:r w:rsidRPr="00CD343F">
        <w:rPr>
          <w:i/>
          <w:lang w:val="en-US"/>
        </w:rPr>
        <w:t>Ukraine</w:t>
      </w:r>
    </w:p>
    <w:p w:rsidRPr="00E223C2" w:rsidR="00632C61" w:rsidP="000600E1" w:rsidRDefault="007B67B2">
      <w:pPr>
        <w:spacing w:after="160"/>
        <w:rPr>
          <w:lang w:val="en-US"/>
        </w:rPr>
      </w:pPr>
      <w:r w:rsidRPr="007B67B2">
        <w:rPr>
          <w:lang w:val="en-US"/>
        </w:rPr>
        <w:t>It is crucial that we continue to support Ukraine. European countries must contribute more through increased funding. Unity within the EU is crucial; the deadlock on EPF disbursements must be swiftly resolved. We also advocate for adequate burden and risk sharing in instruments like EUMAM and EPF.</w:t>
      </w:r>
    </w:p>
    <w:p w:rsidR="00632C61" w:rsidP="00CD343F" w:rsidRDefault="0015102C">
      <w:pPr>
        <w:pStyle w:val="Lijstalinea"/>
        <w:numPr>
          <w:ilvl w:val="0"/>
          <w:numId w:val="29"/>
        </w:numPr>
        <w:spacing w:after="160"/>
        <w:rPr>
          <w:i/>
          <w:lang w:val="en-US"/>
        </w:rPr>
      </w:pPr>
      <w:r>
        <w:rPr>
          <w:i/>
          <w:lang w:val="en-US"/>
        </w:rPr>
        <w:t>Investing in capabilities and i</w:t>
      </w:r>
      <w:r w:rsidR="003F268D">
        <w:rPr>
          <w:i/>
          <w:lang w:val="en-US"/>
        </w:rPr>
        <w:t>ndustry</w:t>
      </w:r>
    </w:p>
    <w:p w:rsidRPr="003F268D" w:rsidR="00CC2197" w:rsidP="00CD343F" w:rsidRDefault="003F268D">
      <w:pPr>
        <w:spacing w:before="160" w:after="160"/>
        <w:rPr>
          <w:lang w:val="en-US"/>
        </w:rPr>
      </w:pPr>
      <w:r w:rsidRPr="003F268D">
        <w:rPr>
          <w:lang w:val="en-US"/>
        </w:rPr>
        <w:t xml:space="preserve">On the topic of investing in capabilities and the defence industry, we believe national defence budgets remain the cornerstone. </w:t>
      </w:r>
      <w:r w:rsidR="00413592">
        <w:rPr>
          <w:lang w:val="en-US"/>
        </w:rPr>
        <w:t xml:space="preserve">There is no readily available substitute to purchase </w:t>
      </w:r>
      <w:r w:rsidR="00A50325">
        <w:rPr>
          <w:lang w:val="en-US"/>
        </w:rPr>
        <w:t xml:space="preserve">defence equipment </w:t>
      </w:r>
      <w:r w:rsidR="00413592">
        <w:rPr>
          <w:lang w:val="en-US"/>
        </w:rPr>
        <w:t xml:space="preserve">than national defence investment spending which is where the biggest financial need lies. </w:t>
      </w:r>
      <w:r w:rsidR="000A2D22">
        <w:rPr>
          <w:lang w:val="en-US"/>
        </w:rPr>
        <w:t>In addition, stable defen</w:t>
      </w:r>
      <w:r w:rsidR="00336195">
        <w:rPr>
          <w:lang w:val="en-US"/>
        </w:rPr>
        <w:t>c</w:t>
      </w:r>
      <w:r w:rsidR="000A2D22">
        <w:rPr>
          <w:lang w:val="en-US"/>
        </w:rPr>
        <w:t xml:space="preserve">e budgets should be translated into long-term orders of governments in </w:t>
      </w:r>
      <w:r w:rsidR="003D52BF">
        <w:rPr>
          <w:lang w:val="en-US"/>
        </w:rPr>
        <w:t xml:space="preserve">the </w:t>
      </w:r>
      <w:r w:rsidR="000A2D22">
        <w:rPr>
          <w:lang w:val="en-US"/>
        </w:rPr>
        <w:t xml:space="preserve">industry, meeting the need </w:t>
      </w:r>
      <w:r w:rsidR="003A4D53">
        <w:rPr>
          <w:lang w:val="en-US"/>
        </w:rPr>
        <w:t>for</w:t>
      </w:r>
      <w:r w:rsidR="000A2D22">
        <w:rPr>
          <w:lang w:val="en-US"/>
        </w:rPr>
        <w:t xml:space="preserve"> long-term security of the defen</w:t>
      </w:r>
      <w:r w:rsidR="00336195">
        <w:rPr>
          <w:lang w:val="en-US"/>
        </w:rPr>
        <w:t>c</w:t>
      </w:r>
      <w:r w:rsidR="000A2D22">
        <w:rPr>
          <w:lang w:val="en-US"/>
        </w:rPr>
        <w:t xml:space="preserve">e industry. </w:t>
      </w:r>
    </w:p>
    <w:p w:rsidRPr="003F268D" w:rsidR="003F268D" w:rsidP="003F268D" w:rsidRDefault="0015102C">
      <w:pPr>
        <w:spacing w:after="160"/>
        <w:rPr>
          <w:lang w:val="en-US"/>
        </w:rPr>
      </w:pPr>
      <w:r>
        <w:rPr>
          <w:lang w:val="en-US"/>
        </w:rPr>
        <w:lastRenderedPageBreak/>
        <w:t>T</w:t>
      </w:r>
      <w:r w:rsidRPr="003F268D" w:rsidR="003F268D">
        <w:rPr>
          <w:lang w:val="en-US"/>
        </w:rPr>
        <w:t xml:space="preserve">he first step should be to explore ways to stimulate private investment. It is crucial to engage banks, </w:t>
      </w:r>
      <w:r>
        <w:rPr>
          <w:lang w:val="en-US"/>
        </w:rPr>
        <w:t>insurance companies</w:t>
      </w:r>
      <w:r w:rsidRPr="003F268D" w:rsidR="003F268D">
        <w:rPr>
          <w:lang w:val="en-US"/>
        </w:rPr>
        <w:t xml:space="preserve">, pension funds, and private investors to increase their </w:t>
      </w:r>
      <w:r w:rsidR="00413592">
        <w:rPr>
          <w:lang w:val="en-US"/>
        </w:rPr>
        <w:t>investments in</w:t>
      </w:r>
      <w:r w:rsidRPr="003F268D" w:rsidR="00413592">
        <w:rPr>
          <w:lang w:val="en-US"/>
        </w:rPr>
        <w:t xml:space="preserve"> </w:t>
      </w:r>
      <w:r w:rsidRPr="003F268D" w:rsidR="003F268D">
        <w:rPr>
          <w:lang w:val="en-US"/>
        </w:rPr>
        <w:t>the defence industry. Barriers to private sector involvement must be removed</w:t>
      </w:r>
      <w:r w:rsidR="00DB732B">
        <w:rPr>
          <w:lang w:val="en-US"/>
        </w:rPr>
        <w:t>, for example by introducing a label for defence industry entities. This could reduce the due diligence burden for private investors</w:t>
      </w:r>
      <w:r w:rsidRPr="003F268D" w:rsidR="003F268D">
        <w:rPr>
          <w:lang w:val="en-US"/>
        </w:rPr>
        <w:t>.</w:t>
      </w:r>
      <w:r w:rsidR="00DB732B">
        <w:rPr>
          <w:lang w:val="en-US"/>
        </w:rPr>
        <w:t xml:space="preserve"> </w:t>
      </w:r>
    </w:p>
    <w:p w:rsidRPr="005D1ED2" w:rsidR="00DB732B" w:rsidP="003F268D" w:rsidRDefault="003F268D">
      <w:pPr>
        <w:spacing w:after="160"/>
        <w:rPr>
          <w:kern w:val="0"/>
          <w:lang w:val="en-US"/>
          <w14:ligatures w14:val="none"/>
        </w:rPr>
      </w:pPr>
      <w:r w:rsidRPr="003F268D" w:rsidDel="002A2BD7">
        <w:rPr>
          <w:lang w:val="en-US"/>
        </w:rPr>
        <w:t>As a final step, further public funding could be explored</w:t>
      </w:r>
      <w:r w:rsidDel="002A2BD7" w:rsidR="00C333FB">
        <w:rPr>
          <w:lang w:val="en-US"/>
        </w:rPr>
        <w:t xml:space="preserve">. </w:t>
      </w:r>
      <w:r w:rsidRPr="00632C61">
        <w:rPr>
          <w:lang w:val="en-US"/>
        </w:rPr>
        <w:t xml:space="preserve">It is a positive development that the European Investment Bank (EIB) mandate has been broadened to include dual-use projects. </w:t>
      </w:r>
      <w:r w:rsidR="003D52BF">
        <w:rPr>
          <w:lang w:val="en-US"/>
        </w:rPr>
        <w:t xml:space="preserve">We support </w:t>
      </w:r>
      <w:r w:rsidRPr="00632C61">
        <w:rPr>
          <w:lang w:val="en-US"/>
        </w:rPr>
        <w:t xml:space="preserve">exploration </w:t>
      </w:r>
      <w:r w:rsidR="003D52BF">
        <w:rPr>
          <w:lang w:val="en-US"/>
        </w:rPr>
        <w:t xml:space="preserve">to </w:t>
      </w:r>
      <w:r w:rsidRPr="00632C61">
        <w:rPr>
          <w:lang w:val="en-US"/>
        </w:rPr>
        <w:t xml:space="preserve">assess the possibility of expanding this mandate </w:t>
      </w:r>
      <w:r w:rsidR="00C70DA4">
        <w:rPr>
          <w:lang w:val="en-US"/>
        </w:rPr>
        <w:t xml:space="preserve">to </w:t>
      </w:r>
      <w:r w:rsidR="003D52BF">
        <w:rPr>
          <w:lang w:val="en-US"/>
        </w:rPr>
        <w:t xml:space="preserve">core </w:t>
      </w:r>
      <w:r w:rsidR="00C70DA4">
        <w:rPr>
          <w:lang w:val="en-US"/>
        </w:rPr>
        <w:t xml:space="preserve">defence </w:t>
      </w:r>
      <w:r w:rsidRPr="00632C61">
        <w:rPr>
          <w:lang w:val="en-US"/>
        </w:rPr>
        <w:t xml:space="preserve">without negatively impacting the EIB's </w:t>
      </w:r>
      <w:r w:rsidR="00AD5E4E">
        <w:rPr>
          <w:lang w:val="en-US"/>
        </w:rPr>
        <w:t xml:space="preserve">operations, </w:t>
      </w:r>
      <w:r w:rsidRPr="00632C61">
        <w:rPr>
          <w:lang w:val="en-US"/>
        </w:rPr>
        <w:t>credit rating or financing position.</w:t>
      </w:r>
      <w:r w:rsidR="003D52BF">
        <w:rPr>
          <w:lang w:val="en-US"/>
        </w:rPr>
        <w:t xml:space="preserve"> In the meantime, the </w:t>
      </w:r>
      <w:r w:rsidR="003D52BF">
        <w:rPr>
          <w:kern w:val="0"/>
          <w:lang w:val="en-US"/>
          <w14:ligatures w14:val="none"/>
        </w:rPr>
        <w:t xml:space="preserve">EIB should continue exploring </w:t>
      </w:r>
      <w:r w:rsidR="00AD5E4E">
        <w:rPr>
          <w:kern w:val="0"/>
          <w:lang w:val="en-US"/>
          <w14:ligatures w14:val="none"/>
        </w:rPr>
        <w:t xml:space="preserve">other </w:t>
      </w:r>
      <w:r w:rsidR="003D52BF">
        <w:rPr>
          <w:kern w:val="0"/>
          <w:lang w:val="en-US"/>
          <w14:ligatures w14:val="none"/>
        </w:rPr>
        <w:t xml:space="preserve">ways to take a stronger role in providing investment funding and leveraging private funding for the security and defence sector. </w:t>
      </w:r>
      <w:r w:rsidR="00AD132D">
        <w:rPr>
          <w:kern w:val="0"/>
          <w:lang w:val="en-US"/>
          <w14:ligatures w14:val="none"/>
        </w:rPr>
        <w:t>Therefore,</w:t>
      </w:r>
      <w:r w:rsidR="003D52BF">
        <w:rPr>
          <w:kern w:val="0"/>
          <w:lang w:val="en-US"/>
          <w14:ligatures w14:val="none"/>
        </w:rPr>
        <w:t xml:space="preserve"> the list of excluded activities and sectors should be re-evaluated and the terminology and content of excluded activities should be more precisely defined, and as limited as possible, in order to be aligned with the new policy priorities of the EU. This should also be done without negatively impacting the EIB's operations, credit rating or financing position. Further improved access to EIB financing and speeding up defence and security investments in the EU, would leverage private funding and have strong signaling effects as regards to other investors.</w:t>
      </w:r>
    </w:p>
    <w:p w:rsidR="00632C61" w:rsidP="0094626F" w:rsidRDefault="005E57D9">
      <w:pPr>
        <w:spacing w:after="160"/>
        <w:rPr>
          <w:lang w:val="en-US"/>
        </w:rPr>
      </w:pPr>
      <w:r>
        <w:rPr>
          <w:kern w:val="0"/>
          <w:lang w:val="en-US"/>
          <w14:ligatures w14:val="none"/>
        </w:rPr>
        <w:t xml:space="preserve">Making use of flexibility </w:t>
      </w:r>
      <w:r w:rsidR="000600E1">
        <w:rPr>
          <w:kern w:val="0"/>
          <w:lang w:val="en-US"/>
          <w14:ligatures w14:val="none"/>
        </w:rPr>
        <w:t xml:space="preserve">in </w:t>
      </w:r>
      <w:r w:rsidRPr="00632C61" w:rsidR="003F268D">
        <w:rPr>
          <w:lang w:val="en-US"/>
        </w:rPr>
        <w:t xml:space="preserve">existing budgets within the current Multiannual Financial Framework (MFF) </w:t>
      </w:r>
      <w:r>
        <w:rPr>
          <w:lang w:val="en-US"/>
        </w:rPr>
        <w:t xml:space="preserve">can also </w:t>
      </w:r>
      <w:r w:rsidRPr="00632C61" w:rsidR="003F268D">
        <w:rPr>
          <w:lang w:val="en-US"/>
        </w:rPr>
        <w:t>be considered. For instance,</w:t>
      </w:r>
      <w:r w:rsidR="000600E1">
        <w:rPr>
          <w:lang w:val="en-US"/>
        </w:rPr>
        <w:t xml:space="preserve"> by making use of the existing flexibilities to</w:t>
      </w:r>
      <w:r w:rsidRPr="00632C61" w:rsidR="003F268D">
        <w:rPr>
          <w:lang w:val="en-US"/>
        </w:rPr>
        <w:t xml:space="preserve"> support dual-u</w:t>
      </w:r>
      <w:r w:rsidR="00C333FB">
        <w:rPr>
          <w:lang w:val="en-US"/>
        </w:rPr>
        <w:t>se goods and military mobility</w:t>
      </w:r>
      <w:r w:rsidR="000600E1">
        <w:rPr>
          <w:lang w:val="en-US"/>
        </w:rPr>
        <w:t xml:space="preserve"> via cohesion policy funds and the possibilities in this respect as proposed in EDIP</w:t>
      </w:r>
      <w:r w:rsidR="00C333FB">
        <w:rPr>
          <w:lang w:val="en-US"/>
        </w:rPr>
        <w:t xml:space="preserve">. </w:t>
      </w:r>
      <w:r w:rsidRPr="003F268D" w:rsidR="003F268D">
        <w:rPr>
          <w:lang w:val="en-US"/>
        </w:rPr>
        <w:t>NL does not support taking on common debt for new European instruments.</w:t>
      </w:r>
    </w:p>
    <w:tbl>
      <w:tblPr>
        <w:tblStyle w:val="Tabelraster"/>
        <w:tblW w:w="0" w:type="auto"/>
        <w:tblLook w:val="04A0" w:firstRow="1" w:lastRow="0" w:firstColumn="1" w:lastColumn="0" w:noHBand="0" w:noVBand="1"/>
      </w:tblPr>
      <w:tblGrid>
        <w:gridCol w:w="9062"/>
      </w:tblGrid>
      <w:tr w:rsidRPr="007A7E21" w:rsidR="0015102C" w:rsidTr="0015102C">
        <w:tc>
          <w:tcPr>
            <w:tcW w:w="9062" w:type="dxa"/>
          </w:tcPr>
          <w:p w:rsidRPr="008B7960" w:rsidR="0015102C" w:rsidP="0015102C" w:rsidRDefault="0015102C">
            <w:pPr>
              <w:spacing w:before="80" w:after="160"/>
              <w:rPr>
                <w:b/>
                <w:lang w:val="en-US"/>
              </w:rPr>
            </w:pPr>
            <w:r w:rsidRPr="008B7960">
              <w:rPr>
                <w:b/>
                <w:lang w:val="en-US"/>
              </w:rPr>
              <w:t>Way forward</w:t>
            </w:r>
            <w:r>
              <w:rPr>
                <w:b/>
                <w:lang w:val="en-US"/>
              </w:rPr>
              <w:t>: Financing</w:t>
            </w:r>
          </w:p>
          <w:p w:rsidR="0015102C" w:rsidP="0015102C" w:rsidRDefault="0015102C">
            <w:pPr>
              <w:pStyle w:val="Lijstalinea"/>
              <w:numPr>
                <w:ilvl w:val="1"/>
                <w:numId w:val="3"/>
              </w:numPr>
              <w:spacing w:after="160"/>
              <w:ind w:left="737" w:hanging="357"/>
              <w:rPr>
                <w:lang w:val="en-US"/>
              </w:rPr>
            </w:pPr>
            <w:r>
              <w:rPr>
                <w:lang w:val="en-US"/>
              </w:rPr>
              <w:t xml:space="preserve">On Ukraine, (1) continue and scale up support by Member States, (2) explore further options for using frozen assets, and (3) break deadlock on EPF.  </w:t>
            </w:r>
          </w:p>
          <w:p w:rsidR="0015102C" w:rsidP="0015102C" w:rsidRDefault="0015102C">
            <w:pPr>
              <w:pStyle w:val="Lijstalinea"/>
              <w:numPr>
                <w:ilvl w:val="1"/>
                <w:numId w:val="3"/>
              </w:numPr>
              <w:spacing w:after="160"/>
              <w:ind w:left="737" w:hanging="357"/>
              <w:rPr>
                <w:lang w:val="en-US"/>
              </w:rPr>
            </w:pPr>
            <w:r>
              <w:rPr>
                <w:lang w:val="en-US"/>
              </w:rPr>
              <w:t>On investing in capabilities and industry:</w:t>
            </w:r>
          </w:p>
          <w:p w:rsidR="0015102C" w:rsidP="00CD343F" w:rsidRDefault="0015102C">
            <w:pPr>
              <w:pStyle w:val="Lijstalinea"/>
              <w:numPr>
                <w:ilvl w:val="2"/>
                <w:numId w:val="3"/>
              </w:numPr>
              <w:spacing w:after="160"/>
              <w:ind w:left="1443"/>
              <w:rPr>
                <w:lang w:val="en-US"/>
              </w:rPr>
            </w:pPr>
            <w:r>
              <w:rPr>
                <w:lang w:val="en-US"/>
              </w:rPr>
              <w:t>Assess the scope of additional financial needs, on top of national defence spending budgets.</w:t>
            </w:r>
          </w:p>
          <w:p w:rsidR="0015102C" w:rsidP="00CD343F" w:rsidRDefault="0015102C">
            <w:pPr>
              <w:pStyle w:val="Lijstalinea"/>
              <w:numPr>
                <w:ilvl w:val="2"/>
                <w:numId w:val="3"/>
              </w:numPr>
              <w:spacing w:after="160"/>
              <w:ind w:left="1443"/>
              <w:rPr>
                <w:lang w:val="en-US"/>
              </w:rPr>
            </w:pPr>
            <w:r>
              <w:rPr>
                <w:lang w:val="en-US"/>
              </w:rPr>
              <w:t>Increase access of defence industry to private investment.</w:t>
            </w:r>
          </w:p>
          <w:p w:rsidR="0015102C" w:rsidP="00CD343F" w:rsidRDefault="0015102C">
            <w:pPr>
              <w:pStyle w:val="Lijstalinea"/>
              <w:numPr>
                <w:ilvl w:val="2"/>
                <w:numId w:val="3"/>
              </w:numPr>
              <w:spacing w:after="160"/>
              <w:ind w:left="1443"/>
              <w:rPr>
                <w:lang w:val="en-US"/>
              </w:rPr>
            </w:pPr>
            <w:r>
              <w:rPr>
                <w:lang w:val="en-US"/>
              </w:rPr>
              <w:t>Explore possible</w:t>
            </w:r>
            <w:r w:rsidR="003D52BF">
              <w:rPr>
                <w:lang w:val="en-US"/>
              </w:rPr>
              <w:t xml:space="preserve"> further</w:t>
            </w:r>
            <w:r>
              <w:rPr>
                <w:lang w:val="en-US"/>
              </w:rPr>
              <w:t xml:space="preserve"> broadening of EIB mandate to core defence.</w:t>
            </w:r>
            <w:r w:rsidR="003D52BF">
              <w:rPr>
                <w:lang w:val="en-US"/>
              </w:rPr>
              <w:t xml:space="preserve"> In the short term, </w:t>
            </w:r>
            <w:r w:rsidR="003D52BF">
              <w:rPr>
                <w:kern w:val="0"/>
                <w:lang w:val="en-US"/>
                <w14:ligatures w14:val="none"/>
              </w:rPr>
              <w:t>strengthen the role of the EIB for example by more precisely defining the list of excluded activities.</w:t>
            </w:r>
          </w:p>
          <w:p w:rsidRPr="0015102C" w:rsidR="0015102C" w:rsidP="00CD343F" w:rsidRDefault="000600E1">
            <w:pPr>
              <w:pStyle w:val="Lijstalinea"/>
              <w:numPr>
                <w:ilvl w:val="2"/>
                <w:numId w:val="3"/>
              </w:numPr>
              <w:spacing w:after="160"/>
              <w:ind w:left="1443"/>
              <w:rPr>
                <w:lang w:val="en-US"/>
              </w:rPr>
            </w:pPr>
            <w:r>
              <w:rPr>
                <w:lang w:val="en-US"/>
              </w:rPr>
              <w:t>Making use of flexibility in</w:t>
            </w:r>
            <w:r w:rsidR="0015102C">
              <w:rPr>
                <w:lang w:val="en-US"/>
              </w:rPr>
              <w:t xml:space="preserve"> existing budgets within current MFF.</w:t>
            </w:r>
          </w:p>
        </w:tc>
      </w:tr>
    </w:tbl>
    <w:p w:rsidRPr="004A66E6" w:rsidR="0015102C" w:rsidP="0094626F" w:rsidRDefault="0015102C">
      <w:pPr>
        <w:spacing w:after="160"/>
        <w:rPr>
          <w:lang w:val="en-US"/>
        </w:rPr>
      </w:pPr>
    </w:p>
    <w:sectPr w:rsidRPr="004A66E6" w:rsidR="0015102C" w:rsidSect="00391D89">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0A79" w:rsidRDefault="00EE0A79" w:rsidP="00836DA8">
      <w:pPr>
        <w:spacing w:line="240" w:lineRule="auto"/>
      </w:pPr>
      <w:r>
        <w:separator/>
      </w:r>
    </w:p>
  </w:endnote>
  <w:endnote w:type="continuationSeparator" w:id="0">
    <w:p w:rsidR="00EE0A79" w:rsidRDefault="00EE0A79" w:rsidP="00836DA8">
      <w:pPr>
        <w:spacing w:line="240" w:lineRule="auto"/>
      </w:pPr>
      <w:r>
        <w:continuationSeparator/>
      </w:r>
    </w:p>
  </w:endnote>
  <w:endnote w:type="continuationNotice" w:id="1">
    <w:p w:rsidR="00EE0A79" w:rsidRDefault="00EE0A7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BreuerText">
    <w:altName w:val="BreuerText"/>
    <w:charset w:val="00"/>
    <w:family w:val="swiss"/>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4669" w:rsidRDefault="00C2466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9027745"/>
      <w:docPartObj>
        <w:docPartGallery w:val="Page Numbers (Bottom of Page)"/>
        <w:docPartUnique/>
      </w:docPartObj>
    </w:sdtPr>
    <w:sdtEndPr/>
    <w:sdtContent>
      <w:p w:rsidR="00F54A2E" w:rsidRDefault="00F54A2E">
        <w:pPr>
          <w:pStyle w:val="Voettekst"/>
          <w:jc w:val="center"/>
        </w:pPr>
        <w:r>
          <w:fldChar w:fldCharType="begin"/>
        </w:r>
        <w:r>
          <w:instrText>PAGE   \* MERGEFORMAT</w:instrText>
        </w:r>
        <w:r>
          <w:fldChar w:fldCharType="separate"/>
        </w:r>
        <w:r w:rsidR="00C24669">
          <w:rPr>
            <w:noProof/>
          </w:rPr>
          <w:t>4</w:t>
        </w:r>
        <w:r>
          <w:fldChar w:fldCharType="end"/>
        </w:r>
      </w:p>
    </w:sdtContent>
  </w:sdt>
  <w:p w:rsidR="00F54A2E" w:rsidRDefault="00F54A2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4669" w:rsidRDefault="00C2466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0A79" w:rsidRDefault="00EE0A79" w:rsidP="00836DA8">
      <w:pPr>
        <w:spacing w:line="240" w:lineRule="auto"/>
      </w:pPr>
      <w:r>
        <w:separator/>
      </w:r>
    </w:p>
  </w:footnote>
  <w:footnote w:type="continuationSeparator" w:id="0">
    <w:p w:rsidR="00EE0A79" w:rsidRDefault="00EE0A79" w:rsidP="00836DA8">
      <w:pPr>
        <w:spacing w:line="240" w:lineRule="auto"/>
      </w:pPr>
      <w:r>
        <w:continuationSeparator/>
      </w:r>
    </w:p>
  </w:footnote>
  <w:footnote w:type="continuationNotice" w:id="1">
    <w:p w:rsidR="00EE0A79" w:rsidRDefault="00EE0A7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4669" w:rsidRDefault="00C2466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4669" w:rsidRDefault="00C2466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4669" w:rsidRDefault="00C2466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360E6"/>
    <w:multiLevelType w:val="hybridMultilevel"/>
    <w:tmpl w:val="25A807B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019157B3"/>
    <w:multiLevelType w:val="hybridMultilevel"/>
    <w:tmpl w:val="13F893CE"/>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927"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2C72FA0"/>
    <w:multiLevelType w:val="hybridMultilevel"/>
    <w:tmpl w:val="D34A4104"/>
    <w:lvl w:ilvl="0" w:tplc="87A0680A">
      <w:start w:val="2"/>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5147063"/>
    <w:multiLevelType w:val="hybridMultilevel"/>
    <w:tmpl w:val="B57CD3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7394702"/>
    <w:multiLevelType w:val="hybridMultilevel"/>
    <w:tmpl w:val="ECB2208E"/>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A6E5A1E"/>
    <w:multiLevelType w:val="hybridMultilevel"/>
    <w:tmpl w:val="16C01F5E"/>
    <w:lvl w:ilvl="0" w:tplc="C11CF09C">
      <w:start w:val="1"/>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FED2E72"/>
    <w:multiLevelType w:val="hybridMultilevel"/>
    <w:tmpl w:val="F454BCAC"/>
    <w:lvl w:ilvl="0" w:tplc="E6D2A064">
      <w:start w:val="2"/>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0A948A9"/>
    <w:multiLevelType w:val="multilevel"/>
    <w:tmpl w:val="5E3EC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7EA158B"/>
    <w:multiLevelType w:val="hybridMultilevel"/>
    <w:tmpl w:val="556EBE84"/>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785"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26B53A4E"/>
    <w:multiLevelType w:val="multilevel"/>
    <w:tmpl w:val="41061350"/>
    <w:lvl w:ilvl="0">
      <w:start w:val="2"/>
      <w:numFmt w:val="bullet"/>
      <w:lvlText w:val=""/>
      <w:lvlJc w:val="left"/>
      <w:pPr>
        <w:ind w:left="1065" w:hanging="705"/>
      </w:pPr>
      <w:rPr>
        <w:rFonts w:ascii="Symbol" w:eastAsiaTheme="minorHAnsi" w:hAnsi="Symbol" w:cstheme="minorBidi"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15:restartNumberingAfterBreak="0">
    <w:nsid w:val="2B5F1C6F"/>
    <w:multiLevelType w:val="hybridMultilevel"/>
    <w:tmpl w:val="F5488C38"/>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F000002"/>
    <w:multiLevelType w:val="hybridMultilevel"/>
    <w:tmpl w:val="3C5A8615"/>
    <w:lvl w:ilvl="0" w:tplc="D6FACA28">
      <w:start w:val="1"/>
      <w:numFmt w:val="lowerRoman"/>
      <w:lvlText w:val="%1)"/>
      <w:lvlJc w:val="left"/>
      <w:pPr>
        <w:ind w:left="1080" w:hanging="720"/>
      </w:pPr>
      <w:rPr>
        <w:b/>
      </w:rPr>
    </w:lvl>
    <w:lvl w:ilvl="1" w:tplc="F2425DC2">
      <w:start w:val="1"/>
      <w:numFmt w:val="decimal"/>
      <w:lvlText w:val="%2."/>
      <w:lvlJc w:val="left"/>
      <w:pPr>
        <w:ind w:left="1440" w:hanging="360"/>
      </w:pPr>
    </w:lvl>
    <w:lvl w:ilvl="2" w:tplc="67AEE26E">
      <w:start w:val="1"/>
      <w:numFmt w:val="lowerRoman"/>
      <w:lvlText w:val="%3."/>
      <w:lvlJc w:val="right"/>
      <w:pPr>
        <w:ind w:left="2160" w:hanging="180"/>
      </w:pPr>
    </w:lvl>
    <w:lvl w:ilvl="3" w:tplc="5C5CB3BE">
      <w:start w:val="1"/>
      <w:numFmt w:val="decimal"/>
      <w:lvlText w:val="%4."/>
      <w:lvlJc w:val="left"/>
      <w:pPr>
        <w:ind w:left="2880" w:hanging="360"/>
      </w:pPr>
    </w:lvl>
    <w:lvl w:ilvl="4" w:tplc="0AE66AE6">
      <w:start w:val="1"/>
      <w:numFmt w:val="lowerLetter"/>
      <w:lvlText w:val="%5."/>
      <w:lvlJc w:val="left"/>
      <w:pPr>
        <w:ind w:left="3600" w:hanging="360"/>
      </w:pPr>
    </w:lvl>
    <w:lvl w:ilvl="5" w:tplc="5DACEE64">
      <w:start w:val="1"/>
      <w:numFmt w:val="lowerRoman"/>
      <w:lvlText w:val="%6."/>
      <w:lvlJc w:val="right"/>
      <w:pPr>
        <w:ind w:left="4320" w:hanging="180"/>
      </w:pPr>
    </w:lvl>
    <w:lvl w:ilvl="6" w:tplc="2B6A079A">
      <w:start w:val="1"/>
      <w:numFmt w:val="decimal"/>
      <w:lvlText w:val="%7."/>
      <w:lvlJc w:val="left"/>
      <w:pPr>
        <w:ind w:left="5040" w:hanging="360"/>
      </w:pPr>
    </w:lvl>
    <w:lvl w:ilvl="7" w:tplc="06FA2972">
      <w:start w:val="1"/>
      <w:numFmt w:val="lowerLetter"/>
      <w:lvlText w:val="%8."/>
      <w:lvlJc w:val="left"/>
      <w:pPr>
        <w:ind w:left="5760" w:hanging="360"/>
      </w:pPr>
    </w:lvl>
    <w:lvl w:ilvl="8" w:tplc="61406D20">
      <w:start w:val="1"/>
      <w:numFmt w:val="lowerRoman"/>
      <w:lvlText w:val="%9."/>
      <w:lvlJc w:val="right"/>
      <w:pPr>
        <w:ind w:left="6480" w:hanging="180"/>
      </w:pPr>
    </w:lvl>
  </w:abstractNum>
  <w:abstractNum w:abstractNumId="12" w15:restartNumberingAfterBreak="0">
    <w:nsid w:val="33904CC1"/>
    <w:multiLevelType w:val="multilevel"/>
    <w:tmpl w:val="78748132"/>
    <w:lvl w:ilvl="0">
      <w:start w:val="2"/>
      <w:numFmt w:val="bullet"/>
      <w:lvlText w:val="-"/>
      <w:lvlJc w:val="left"/>
      <w:pPr>
        <w:tabs>
          <w:tab w:val="num" w:pos="720"/>
        </w:tabs>
        <w:ind w:left="720" w:hanging="360"/>
      </w:pPr>
      <w:rPr>
        <w:rFonts w:ascii="Verdana" w:eastAsiaTheme="minorHAnsi" w:hAnsi="Verdana" w:cstheme="minorBidi"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5BD3F4C"/>
    <w:multiLevelType w:val="hybridMultilevel"/>
    <w:tmpl w:val="09A8DC20"/>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6C01FE8"/>
    <w:multiLevelType w:val="hybridMultilevel"/>
    <w:tmpl w:val="893C3CCA"/>
    <w:lvl w:ilvl="0" w:tplc="82EABAC4">
      <w:start w:val="1"/>
      <w:numFmt w:val="bullet"/>
      <w:lvlText w:val=""/>
      <w:lvlJc w:val="left"/>
      <w:pPr>
        <w:ind w:left="720" w:hanging="360"/>
      </w:pPr>
      <w:rPr>
        <w:rFonts w:ascii="Symbol" w:hAnsi="Symbol"/>
      </w:rPr>
    </w:lvl>
    <w:lvl w:ilvl="1" w:tplc="8104EF9E">
      <w:start w:val="1"/>
      <w:numFmt w:val="bullet"/>
      <w:lvlText w:val=""/>
      <w:lvlJc w:val="left"/>
      <w:pPr>
        <w:ind w:left="720" w:hanging="360"/>
      </w:pPr>
      <w:rPr>
        <w:rFonts w:ascii="Symbol" w:hAnsi="Symbol"/>
      </w:rPr>
    </w:lvl>
    <w:lvl w:ilvl="2" w:tplc="3CC0F00C">
      <w:start w:val="1"/>
      <w:numFmt w:val="bullet"/>
      <w:lvlText w:val=""/>
      <w:lvlJc w:val="left"/>
      <w:pPr>
        <w:ind w:left="720" w:hanging="360"/>
      </w:pPr>
      <w:rPr>
        <w:rFonts w:ascii="Symbol" w:hAnsi="Symbol"/>
      </w:rPr>
    </w:lvl>
    <w:lvl w:ilvl="3" w:tplc="8EEEB2EA">
      <w:start w:val="1"/>
      <w:numFmt w:val="bullet"/>
      <w:lvlText w:val=""/>
      <w:lvlJc w:val="left"/>
      <w:pPr>
        <w:ind w:left="720" w:hanging="360"/>
      </w:pPr>
      <w:rPr>
        <w:rFonts w:ascii="Symbol" w:hAnsi="Symbol"/>
      </w:rPr>
    </w:lvl>
    <w:lvl w:ilvl="4" w:tplc="64323EBE">
      <w:start w:val="1"/>
      <w:numFmt w:val="bullet"/>
      <w:lvlText w:val=""/>
      <w:lvlJc w:val="left"/>
      <w:pPr>
        <w:ind w:left="720" w:hanging="360"/>
      </w:pPr>
      <w:rPr>
        <w:rFonts w:ascii="Symbol" w:hAnsi="Symbol"/>
      </w:rPr>
    </w:lvl>
    <w:lvl w:ilvl="5" w:tplc="51EC1BAA">
      <w:start w:val="1"/>
      <w:numFmt w:val="bullet"/>
      <w:lvlText w:val=""/>
      <w:lvlJc w:val="left"/>
      <w:pPr>
        <w:ind w:left="720" w:hanging="360"/>
      </w:pPr>
      <w:rPr>
        <w:rFonts w:ascii="Symbol" w:hAnsi="Symbol"/>
      </w:rPr>
    </w:lvl>
    <w:lvl w:ilvl="6" w:tplc="9AE60C24">
      <w:start w:val="1"/>
      <w:numFmt w:val="bullet"/>
      <w:lvlText w:val=""/>
      <w:lvlJc w:val="left"/>
      <w:pPr>
        <w:ind w:left="720" w:hanging="360"/>
      </w:pPr>
      <w:rPr>
        <w:rFonts w:ascii="Symbol" w:hAnsi="Symbol"/>
      </w:rPr>
    </w:lvl>
    <w:lvl w:ilvl="7" w:tplc="2CE6CEBC">
      <w:start w:val="1"/>
      <w:numFmt w:val="bullet"/>
      <w:lvlText w:val=""/>
      <w:lvlJc w:val="left"/>
      <w:pPr>
        <w:ind w:left="720" w:hanging="360"/>
      </w:pPr>
      <w:rPr>
        <w:rFonts w:ascii="Symbol" w:hAnsi="Symbol"/>
      </w:rPr>
    </w:lvl>
    <w:lvl w:ilvl="8" w:tplc="BB9259A0">
      <w:start w:val="1"/>
      <w:numFmt w:val="bullet"/>
      <w:lvlText w:val=""/>
      <w:lvlJc w:val="left"/>
      <w:pPr>
        <w:ind w:left="720" w:hanging="360"/>
      </w:pPr>
      <w:rPr>
        <w:rFonts w:ascii="Symbol" w:hAnsi="Symbol"/>
      </w:rPr>
    </w:lvl>
  </w:abstractNum>
  <w:abstractNum w:abstractNumId="15" w15:restartNumberingAfterBreak="0">
    <w:nsid w:val="3B492FE2"/>
    <w:multiLevelType w:val="multilevel"/>
    <w:tmpl w:val="56F46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E463F53"/>
    <w:multiLevelType w:val="hybridMultilevel"/>
    <w:tmpl w:val="17AA39BE"/>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785"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42CA7401"/>
    <w:multiLevelType w:val="hybridMultilevel"/>
    <w:tmpl w:val="29B21D2E"/>
    <w:lvl w:ilvl="0" w:tplc="CE74AF34">
      <w:start w:val="1"/>
      <w:numFmt w:val="bullet"/>
      <w:lvlText w:val=""/>
      <w:lvlJc w:val="left"/>
      <w:pPr>
        <w:ind w:left="1080" w:hanging="360"/>
      </w:pPr>
      <w:rPr>
        <w:rFonts w:ascii="Symbol" w:hAnsi="Symbol"/>
      </w:rPr>
    </w:lvl>
    <w:lvl w:ilvl="1" w:tplc="D0E8CAEE">
      <w:start w:val="1"/>
      <w:numFmt w:val="bullet"/>
      <w:lvlText w:val=""/>
      <w:lvlJc w:val="left"/>
      <w:pPr>
        <w:ind w:left="1080" w:hanging="360"/>
      </w:pPr>
      <w:rPr>
        <w:rFonts w:ascii="Symbol" w:hAnsi="Symbol"/>
      </w:rPr>
    </w:lvl>
    <w:lvl w:ilvl="2" w:tplc="B1D24340">
      <w:start w:val="1"/>
      <w:numFmt w:val="bullet"/>
      <w:lvlText w:val=""/>
      <w:lvlJc w:val="left"/>
      <w:pPr>
        <w:ind w:left="1080" w:hanging="360"/>
      </w:pPr>
      <w:rPr>
        <w:rFonts w:ascii="Symbol" w:hAnsi="Symbol"/>
      </w:rPr>
    </w:lvl>
    <w:lvl w:ilvl="3" w:tplc="5BBEDDB8">
      <w:start w:val="1"/>
      <w:numFmt w:val="bullet"/>
      <w:lvlText w:val=""/>
      <w:lvlJc w:val="left"/>
      <w:pPr>
        <w:ind w:left="1080" w:hanging="360"/>
      </w:pPr>
      <w:rPr>
        <w:rFonts w:ascii="Symbol" w:hAnsi="Symbol"/>
      </w:rPr>
    </w:lvl>
    <w:lvl w:ilvl="4" w:tplc="5C627914">
      <w:start w:val="1"/>
      <w:numFmt w:val="bullet"/>
      <w:lvlText w:val=""/>
      <w:lvlJc w:val="left"/>
      <w:pPr>
        <w:ind w:left="1080" w:hanging="360"/>
      </w:pPr>
      <w:rPr>
        <w:rFonts w:ascii="Symbol" w:hAnsi="Symbol"/>
      </w:rPr>
    </w:lvl>
    <w:lvl w:ilvl="5" w:tplc="560A22D6">
      <w:start w:val="1"/>
      <w:numFmt w:val="bullet"/>
      <w:lvlText w:val=""/>
      <w:lvlJc w:val="left"/>
      <w:pPr>
        <w:ind w:left="1080" w:hanging="360"/>
      </w:pPr>
      <w:rPr>
        <w:rFonts w:ascii="Symbol" w:hAnsi="Symbol"/>
      </w:rPr>
    </w:lvl>
    <w:lvl w:ilvl="6" w:tplc="E426497A">
      <w:start w:val="1"/>
      <w:numFmt w:val="bullet"/>
      <w:lvlText w:val=""/>
      <w:lvlJc w:val="left"/>
      <w:pPr>
        <w:ind w:left="1080" w:hanging="360"/>
      </w:pPr>
      <w:rPr>
        <w:rFonts w:ascii="Symbol" w:hAnsi="Symbol"/>
      </w:rPr>
    </w:lvl>
    <w:lvl w:ilvl="7" w:tplc="65AE51E4">
      <w:start w:val="1"/>
      <w:numFmt w:val="bullet"/>
      <w:lvlText w:val=""/>
      <w:lvlJc w:val="left"/>
      <w:pPr>
        <w:ind w:left="1080" w:hanging="360"/>
      </w:pPr>
      <w:rPr>
        <w:rFonts w:ascii="Symbol" w:hAnsi="Symbol"/>
      </w:rPr>
    </w:lvl>
    <w:lvl w:ilvl="8" w:tplc="0B46D514">
      <w:start w:val="1"/>
      <w:numFmt w:val="bullet"/>
      <w:lvlText w:val=""/>
      <w:lvlJc w:val="left"/>
      <w:pPr>
        <w:ind w:left="1080" w:hanging="360"/>
      </w:pPr>
      <w:rPr>
        <w:rFonts w:ascii="Symbol" w:hAnsi="Symbol"/>
      </w:rPr>
    </w:lvl>
  </w:abstractNum>
  <w:abstractNum w:abstractNumId="18" w15:restartNumberingAfterBreak="0">
    <w:nsid w:val="432F375F"/>
    <w:multiLevelType w:val="hybridMultilevel"/>
    <w:tmpl w:val="90C69E60"/>
    <w:lvl w:ilvl="0" w:tplc="61160F0C">
      <w:start w:val="2"/>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7553F72"/>
    <w:multiLevelType w:val="multilevel"/>
    <w:tmpl w:val="4D7629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B0840AA"/>
    <w:multiLevelType w:val="hybridMultilevel"/>
    <w:tmpl w:val="331890D6"/>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50D701FA"/>
    <w:multiLevelType w:val="hybridMultilevel"/>
    <w:tmpl w:val="1BB8B3FC"/>
    <w:lvl w:ilvl="0" w:tplc="D1343ED0">
      <w:start w:val="1"/>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5404537A"/>
    <w:multiLevelType w:val="hybridMultilevel"/>
    <w:tmpl w:val="26F613AE"/>
    <w:lvl w:ilvl="0" w:tplc="4462D580">
      <w:start w:val="2"/>
      <w:numFmt w:val="bullet"/>
      <w:lvlText w:val=""/>
      <w:lvlJc w:val="left"/>
      <w:pPr>
        <w:ind w:left="1065" w:hanging="705"/>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543254A6"/>
    <w:multiLevelType w:val="multilevel"/>
    <w:tmpl w:val="3034809C"/>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88643CC"/>
    <w:multiLevelType w:val="hybridMultilevel"/>
    <w:tmpl w:val="ECB2208E"/>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5" w15:restartNumberingAfterBreak="0">
    <w:nsid w:val="58A15263"/>
    <w:multiLevelType w:val="hybridMultilevel"/>
    <w:tmpl w:val="3EBACA4A"/>
    <w:lvl w:ilvl="0" w:tplc="D1343ED0">
      <w:start w:val="1"/>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6BD067CD"/>
    <w:multiLevelType w:val="hybridMultilevel"/>
    <w:tmpl w:val="71903DC2"/>
    <w:lvl w:ilvl="0" w:tplc="49D28568">
      <w:start w:val="1"/>
      <w:numFmt w:val="bullet"/>
      <w:lvlText w:val="-"/>
      <w:lvlJc w:val="left"/>
      <w:pPr>
        <w:ind w:left="720" w:hanging="360"/>
      </w:pPr>
      <w:rPr>
        <w:rFonts w:ascii="Verdana" w:eastAsiaTheme="minorHAnsi" w:hAnsi="Verdana" w:cstheme="minorBidi" w:hint="default"/>
        <w:b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793F3C44"/>
    <w:multiLevelType w:val="multilevel"/>
    <w:tmpl w:val="78748132"/>
    <w:lvl w:ilvl="0">
      <w:start w:val="2"/>
      <w:numFmt w:val="bullet"/>
      <w:lvlText w:val="-"/>
      <w:lvlJc w:val="left"/>
      <w:pPr>
        <w:tabs>
          <w:tab w:val="num" w:pos="720"/>
        </w:tabs>
        <w:ind w:left="720" w:hanging="360"/>
      </w:pPr>
      <w:rPr>
        <w:rFonts w:ascii="Verdana" w:eastAsiaTheme="minorHAnsi" w:hAnsi="Verdana" w:cstheme="minorBidi"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9447EDA"/>
    <w:multiLevelType w:val="multilevel"/>
    <w:tmpl w:val="78748132"/>
    <w:lvl w:ilvl="0">
      <w:start w:val="2"/>
      <w:numFmt w:val="bullet"/>
      <w:lvlText w:val="-"/>
      <w:lvlJc w:val="left"/>
      <w:pPr>
        <w:tabs>
          <w:tab w:val="num" w:pos="720"/>
        </w:tabs>
        <w:ind w:left="720" w:hanging="360"/>
      </w:pPr>
      <w:rPr>
        <w:rFonts w:ascii="Verdana" w:eastAsiaTheme="minorHAnsi" w:hAnsi="Verdana" w:cstheme="minorBidi"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ABF3E08"/>
    <w:multiLevelType w:val="hybridMultilevel"/>
    <w:tmpl w:val="09A8DC20"/>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7F9F4E33"/>
    <w:multiLevelType w:val="hybridMultilevel"/>
    <w:tmpl w:val="7272134E"/>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4"/>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24"/>
  </w:num>
  <w:num w:numId="5">
    <w:abstractNumId w:val="26"/>
  </w:num>
  <w:num w:numId="6">
    <w:abstractNumId w:val="5"/>
  </w:num>
  <w:num w:numId="7">
    <w:abstractNumId w:val="19"/>
  </w:num>
  <w:num w:numId="8">
    <w:abstractNumId w:val="10"/>
  </w:num>
  <w:num w:numId="9">
    <w:abstractNumId w:val="8"/>
  </w:num>
  <w:num w:numId="10">
    <w:abstractNumId w:val="23"/>
  </w:num>
  <w:num w:numId="11">
    <w:abstractNumId w:val="25"/>
  </w:num>
  <w:num w:numId="12">
    <w:abstractNumId w:val="21"/>
  </w:num>
  <w:num w:numId="13">
    <w:abstractNumId w:val="29"/>
  </w:num>
  <w:num w:numId="14">
    <w:abstractNumId w:val="7"/>
  </w:num>
  <w:num w:numId="15">
    <w:abstractNumId w:val="13"/>
  </w:num>
  <w:num w:numId="16">
    <w:abstractNumId w:val="0"/>
  </w:num>
  <w:num w:numId="17">
    <w:abstractNumId w:val="1"/>
  </w:num>
  <w:num w:numId="18">
    <w:abstractNumId w:val="18"/>
  </w:num>
  <w:num w:numId="19">
    <w:abstractNumId w:val="16"/>
  </w:num>
  <w:num w:numId="20">
    <w:abstractNumId w:val="2"/>
  </w:num>
  <w:num w:numId="21">
    <w:abstractNumId w:val="15"/>
  </w:num>
  <w:num w:numId="22">
    <w:abstractNumId w:val="27"/>
  </w:num>
  <w:num w:numId="23">
    <w:abstractNumId w:val="28"/>
  </w:num>
  <w:num w:numId="24">
    <w:abstractNumId w:val="12"/>
  </w:num>
  <w:num w:numId="25">
    <w:abstractNumId w:val="22"/>
  </w:num>
  <w:num w:numId="26">
    <w:abstractNumId w:val="14"/>
  </w:num>
  <w:num w:numId="27">
    <w:abstractNumId w:val="17"/>
  </w:num>
  <w:num w:numId="28">
    <w:abstractNumId w:val="3"/>
  </w:num>
  <w:num w:numId="29">
    <w:abstractNumId w:val="30"/>
  </w:num>
  <w:num w:numId="30">
    <w:abstractNumId w:val="20"/>
  </w:num>
  <w:num w:numId="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4"/>
  <w:removePersonalInformation/>
  <w:removeDateAndTime/>
  <w:proofState w:spelling="clean"/>
  <w:defaultTabStop w:val="708"/>
  <w:hyphenationZone w:val="425"/>
  <w:drawingGridHorizontalSpacing w:val="9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1D09"/>
    <w:rsid w:val="00001594"/>
    <w:rsid w:val="00002712"/>
    <w:rsid w:val="00003BD2"/>
    <w:rsid w:val="00010BBF"/>
    <w:rsid w:val="000171B6"/>
    <w:rsid w:val="00041DD7"/>
    <w:rsid w:val="00042580"/>
    <w:rsid w:val="00044D24"/>
    <w:rsid w:val="000470D9"/>
    <w:rsid w:val="000600E1"/>
    <w:rsid w:val="000612F9"/>
    <w:rsid w:val="00062069"/>
    <w:rsid w:val="000647CE"/>
    <w:rsid w:val="00064E5E"/>
    <w:rsid w:val="0006624D"/>
    <w:rsid w:val="00071D43"/>
    <w:rsid w:val="000933D1"/>
    <w:rsid w:val="00094ECB"/>
    <w:rsid w:val="00096B91"/>
    <w:rsid w:val="000A2D22"/>
    <w:rsid w:val="000C1C24"/>
    <w:rsid w:val="000D6950"/>
    <w:rsid w:val="000E4160"/>
    <w:rsid w:val="000E41C9"/>
    <w:rsid w:val="000F74F5"/>
    <w:rsid w:val="00100DE6"/>
    <w:rsid w:val="00100ECB"/>
    <w:rsid w:val="00107AE0"/>
    <w:rsid w:val="00110AA2"/>
    <w:rsid w:val="00122CEB"/>
    <w:rsid w:val="00122EAA"/>
    <w:rsid w:val="001333C0"/>
    <w:rsid w:val="00137FAA"/>
    <w:rsid w:val="00140E67"/>
    <w:rsid w:val="001434C7"/>
    <w:rsid w:val="001473BB"/>
    <w:rsid w:val="0015102C"/>
    <w:rsid w:val="0016653D"/>
    <w:rsid w:val="001741BD"/>
    <w:rsid w:val="00177599"/>
    <w:rsid w:val="0018079E"/>
    <w:rsid w:val="001830E2"/>
    <w:rsid w:val="0018372A"/>
    <w:rsid w:val="00183A34"/>
    <w:rsid w:val="00194015"/>
    <w:rsid w:val="001B4035"/>
    <w:rsid w:val="001B470F"/>
    <w:rsid w:val="001B5FD1"/>
    <w:rsid w:val="001C1177"/>
    <w:rsid w:val="001C3440"/>
    <w:rsid w:val="001D137C"/>
    <w:rsid w:val="001D31F8"/>
    <w:rsid w:val="001E648B"/>
    <w:rsid w:val="00203B2D"/>
    <w:rsid w:val="0020552F"/>
    <w:rsid w:val="002126DA"/>
    <w:rsid w:val="00217332"/>
    <w:rsid w:val="00235F0B"/>
    <w:rsid w:val="00237E43"/>
    <w:rsid w:val="00242768"/>
    <w:rsid w:val="00245518"/>
    <w:rsid w:val="00257C8C"/>
    <w:rsid w:val="0028096E"/>
    <w:rsid w:val="002969A7"/>
    <w:rsid w:val="002978D6"/>
    <w:rsid w:val="002A17A6"/>
    <w:rsid w:val="002A2BD7"/>
    <w:rsid w:val="002A5380"/>
    <w:rsid w:val="002C1253"/>
    <w:rsid w:val="002C315A"/>
    <w:rsid w:val="002D4DA3"/>
    <w:rsid w:val="002F4A24"/>
    <w:rsid w:val="00307CB9"/>
    <w:rsid w:val="0032182D"/>
    <w:rsid w:val="0032209D"/>
    <w:rsid w:val="00333757"/>
    <w:rsid w:val="00336195"/>
    <w:rsid w:val="00346847"/>
    <w:rsid w:val="0035712D"/>
    <w:rsid w:val="00365B3C"/>
    <w:rsid w:val="003732EC"/>
    <w:rsid w:val="00380053"/>
    <w:rsid w:val="003818A7"/>
    <w:rsid w:val="003826D6"/>
    <w:rsid w:val="00385D74"/>
    <w:rsid w:val="00387809"/>
    <w:rsid w:val="003917D7"/>
    <w:rsid w:val="00391D89"/>
    <w:rsid w:val="0039613D"/>
    <w:rsid w:val="003A2902"/>
    <w:rsid w:val="003A4D53"/>
    <w:rsid w:val="003B59F4"/>
    <w:rsid w:val="003B6378"/>
    <w:rsid w:val="003C1582"/>
    <w:rsid w:val="003D52BF"/>
    <w:rsid w:val="003E1DA5"/>
    <w:rsid w:val="003E2FC3"/>
    <w:rsid w:val="003E3C35"/>
    <w:rsid w:val="003E733F"/>
    <w:rsid w:val="003F1E77"/>
    <w:rsid w:val="003F268D"/>
    <w:rsid w:val="003F748F"/>
    <w:rsid w:val="00413592"/>
    <w:rsid w:val="00414AC5"/>
    <w:rsid w:val="00421045"/>
    <w:rsid w:val="0043415B"/>
    <w:rsid w:val="00437ACD"/>
    <w:rsid w:val="0045410C"/>
    <w:rsid w:val="00454508"/>
    <w:rsid w:val="00480681"/>
    <w:rsid w:val="004A12B4"/>
    <w:rsid w:val="004A66E6"/>
    <w:rsid w:val="004B5539"/>
    <w:rsid w:val="004B7CF7"/>
    <w:rsid w:val="004C5000"/>
    <w:rsid w:val="004C5321"/>
    <w:rsid w:val="004C54C2"/>
    <w:rsid w:val="004C5785"/>
    <w:rsid w:val="004C765D"/>
    <w:rsid w:val="004D5910"/>
    <w:rsid w:val="004E5343"/>
    <w:rsid w:val="004F39C1"/>
    <w:rsid w:val="004F53D6"/>
    <w:rsid w:val="00503081"/>
    <w:rsid w:val="0050515D"/>
    <w:rsid w:val="0051701F"/>
    <w:rsid w:val="005443B7"/>
    <w:rsid w:val="005472E6"/>
    <w:rsid w:val="0054766D"/>
    <w:rsid w:val="00551372"/>
    <w:rsid w:val="00553026"/>
    <w:rsid w:val="005634C3"/>
    <w:rsid w:val="005663B8"/>
    <w:rsid w:val="005931DB"/>
    <w:rsid w:val="005D1A08"/>
    <w:rsid w:val="005D1ED2"/>
    <w:rsid w:val="005E19F9"/>
    <w:rsid w:val="005E57D9"/>
    <w:rsid w:val="005F1820"/>
    <w:rsid w:val="005F63D3"/>
    <w:rsid w:val="006049D4"/>
    <w:rsid w:val="006123C6"/>
    <w:rsid w:val="00612755"/>
    <w:rsid w:val="00612F92"/>
    <w:rsid w:val="006223C4"/>
    <w:rsid w:val="00632C61"/>
    <w:rsid w:val="00646608"/>
    <w:rsid w:val="00650093"/>
    <w:rsid w:val="006550A0"/>
    <w:rsid w:val="00656B41"/>
    <w:rsid w:val="0066347A"/>
    <w:rsid w:val="0066593C"/>
    <w:rsid w:val="0067103E"/>
    <w:rsid w:val="00685083"/>
    <w:rsid w:val="00686F66"/>
    <w:rsid w:val="0069406D"/>
    <w:rsid w:val="006A329F"/>
    <w:rsid w:val="006B4AD2"/>
    <w:rsid w:val="006C4A5E"/>
    <w:rsid w:val="006D29E3"/>
    <w:rsid w:val="006D6361"/>
    <w:rsid w:val="006D6D1F"/>
    <w:rsid w:val="006D73C3"/>
    <w:rsid w:val="006D79AB"/>
    <w:rsid w:val="006E1AAF"/>
    <w:rsid w:val="006E671F"/>
    <w:rsid w:val="006F7117"/>
    <w:rsid w:val="006F7945"/>
    <w:rsid w:val="007002F7"/>
    <w:rsid w:val="007029D6"/>
    <w:rsid w:val="00707115"/>
    <w:rsid w:val="0070788B"/>
    <w:rsid w:val="007112A2"/>
    <w:rsid w:val="007336EB"/>
    <w:rsid w:val="007416BC"/>
    <w:rsid w:val="00744312"/>
    <w:rsid w:val="00772516"/>
    <w:rsid w:val="00776603"/>
    <w:rsid w:val="00783175"/>
    <w:rsid w:val="00783FEA"/>
    <w:rsid w:val="0078493C"/>
    <w:rsid w:val="00794D40"/>
    <w:rsid w:val="007A03D3"/>
    <w:rsid w:val="007A2612"/>
    <w:rsid w:val="007A43FE"/>
    <w:rsid w:val="007A684A"/>
    <w:rsid w:val="007A72C5"/>
    <w:rsid w:val="007A7E21"/>
    <w:rsid w:val="007B185C"/>
    <w:rsid w:val="007B67B2"/>
    <w:rsid w:val="007C02E6"/>
    <w:rsid w:val="007D0A63"/>
    <w:rsid w:val="007D295E"/>
    <w:rsid w:val="007E3D59"/>
    <w:rsid w:val="008014C5"/>
    <w:rsid w:val="00810A36"/>
    <w:rsid w:val="00820CC8"/>
    <w:rsid w:val="00836DA8"/>
    <w:rsid w:val="00837DAF"/>
    <w:rsid w:val="00844507"/>
    <w:rsid w:val="008463F4"/>
    <w:rsid w:val="008517DD"/>
    <w:rsid w:val="0085791F"/>
    <w:rsid w:val="00861138"/>
    <w:rsid w:val="008626E7"/>
    <w:rsid w:val="008631D3"/>
    <w:rsid w:val="0087082B"/>
    <w:rsid w:val="00872B37"/>
    <w:rsid w:val="008945DA"/>
    <w:rsid w:val="00895ACB"/>
    <w:rsid w:val="008A06CF"/>
    <w:rsid w:val="008B02B6"/>
    <w:rsid w:val="008B2EAC"/>
    <w:rsid w:val="008B3F9F"/>
    <w:rsid w:val="008B7960"/>
    <w:rsid w:val="008C3335"/>
    <w:rsid w:val="008C7937"/>
    <w:rsid w:val="008D3C6D"/>
    <w:rsid w:val="008E5BE3"/>
    <w:rsid w:val="008E5E8E"/>
    <w:rsid w:val="008E68B6"/>
    <w:rsid w:val="008F495B"/>
    <w:rsid w:val="008F6611"/>
    <w:rsid w:val="00900660"/>
    <w:rsid w:val="0090662E"/>
    <w:rsid w:val="00907540"/>
    <w:rsid w:val="00910682"/>
    <w:rsid w:val="00931905"/>
    <w:rsid w:val="0094626F"/>
    <w:rsid w:val="00951E31"/>
    <w:rsid w:val="00956ECE"/>
    <w:rsid w:val="009636E8"/>
    <w:rsid w:val="00976F9B"/>
    <w:rsid w:val="00991E6B"/>
    <w:rsid w:val="009A1638"/>
    <w:rsid w:val="009A352B"/>
    <w:rsid w:val="009C31B8"/>
    <w:rsid w:val="009D111E"/>
    <w:rsid w:val="009D15E1"/>
    <w:rsid w:val="009D6CE4"/>
    <w:rsid w:val="009D6D70"/>
    <w:rsid w:val="009D798B"/>
    <w:rsid w:val="009F45B7"/>
    <w:rsid w:val="00A055B8"/>
    <w:rsid w:val="00A10658"/>
    <w:rsid w:val="00A252C6"/>
    <w:rsid w:val="00A330BE"/>
    <w:rsid w:val="00A37660"/>
    <w:rsid w:val="00A42B46"/>
    <w:rsid w:val="00A4465F"/>
    <w:rsid w:val="00A50325"/>
    <w:rsid w:val="00A60063"/>
    <w:rsid w:val="00A6061B"/>
    <w:rsid w:val="00A6208B"/>
    <w:rsid w:val="00A756FC"/>
    <w:rsid w:val="00A83A4C"/>
    <w:rsid w:val="00A95484"/>
    <w:rsid w:val="00A9584C"/>
    <w:rsid w:val="00A96061"/>
    <w:rsid w:val="00A964E9"/>
    <w:rsid w:val="00AA4A2B"/>
    <w:rsid w:val="00AB5432"/>
    <w:rsid w:val="00AC5120"/>
    <w:rsid w:val="00AC5A33"/>
    <w:rsid w:val="00AD132D"/>
    <w:rsid w:val="00AD5E4E"/>
    <w:rsid w:val="00AF1EE5"/>
    <w:rsid w:val="00B05017"/>
    <w:rsid w:val="00B0514A"/>
    <w:rsid w:val="00B1040E"/>
    <w:rsid w:val="00B15E8D"/>
    <w:rsid w:val="00B2200A"/>
    <w:rsid w:val="00B234C5"/>
    <w:rsid w:val="00B26515"/>
    <w:rsid w:val="00B2779C"/>
    <w:rsid w:val="00B31CCC"/>
    <w:rsid w:val="00B54FF4"/>
    <w:rsid w:val="00B640A8"/>
    <w:rsid w:val="00B72FA3"/>
    <w:rsid w:val="00B84D79"/>
    <w:rsid w:val="00B90825"/>
    <w:rsid w:val="00B91A80"/>
    <w:rsid w:val="00B961B4"/>
    <w:rsid w:val="00BA29B3"/>
    <w:rsid w:val="00BA51C4"/>
    <w:rsid w:val="00BB061F"/>
    <w:rsid w:val="00BB1696"/>
    <w:rsid w:val="00BC2C8A"/>
    <w:rsid w:val="00BF1C7D"/>
    <w:rsid w:val="00BF2032"/>
    <w:rsid w:val="00BF594F"/>
    <w:rsid w:val="00C24669"/>
    <w:rsid w:val="00C333FB"/>
    <w:rsid w:val="00C33B8B"/>
    <w:rsid w:val="00C33F58"/>
    <w:rsid w:val="00C4627A"/>
    <w:rsid w:val="00C63311"/>
    <w:rsid w:val="00C70DA4"/>
    <w:rsid w:val="00C83CB0"/>
    <w:rsid w:val="00C92364"/>
    <w:rsid w:val="00C925CC"/>
    <w:rsid w:val="00CA0469"/>
    <w:rsid w:val="00CA6289"/>
    <w:rsid w:val="00CA6802"/>
    <w:rsid w:val="00CB2122"/>
    <w:rsid w:val="00CB22A7"/>
    <w:rsid w:val="00CB23AB"/>
    <w:rsid w:val="00CB4E68"/>
    <w:rsid w:val="00CB6161"/>
    <w:rsid w:val="00CC2197"/>
    <w:rsid w:val="00CD103A"/>
    <w:rsid w:val="00CD2C58"/>
    <w:rsid w:val="00CD343F"/>
    <w:rsid w:val="00CD7F44"/>
    <w:rsid w:val="00CE02C0"/>
    <w:rsid w:val="00CE0588"/>
    <w:rsid w:val="00CE5A5C"/>
    <w:rsid w:val="00CE629E"/>
    <w:rsid w:val="00CF2FCA"/>
    <w:rsid w:val="00CF4745"/>
    <w:rsid w:val="00CF5529"/>
    <w:rsid w:val="00CF5839"/>
    <w:rsid w:val="00CF62E2"/>
    <w:rsid w:val="00CF64CF"/>
    <w:rsid w:val="00D068A9"/>
    <w:rsid w:val="00D20D01"/>
    <w:rsid w:val="00D31EE4"/>
    <w:rsid w:val="00D4006B"/>
    <w:rsid w:val="00D6561C"/>
    <w:rsid w:val="00D7068A"/>
    <w:rsid w:val="00D74E6C"/>
    <w:rsid w:val="00D758A2"/>
    <w:rsid w:val="00D764D6"/>
    <w:rsid w:val="00D80F91"/>
    <w:rsid w:val="00D8543F"/>
    <w:rsid w:val="00D90534"/>
    <w:rsid w:val="00D91AAA"/>
    <w:rsid w:val="00DA1DD7"/>
    <w:rsid w:val="00DB1D09"/>
    <w:rsid w:val="00DB2EA8"/>
    <w:rsid w:val="00DB53A3"/>
    <w:rsid w:val="00DB732B"/>
    <w:rsid w:val="00DC55C6"/>
    <w:rsid w:val="00DC5B9E"/>
    <w:rsid w:val="00DD1E09"/>
    <w:rsid w:val="00DE42B9"/>
    <w:rsid w:val="00DF56F1"/>
    <w:rsid w:val="00E12E4E"/>
    <w:rsid w:val="00E16A28"/>
    <w:rsid w:val="00E223C2"/>
    <w:rsid w:val="00E247AB"/>
    <w:rsid w:val="00E27DD9"/>
    <w:rsid w:val="00E3266D"/>
    <w:rsid w:val="00E32FF8"/>
    <w:rsid w:val="00E337D8"/>
    <w:rsid w:val="00E35BC7"/>
    <w:rsid w:val="00E40CEE"/>
    <w:rsid w:val="00E7046A"/>
    <w:rsid w:val="00E74A29"/>
    <w:rsid w:val="00E775DA"/>
    <w:rsid w:val="00E83480"/>
    <w:rsid w:val="00E85274"/>
    <w:rsid w:val="00E9555F"/>
    <w:rsid w:val="00EA165A"/>
    <w:rsid w:val="00EA72B6"/>
    <w:rsid w:val="00EB1E57"/>
    <w:rsid w:val="00EC3EEC"/>
    <w:rsid w:val="00EC579C"/>
    <w:rsid w:val="00EC767F"/>
    <w:rsid w:val="00ED42DA"/>
    <w:rsid w:val="00ED65AF"/>
    <w:rsid w:val="00ED7874"/>
    <w:rsid w:val="00EE0A79"/>
    <w:rsid w:val="00EE1E72"/>
    <w:rsid w:val="00EE7CB8"/>
    <w:rsid w:val="00EF215F"/>
    <w:rsid w:val="00F020DF"/>
    <w:rsid w:val="00F10882"/>
    <w:rsid w:val="00F16878"/>
    <w:rsid w:val="00F17304"/>
    <w:rsid w:val="00F205A3"/>
    <w:rsid w:val="00F2294B"/>
    <w:rsid w:val="00F256C5"/>
    <w:rsid w:val="00F32E7E"/>
    <w:rsid w:val="00F4143B"/>
    <w:rsid w:val="00F42110"/>
    <w:rsid w:val="00F549A0"/>
    <w:rsid w:val="00F54A2E"/>
    <w:rsid w:val="00F64F4E"/>
    <w:rsid w:val="00F6685E"/>
    <w:rsid w:val="00F83788"/>
    <w:rsid w:val="00F93E4C"/>
    <w:rsid w:val="00FA3324"/>
    <w:rsid w:val="00FB310C"/>
    <w:rsid w:val="00FC6766"/>
    <w:rsid w:val="00FE2989"/>
    <w:rsid w:val="00FF174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heme="minorHAnsi" w:hAnsi="Verdana" w:cstheme="minorBidi"/>
        <w:kern w:val="2"/>
        <w:sz w:val="18"/>
        <w:szCs w:val="18"/>
        <w:lang w:val="nl-NL" w:eastAsia="en-US" w:bidi="ar-SA"/>
        <w14:ligatures w14:val="standardContextual"/>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
    <w:basedOn w:val="Standaard"/>
    <w:link w:val="LijstalineaChar"/>
    <w:uiPriority w:val="34"/>
    <w:qFormat/>
    <w:rsid w:val="00DB1D09"/>
    <w:pPr>
      <w:ind w:left="720"/>
      <w:contextualSpacing/>
    </w:p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
    <w:link w:val="Lijstalinea"/>
    <w:uiPriority w:val="34"/>
    <w:qFormat/>
    <w:locked/>
    <w:rsid w:val="00DB1D09"/>
  </w:style>
  <w:style w:type="paragraph" w:styleId="Koptekst">
    <w:name w:val="header"/>
    <w:basedOn w:val="Standaard"/>
    <w:link w:val="KoptekstChar"/>
    <w:uiPriority w:val="99"/>
    <w:unhideWhenUsed/>
    <w:rsid w:val="00836DA8"/>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836DA8"/>
  </w:style>
  <w:style w:type="paragraph" w:styleId="Voettekst">
    <w:name w:val="footer"/>
    <w:basedOn w:val="Standaard"/>
    <w:link w:val="VoettekstChar"/>
    <w:uiPriority w:val="99"/>
    <w:unhideWhenUsed/>
    <w:rsid w:val="00836DA8"/>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836DA8"/>
  </w:style>
  <w:style w:type="paragraph" w:styleId="Normaalweb">
    <w:name w:val="Normal (Web)"/>
    <w:basedOn w:val="Standaard"/>
    <w:uiPriority w:val="99"/>
    <w:semiHidden/>
    <w:unhideWhenUsed/>
    <w:rsid w:val="005D1A08"/>
    <w:rPr>
      <w:rFonts w:ascii="Times New Roman" w:hAnsi="Times New Roman" w:cs="Times New Roman"/>
      <w:sz w:val="24"/>
      <w:szCs w:val="24"/>
    </w:rPr>
  </w:style>
  <w:style w:type="character" w:styleId="Verwijzingopmerking">
    <w:name w:val="annotation reference"/>
    <w:basedOn w:val="Standaardalinea-lettertype"/>
    <w:uiPriority w:val="99"/>
    <w:semiHidden/>
    <w:unhideWhenUsed/>
    <w:rsid w:val="00CB2122"/>
    <w:rPr>
      <w:sz w:val="16"/>
      <w:szCs w:val="16"/>
    </w:rPr>
  </w:style>
  <w:style w:type="paragraph" w:styleId="Tekstopmerking">
    <w:name w:val="annotation text"/>
    <w:basedOn w:val="Standaard"/>
    <w:link w:val="TekstopmerkingChar"/>
    <w:uiPriority w:val="99"/>
    <w:unhideWhenUsed/>
    <w:rsid w:val="00CB2122"/>
    <w:pPr>
      <w:spacing w:line="240" w:lineRule="auto"/>
    </w:pPr>
    <w:rPr>
      <w:sz w:val="20"/>
      <w:szCs w:val="20"/>
    </w:rPr>
  </w:style>
  <w:style w:type="character" w:customStyle="1" w:styleId="TekstopmerkingChar">
    <w:name w:val="Tekst opmerking Char"/>
    <w:basedOn w:val="Standaardalinea-lettertype"/>
    <w:link w:val="Tekstopmerking"/>
    <w:uiPriority w:val="99"/>
    <w:rsid w:val="00CB2122"/>
    <w:rPr>
      <w:sz w:val="20"/>
      <w:szCs w:val="20"/>
    </w:rPr>
  </w:style>
  <w:style w:type="paragraph" w:styleId="Onderwerpvanopmerking">
    <w:name w:val="annotation subject"/>
    <w:basedOn w:val="Tekstopmerking"/>
    <w:next w:val="Tekstopmerking"/>
    <w:link w:val="OnderwerpvanopmerkingChar"/>
    <w:uiPriority w:val="99"/>
    <w:semiHidden/>
    <w:unhideWhenUsed/>
    <w:rsid w:val="00CB2122"/>
    <w:rPr>
      <w:b/>
      <w:bCs/>
    </w:rPr>
  </w:style>
  <w:style w:type="character" w:customStyle="1" w:styleId="OnderwerpvanopmerkingChar">
    <w:name w:val="Onderwerp van opmerking Char"/>
    <w:basedOn w:val="TekstopmerkingChar"/>
    <w:link w:val="Onderwerpvanopmerking"/>
    <w:uiPriority w:val="99"/>
    <w:semiHidden/>
    <w:rsid w:val="00CB2122"/>
    <w:rPr>
      <w:b/>
      <w:bCs/>
      <w:sz w:val="20"/>
      <w:szCs w:val="20"/>
    </w:rPr>
  </w:style>
  <w:style w:type="paragraph" w:styleId="Ballontekst">
    <w:name w:val="Balloon Text"/>
    <w:basedOn w:val="Standaard"/>
    <w:link w:val="BallontekstChar"/>
    <w:uiPriority w:val="99"/>
    <w:semiHidden/>
    <w:unhideWhenUsed/>
    <w:rsid w:val="00CB2122"/>
    <w:pPr>
      <w:spacing w:line="240" w:lineRule="auto"/>
    </w:pPr>
    <w:rPr>
      <w:rFonts w:ascii="Segoe UI" w:hAnsi="Segoe UI" w:cs="Segoe UI"/>
    </w:rPr>
  </w:style>
  <w:style w:type="character" w:customStyle="1" w:styleId="BallontekstChar">
    <w:name w:val="Ballontekst Char"/>
    <w:basedOn w:val="Standaardalinea-lettertype"/>
    <w:link w:val="Ballontekst"/>
    <w:uiPriority w:val="99"/>
    <w:semiHidden/>
    <w:rsid w:val="00CB2122"/>
    <w:rPr>
      <w:rFonts w:ascii="Segoe UI" w:hAnsi="Segoe UI" w:cs="Segoe UI"/>
    </w:rPr>
  </w:style>
  <w:style w:type="table" w:styleId="Tabelraster">
    <w:name w:val="Table Grid"/>
    <w:basedOn w:val="Standaardtabel"/>
    <w:uiPriority w:val="39"/>
    <w:rsid w:val="008B796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517DD"/>
    <w:pPr>
      <w:autoSpaceDE w:val="0"/>
      <w:autoSpaceDN w:val="0"/>
      <w:adjustRightInd w:val="0"/>
      <w:spacing w:line="240" w:lineRule="auto"/>
    </w:pPr>
    <w:rPr>
      <w:rFonts w:ascii="Aptos" w:hAnsi="Aptos" w:cs="Aptos"/>
      <w:color w:val="000000"/>
      <w:kern w:val="0"/>
      <w:sz w:val="24"/>
      <w:szCs w:val="24"/>
    </w:rPr>
  </w:style>
  <w:style w:type="character" w:customStyle="1" w:styleId="A10">
    <w:name w:val="A10"/>
    <w:uiPriority w:val="99"/>
    <w:rsid w:val="008517DD"/>
    <w:rPr>
      <w:rFonts w:cs="BreuerText"/>
      <w:color w:val="000000"/>
      <w:sz w:val="16"/>
      <w:szCs w:val="16"/>
    </w:rPr>
  </w:style>
  <w:style w:type="paragraph" w:styleId="Revisie">
    <w:name w:val="Revision"/>
    <w:hidden/>
    <w:uiPriority w:val="99"/>
    <w:semiHidden/>
    <w:rsid w:val="00837DAF"/>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612008">
      <w:bodyDiv w:val="1"/>
      <w:marLeft w:val="0"/>
      <w:marRight w:val="0"/>
      <w:marTop w:val="0"/>
      <w:marBottom w:val="0"/>
      <w:divBdr>
        <w:top w:val="none" w:sz="0" w:space="0" w:color="auto"/>
        <w:left w:val="none" w:sz="0" w:space="0" w:color="auto"/>
        <w:bottom w:val="none" w:sz="0" w:space="0" w:color="auto"/>
        <w:right w:val="none" w:sz="0" w:space="0" w:color="auto"/>
      </w:divBdr>
    </w:div>
    <w:div w:id="76295567">
      <w:bodyDiv w:val="1"/>
      <w:marLeft w:val="0"/>
      <w:marRight w:val="0"/>
      <w:marTop w:val="0"/>
      <w:marBottom w:val="0"/>
      <w:divBdr>
        <w:top w:val="none" w:sz="0" w:space="0" w:color="auto"/>
        <w:left w:val="none" w:sz="0" w:space="0" w:color="auto"/>
        <w:bottom w:val="none" w:sz="0" w:space="0" w:color="auto"/>
        <w:right w:val="none" w:sz="0" w:space="0" w:color="auto"/>
      </w:divBdr>
    </w:div>
    <w:div w:id="86586120">
      <w:bodyDiv w:val="1"/>
      <w:marLeft w:val="0"/>
      <w:marRight w:val="0"/>
      <w:marTop w:val="0"/>
      <w:marBottom w:val="0"/>
      <w:divBdr>
        <w:top w:val="none" w:sz="0" w:space="0" w:color="auto"/>
        <w:left w:val="none" w:sz="0" w:space="0" w:color="auto"/>
        <w:bottom w:val="none" w:sz="0" w:space="0" w:color="auto"/>
        <w:right w:val="none" w:sz="0" w:space="0" w:color="auto"/>
      </w:divBdr>
      <w:divsChild>
        <w:div w:id="1307203006">
          <w:marLeft w:val="0"/>
          <w:marRight w:val="0"/>
          <w:marTop w:val="0"/>
          <w:marBottom w:val="0"/>
          <w:divBdr>
            <w:top w:val="single" w:sz="2" w:space="0" w:color="D9D9E3"/>
            <w:left w:val="single" w:sz="2" w:space="0" w:color="D9D9E3"/>
            <w:bottom w:val="single" w:sz="2" w:space="0" w:color="D9D9E3"/>
            <w:right w:val="single" w:sz="2" w:space="0" w:color="D9D9E3"/>
          </w:divBdr>
          <w:divsChild>
            <w:div w:id="313874350">
              <w:marLeft w:val="0"/>
              <w:marRight w:val="0"/>
              <w:marTop w:val="0"/>
              <w:marBottom w:val="0"/>
              <w:divBdr>
                <w:top w:val="single" w:sz="2" w:space="0" w:color="D9D9E3"/>
                <w:left w:val="single" w:sz="2" w:space="0" w:color="D9D9E3"/>
                <w:bottom w:val="single" w:sz="2" w:space="0" w:color="D9D9E3"/>
                <w:right w:val="single" w:sz="2" w:space="0" w:color="D9D9E3"/>
              </w:divBdr>
              <w:divsChild>
                <w:div w:id="1846824889">
                  <w:marLeft w:val="0"/>
                  <w:marRight w:val="0"/>
                  <w:marTop w:val="0"/>
                  <w:marBottom w:val="0"/>
                  <w:divBdr>
                    <w:top w:val="single" w:sz="2" w:space="0" w:color="D9D9E3"/>
                    <w:left w:val="single" w:sz="2" w:space="0" w:color="D9D9E3"/>
                    <w:bottom w:val="single" w:sz="2" w:space="0" w:color="D9D9E3"/>
                    <w:right w:val="single" w:sz="2" w:space="0" w:color="D9D9E3"/>
                  </w:divBdr>
                  <w:divsChild>
                    <w:div w:id="79640272">
                      <w:marLeft w:val="0"/>
                      <w:marRight w:val="0"/>
                      <w:marTop w:val="0"/>
                      <w:marBottom w:val="0"/>
                      <w:divBdr>
                        <w:top w:val="single" w:sz="2" w:space="0" w:color="D9D9E3"/>
                        <w:left w:val="single" w:sz="2" w:space="0" w:color="D9D9E3"/>
                        <w:bottom w:val="single" w:sz="2" w:space="0" w:color="D9D9E3"/>
                        <w:right w:val="single" w:sz="2" w:space="0" w:color="D9D9E3"/>
                      </w:divBdr>
                      <w:divsChild>
                        <w:div w:id="184907547">
                          <w:marLeft w:val="0"/>
                          <w:marRight w:val="0"/>
                          <w:marTop w:val="0"/>
                          <w:marBottom w:val="0"/>
                          <w:divBdr>
                            <w:top w:val="single" w:sz="2" w:space="0" w:color="D9D9E3"/>
                            <w:left w:val="single" w:sz="2" w:space="0" w:color="D9D9E3"/>
                            <w:bottom w:val="single" w:sz="2" w:space="0" w:color="D9D9E3"/>
                            <w:right w:val="single" w:sz="2" w:space="0" w:color="D9D9E3"/>
                          </w:divBdr>
                          <w:divsChild>
                            <w:div w:id="1264342663">
                              <w:marLeft w:val="0"/>
                              <w:marRight w:val="0"/>
                              <w:marTop w:val="0"/>
                              <w:marBottom w:val="0"/>
                              <w:divBdr>
                                <w:top w:val="single" w:sz="2" w:space="0" w:color="D9D9E3"/>
                                <w:left w:val="single" w:sz="2" w:space="0" w:color="D9D9E3"/>
                                <w:bottom w:val="single" w:sz="2" w:space="0" w:color="D9D9E3"/>
                                <w:right w:val="single" w:sz="2" w:space="0" w:color="D9D9E3"/>
                              </w:divBdr>
                              <w:divsChild>
                                <w:div w:id="583955483">
                                  <w:marLeft w:val="0"/>
                                  <w:marRight w:val="0"/>
                                  <w:marTop w:val="0"/>
                                  <w:marBottom w:val="0"/>
                                  <w:divBdr>
                                    <w:top w:val="single" w:sz="2" w:space="0" w:color="D9D9E3"/>
                                    <w:left w:val="single" w:sz="2" w:space="0" w:color="D9D9E3"/>
                                    <w:bottom w:val="single" w:sz="2" w:space="0" w:color="D9D9E3"/>
                                    <w:right w:val="single" w:sz="2" w:space="0" w:color="D9D9E3"/>
                                  </w:divBdr>
                                  <w:divsChild>
                                    <w:div w:id="1167675105">
                                      <w:marLeft w:val="0"/>
                                      <w:marRight w:val="0"/>
                                      <w:marTop w:val="0"/>
                                      <w:marBottom w:val="0"/>
                                      <w:divBdr>
                                        <w:top w:val="single" w:sz="2" w:space="0" w:color="D9D9E3"/>
                                        <w:left w:val="single" w:sz="2" w:space="0" w:color="D9D9E3"/>
                                        <w:bottom w:val="single" w:sz="2" w:space="0" w:color="D9D9E3"/>
                                        <w:right w:val="single" w:sz="2" w:space="0" w:color="D9D9E3"/>
                                      </w:divBdr>
                                      <w:divsChild>
                                        <w:div w:id="118660265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565916999">
          <w:marLeft w:val="0"/>
          <w:marRight w:val="0"/>
          <w:marTop w:val="0"/>
          <w:marBottom w:val="0"/>
          <w:divBdr>
            <w:top w:val="single" w:sz="2" w:space="0" w:color="D9D9E3"/>
            <w:left w:val="single" w:sz="2" w:space="0" w:color="D9D9E3"/>
            <w:bottom w:val="single" w:sz="2" w:space="0" w:color="D9D9E3"/>
            <w:right w:val="single" w:sz="2" w:space="0" w:color="D9D9E3"/>
          </w:divBdr>
          <w:divsChild>
            <w:div w:id="2025790460">
              <w:marLeft w:val="0"/>
              <w:marRight w:val="0"/>
              <w:marTop w:val="0"/>
              <w:marBottom w:val="0"/>
              <w:divBdr>
                <w:top w:val="single" w:sz="2" w:space="0" w:color="D9D9E3"/>
                <w:left w:val="single" w:sz="2" w:space="0" w:color="D9D9E3"/>
                <w:bottom w:val="single" w:sz="2" w:space="0" w:color="D9D9E3"/>
                <w:right w:val="single" w:sz="2" w:space="0" w:color="D9D9E3"/>
              </w:divBdr>
              <w:divsChild>
                <w:div w:id="71202641">
                  <w:marLeft w:val="0"/>
                  <w:marRight w:val="0"/>
                  <w:marTop w:val="0"/>
                  <w:marBottom w:val="0"/>
                  <w:divBdr>
                    <w:top w:val="single" w:sz="2" w:space="0" w:color="D9D9E3"/>
                    <w:left w:val="single" w:sz="2" w:space="0" w:color="D9D9E3"/>
                    <w:bottom w:val="single" w:sz="2" w:space="0" w:color="D9D9E3"/>
                    <w:right w:val="single" w:sz="2" w:space="0" w:color="D9D9E3"/>
                  </w:divBdr>
                  <w:divsChild>
                    <w:div w:id="181105309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12214700">
      <w:bodyDiv w:val="1"/>
      <w:marLeft w:val="0"/>
      <w:marRight w:val="0"/>
      <w:marTop w:val="0"/>
      <w:marBottom w:val="0"/>
      <w:divBdr>
        <w:top w:val="none" w:sz="0" w:space="0" w:color="auto"/>
        <w:left w:val="none" w:sz="0" w:space="0" w:color="auto"/>
        <w:bottom w:val="none" w:sz="0" w:space="0" w:color="auto"/>
        <w:right w:val="none" w:sz="0" w:space="0" w:color="auto"/>
      </w:divBdr>
    </w:div>
    <w:div w:id="119615675">
      <w:bodyDiv w:val="1"/>
      <w:marLeft w:val="0"/>
      <w:marRight w:val="0"/>
      <w:marTop w:val="0"/>
      <w:marBottom w:val="0"/>
      <w:divBdr>
        <w:top w:val="none" w:sz="0" w:space="0" w:color="auto"/>
        <w:left w:val="none" w:sz="0" w:space="0" w:color="auto"/>
        <w:bottom w:val="none" w:sz="0" w:space="0" w:color="auto"/>
        <w:right w:val="none" w:sz="0" w:space="0" w:color="auto"/>
      </w:divBdr>
    </w:div>
    <w:div w:id="158931912">
      <w:bodyDiv w:val="1"/>
      <w:marLeft w:val="0"/>
      <w:marRight w:val="0"/>
      <w:marTop w:val="0"/>
      <w:marBottom w:val="0"/>
      <w:divBdr>
        <w:top w:val="none" w:sz="0" w:space="0" w:color="auto"/>
        <w:left w:val="none" w:sz="0" w:space="0" w:color="auto"/>
        <w:bottom w:val="none" w:sz="0" w:space="0" w:color="auto"/>
        <w:right w:val="none" w:sz="0" w:space="0" w:color="auto"/>
      </w:divBdr>
    </w:div>
    <w:div w:id="182982867">
      <w:bodyDiv w:val="1"/>
      <w:marLeft w:val="0"/>
      <w:marRight w:val="0"/>
      <w:marTop w:val="0"/>
      <w:marBottom w:val="0"/>
      <w:divBdr>
        <w:top w:val="none" w:sz="0" w:space="0" w:color="auto"/>
        <w:left w:val="none" w:sz="0" w:space="0" w:color="auto"/>
        <w:bottom w:val="none" w:sz="0" w:space="0" w:color="auto"/>
        <w:right w:val="none" w:sz="0" w:space="0" w:color="auto"/>
      </w:divBdr>
    </w:div>
    <w:div w:id="199755454">
      <w:bodyDiv w:val="1"/>
      <w:marLeft w:val="0"/>
      <w:marRight w:val="0"/>
      <w:marTop w:val="0"/>
      <w:marBottom w:val="0"/>
      <w:divBdr>
        <w:top w:val="none" w:sz="0" w:space="0" w:color="auto"/>
        <w:left w:val="none" w:sz="0" w:space="0" w:color="auto"/>
        <w:bottom w:val="none" w:sz="0" w:space="0" w:color="auto"/>
        <w:right w:val="none" w:sz="0" w:space="0" w:color="auto"/>
      </w:divBdr>
    </w:div>
    <w:div w:id="214393880">
      <w:bodyDiv w:val="1"/>
      <w:marLeft w:val="0"/>
      <w:marRight w:val="0"/>
      <w:marTop w:val="0"/>
      <w:marBottom w:val="0"/>
      <w:divBdr>
        <w:top w:val="none" w:sz="0" w:space="0" w:color="auto"/>
        <w:left w:val="none" w:sz="0" w:space="0" w:color="auto"/>
        <w:bottom w:val="none" w:sz="0" w:space="0" w:color="auto"/>
        <w:right w:val="none" w:sz="0" w:space="0" w:color="auto"/>
      </w:divBdr>
    </w:div>
    <w:div w:id="233004546">
      <w:bodyDiv w:val="1"/>
      <w:marLeft w:val="0"/>
      <w:marRight w:val="0"/>
      <w:marTop w:val="0"/>
      <w:marBottom w:val="0"/>
      <w:divBdr>
        <w:top w:val="none" w:sz="0" w:space="0" w:color="auto"/>
        <w:left w:val="none" w:sz="0" w:space="0" w:color="auto"/>
        <w:bottom w:val="none" w:sz="0" w:space="0" w:color="auto"/>
        <w:right w:val="none" w:sz="0" w:space="0" w:color="auto"/>
      </w:divBdr>
    </w:div>
    <w:div w:id="426771785">
      <w:bodyDiv w:val="1"/>
      <w:marLeft w:val="0"/>
      <w:marRight w:val="0"/>
      <w:marTop w:val="0"/>
      <w:marBottom w:val="0"/>
      <w:divBdr>
        <w:top w:val="none" w:sz="0" w:space="0" w:color="auto"/>
        <w:left w:val="none" w:sz="0" w:space="0" w:color="auto"/>
        <w:bottom w:val="none" w:sz="0" w:space="0" w:color="auto"/>
        <w:right w:val="none" w:sz="0" w:space="0" w:color="auto"/>
      </w:divBdr>
    </w:div>
    <w:div w:id="432868647">
      <w:bodyDiv w:val="1"/>
      <w:marLeft w:val="0"/>
      <w:marRight w:val="0"/>
      <w:marTop w:val="0"/>
      <w:marBottom w:val="0"/>
      <w:divBdr>
        <w:top w:val="none" w:sz="0" w:space="0" w:color="auto"/>
        <w:left w:val="none" w:sz="0" w:space="0" w:color="auto"/>
        <w:bottom w:val="none" w:sz="0" w:space="0" w:color="auto"/>
        <w:right w:val="none" w:sz="0" w:space="0" w:color="auto"/>
      </w:divBdr>
    </w:div>
    <w:div w:id="440102181">
      <w:bodyDiv w:val="1"/>
      <w:marLeft w:val="0"/>
      <w:marRight w:val="0"/>
      <w:marTop w:val="0"/>
      <w:marBottom w:val="0"/>
      <w:divBdr>
        <w:top w:val="none" w:sz="0" w:space="0" w:color="auto"/>
        <w:left w:val="none" w:sz="0" w:space="0" w:color="auto"/>
        <w:bottom w:val="none" w:sz="0" w:space="0" w:color="auto"/>
        <w:right w:val="none" w:sz="0" w:space="0" w:color="auto"/>
      </w:divBdr>
    </w:div>
    <w:div w:id="444693756">
      <w:bodyDiv w:val="1"/>
      <w:marLeft w:val="0"/>
      <w:marRight w:val="0"/>
      <w:marTop w:val="0"/>
      <w:marBottom w:val="0"/>
      <w:divBdr>
        <w:top w:val="none" w:sz="0" w:space="0" w:color="auto"/>
        <w:left w:val="none" w:sz="0" w:space="0" w:color="auto"/>
        <w:bottom w:val="none" w:sz="0" w:space="0" w:color="auto"/>
        <w:right w:val="none" w:sz="0" w:space="0" w:color="auto"/>
      </w:divBdr>
    </w:div>
    <w:div w:id="448361128">
      <w:bodyDiv w:val="1"/>
      <w:marLeft w:val="0"/>
      <w:marRight w:val="0"/>
      <w:marTop w:val="0"/>
      <w:marBottom w:val="0"/>
      <w:divBdr>
        <w:top w:val="none" w:sz="0" w:space="0" w:color="auto"/>
        <w:left w:val="none" w:sz="0" w:space="0" w:color="auto"/>
        <w:bottom w:val="none" w:sz="0" w:space="0" w:color="auto"/>
        <w:right w:val="none" w:sz="0" w:space="0" w:color="auto"/>
      </w:divBdr>
    </w:div>
    <w:div w:id="483012078">
      <w:bodyDiv w:val="1"/>
      <w:marLeft w:val="0"/>
      <w:marRight w:val="0"/>
      <w:marTop w:val="0"/>
      <w:marBottom w:val="0"/>
      <w:divBdr>
        <w:top w:val="none" w:sz="0" w:space="0" w:color="auto"/>
        <w:left w:val="none" w:sz="0" w:space="0" w:color="auto"/>
        <w:bottom w:val="none" w:sz="0" w:space="0" w:color="auto"/>
        <w:right w:val="none" w:sz="0" w:space="0" w:color="auto"/>
      </w:divBdr>
    </w:div>
    <w:div w:id="516428740">
      <w:bodyDiv w:val="1"/>
      <w:marLeft w:val="0"/>
      <w:marRight w:val="0"/>
      <w:marTop w:val="0"/>
      <w:marBottom w:val="0"/>
      <w:divBdr>
        <w:top w:val="none" w:sz="0" w:space="0" w:color="auto"/>
        <w:left w:val="none" w:sz="0" w:space="0" w:color="auto"/>
        <w:bottom w:val="none" w:sz="0" w:space="0" w:color="auto"/>
        <w:right w:val="none" w:sz="0" w:space="0" w:color="auto"/>
      </w:divBdr>
      <w:divsChild>
        <w:div w:id="55206389">
          <w:marLeft w:val="0"/>
          <w:marRight w:val="0"/>
          <w:marTop w:val="0"/>
          <w:marBottom w:val="0"/>
          <w:divBdr>
            <w:top w:val="none" w:sz="0" w:space="0" w:color="auto"/>
            <w:left w:val="none" w:sz="0" w:space="0" w:color="auto"/>
            <w:bottom w:val="none" w:sz="0" w:space="0" w:color="auto"/>
            <w:right w:val="none" w:sz="0" w:space="0" w:color="auto"/>
          </w:divBdr>
          <w:divsChild>
            <w:div w:id="2083943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589914">
      <w:bodyDiv w:val="1"/>
      <w:marLeft w:val="0"/>
      <w:marRight w:val="0"/>
      <w:marTop w:val="0"/>
      <w:marBottom w:val="0"/>
      <w:divBdr>
        <w:top w:val="none" w:sz="0" w:space="0" w:color="auto"/>
        <w:left w:val="none" w:sz="0" w:space="0" w:color="auto"/>
        <w:bottom w:val="none" w:sz="0" w:space="0" w:color="auto"/>
        <w:right w:val="none" w:sz="0" w:space="0" w:color="auto"/>
      </w:divBdr>
    </w:div>
    <w:div w:id="533150668">
      <w:bodyDiv w:val="1"/>
      <w:marLeft w:val="0"/>
      <w:marRight w:val="0"/>
      <w:marTop w:val="0"/>
      <w:marBottom w:val="0"/>
      <w:divBdr>
        <w:top w:val="none" w:sz="0" w:space="0" w:color="auto"/>
        <w:left w:val="none" w:sz="0" w:space="0" w:color="auto"/>
        <w:bottom w:val="none" w:sz="0" w:space="0" w:color="auto"/>
        <w:right w:val="none" w:sz="0" w:space="0" w:color="auto"/>
      </w:divBdr>
    </w:div>
    <w:div w:id="579607847">
      <w:bodyDiv w:val="1"/>
      <w:marLeft w:val="0"/>
      <w:marRight w:val="0"/>
      <w:marTop w:val="0"/>
      <w:marBottom w:val="0"/>
      <w:divBdr>
        <w:top w:val="none" w:sz="0" w:space="0" w:color="auto"/>
        <w:left w:val="none" w:sz="0" w:space="0" w:color="auto"/>
        <w:bottom w:val="none" w:sz="0" w:space="0" w:color="auto"/>
        <w:right w:val="none" w:sz="0" w:space="0" w:color="auto"/>
      </w:divBdr>
    </w:div>
    <w:div w:id="617643695">
      <w:bodyDiv w:val="1"/>
      <w:marLeft w:val="0"/>
      <w:marRight w:val="0"/>
      <w:marTop w:val="0"/>
      <w:marBottom w:val="0"/>
      <w:divBdr>
        <w:top w:val="none" w:sz="0" w:space="0" w:color="auto"/>
        <w:left w:val="none" w:sz="0" w:space="0" w:color="auto"/>
        <w:bottom w:val="none" w:sz="0" w:space="0" w:color="auto"/>
        <w:right w:val="none" w:sz="0" w:space="0" w:color="auto"/>
      </w:divBdr>
    </w:div>
    <w:div w:id="667249429">
      <w:bodyDiv w:val="1"/>
      <w:marLeft w:val="0"/>
      <w:marRight w:val="0"/>
      <w:marTop w:val="0"/>
      <w:marBottom w:val="0"/>
      <w:divBdr>
        <w:top w:val="none" w:sz="0" w:space="0" w:color="auto"/>
        <w:left w:val="none" w:sz="0" w:space="0" w:color="auto"/>
        <w:bottom w:val="none" w:sz="0" w:space="0" w:color="auto"/>
        <w:right w:val="none" w:sz="0" w:space="0" w:color="auto"/>
      </w:divBdr>
    </w:div>
    <w:div w:id="709187491">
      <w:bodyDiv w:val="1"/>
      <w:marLeft w:val="0"/>
      <w:marRight w:val="0"/>
      <w:marTop w:val="0"/>
      <w:marBottom w:val="0"/>
      <w:divBdr>
        <w:top w:val="none" w:sz="0" w:space="0" w:color="auto"/>
        <w:left w:val="none" w:sz="0" w:space="0" w:color="auto"/>
        <w:bottom w:val="none" w:sz="0" w:space="0" w:color="auto"/>
        <w:right w:val="none" w:sz="0" w:space="0" w:color="auto"/>
      </w:divBdr>
    </w:div>
    <w:div w:id="843282316">
      <w:bodyDiv w:val="1"/>
      <w:marLeft w:val="0"/>
      <w:marRight w:val="0"/>
      <w:marTop w:val="0"/>
      <w:marBottom w:val="0"/>
      <w:divBdr>
        <w:top w:val="none" w:sz="0" w:space="0" w:color="auto"/>
        <w:left w:val="none" w:sz="0" w:space="0" w:color="auto"/>
        <w:bottom w:val="none" w:sz="0" w:space="0" w:color="auto"/>
        <w:right w:val="none" w:sz="0" w:space="0" w:color="auto"/>
      </w:divBdr>
    </w:div>
    <w:div w:id="877008928">
      <w:bodyDiv w:val="1"/>
      <w:marLeft w:val="0"/>
      <w:marRight w:val="0"/>
      <w:marTop w:val="0"/>
      <w:marBottom w:val="0"/>
      <w:divBdr>
        <w:top w:val="none" w:sz="0" w:space="0" w:color="auto"/>
        <w:left w:val="none" w:sz="0" w:space="0" w:color="auto"/>
        <w:bottom w:val="none" w:sz="0" w:space="0" w:color="auto"/>
        <w:right w:val="none" w:sz="0" w:space="0" w:color="auto"/>
      </w:divBdr>
    </w:div>
    <w:div w:id="908807049">
      <w:bodyDiv w:val="1"/>
      <w:marLeft w:val="0"/>
      <w:marRight w:val="0"/>
      <w:marTop w:val="0"/>
      <w:marBottom w:val="0"/>
      <w:divBdr>
        <w:top w:val="none" w:sz="0" w:space="0" w:color="auto"/>
        <w:left w:val="none" w:sz="0" w:space="0" w:color="auto"/>
        <w:bottom w:val="none" w:sz="0" w:space="0" w:color="auto"/>
        <w:right w:val="none" w:sz="0" w:space="0" w:color="auto"/>
      </w:divBdr>
    </w:div>
    <w:div w:id="924845204">
      <w:bodyDiv w:val="1"/>
      <w:marLeft w:val="0"/>
      <w:marRight w:val="0"/>
      <w:marTop w:val="0"/>
      <w:marBottom w:val="0"/>
      <w:divBdr>
        <w:top w:val="none" w:sz="0" w:space="0" w:color="auto"/>
        <w:left w:val="none" w:sz="0" w:space="0" w:color="auto"/>
        <w:bottom w:val="none" w:sz="0" w:space="0" w:color="auto"/>
        <w:right w:val="none" w:sz="0" w:space="0" w:color="auto"/>
      </w:divBdr>
    </w:div>
    <w:div w:id="969826598">
      <w:bodyDiv w:val="1"/>
      <w:marLeft w:val="0"/>
      <w:marRight w:val="0"/>
      <w:marTop w:val="0"/>
      <w:marBottom w:val="0"/>
      <w:divBdr>
        <w:top w:val="none" w:sz="0" w:space="0" w:color="auto"/>
        <w:left w:val="none" w:sz="0" w:space="0" w:color="auto"/>
        <w:bottom w:val="none" w:sz="0" w:space="0" w:color="auto"/>
        <w:right w:val="none" w:sz="0" w:space="0" w:color="auto"/>
      </w:divBdr>
    </w:div>
    <w:div w:id="1025716454">
      <w:bodyDiv w:val="1"/>
      <w:marLeft w:val="0"/>
      <w:marRight w:val="0"/>
      <w:marTop w:val="0"/>
      <w:marBottom w:val="0"/>
      <w:divBdr>
        <w:top w:val="none" w:sz="0" w:space="0" w:color="auto"/>
        <w:left w:val="none" w:sz="0" w:space="0" w:color="auto"/>
        <w:bottom w:val="none" w:sz="0" w:space="0" w:color="auto"/>
        <w:right w:val="none" w:sz="0" w:space="0" w:color="auto"/>
      </w:divBdr>
    </w:div>
    <w:div w:id="1177312111">
      <w:bodyDiv w:val="1"/>
      <w:marLeft w:val="0"/>
      <w:marRight w:val="0"/>
      <w:marTop w:val="0"/>
      <w:marBottom w:val="0"/>
      <w:divBdr>
        <w:top w:val="none" w:sz="0" w:space="0" w:color="auto"/>
        <w:left w:val="none" w:sz="0" w:space="0" w:color="auto"/>
        <w:bottom w:val="none" w:sz="0" w:space="0" w:color="auto"/>
        <w:right w:val="none" w:sz="0" w:space="0" w:color="auto"/>
      </w:divBdr>
    </w:div>
    <w:div w:id="1201553972">
      <w:bodyDiv w:val="1"/>
      <w:marLeft w:val="0"/>
      <w:marRight w:val="0"/>
      <w:marTop w:val="0"/>
      <w:marBottom w:val="0"/>
      <w:divBdr>
        <w:top w:val="none" w:sz="0" w:space="0" w:color="auto"/>
        <w:left w:val="none" w:sz="0" w:space="0" w:color="auto"/>
        <w:bottom w:val="none" w:sz="0" w:space="0" w:color="auto"/>
        <w:right w:val="none" w:sz="0" w:space="0" w:color="auto"/>
      </w:divBdr>
    </w:div>
    <w:div w:id="1204710498">
      <w:bodyDiv w:val="1"/>
      <w:marLeft w:val="0"/>
      <w:marRight w:val="0"/>
      <w:marTop w:val="0"/>
      <w:marBottom w:val="0"/>
      <w:divBdr>
        <w:top w:val="none" w:sz="0" w:space="0" w:color="auto"/>
        <w:left w:val="none" w:sz="0" w:space="0" w:color="auto"/>
        <w:bottom w:val="none" w:sz="0" w:space="0" w:color="auto"/>
        <w:right w:val="none" w:sz="0" w:space="0" w:color="auto"/>
      </w:divBdr>
    </w:div>
    <w:div w:id="1222211440">
      <w:bodyDiv w:val="1"/>
      <w:marLeft w:val="0"/>
      <w:marRight w:val="0"/>
      <w:marTop w:val="0"/>
      <w:marBottom w:val="0"/>
      <w:divBdr>
        <w:top w:val="none" w:sz="0" w:space="0" w:color="auto"/>
        <w:left w:val="none" w:sz="0" w:space="0" w:color="auto"/>
        <w:bottom w:val="none" w:sz="0" w:space="0" w:color="auto"/>
        <w:right w:val="none" w:sz="0" w:space="0" w:color="auto"/>
      </w:divBdr>
    </w:div>
    <w:div w:id="1461876303">
      <w:bodyDiv w:val="1"/>
      <w:marLeft w:val="0"/>
      <w:marRight w:val="0"/>
      <w:marTop w:val="0"/>
      <w:marBottom w:val="0"/>
      <w:divBdr>
        <w:top w:val="none" w:sz="0" w:space="0" w:color="auto"/>
        <w:left w:val="none" w:sz="0" w:space="0" w:color="auto"/>
        <w:bottom w:val="none" w:sz="0" w:space="0" w:color="auto"/>
        <w:right w:val="none" w:sz="0" w:space="0" w:color="auto"/>
      </w:divBdr>
    </w:div>
    <w:div w:id="1502502829">
      <w:bodyDiv w:val="1"/>
      <w:marLeft w:val="0"/>
      <w:marRight w:val="0"/>
      <w:marTop w:val="0"/>
      <w:marBottom w:val="0"/>
      <w:divBdr>
        <w:top w:val="none" w:sz="0" w:space="0" w:color="auto"/>
        <w:left w:val="none" w:sz="0" w:space="0" w:color="auto"/>
        <w:bottom w:val="none" w:sz="0" w:space="0" w:color="auto"/>
        <w:right w:val="none" w:sz="0" w:space="0" w:color="auto"/>
      </w:divBdr>
    </w:div>
    <w:div w:id="1512140413">
      <w:bodyDiv w:val="1"/>
      <w:marLeft w:val="0"/>
      <w:marRight w:val="0"/>
      <w:marTop w:val="0"/>
      <w:marBottom w:val="0"/>
      <w:divBdr>
        <w:top w:val="none" w:sz="0" w:space="0" w:color="auto"/>
        <w:left w:val="none" w:sz="0" w:space="0" w:color="auto"/>
        <w:bottom w:val="none" w:sz="0" w:space="0" w:color="auto"/>
        <w:right w:val="none" w:sz="0" w:space="0" w:color="auto"/>
      </w:divBdr>
    </w:div>
    <w:div w:id="1512723228">
      <w:bodyDiv w:val="1"/>
      <w:marLeft w:val="0"/>
      <w:marRight w:val="0"/>
      <w:marTop w:val="0"/>
      <w:marBottom w:val="0"/>
      <w:divBdr>
        <w:top w:val="none" w:sz="0" w:space="0" w:color="auto"/>
        <w:left w:val="none" w:sz="0" w:space="0" w:color="auto"/>
        <w:bottom w:val="none" w:sz="0" w:space="0" w:color="auto"/>
        <w:right w:val="none" w:sz="0" w:space="0" w:color="auto"/>
      </w:divBdr>
    </w:div>
    <w:div w:id="1530800228">
      <w:bodyDiv w:val="1"/>
      <w:marLeft w:val="0"/>
      <w:marRight w:val="0"/>
      <w:marTop w:val="0"/>
      <w:marBottom w:val="0"/>
      <w:divBdr>
        <w:top w:val="none" w:sz="0" w:space="0" w:color="auto"/>
        <w:left w:val="none" w:sz="0" w:space="0" w:color="auto"/>
        <w:bottom w:val="none" w:sz="0" w:space="0" w:color="auto"/>
        <w:right w:val="none" w:sz="0" w:space="0" w:color="auto"/>
      </w:divBdr>
    </w:div>
    <w:div w:id="1593659557">
      <w:bodyDiv w:val="1"/>
      <w:marLeft w:val="0"/>
      <w:marRight w:val="0"/>
      <w:marTop w:val="0"/>
      <w:marBottom w:val="0"/>
      <w:divBdr>
        <w:top w:val="none" w:sz="0" w:space="0" w:color="auto"/>
        <w:left w:val="none" w:sz="0" w:space="0" w:color="auto"/>
        <w:bottom w:val="none" w:sz="0" w:space="0" w:color="auto"/>
        <w:right w:val="none" w:sz="0" w:space="0" w:color="auto"/>
      </w:divBdr>
    </w:div>
    <w:div w:id="1700083757">
      <w:bodyDiv w:val="1"/>
      <w:marLeft w:val="0"/>
      <w:marRight w:val="0"/>
      <w:marTop w:val="0"/>
      <w:marBottom w:val="0"/>
      <w:divBdr>
        <w:top w:val="none" w:sz="0" w:space="0" w:color="auto"/>
        <w:left w:val="none" w:sz="0" w:space="0" w:color="auto"/>
        <w:bottom w:val="none" w:sz="0" w:space="0" w:color="auto"/>
        <w:right w:val="none" w:sz="0" w:space="0" w:color="auto"/>
      </w:divBdr>
    </w:div>
    <w:div w:id="1739279288">
      <w:bodyDiv w:val="1"/>
      <w:marLeft w:val="0"/>
      <w:marRight w:val="0"/>
      <w:marTop w:val="0"/>
      <w:marBottom w:val="0"/>
      <w:divBdr>
        <w:top w:val="none" w:sz="0" w:space="0" w:color="auto"/>
        <w:left w:val="none" w:sz="0" w:space="0" w:color="auto"/>
        <w:bottom w:val="none" w:sz="0" w:space="0" w:color="auto"/>
        <w:right w:val="none" w:sz="0" w:space="0" w:color="auto"/>
      </w:divBdr>
    </w:div>
    <w:div w:id="1746144326">
      <w:bodyDiv w:val="1"/>
      <w:marLeft w:val="0"/>
      <w:marRight w:val="0"/>
      <w:marTop w:val="0"/>
      <w:marBottom w:val="0"/>
      <w:divBdr>
        <w:top w:val="none" w:sz="0" w:space="0" w:color="auto"/>
        <w:left w:val="none" w:sz="0" w:space="0" w:color="auto"/>
        <w:bottom w:val="none" w:sz="0" w:space="0" w:color="auto"/>
        <w:right w:val="none" w:sz="0" w:space="0" w:color="auto"/>
      </w:divBdr>
    </w:div>
    <w:div w:id="1770202463">
      <w:bodyDiv w:val="1"/>
      <w:marLeft w:val="0"/>
      <w:marRight w:val="0"/>
      <w:marTop w:val="0"/>
      <w:marBottom w:val="0"/>
      <w:divBdr>
        <w:top w:val="none" w:sz="0" w:space="0" w:color="auto"/>
        <w:left w:val="none" w:sz="0" w:space="0" w:color="auto"/>
        <w:bottom w:val="none" w:sz="0" w:space="0" w:color="auto"/>
        <w:right w:val="none" w:sz="0" w:space="0" w:color="auto"/>
      </w:divBdr>
    </w:div>
    <w:div w:id="1806385759">
      <w:bodyDiv w:val="1"/>
      <w:marLeft w:val="0"/>
      <w:marRight w:val="0"/>
      <w:marTop w:val="0"/>
      <w:marBottom w:val="0"/>
      <w:divBdr>
        <w:top w:val="none" w:sz="0" w:space="0" w:color="auto"/>
        <w:left w:val="none" w:sz="0" w:space="0" w:color="auto"/>
        <w:bottom w:val="none" w:sz="0" w:space="0" w:color="auto"/>
        <w:right w:val="none" w:sz="0" w:space="0" w:color="auto"/>
      </w:divBdr>
    </w:div>
    <w:div w:id="1869102122">
      <w:bodyDiv w:val="1"/>
      <w:marLeft w:val="0"/>
      <w:marRight w:val="0"/>
      <w:marTop w:val="0"/>
      <w:marBottom w:val="0"/>
      <w:divBdr>
        <w:top w:val="none" w:sz="0" w:space="0" w:color="auto"/>
        <w:left w:val="none" w:sz="0" w:space="0" w:color="auto"/>
        <w:bottom w:val="none" w:sz="0" w:space="0" w:color="auto"/>
        <w:right w:val="none" w:sz="0" w:space="0" w:color="auto"/>
      </w:divBdr>
    </w:div>
    <w:div w:id="1938714442">
      <w:bodyDiv w:val="1"/>
      <w:marLeft w:val="0"/>
      <w:marRight w:val="0"/>
      <w:marTop w:val="0"/>
      <w:marBottom w:val="0"/>
      <w:divBdr>
        <w:top w:val="none" w:sz="0" w:space="0" w:color="auto"/>
        <w:left w:val="none" w:sz="0" w:space="0" w:color="auto"/>
        <w:bottom w:val="none" w:sz="0" w:space="0" w:color="auto"/>
        <w:right w:val="none" w:sz="0" w:space="0" w:color="auto"/>
      </w:divBdr>
    </w:div>
    <w:div w:id="1939410934">
      <w:bodyDiv w:val="1"/>
      <w:marLeft w:val="0"/>
      <w:marRight w:val="0"/>
      <w:marTop w:val="0"/>
      <w:marBottom w:val="0"/>
      <w:divBdr>
        <w:top w:val="none" w:sz="0" w:space="0" w:color="auto"/>
        <w:left w:val="none" w:sz="0" w:space="0" w:color="auto"/>
        <w:bottom w:val="none" w:sz="0" w:space="0" w:color="auto"/>
        <w:right w:val="none" w:sz="0" w:space="0" w:color="auto"/>
      </w:divBdr>
    </w:div>
    <w:div w:id="1952127454">
      <w:bodyDiv w:val="1"/>
      <w:marLeft w:val="0"/>
      <w:marRight w:val="0"/>
      <w:marTop w:val="0"/>
      <w:marBottom w:val="0"/>
      <w:divBdr>
        <w:top w:val="none" w:sz="0" w:space="0" w:color="auto"/>
        <w:left w:val="none" w:sz="0" w:space="0" w:color="auto"/>
        <w:bottom w:val="none" w:sz="0" w:space="0" w:color="auto"/>
        <w:right w:val="none" w:sz="0" w:space="0" w:color="auto"/>
      </w:divBdr>
    </w:div>
    <w:div w:id="1960992843">
      <w:bodyDiv w:val="1"/>
      <w:marLeft w:val="0"/>
      <w:marRight w:val="0"/>
      <w:marTop w:val="0"/>
      <w:marBottom w:val="0"/>
      <w:divBdr>
        <w:top w:val="none" w:sz="0" w:space="0" w:color="auto"/>
        <w:left w:val="none" w:sz="0" w:space="0" w:color="auto"/>
        <w:bottom w:val="none" w:sz="0" w:space="0" w:color="auto"/>
        <w:right w:val="none" w:sz="0" w:space="0" w:color="auto"/>
      </w:divBdr>
    </w:div>
    <w:div w:id="2070571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3377</ap:Words>
  <ap:Characters>18576</ap:Characters>
  <ap:DocSecurity>0</ap:DocSecurity>
  <ap:Lines>154</ap:Lines>
  <ap:Paragraphs>43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21910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2025-02-21T15:14:00.0000000Z</dcterms:created>
  <dcterms:modified xsi:type="dcterms:W3CDTF">2025-02-21T15:14:00.0000000Z</dcterms:modified>
  <version/>
  <category/>
</coreProperties>
</file>