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2025Z03481</w:t>
        <w:br/>
      </w:r>
      <w:proofErr w:type="spellEnd"/>
    </w:p>
    <w:p>
      <w:pPr>
        <w:pStyle w:val="Normal"/>
        <w:rPr>
          <w:b w:val="1"/>
          <w:bCs w:val="1"/>
        </w:rPr>
      </w:pPr>
      <w:r w:rsidR="250AE766">
        <w:rPr>
          <w:b w:val="0"/>
          <w:bCs w:val="0"/>
        </w:rPr>
        <w:t>(ingezonden 24 februari 2025)</w:t>
        <w:br/>
      </w:r>
    </w:p>
    <w:p>
      <w:r>
        <w:t xml:space="preserve">Vragen van het lid Pierik (BBB) aan de minister van Binnenlandse Zaken en Koninkrijksrelaties over uitzonderingsgronden op basis van het Verdrag van Aarhus</w:t>
      </w:r>
      <w:r>
        <w:br/>
      </w:r>
    </w:p>
    <w:p>
      <w:r>
        <w:t xml:space="preserve"> </w:t>
      </w:r>
      <w:r>
        <w:br/>
      </w:r>
    </w:p>
    <w:p>
      <w:pPr>
        <w:pStyle w:val="ListParagraph"/>
        <w:numPr>
          <w:ilvl w:val="0"/>
          <w:numId w:val="100469600"/>
        </w:numPr>
        <w:ind w:left="360"/>
      </w:pPr>
      <w:r>
        <w:t>Kunt u aangeven welke uitzonderingsgronden op basis van het Verdrag van Aarhus kunnen worden toegepast?</w:t>
      </w:r>
      <w:r>
        <w:br/>
      </w:r>
    </w:p>
    <w:p>
      <w:pPr>
        <w:pStyle w:val="ListParagraph"/>
        <w:numPr>
          <w:ilvl w:val="0"/>
          <w:numId w:val="100469600"/>
        </w:numPr>
        <w:ind w:left="360"/>
      </w:pPr>
      <w:r>
        <w:t>Kunt u aangeven welke uitzonderingsgronden op basis van Richtlijn 2003/4/EG kunnen worden toegepast?</w:t>
      </w:r>
      <w:r>
        <w:br/>
      </w:r>
    </w:p>
    <w:p>
      <w:pPr>
        <w:pStyle w:val="ListParagraph"/>
        <w:numPr>
          <w:ilvl w:val="0"/>
          <w:numId w:val="100469600"/>
        </w:numPr>
        <w:ind w:left="360"/>
      </w:pPr>
      <w:r>
        <w:t>Kunt u aangeven hoe de Algemene verordening gegevensbescherming (AVG) zich verhoudt tot de verplichtingen van Richtlijn 2003/4/EG en meer specifiek tot de passage “In dit verband en met het oog op de toepassing van punt f) zorgen de lidstaten ervoor dat Richtlijn 95/46/EG van het Europees Parlement en de Raad van 24 oktober 1995 betreffende de bescherming van natuurlijke personen in verband met de verwerking van persoonsgegevens en betreffende het vrije verkeer van die gegevens wordt nageleefd.” in Richtlijn 2003/4/EG?</w:t>
      </w:r>
      <w:r>
        <w:br/>
      </w:r>
    </w:p>
    <w:p>
      <w:pPr>
        <w:pStyle w:val="ListParagraph"/>
        <w:numPr>
          <w:ilvl w:val="0"/>
          <w:numId w:val="100469600"/>
        </w:numPr>
        <w:ind w:left="360"/>
      </w:pPr>
      <w:r>
        <w:t>Kunt u aangeven wanneer de uitzonderinggronden die op basis van de Wet open overheid (Woo) toegepast kunnen worden bij verzoeken over 1) milieu-informatie en 2) informatie over emissies in het milieu verschillen van uitzonderingsgronden die zijn opgenomen in het Verdrag van Aarhus en Richtlijn 2003/4/EG?</w:t>
      </w:r>
      <w:r>
        <w:br/>
      </w:r>
    </w:p>
    <w:p>
      <w:pPr>
        <w:pStyle w:val="ListParagraph"/>
        <w:numPr>
          <w:ilvl w:val="0"/>
          <w:numId w:val="100469600"/>
        </w:numPr>
        <w:ind w:left="360"/>
      </w:pPr>
      <w:r>
        <w:t>Kunt u aangeven of het Hof van Justitie van de Europese Unie (EU) uitspraken heeft gedaan waarin het Hof heeft bepaald dat dieraantallen gegevens zijn over informatie over emissies in het milieu?</w:t>
      </w:r>
      <w:r>
        <w:br/>
      </w:r>
    </w:p>
    <w:p>
      <w:pPr>
        <w:pStyle w:val="ListParagraph"/>
        <w:numPr>
          <w:ilvl w:val="0"/>
          <w:numId w:val="100469600"/>
        </w:numPr>
        <w:ind w:left="360"/>
      </w:pPr>
      <w:r>
        <w:t>Klopt het dat, wanneer een document milieu-informatie bevat, dan per zin bekeken dient te worden of die passage milieu-informatie omvat en dat de aanwezigheid van milieu-informatie in een document niet betekent dat dat document in het geheel openbaar gemaakt moet worden en dat er in dat document in het geheel geen (persoons)gegevens gelakt kunnen worden, wanneer die (persoons)gegevens zelf geen milieu-informatie zijn?</w:t>
      </w:r>
      <w:r>
        <w:br/>
      </w:r>
    </w:p>
    <w:p>
      <w:pPr>
        <w:pStyle w:val="ListParagraph"/>
        <w:numPr>
          <w:ilvl w:val="0"/>
          <w:numId w:val="100469600"/>
        </w:numPr>
        <w:ind w:left="360"/>
      </w:pPr>
      <w:r>
        <w:t>Onderkent u dat de rechtbank Den Haag in zijn uitspraak van 19 september 2024 heeft bepaald dat bepalingen in de Woo op basis van een Unierechtconforme interpretatie mogelijk buiten toepassing gelaten moeten worden? 1)</w:t>
      </w:r>
      <w:r>
        <w:br/>
      </w:r>
    </w:p>
    <w:p>
      <w:pPr>
        <w:pStyle w:val="ListParagraph"/>
        <w:numPr>
          <w:ilvl w:val="0"/>
          <w:numId w:val="100469600"/>
        </w:numPr>
        <w:ind w:left="360"/>
      </w:pPr>
      <w:r>
        <w:t>Kunt u een overzicht aanleveren van alle bepalingen in Europese wetgeving die openbaarmaking beperken (zoals de AVG of artikel 43 van de Dierproevenrichtlijn) en welke van deze bepalingen een strijdigheid met de Woo op kunnen leveren?</w:t>
      </w:r>
      <w:r>
        <w:br/>
      </w:r>
    </w:p>
    <w:p>
      <w:pPr>
        <w:pStyle w:val="ListParagraph"/>
        <w:numPr>
          <w:ilvl w:val="0"/>
          <w:numId w:val="100469600"/>
        </w:numPr>
        <w:ind w:left="360"/>
      </w:pPr>
      <w:r>
        <w:t>Kunt u een overzicht aanleveren van alle bepalingen in nationale regelgeving die een bijzonder openbaarmakingsregime bevatten, zoals bijvoorbeeld artikel 7 van Instellingswet Autoriteit Consument en Markt of artikel 7.2 van de Wet luchtvaart)?</w:t>
      </w:r>
      <w:r>
        <w:br/>
      </w:r>
    </w:p>
    <w:p>
      <w:pPr>
        <w:pStyle w:val="ListParagraph"/>
        <w:numPr>
          <w:ilvl w:val="0"/>
          <w:numId w:val="100469600"/>
        </w:numPr>
        <w:ind w:left="360"/>
      </w:pPr>
      <w:r>
        <w:t>Klopt het dat Nederland een zeer ruim openbaarmakingsregime kent in vergelijking met andere Europese landen zoals Duitsland of Oostenrijk?</w:t>
      </w:r>
      <w:r>
        <w:br/>
      </w:r>
    </w:p>
    <w:p>
      <w:pPr>
        <w:pStyle w:val="ListParagraph"/>
        <w:numPr>
          <w:ilvl w:val="0"/>
          <w:numId w:val="100469600"/>
        </w:numPr>
        <w:ind w:left="360"/>
      </w:pPr>
      <w:r>
        <w:t>Klopt het - zoals de Autoriteit Persoonsgegevens aangeeft - dat gegevens van personenvennootschappen vaak te kwalificeren zijn als persoonsgegevens en daarmee onder de bescherming van de AVG vallen?</w:t>
      </w:r>
      <w:r>
        <w:br/>
      </w:r>
    </w:p>
    <w:p>
      <w:pPr>
        <w:pStyle w:val="ListParagraph"/>
        <w:numPr>
          <w:ilvl w:val="0"/>
          <w:numId w:val="100469600"/>
        </w:numPr>
        <w:ind w:left="360"/>
      </w:pPr>
      <w:r>
        <w:t>Hoe moet artikel 5.1, eerste lid, aanhef en onderdeel d, van de Woo, worden uitgelegd in relatie tot overtredingen? Deelt u de opvatting van het Hof van Justitie van de EU dat ook overtredingen die enkel bestuursrechtelijk te sanctioneren zijn hieronder kunnen vallen? 2) Vallen volgens u alle overtredingen hieronder die, op basis van de Unierechtelijke uitleg, een “criminal charge” kunnen opleveren, ongeacht of deze naar Nederlands recht ook een strafrechtelijke overtreding of misdrijf opleveren?</w:t>
      </w:r>
      <w:r>
        <w:br/>
      </w:r>
    </w:p>
    <w:p>
      <w:pPr>
        <w:pStyle w:val="ListParagraph"/>
        <w:numPr>
          <w:ilvl w:val="0"/>
          <w:numId w:val="100469600"/>
        </w:numPr>
        <w:ind w:left="360"/>
      </w:pPr>
      <w:r>
        <w:t>Klopt het dat alle overtredingen van de Wet dieren hieronder vallen, omdat alle overtredingen ook als een strafrechtelijke overtreding of misdrijf kwalificeren op grond van de Wet op de economische delicten of de Wet dieren?</w:t>
      </w:r>
      <w:r>
        <w:br/>
      </w:r>
    </w:p>
    <w:p>
      <w:pPr>
        <w:pStyle w:val="ListParagraph"/>
        <w:numPr>
          <w:ilvl w:val="0"/>
          <w:numId w:val="100469600"/>
        </w:numPr>
        <w:ind w:left="360"/>
      </w:pPr>
      <w:r>
        <w:t>Klopt het dat de Nederlandse Voedsel- en Warenautoriteit (NVWA) ten onrechte gegevens over overtredingen van de Wet dieren niet geweigerd heeft op grond van artikel 5.1, eerste lid, aanhef en onderdeel d, van de Woo?</w:t>
      </w:r>
      <w:r>
        <w:br/>
      </w:r>
    </w:p>
    <w:p>
      <w:pPr>
        <w:pStyle w:val="ListParagraph"/>
        <w:numPr>
          <w:ilvl w:val="0"/>
          <w:numId w:val="100469600"/>
        </w:numPr>
        <w:ind w:left="360"/>
      </w:pPr>
      <w:r>
        <w:t>Klopt het dat de NVWA het beleid hanteert dat derde belanghebbenden, over wie informatie openbaar wordt gemaakt middels een Woo-besluit, niet ontvankelijk zijn in een bezwaar tegen een Woo-besluit, wanneer er geen voorlopige voorziening is ingediend? Zo ja, hoe verhoudt dit beleid zich tot de uitspraak van de Raad van State van 18 januari 2023? 3)</w:t>
      </w:r>
      <w:r>
        <w:br/>
      </w:r>
    </w:p>
    <w:p>
      <w:pPr>
        <w:pStyle w:val="ListParagraph"/>
        <w:numPr>
          <w:ilvl w:val="0"/>
          <w:numId w:val="100469600"/>
        </w:numPr>
        <w:ind w:left="360"/>
      </w:pPr>
      <w:r>
        <w:t>Kunt u deze vragen beantwoorden voor de technische briefing door ambtenaren van het ministerie van Binnenlandse Zaken en Koninkrijksrelaties over de uitvoering van de Wet open overheid, die gepland staat op 12 maart 2025?</w:t>
      </w:r>
      <w:r>
        <w:br/>
      </w:r>
    </w:p>
    <w:p>
      <w:r>
        <w:t xml:space="preserve"> </w:t>
      </w:r>
      <w:r>
        <w:br/>
      </w:r>
    </w:p>
    <w:p>
      <w:r>
        <w:t xml:space="preserve">1) Rechtbank Den Haag, 19 september 2024, ECLI:NL:RBDHA:2024:14897.</w:t>
      </w:r>
      <w:r>
        <w:br/>
      </w:r>
    </w:p>
    <w:p>
      <w:r>
        <w:t xml:space="preserve">2) Hof van Justitie van de Europese Unie, 22 juni 2021, ECLI:EU:C:2021:504, C-439/19.</w:t>
      </w:r>
      <w:r>
        <w:br/>
      </w:r>
    </w:p>
    <w:p>
      <w:r>
        <w:t xml:space="preserve">3) Afdeling Bestuursrechtspraak Raad van State, 18 januari 2023, ECLI:NL:RVS:2023:152.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