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2025Z03485</w:t>
        <w:br/>
      </w:r>
      <w:proofErr w:type="spellEnd"/>
    </w:p>
    <w:p>
      <w:pPr>
        <w:pStyle w:val="Normal"/>
        <w:rPr>
          <w:b w:val="1"/>
          <w:bCs w:val="1"/>
        </w:rPr>
      </w:pPr>
      <w:r w:rsidR="250AE766">
        <w:rPr>
          <w:b w:val="0"/>
          <w:bCs w:val="0"/>
        </w:rPr>
        <w:t>(ingezonden 24 februari 2025)</w:t>
        <w:br/>
      </w:r>
    </w:p>
    <w:p>
      <w:r>
        <w:t xml:space="preserve">Vragen van het lid Bruyning (Nieuw Sociaal Contract) aan de staatssecretarissen van Justitie en Veiligheid en van Volksgezondheid, Welzijn en Sport over de Kamerbrief “Kabinetsreactie Inspectierapport incident pleegmeisje Vlaardingen van 30 januari 2025”.</w:t>
      </w:r>
      <w:r>
        <w:br/>
      </w:r>
    </w:p>
    <w:p>
      <w:r>
        <w:t xml:space="preserve"> </w:t>
      </w:r>
      <w:r>
        <w:br/>
      </w:r>
    </w:p>
    <w:p>
      <w:r>
        <w:t xml:space="preserve">1</w:t>
      </w:r>
      <w:r>
        <w:br/>
      </w:r>
    </w:p>
    <w:p>
      <w:r>
        <w:t xml:space="preserve">Bent u van mening dat het voorval in Vlaardingen, zoals we kunnen constateren in de kabinetsreactie over het Inspectierapport incident pleegmeisje Vlaardingen van 30 januari 2025, een incident is? 1)</w:t>
      </w:r>
      <w:r>
        <w:br/>
      </w:r>
    </w:p>
    <w:p>
      <w:r>
        <w:t xml:space="preserve"> </w:t>
      </w:r>
      <w:r>
        <w:br/>
      </w:r>
    </w:p>
    <w:p>
      <w:r>
        <w:t xml:space="preserve">2</w:t>
      </w:r>
      <w:r>
        <w:br/>
      </w:r>
    </w:p>
    <w:p>
      <w:r>
        <w:t xml:space="preserve">Heeft u kennisgenomen van de eerdere “incidenten” zoals Savannah, Famke, Sharleyne, Ruben &amp; Julian? En kunt u vaststellen of er overlap is in hetgeen door de inspecties in deze gevallen geconstateerd is en in hoeverre de aanbevelingen overeenkomen? Zo ja, wat zijn de overeenkomsten?</w:t>
      </w:r>
      <w:r>
        <w:br/>
      </w:r>
    </w:p>
    <w:p>
      <w:r>
        <w:t xml:space="preserve"> </w:t>
      </w:r>
      <w:r>
        <w:br/>
      </w:r>
    </w:p>
    <w:p>
      <w:r>
        <w:t xml:space="preserve">3</w:t>
      </w:r>
      <w:r>
        <w:br/>
      </w:r>
    </w:p>
    <w:p>
      <w:r>
        <w:t xml:space="preserve">Kunt u toelichten hoe de screening die de William Schrikker Stichting Jeugdbescherming en Jeugdreclassering</w:t>
      </w:r>
      <w:r>
        <w:rPr>
          <w:i w:val="1"/>
          <w:iCs w:val="1"/>
        </w:rPr>
        <w:t xml:space="preserve"> (</w:t>
      </w:r>
      <w:r>
        <w:rPr/>
        <w:t xml:space="preserve">WSS) heeft gedaan op alle 3300 dossiers waar sprake is van plaatsing in een pleeggezin of gezinshuis heeft plaatsgevonden? 2) Wilt u de methode van deze screening met de Kamer delen? En op basis van welke criteria trekken, de WSS en daarmee ook u, de conclusie dat er geen aanwijzingen naar voren gekomen zijn dat het zicht op de veiligheid van de kinderen in het geding is?</w:t>
      </w:r>
      <w:r>
        <w:br/>
      </w:r>
    </w:p>
    <w:p>
      <w:r>
        <w:t xml:space="preserve"> </w:t>
      </w:r>
      <w:r>
        <w:br/>
      </w:r>
    </w:p>
    <w:p>
      <w:r>
        <w:t xml:space="preserve">4</w:t>
      </w:r>
      <w:r>
        <w:br/>
      </w:r>
    </w:p>
    <w:p>
      <w:r>
        <w:t xml:space="preserve">Kunnen ouders en kinderen erop vertrouwen dat er met de jongeren die nu bij de WSS onder toezicht staan geen vergelijkbare ‘incidenten’ kunnen gebeuren?</w:t>
      </w:r>
      <w:r>
        <w:br/>
      </w:r>
    </w:p>
    <w:p>
      <w:r>
        <w:t xml:space="preserve"> </w:t>
      </w:r>
      <w:r>
        <w:br/>
      </w:r>
    </w:p>
    <w:p>
      <w:r>
        <w:t xml:space="preserve">5</w:t>
      </w:r>
      <w:r>
        <w:br/>
      </w:r>
    </w:p>
    <w:p>
      <w:r>
        <w:t xml:space="preserve">Heeft u ook andere gecertificeerde instellingen de opdracht gegeven om een toets te doen of de kinderen veilig zijn? Zo nee, waarom niet?</w:t>
      </w:r>
      <w:r>
        <w:br/>
      </w:r>
    </w:p>
    <w:p>
      <w:r>
        <w:t xml:space="preserve"> </w:t>
      </w:r>
      <w:r>
        <w:br/>
      </w:r>
    </w:p>
    <w:p>
      <w:r>
        <w:t xml:space="preserve">6</w:t>
      </w:r>
      <w:r>
        <w:br/>
      </w:r>
    </w:p>
    <w:p>
      <w:r>
        <w:t xml:space="preserve">Bent u bekend met het artikel in het Dagblad van het Noorden van Erik Bloem en Bas van Sluis 24 januari 2025 met als titel 'Kinderen in Drenthe en Groningen krijgen te laat jeugdbeschermer over de vloer'? 3) Zo nee, kunt u dit artikel lezen?</w:t>
      </w:r>
      <w:r>
        <w:br/>
      </w:r>
    </w:p>
    <w:p>
      <w:r>
        <w:t xml:space="preserve"> </w:t>
      </w:r>
      <w:r>
        <w:br/>
      </w:r>
    </w:p>
    <w:p>
      <w:r>
        <w:t xml:space="preserve">7</w:t>
      </w:r>
      <w:r>
        <w:br/>
      </w:r>
    </w:p>
    <w:p>
      <w:r>
        <w:t xml:space="preserve">Kunt u aangeven hoe Gecertificeerde Instellingen (GI’s) zicht kunnen hebben op de veiligheid van jongeren als ze te maken hebben met structurele personeelstekorten en er nog altijd veel jongeren geen (vaste) jeugdbeschermer hebben en er dus ook geen toezicht is?</w:t>
      </w:r>
      <w:r>
        <w:br/>
      </w:r>
    </w:p>
    <w:p>
      <w:r>
        <w:t xml:space="preserve"> </w:t>
      </w:r>
      <w:r>
        <w:br/>
      </w:r>
    </w:p>
    <w:p>
      <w:r>
        <w:t xml:space="preserve">8</w:t>
      </w:r>
      <w:r>
        <w:br/>
      </w:r>
    </w:p>
    <w:p>
      <w:r>
        <w:t xml:space="preserve">Kunt u aangeven welke stappen er gezet zijn naar aanleiding van het artikel in het Dagblad van het Noorden van Erik Bloem? Indien er nog geen stappen gezet zijn, welke stappen bent u voornemens te gaan zetten?</w:t>
      </w:r>
      <w:r>
        <w:br/>
      </w:r>
    </w:p>
    <w:p>
      <w:r>
        <w:t xml:space="preserve"> </w:t>
      </w:r>
      <w:r>
        <w:br/>
      </w:r>
    </w:p>
    <w:p>
      <w:r>
        <w:t xml:space="preserve">9</w:t>
      </w:r>
      <w:r>
        <w:br/>
      </w:r>
    </w:p>
    <w:p>
      <w:r>
        <w:t xml:space="preserve">Heeft u kennisgenomen van de bijdrage van jeugdrecht advocaat Mieke Krol op Linkedin 4) van 18 februari 2025 waarin zij het volgende citeert uit een beschikking “Het hof is bovendien van oordeel dat de crisisplek waar (de minderjarige) nu verblijft evenmin in zijn belang is. Deze schrijnende situatie dient zo snel mogelijk te worden doorbroken. Hoewel het hof weet dat zich in de jeugdzorg door geldgebrek en onmacht om over de gemeentegrenzen te kijken schrijnende situaties voordoen, is het pijnlijk om te zien hoezeer een jong kind als (de minderjarige) daarvan de gevolgen draagt. Het hof kan in deze situatie de machtiging uithuisplaatsing slechts bevestigen, terwijl het ziet dat (de minderjarige) al jarenlang de dupe is door het tekortschieten van de overheid.”? Zo nee, kunt u deze bijdrage alsnog lezen?</w:t>
      </w:r>
      <w:r>
        <w:br/>
      </w:r>
    </w:p>
    <w:p>
      <w:r>
        <w:t xml:space="preserve"> </w:t>
      </w:r>
      <w:r>
        <w:br/>
      </w:r>
    </w:p>
    <w:p>
      <w:r>
        <w:t xml:space="preserve">10</w:t>
      </w:r>
      <w:r>
        <w:br/>
      </w:r>
    </w:p>
    <w:p>
      <w:r>
        <w:t xml:space="preserve">Heeft u kennisgenomen van de opinie van columnist Krijn ten Hove op Linkedin 5) waarin hij zijn visie geeft op de kamerbrief? 6) Zo nee, kunt u alsnog deze post lezen? En deelt u zijn mening?</w:t>
      </w:r>
      <w:r>
        <w:br/>
      </w:r>
    </w:p>
    <w:p>
      <w:r>
        <w:t xml:space="preserve"> </w:t>
      </w:r>
      <w:r>
        <w:br/>
      </w:r>
    </w:p>
    <w:p>
      <w:r>
        <w:t xml:space="preserve">11</w:t>
      </w:r>
      <w:r>
        <w:br/>
      </w:r>
    </w:p>
    <w:p>
      <w:r>
        <w:t xml:space="preserve">Bent u bekend met de uitspraak van de rechtbank Noord Nederland onder nummer ECLI:NL:RBNNE:2025:360 7), waarin de rechter vaststelt dat er ernstige tekortkomingen zijn in de wijze en mate waarin de GI en de Raad met de vereiste zorgvuldigheid onderzoek hebben gedaan en maatregelen hebben verzocht, en dat die tekortkomingen van zowel procedurele als inhoudelijke aard zijn?  Zo nee, kunt u deze uitspraak alsnog lezen?</w:t>
      </w:r>
      <w:r>
        <w:br/>
      </w:r>
    </w:p>
    <w:p>
      <w:r>
        <w:t xml:space="preserve"> </w:t>
      </w:r>
      <w:r>
        <w:br/>
      </w:r>
    </w:p>
    <w:p>
      <w:r>
        <w:t xml:space="preserve">12</w:t>
      </w:r>
      <w:r>
        <w:br/>
      </w:r>
    </w:p>
    <w:p>
      <w:r>
        <w:t xml:space="preserve">Bent u bekend met de uitspraak van rechtbank Gelderland onder nummer ECLI:NL:RBGEL:2024:9690 8), waarin de rechter vaststelt dat de GI handelingen heeft gedaan die tegen de wet ingaan en dat de GI stelt dat dit in samenwerking met de moeder is gedaan, maar de moeder zich onder druk gezet voelde? Zo nee, kunt u deze uitspraak alsnog lezen?</w:t>
      </w:r>
      <w:r>
        <w:br/>
      </w:r>
    </w:p>
    <w:p>
      <w:r>
        <w:t xml:space="preserve"> </w:t>
      </w:r>
      <w:r>
        <w:br/>
      </w:r>
    </w:p>
    <w:p>
      <w:r>
        <w:t xml:space="preserve">13</w:t>
      </w:r>
      <w:r>
        <w:br/>
      </w:r>
    </w:p>
    <w:p>
      <w:r>
        <w:t xml:space="preserve">Bent u bekend met de uitspraak van het gerechtshof Arnhem-Leeuwarden onder nummer ECLI:NL:GHARL:2024:5659 9) waarin de rechters vaststellen dat [de minderjarige] sinds 22 februari 2024 uit huis is geplaatst en het op 5 september 2024 nog altijd niet goed met haar gaat? Zo nee, kunt u deze uitspraak alsnog lezen?</w:t>
      </w:r>
      <w:r>
        <w:br/>
      </w:r>
    </w:p>
    <w:p>
      <w:r>
        <w:t xml:space="preserve"> </w:t>
      </w:r>
      <w:r>
        <w:br/>
      </w:r>
    </w:p>
    <w:p>
      <w:r>
        <w:t xml:space="preserve">14</w:t>
      </w:r>
      <w:r>
        <w:br/>
      </w:r>
    </w:p>
    <w:p>
      <w:r>
        <w:t xml:space="preserve">Bent u bekend met de uitspraak van het gerechtshof Den Haag onder nummer ECLI:NL:GHDHA:2024:2272 10) waarin de rechters stellen dat de opgelegde hulp vanuit de gecertificeerde instelling is tot op heden onvoldoende van de grond gekomen, omdat er - 7 maanden na de start van de ondertoezichtstelling - nog geen vaste jeugdbeschermer is? Zo nee, kunt u deze uitspraak alsnog lezen?</w:t>
      </w:r>
      <w:r>
        <w:br/>
      </w:r>
    </w:p>
    <w:p>
      <w:r>
        <w:t xml:space="preserve"> </w:t>
      </w:r>
      <w:r>
        <w:br/>
      </w:r>
    </w:p>
    <w:p>
      <w:r>
        <w:t xml:space="preserve">15</w:t>
      </w:r>
      <w:r>
        <w:br/>
      </w:r>
    </w:p>
    <w:p>
      <w:r>
        <w:t xml:space="preserve">Hoe duidt u deze uitspraken, die slechts een beperkte samenvatting zijn van hetgeen rechters dagelijks voor zich krijgen in hun zittingszalen, waarin keer op keer rechters hun zorgen uitspreken over de veiligheid van minderjarigen in de jeugdbescherming?</w:t>
      </w:r>
      <w:r>
        <w:br/>
      </w:r>
    </w:p>
    <w:p>
      <w:r>
        <w:t xml:space="preserve"> </w:t>
      </w:r>
      <w:r>
        <w:br/>
      </w:r>
    </w:p>
    <w:p>
      <w:r>
        <w:t xml:space="preserve">16</w:t>
      </w:r>
      <w:r>
        <w:br/>
      </w:r>
    </w:p>
    <w:p>
      <w:r>
        <w:t xml:space="preserve">Hoe kan het zijn dat uit uw brief van 30 januari 2025 het beeld ontstaat dat de kinderen op basis van veiligheidschecks veilig zijn terwijl in bovenstaande uitspraken een duidelijk beeld naar voren komt dat rechters zich steeds vaker juist grote zorgen maken om de veiligheid? 11)</w:t>
      </w:r>
      <w:r>
        <w:br/>
      </w:r>
    </w:p>
    <w:p>
      <w:r>
        <w:t xml:space="preserve"> </w:t>
      </w:r>
      <w:r>
        <w:br/>
      </w:r>
    </w:p>
    <w:p>
      <w:r>
        <w:t xml:space="preserve">17</w:t>
      </w:r>
      <w:r>
        <w:br/>
      </w:r>
    </w:p>
    <w:p>
      <w:r>
        <w:t xml:space="preserve">Deelt u de mening dat we niet meer kunnen spreken van incidentele onveiligheid maar dat het erop lijkt dat, op basis van alle signalen die vanuit jongeren, ouders gemeenten, advocaten en dus ook rechters nu moeten spreken van structurele onveiligheid?</w:t>
      </w:r>
      <w:r>
        <w:br/>
      </w:r>
    </w:p>
    <w:p>
      <w:r>
        <w:t xml:space="preserve"> </w:t>
      </w:r>
      <w:r>
        <w:br/>
      </w:r>
    </w:p>
    <w:p>
      <w:r>
        <w:t xml:space="preserve">18</w:t>
      </w:r>
      <w:r>
        <w:br/>
      </w:r>
    </w:p>
    <w:p>
      <w:r>
        <w:t xml:space="preserve">Kunt u aangeven welke stappen er genomen gaan worden met de signalen die rechters afgeven in haar beschikkingen?</w:t>
      </w:r>
      <w:r>
        <w:br/>
      </w:r>
    </w:p>
    <w:p>
      <w:r>
        <w:t xml:space="preserve"> </w:t>
      </w:r>
      <w:r>
        <w:br/>
      </w:r>
    </w:p>
    <w:p>
      <w:r>
        <w:t xml:space="preserve">19</w:t>
      </w:r>
      <w:r>
        <w:br/>
      </w:r>
    </w:p>
    <w:p>
      <w:r>
        <w:t xml:space="preserve">Hoe denkt u deze structurele onveiligheid aan te gaan pakken?</w:t>
      </w:r>
      <w:r>
        <w:br/>
      </w:r>
    </w:p>
    <w:p>
      <w:r>
        <w:t xml:space="preserve"> </w:t>
      </w:r>
      <w:r>
        <w:br/>
      </w:r>
    </w:p>
    <w:p>
      <w:r>
        <w:t xml:space="preserve">20</w:t>
      </w:r>
      <w:r>
        <w:br/>
      </w:r>
    </w:p>
    <w:p>
      <w:r>
        <w:t xml:space="preserve">Kunt u deze vragen beantwoorden voor het plenaire debat hierover dat voorzien is op 5 maart 2025?</w:t>
      </w:r>
      <w:r>
        <w:br/>
      </w:r>
    </w:p>
    <w:p>
      <w:r>
        <w:t xml:space="preserve"> </w:t>
      </w:r>
      <w:r>
        <w:br/>
      </w:r>
    </w:p>
    <w:p>
      <w:r>
        <w:t xml:space="preserve">1) Kamerstuk 31015, nr. 277.</w:t>
      </w:r>
      <w:r>
        <w:br/>
      </w:r>
    </w:p>
    <w:p>
      <w:r>
        <w:t xml:space="preserve">2) Kamerstuk 31015, nr. 277.</w:t>
      </w:r>
      <w:r>
        <w:br/>
      </w:r>
    </w:p>
    <w:p>
      <w:r>
        <w:t xml:space="preserve">3) Dagblad van het Noorden, 24 januari 2025, Kinderen in Drenthe en Groningen krijgen te laat jeugdbeschermer over de vloer (https://dvhn.nl/groningen/Tweederde-kinderen-ziet-te-laat-jeugdbeschermer-29348838.html).</w:t>
      </w:r>
      <w:r>
        <w:br/>
      </w:r>
    </w:p>
    <w:p>
      <w:r>
        <w:t xml:space="preserve">4) LinkedIn post: (https://www.linkedin.com/posts/mieke-krol-48849677_het-hof-is-bovendien-van-oordeel-dat-de-activity-7297662638358945793--_a4?utm_source=share&amp;utm_medium=member_desktop&amp;rcm=ACoAAACoGk8BAKiVZW93kPdQ1KXaFE6tSyqmjCA).</w:t>
      </w:r>
      <w:r>
        <w:br/>
      </w:r>
    </w:p>
    <w:p>
      <w:r>
        <w:t xml:space="preserve">5) LinkedIn post: (https://www.linkedin.com/posts/krijntenhove_het-hof-is-bovendien-van-oordeel-dat-de-activity-7298266219395072002-c?utm_source=share&amp;utm_medium=member_desktop&amp;rcm=ACoAAACoGk8BAKiVZW93kPdQ1KXaFE6tSyqmjCA).</w:t>
      </w:r>
      <w:r>
        <w:br/>
      </w:r>
    </w:p>
    <w:p>
      <w:r>
        <w:t xml:space="preserve">6) Kamerstuk 31015, nr. 277.</w:t>
      </w:r>
      <w:r>
        <w:br/>
      </w:r>
    </w:p>
    <w:p>
      <w:r>
        <w:t xml:space="preserve">7) Rechtbank Noord Nederland, 28 januari 2025, ECLI:NL:RBNNE:2025:360.</w:t>
      </w:r>
      <w:r>
        <w:br/>
      </w:r>
    </w:p>
    <w:p>
      <w:r>
        <w:t xml:space="preserve">8) Rechtbank Gelderland, 9 december 2024, ECLI:NL:RBGEL:2024:9690.</w:t>
      </w:r>
      <w:r>
        <w:br/>
      </w:r>
    </w:p>
    <w:p>
      <w:r>
        <w:t xml:space="preserve">9) Gerechtshof Arnhem-Leeuwarden, 5 september 2024, ECLI:NL:GHARL:2024:5659.</w:t>
      </w:r>
      <w:r>
        <w:br/>
      </w:r>
    </w:p>
    <w:p>
      <w:r>
        <w:t xml:space="preserve">10) Gerechtshof Den Haag, 13 november 2024, ECLI:NL:GHDHA:2024:2272.</w:t>
      </w:r>
      <w:r>
        <w:br/>
      </w:r>
    </w:p>
    <w:p>
      <w:r>
        <w:t xml:space="preserve">11) Kamerstuk 31015, nr. 277.</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95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9550">
    <w:abstractNumId w:val="1004695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