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2025Z03569</w:t>
        <w:br/>
      </w:r>
      <w:proofErr w:type="spellEnd"/>
    </w:p>
    <w:p>
      <w:pPr>
        <w:pStyle w:val="Normal"/>
        <w:rPr>
          <w:b w:val="1"/>
          <w:bCs w:val="1"/>
        </w:rPr>
      </w:pPr>
      <w:r w:rsidR="250AE766">
        <w:rPr>
          <w:b w:val="0"/>
          <w:bCs w:val="0"/>
        </w:rPr>
        <w:t>(ingezonden 26 februari 2025)</w:t>
        <w:br/>
      </w:r>
    </w:p>
    <w:p>
      <w:r>
        <w:t xml:space="preserve">Vragen van de leden Chakor (GroenLinks-PvdA), Van Nispen (SP) en Flach (SGP) aan de minister van Binnenlandse Zaken en Koninkrijksrelaties en de staatssecretaris van Financiën over het bericht 'Ambtenaren verwachten ontevreden VNG na Kamerbrief'</w:t>
      </w:r>
      <w:r>
        <w:br/>
      </w:r>
    </w:p>
    <w:p>
      <w:r>
        <w:t xml:space="preserve"> </w:t>
      </w:r>
      <w:r>
        <w:br/>
      </w:r>
    </w:p>
    <w:p>
      <w:pPr>
        <w:pStyle w:val="ListParagraph"/>
        <w:numPr>
          <w:ilvl w:val="0"/>
          <w:numId w:val="100469810"/>
        </w:numPr>
        <w:ind w:left="360"/>
      </w:pPr>
      <w:r>
        <w:t>Heeft u kennisgenomen van het bericht 'Ambtenaren verwachten ontevreden VNG na Kamerbrief'? 1)</w:t>
      </w:r>
      <w:r>
        <w:br/>
      </w:r>
    </w:p>
    <w:p>
      <w:pPr>
        <w:pStyle w:val="ListParagraph"/>
        <w:numPr>
          <w:ilvl w:val="0"/>
          <w:numId w:val="100469810"/>
        </w:numPr>
        <w:ind w:left="360"/>
      </w:pPr>
      <w:r>
        <w:t>Waarom heeft u de motie-Chakor/Van Nispen (Kamerstuk 36600-B, nr 12) niet uitgevoerd en heeft er geen afstemming plaatsgevonden met de decentrale overheden over de financiële effecten en de voor- en nadelen van de nieuwe berekeningswijze van taakmutaties?</w:t>
      </w:r>
      <w:r>
        <w:br/>
      </w:r>
    </w:p>
    <w:p>
      <w:pPr>
        <w:pStyle w:val="ListParagraph"/>
        <w:numPr>
          <w:ilvl w:val="0"/>
          <w:numId w:val="100469810"/>
        </w:numPr>
        <w:ind w:left="360"/>
      </w:pPr>
      <w:r>
        <w:t>Wat was de reden dat het ministerie van Financiën geen afvaardiging heeft gezonden naar de recente technische briefing in de Tweede Kamer op 18 februari jongstleden, terwijl dit ministerie de eerste ondertekenaar is van de brief over de berekeningswijze van de normeringssystematiek?</w:t>
      </w:r>
      <w:r>
        <w:br/>
      </w:r>
    </w:p>
    <w:p>
      <w:pPr>
        <w:pStyle w:val="ListParagraph"/>
        <w:numPr>
          <w:ilvl w:val="0"/>
          <w:numId w:val="100469810"/>
        </w:numPr>
        <w:ind w:left="360"/>
      </w:pPr>
      <w:r>
        <w:t>Zijn de fondsbeheerders gezamenlijk verantwoordelijk voor het opstellen, uitwerken en toepassen van de normeringssystematiek? Zo nee, hoe zijn de taken en verantwoordelijkheden dan precies verdeeld?</w:t>
      </w:r>
      <w:r>
        <w:br/>
      </w:r>
    </w:p>
    <w:p>
      <w:pPr>
        <w:pStyle w:val="ListParagraph"/>
        <w:numPr>
          <w:ilvl w:val="0"/>
          <w:numId w:val="100469810"/>
        </w:numPr>
        <w:ind w:left="360"/>
      </w:pPr>
      <w:r>
        <w:t>Kunt u aangeven op welke momenten er contact is geweest tussen de fondsbeheerders en VNG en IPO in het kader van afdoening van deze motie? Op welk exact moment is besloten af te zien van het betrekken van VNG en IPO?</w:t>
      </w:r>
      <w:r>
        <w:br/>
      </w:r>
    </w:p>
    <w:p>
      <w:pPr>
        <w:pStyle w:val="ListParagraph"/>
        <w:numPr>
          <w:ilvl w:val="0"/>
          <w:numId w:val="100469810"/>
        </w:numPr>
        <w:ind w:left="360"/>
      </w:pPr>
      <w:r>
        <w:t>Welke overwegingen lagen precies ten grondslag aan het besluit om de VNG en het IPO niet te betrekken bij dit proces, ondanks de duidelijke impact van de nieuwe berekeningswijze op gemeenten en provincies?</w:t>
      </w:r>
      <w:r>
        <w:br/>
      </w:r>
    </w:p>
    <w:p>
      <w:pPr>
        <w:pStyle w:val="ListParagraph"/>
        <w:numPr>
          <w:ilvl w:val="0"/>
          <w:numId w:val="100469810"/>
        </w:numPr>
        <w:ind w:left="360"/>
      </w:pPr>
      <w:r>
        <w:t>Bent u zich bewust van de zorgen binnen de decentrale overheden over de financiële gevolgen van de nieuwe normeringssystematiek, met name met het oog op het verwachte ravijnjaar? Hoe beoordeelt u deze zorgen?</w:t>
      </w:r>
      <w:r>
        <w:br/>
      </w:r>
    </w:p>
    <w:p>
      <w:pPr>
        <w:pStyle w:val="ListParagraph"/>
        <w:numPr>
          <w:ilvl w:val="0"/>
          <w:numId w:val="100469810"/>
        </w:numPr>
        <w:ind w:left="360"/>
      </w:pPr>
      <w:r>
        <w:t>Kunt u uitleggen waarom er bij het kabinet geen herkenning lijkt te zijn voor het feit dat gemeenten vanaf 2026 veel minder middelen beschikbaar hebben voor het uitvoeren van belangrijke taken en het in stand houden van belangrijke voorzieningen? Is het kabinet van mening dat gemeenten de zorgen overdrijven? Zo ja, waarom?</w:t>
      </w:r>
      <w:r>
        <w:br/>
      </w:r>
    </w:p>
    <w:p>
      <w:pPr>
        <w:pStyle w:val="ListParagraph"/>
        <w:numPr>
          <w:ilvl w:val="0"/>
          <w:numId w:val="100469810"/>
        </w:numPr>
        <w:ind w:left="360"/>
      </w:pPr>
      <w:r>
        <w:t>Kunt u in een overzichtelijk schema nauwkeurig schetsen waar het verschil in perspectief zit tussen dat van het kabinet en de VNG en het IPO over het financiële ravijn, zodat de Kamer kan doorgronden waar het verschil – zoals dat in de belisnota wordt genoemd – precies zit?</w:t>
      </w:r>
      <w:r>
        <w:br/>
      </w:r>
    </w:p>
    <w:p>
      <w:pPr>
        <w:pStyle w:val="ListParagraph"/>
        <w:numPr>
          <w:ilvl w:val="0"/>
          <w:numId w:val="100469810"/>
        </w:numPr>
        <w:ind w:left="360"/>
      </w:pPr>
      <w:r>
        <w:t>Welke stappen bent u bereid te nemen om alsnog in overleg te treden met de VNG en het IPO om de gevolgen van deze nieuwe berekeningswijze gezamenlijk inzichtelijk te maken en daarmee de aangenomen Kamermotie uit te voeren?</w:t>
      </w:r>
      <w:r>
        <w:br/>
      </w:r>
    </w:p>
    <w:p>
      <w:pPr>
        <w:pStyle w:val="ListParagraph"/>
        <w:numPr>
          <w:ilvl w:val="0"/>
          <w:numId w:val="100469810"/>
        </w:numPr>
        <w:ind w:left="360"/>
      </w:pPr>
      <w:r>
        <w:t>Kunt u toezeggen dat toekomstige wijzigingen met directe financiële gevolgen voor gemeenten en provincies in nauwere samenspraak met de betreffende overheden zullen plaatsvinden? Zo nee, waarom niet?</w:t>
      </w:r>
      <w:r>
        <w:br/>
      </w:r>
    </w:p>
    <w:p>
      <w:pPr>
        <w:pStyle w:val="ListParagraph"/>
        <w:numPr>
          <w:ilvl w:val="0"/>
          <w:numId w:val="100469810"/>
        </w:numPr>
        <w:ind w:left="360"/>
      </w:pPr>
      <w:r>
        <w:t>Kunt u bovenstaande vragen één voor één beantwoorden voor het commissiedebat Financiën decentrale overheden op 26 maart 2025?</w:t>
      </w:r>
      <w:r>
        <w:br/>
      </w:r>
    </w:p>
    <w:p>
      <w:r>
        <w:t xml:space="preserve"> </w:t>
      </w:r>
      <w:r>
        <w:br/>
      </w:r>
    </w:p>
    <w:p>
      <w:r>
        <w:t xml:space="preserve">1) Binnenlands Bestuur, 24 februari 2025, 'Kamerbrief over gemeentefonds: ‘VNG zal niet blij zijn’, https://www.binnenlandsbestuur.nl/financien/ambtenaren-verwachten-ontevreden-vng-na-kamerbrief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780">
    <w:abstractNumId w:val="1004697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