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116A" w:rsidP="00A2116A" w:rsidRDefault="00A2116A" w14:paraId="2EEE283C" w14:textId="443F20C5">
      <w:pPr>
        <w:spacing w:line="276" w:lineRule="auto"/>
      </w:pPr>
      <w:r>
        <w:t>AH 1426</w:t>
      </w:r>
    </w:p>
    <w:p w:rsidR="00A2116A" w:rsidP="00A2116A" w:rsidRDefault="00A2116A" w14:paraId="50E56BD2" w14:textId="737A58E5">
      <w:pPr>
        <w:spacing w:line="276" w:lineRule="auto"/>
      </w:pPr>
      <w:r>
        <w:t>2025Z02134</w:t>
      </w:r>
    </w:p>
    <w:p w:rsidR="00A2116A" w:rsidP="00A2116A" w:rsidRDefault="00A2116A" w14:paraId="234BC834" w14:textId="2EA9912B">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27 februari 2025)</w:t>
      </w:r>
    </w:p>
    <w:p w:rsidRPr="00A2116A" w:rsidR="00A2116A" w:rsidP="00A2116A" w:rsidRDefault="00A2116A" w14:paraId="4BA44FE4" w14:textId="77777777">
      <w:pPr>
        <w:rPr>
          <w:sz w:val="24"/>
          <w:szCs w:val="24"/>
        </w:rPr>
      </w:pPr>
    </w:p>
    <w:p w:rsidR="00A2116A" w:rsidP="00A2116A" w:rsidRDefault="00A2116A" w14:paraId="018A6363" w14:textId="77777777">
      <w:pPr>
        <w:spacing w:line="276" w:lineRule="auto"/>
      </w:pPr>
      <w:r>
        <w:rPr>
          <w:b/>
        </w:rPr>
        <w:t>Vraag 1</w:t>
      </w:r>
    </w:p>
    <w:p w:rsidR="00A2116A" w:rsidP="00A2116A" w:rsidRDefault="00A2116A" w14:paraId="35137B6C" w14:textId="77777777">
      <w:pPr>
        <w:spacing w:line="276" w:lineRule="auto"/>
      </w:pPr>
      <w:r w:rsidRPr="0078467E">
        <w:t xml:space="preserve">Wat is uw reactie op het onderzoek van onder andere Follow </w:t>
      </w:r>
      <w:proofErr w:type="spellStart"/>
      <w:r w:rsidRPr="0078467E">
        <w:t>the</w:t>
      </w:r>
      <w:proofErr w:type="spellEnd"/>
      <w:r w:rsidRPr="0078467E">
        <w:t xml:space="preserve"> Money waaruit blijkt dat westerse scheepseigenaren miljarden verdiend hebben met de verkoop van oude, roestige olietankers aan de Russische schaduwvloot? </w:t>
      </w:r>
    </w:p>
    <w:p w:rsidR="00A2116A" w:rsidP="00A2116A" w:rsidRDefault="00A2116A" w14:paraId="4772A963" w14:textId="77777777">
      <w:pPr>
        <w:spacing w:line="276" w:lineRule="auto"/>
      </w:pPr>
    </w:p>
    <w:p w:rsidR="00A2116A" w:rsidP="00A2116A" w:rsidRDefault="00A2116A" w14:paraId="14D9276D" w14:textId="77777777">
      <w:pPr>
        <w:spacing w:line="276" w:lineRule="auto"/>
      </w:pPr>
      <w:r>
        <w:rPr>
          <w:b/>
        </w:rPr>
        <w:t>Antwoord</w:t>
      </w:r>
    </w:p>
    <w:p w:rsidRPr="00357231" w:rsidR="00A2116A" w:rsidP="00A2116A" w:rsidRDefault="00A2116A" w14:paraId="69CA4455" w14:textId="77777777">
      <w:pPr>
        <w:spacing w:line="276" w:lineRule="auto"/>
      </w:pPr>
      <w:r w:rsidRPr="00357231">
        <w:t>Het is bijzonder zorgelijk dat Westerse scheepseigenaren miljarden hebben verdiend met de verkoop van olietankers aan de Russische schaduwvloot. Daartoe geldt sinds het 12</w:t>
      </w:r>
      <w:r w:rsidRPr="00357231">
        <w:rPr>
          <w:vertAlign w:val="superscript"/>
        </w:rPr>
        <w:t>e</w:t>
      </w:r>
      <w:r w:rsidRPr="00357231">
        <w:t xml:space="preserve"> sanctiepakket tegen Rusland van december 2023 een verbod. De schaduwvloot ondermijnt de effectiviteit van sancties en het kabinet zet hard in op de bestrijding daarvan, daarom neem ik de inhoud van dit artikel zeer serieus en zal ik binnen de EU pleiten voor aanvullende maatregelen om deze verkoop te stoppen.</w:t>
      </w:r>
    </w:p>
    <w:p w:rsidR="00A2116A" w:rsidP="00A2116A" w:rsidRDefault="00A2116A" w14:paraId="0FAC5284" w14:textId="77777777">
      <w:pPr>
        <w:spacing w:line="276" w:lineRule="auto"/>
      </w:pPr>
    </w:p>
    <w:p w:rsidR="00A2116A" w:rsidP="00A2116A" w:rsidRDefault="00A2116A" w14:paraId="60E63910" w14:textId="77777777">
      <w:pPr>
        <w:spacing w:line="276" w:lineRule="auto"/>
      </w:pPr>
      <w:r>
        <w:rPr>
          <w:b/>
        </w:rPr>
        <w:t>Vraag 2</w:t>
      </w:r>
    </w:p>
    <w:p w:rsidR="00A2116A" w:rsidP="00A2116A" w:rsidRDefault="00A2116A" w14:paraId="7B2813F8" w14:textId="77777777">
      <w:pPr>
        <w:spacing w:line="276" w:lineRule="auto"/>
      </w:pPr>
      <w:r w:rsidRPr="0078467E">
        <w:t>Klopt het dat momenteel slechts 68 van de naar schatting meer dan 600 olietankers van de Russische schaduwlijst op de Europese sanctielijst staan? Kunt u aangeven waarom er niet meer schepen van de schaduwvloot in de Europese Unie (EU) gesanctioneerd zijn?</w:t>
      </w:r>
    </w:p>
    <w:p w:rsidR="00A2116A" w:rsidP="00A2116A" w:rsidRDefault="00A2116A" w14:paraId="4B930648" w14:textId="77777777">
      <w:pPr>
        <w:spacing w:line="276" w:lineRule="auto"/>
      </w:pPr>
    </w:p>
    <w:p w:rsidR="00A2116A" w:rsidP="00A2116A" w:rsidRDefault="00A2116A" w14:paraId="6264D54A" w14:textId="77777777">
      <w:pPr>
        <w:spacing w:line="276" w:lineRule="auto"/>
      </w:pPr>
      <w:r>
        <w:rPr>
          <w:b/>
        </w:rPr>
        <w:t>Antwoord</w:t>
      </w:r>
    </w:p>
    <w:p w:rsidRPr="00357231" w:rsidR="00A2116A" w:rsidP="00A2116A" w:rsidRDefault="00A2116A" w14:paraId="51576F9E" w14:textId="77777777">
      <w:pPr>
        <w:spacing w:line="276" w:lineRule="auto"/>
      </w:pPr>
      <w:r w:rsidRPr="00357231">
        <w:t xml:space="preserve">Met de aanname van het </w:t>
      </w:r>
      <w:r>
        <w:t>16</w:t>
      </w:r>
      <w:r w:rsidRPr="00CC5236">
        <w:rPr>
          <w:vertAlign w:val="superscript"/>
        </w:rPr>
        <w:t>e</w:t>
      </w:r>
      <w:r>
        <w:t xml:space="preserve"> </w:t>
      </w:r>
      <w:r w:rsidRPr="00357231">
        <w:t xml:space="preserve">sanctiepakket tegen Rusland op 24 februari 2025 heeft de EU in totaal 153 schepen gesanctioneerd. 130 hiervan zijn olietankers die tot de schaduwvloot worden gerekend. De overige twintig betreffen onder andere schepen die betrokken zijn bij wapenleveranties aan Rusland uit Noord-Korea of de export van gestolen Oekraïens graan. Voor ieder schip geldt dat er een gedegen bewijspakket moet worden samengesteld dat ook stand kan houden bij de rechter. Nederland geldt binnen de EU als aanjager door bewijspakketten te leveren, kennis en ervaring te delen met andere lidstaten en te coördineren met G7-partners. Mede </w:t>
      </w:r>
      <w:r w:rsidRPr="00357231">
        <w:lastRenderedPageBreak/>
        <w:t xml:space="preserve">dankzij de inspanningen van Nederland zal er naar verwachting in het zeventiende pakket weer een stap in de goede richting wordt gezet. </w:t>
      </w:r>
    </w:p>
    <w:p w:rsidR="00A2116A" w:rsidP="00A2116A" w:rsidRDefault="00A2116A" w14:paraId="2261E448" w14:textId="77777777">
      <w:pPr>
        <w:spacing w:line="276" w:lineRule="auto"/>
      </w:pPr>
    </w:p>
    <w:p w:rsidR="00A2116A" w:rsidP="00A2116A" w:rsidRDefault="00A2116A" w14:paraId="207F5681" w14:textId="77777777">
      <w:pPr>
        <w:spacing w:line="276" w:lineRule="auto"/>
      </w:pPr>
      <w:r>
        <w:rPr>
          <w:b/>
        </w:rPr>
        <w:t>Vraag 3</w:t>
      </w:r>
    </w:p>
    <w:p w:rsidRPr="0078467E" w:rsidR="00A2116A" w:rsidP="00A2116A" w:rsidRDefault="00A2116A" w14:paraId="50265D1E" w14:textId="77777777">
      <w:pPr>
        <w:spacing w:line="276" w:lineRule="auto"/>
      </w:pPr>
      <w:r w:rsidRPr="0078467E">
        <w:t>Kunt u aangeven hoeveel van de 230 schepen die door westerse scheepseigenaren verkocht zijn momenteel gesanctioneerd zijn?</w:t>
      </w:r>
    </w:p>
    <w:p w:rsidR="00A2116A" w:rsidP="00A2116A" w:rsidRDefault="00A2116A" w14:paraId="6ACF21F6" w14:textId="77777777">
      <w:pPr>
        <w:spacing w:line="276" w:lineRule="auto"/>
      </w:pPr>
    </w:p>
    <w:p w:rsidR="00A2116A" w:rsidP="00A2116A" w:rsidRDefault="00A2116A" w14:paraId="2756C0F2" w14:textId="77777777">
      <w:pPr>
        <w:spacing w:line="276" w:lineRule="auto"/>
      </w:pPr>
      <w:r>
        <w:rPr>
          <w:b/>
        </w:rPr>
        <w:t>Antwoord</w:t>
      </w:r>
    </w:p>
    <w:p w:rsidRPr="00357231" w:rsidR="00A2116A" w:rsidP="00A2116A" w:rsidRDefault="00A2116A" w14:paraId="4634D104" w14:textId="77777777">
      <w:pPr>
        <w:spacing w:line="276" w:lineRule="auto"/>
      </w:pPr>
      <w:r w:rsidRPr="00357231">
        <w:t xml:space="preserve">Op dit moment zijn </w:t>
      </w:r>
      <w:r>
        <w:t>19</w:t>
      </w:r>
      <w:r w:rsidRPr="00357231">
        <w:t xml:space="preserve"> van deze schepen door de EU gesanctioneerd.</w:t>
      </w:r>
    </w:p>
    <w:p w:rsidR="00A2116A" w:rsidP="00A2116A" w:rsidRDefault="00A2116A" w14:paraId="73435CC5" w14:textId="77777777">
      <w:pPr>
        <w:spacing w:line="276" w:lineRule="auto"/>
      </w:pPr>
    </w:p>
    <w:p w:rsidR="00A2116A" w:rsidP="00A2116A" w:rsidRDefault="00A2116A" w14:paraId="7A4AD4FE" w14:textId="77777777">
      <w:pPr>
        <w:spacing w:line="276" w:lineRule="auto"/>
      </w:pPr>
      <w:r>
        <w:rPr>
          <w:b/>
        </w:rPr>
        <w:t>Vraag 4</w:t>
      </w:r>
    </w:p>
    <w:p w:rsidR="00A2116A" w:rsidP="00A2116A" w:rsidRDefault="00A2116A" w14:paraId="23DA15FA" w14:textId="77777777">
      <w:pPr>
        <w:spacing w:line="276" w:lineRule="auto"/>
      </w:pPr>
      <w:r w:rsidRPr="0078467E">
        <w:t xml:space="preserve">Bent u van mening dat westerse bedrijven die olietankers verkocht hebben, die uiteindelijk onderdeel van de schaduwvloot zijn geworden, voorafgaand aan de verkoop afdoende </w:t>
      </w:r>
      <w:proofErr w:type="spellStart"/>
      <w:r w:rsidRPr="0078467E">
        <w:t>due-dilligence</w:t>
      </w:r>
      <w:proofErr w:type="spellEnd"/>
      <w:r w:rsidRPr="0078467E">
        <w:t xml:space="preserve"> onderzoek hebben uitgevoerd? Zo niet, welke sanctie staat hierop?</w:t>
      </w:r>
      <w:r>
        <w:t xml:space="preserve"> </w:t>
      </w:r>
    </w:p>
    <w:p w:rsidR="00A2116A" w:rsidP="00A2116A" w:rsidRDefault="00A2116A" w14:paraId="0089DB7C" w14:textId="77777777">
      <w:pPr>
        <w:spacing w:line="276" w:lineRule="auto"/>
      </w:pPr>
    </w:p>
    <w:p w:rsidR="00A2116A" w:rsidP="00A2116A" w:rsidRDefault="00A2116A" w14:paraId="43B5D859" w14:textId="77777777">
      <w:pPr>
        <w:spacing w:line="276" w:lineRule="auto"/>
      </w:pPr>
      <w:r>
        <w:rPr>
          <w:b/>
        </w:rPr>
        <w:t>Vraag 5</w:t>
      </w:r>
    </w:p>
    <w:p w:rsidR="00A2116A" w:rsidP="00A2116A" w:rsidRDefault="00A2116A" w14:paraId="32399FEE" w14:textId="77777777">
      <w:pPr>
        <w:spacing w:line="276" w:lineRule="auto"/>
      </w:pPr>
      <w:r w:rsidRPr="0078467E">
        <w:t>Sinds wanneer zijn verkopers verplicht om te controleren of hun schepen niet gebruikt zullen worden om sancties te omzeilen? Welke sanctie kan er opgelegd worden als een verkoper dit onvoldoende controleert?</w:t>
      </w:r>
    </w:p>
    <w:p w:rsidR="00A2116A" w:rsidP="00A2116A" w:rsidRDefault="00A2116A" w14:paraId="67B94B58" w14:textId="77777777">
      <w:pPr>
        <w:spacing w:line="276" w:lineRule="auto"/>
      </w:pPr>
    </w:p>
    <w:p w:rsidR="00A2116A" w:rsidP="00A2116A" w:rsidRDefault="00A2116A" w14:paraId="4A8C5FA9" w14:textId="77777777">
      <w:pPr>
        <w:spacing w:line="276" w:lineRule="auto"/>
        <w:rPr>
          <w:b/>
          <w:bCs/>
        </w:rPr>
      </w:pPr>
      <w:r w:rsidRPr="00357231">
        <w:rPr>
          <w:b/>
          <w:bCs/>
        </w:rPr>
        <w:t xml:space="preserve">Antwoord op vraag 4 </w:t>
      </w:r>
      <w:r>
        <w:rPr>
          <w:b/>
          <w:bCs/>
        </w:rPr>
        <w:t>en</w:t>
      </w:r>
      <w:r w:rsidRPr="00357231">
        <w:rPr>
          <w:b/>
          <w:bCs/>
        </w:rPr>
        <w:t xml:space="preserve"> 5</w:t>
      </w:r>
    </w:p>
    <w:p w:rsidR="00A2116A" w:rsidP="00A2116A" w:rsidRDefault="00A2116A" w14:paraId="063EB76E" w14:textId="77777777">
      <w:pPr>
        <w:spacing w:line="276" w:lineRule="auto"/>
      </w:pPr>
      <w:r w:rsidRPr="00357231">
        <w:t>De EU-sanctieverordening tegen Rusland bevat sinds het 12</w:t>
      </w:r>
      <w:r w:rsidRPr="00357231">
        <w:rPr>
          <w:vertAlign w:val="superscript"/>
        </w:rPr>
        <w:t>e</w:t>
      </w:r>
      <w:r w:rsidRPr="00357231">
        <w:t xml:space="preserve"> sanctiepakket van december 2023 een duidelijk verbod om tankers te verkopen als bekend is dat die gebruikt gaan worden in Rusland. In de praktijk blijkt het lastig om dit vooraf te bewijzen, mede omdat de schaduwvloot gebruikt maakt van complexe eigendomsstructuren. Het is aan de relevante handhavingsentiteiten om vast te stellen of</w:t>
      </w:r>
      <w:r w:rsidRPr="00357231" w:rsidDel="00FA49FB">
        <w:t xml:space="preserve"> </w:t>
      </w:r>
      <w:r w:rsidRPr="00357231">
        <w:t xml:space="preserve">bedrijven voldoende </w:t>
      </w:r>
      <w:proofErr w:type="spellStart"/>
      <w:r w:rsidRPr="00357231">
        <w:rPr>
          <w:i/>
        </w:rPr>
        <w:t>due-dilligence</w:t>
      </w:r>
      <w:proofErr w:type="spellEnd"/>
      <w:r w:rsidRPr="00357231">
        <w:t xml:space="preserve"> hebben uitgevoerd. </w:t>
      </w:r>
    </w:p>
    <w:p w:rsidRPr="00357231" w:rsidR="00A2116A" w:rsidP="00A2116A" w:rsidRDefault="00A2116A" w14:paraId="2F0FB30E" w14:textId="77777777">
      <w:pPr>
        <w:spacing w:line="276" w:lineRule="auto"/>
      </w:pPr>
    </w:p>
    <w:p w:rsidR="00A2116A" w:rsidP="00A2116A" w:rsidRDefault="00A2116A" w14:paraId="0854ED7E" w14:textId="77777777">
      <w:pPr>
        <w:spacing w:line="276" w:lineRule="auto"/>
      </w:pPr>
      <w:r w:rsidRPr="00357231">
        <w:t xml:space="preserve">Het niet voldoen aan deze verplichting staat gelijk aan het overtreden van de EU-sanctieverordening en betreft daarmee een economisch delict. Strafmaat hiervoor is vastgelegd in de Wet economische delicten, en omvat een gevangenisstraf van ten </w:t>
      </w:r>
      <w:r w:rsidRPr="00357231">
        <w:lastRenderedPageBreak/>
        <w:t xml:space="preserve">hoogste zes jaren, een taakstraf of een geldboete van de vijfde categorie. Onder bepaalde omstandigheden kan ook een geldboete van de zesde categorie worden opgelegd. Daarnaast kan wederrechtelijk verkregen voordeel worden ontnomen. </w:t>
      </w:r>
    </w:p>
    <w:p w:rsidRPr="00357231" w:rsidR="00A2116A" w:rsidP="00A2116A" w:rsidRDefault="00A2116A" w14:paraId="3D27A03D" w14:textId="77777777">
      <w:pPr>
        <w:spacing w:line="276" w:lineRule="auto"/>
      </w:pPr>
    </w:p>
    <w:p w:rsidRPr="00357231" w:rsidR="00A2116A" w:rsidP="00A2116A" w:rsidRDefault="00A2116A" w14:paraId="343B171B" w14:textId="77777777">
      <w:pPr>
        <w:spacing w:line="276" w:lineRule="auto"/>
      </w:pPr>
      <w:r w:rsidRPr="00357231">
        <w:t xml:space="preserve">Het kabinet wil dat er EU-breed meer tegen wordt gedaan en roept daar ook toe op. Het is uiteindelijk aan de Europese Commissie om lidstaten aan te spreken op de nationale naleving van de sanctiemaatregelen. </w:t>
      </w:r>
    </w:p>
    <w:p w:rsidR="00A2116A" w:rsidP="00A2116A" w:rsidRDefault="00A2116A" w14:paraId="59F24392" w14:textId="77777777">
      <w:pPr>
        <w:spacing w:line="276" w:lineRule="auto"/>
      </w:pPr>
    </w:p>
    <w:p w:rsidR="00A2116A" w:rsidP="00A2116A" w:rsidRDefault="00A2116A" w14:paraId="3E170CEF" w14:textId="77777777">
      <w:pPr>
        <w:spacing w:line="276" w:lineRule="auto"/>
        <w:rPr>
          <w:b/>
          <w:bCs/>
        </w:rPr>
      </w:pPr>
      <w:r>
        <w:rPr>
          <w:b/>
          <w:bCs/>
        </w:rPr>
        <w:t>Vraag 6</w:t>
      </w:r>
    </w:p>
    <w:p w:rsidR="00A2116A" w:rsidP="00A2116A" w:rsidRDefault="00A2116A" w14:paraId="1557FEF3" w14:textId="77777777">
      <w:pPr>
        <w:spacing w:line="276" w:lineRule="auto"/>
      </w:pPr>
      <w:r w:rsidRPr="0078467E">
        <w:t>Bent u bereid zich binnen de EU in te zetten voor het sanctioneren van in ieder geval alle olietankers die door de Verenigde Staten gesanctioneerd zijn? Zo nee, waarom niet?</w:t>
      </w:r>
    </w:p>
    <w:p w:rsidR="00A2116A" w:rsidP="00A2116A" w:rsidRDefault="00A2116A" w14:paraId="6BDC66BF" w14:textId="77777777">
      <w:pPr>
        <w:spacing w:line="276" w:lineRule="auto"/>
      </w:pPr>
    </w:p>
    <w:p w:rsidR="00A2116A" w:rsidP="00A2116A" w:rsidRDefault="00A2116A" w14:paraId="015EAF9E" w14:textId="77777777">
      <w:pPr>
        <w:spacing w:line="276" w:lineRule="auto"/>
        <w:rPr>
          <w:b/>
          <w:bCs/>
        </w:rPr>
      </w:pPr>
      <w:r>
        <w:rPr>
          <w:b/>
          <w:bCs/>
        </w:rPr>
        <w:t>Antwoord</w:t>
      </w:r>
    </w:p>
    <w:p w:rsidRPr="00357231" w:rsidR="00A2116A" w:rsidP="00A2116A" w:rsidRDefault="00A2116A" w14:paraId="2883E830" w14:textId="77777777">
      <w:pPr>
        <w:spacing w:line="276" w:lineRule="auto"/>
      </w:pPr>
      <w:r w:rsidRPr="00357231">
        <w:t xml:space="preserve">De Nederlandse inzet is om de lijst met gesanctioneerde schepen van de schaduwvloot voortdurend te updaten en hier actief aan bij te dragen. Voor Nederland is het leidend dat de schepen die aangedragen worden veel impact hebben, juridische houdbaar zijn en dat er consensus over bereikt kan worden onder EU lidstaten. Binnen de kaders van deze principes zet Nederland zich – conform de motie Dassen c.s. (21 501-02, nr. 3010) in voor het synchroniseren van gesanctioneerde schepen van de schaduwvloot met G7-partners. </w:t>
      </w:r>
    </w:p>
    <w:p w:rsidR="00A2116A" w:rsidP="00A2116A" w:rsidRDefault="00A2116A" w14:paraId="676F3E39" w14:textId="77777777">
      <w:pPr>
        <w:spacing w:line="276" w:lineRule="auto"/>
        <w:rPr>
          <w:b/>
          <w:bCs/>
        </w:rPr>
      </w:pPr>
    </w:p>
    <w:p w:rsidR="00A2116A" w:rsidP="00A2116A" w:rsidRDefault="00A2116A" w14:paraId="31B2EC4F" w14:textId="77777777">
      <w:pPr>
        <w:spacing w:line="276" w:lineRule="auto"/>
        <w:rPr>
          <w:b/>
          <w:bCs/>
        </w:rPr>
      </w:pPr>
      <w:r>
        <w:rPr>
          <w:b/>
          <w:bCs/>
        </w:rPr>
        <w:t>Vraag 7</w:t>
      </w:r>
    </w:p>
    <w:p w:rsidR="00A2116A" w:rsidP="00A2116A" w:rsidRDefault="00A2116A" w14:paraId="38205B88" w14:textId="77777777">
      <w:pPr>
        <w:spacing w:line="276" w:lineRule="auto"/>
      </w:pPr>
      <w:r w:rsidRPr="0078467E">
        <w:t>Bent u bereid zich in te zetten voor het bestraffen van westerse bedrijven die olietankers hebben verkocht die bij de Russische schaduwvloot terecht zijn gekomen? Zo nee, waarom niet?</w:t>
      </w:r>
    </w:p>
    <w:p w:rsidR="00A2116A" w:rsidP="00A2116A" w:rsidRDefault="00A2116A" w14:paraId="4C643929" w14:textId="77777777">
      <w:pPr>
        <w:spacing w:line="276" w:lineRule="auto"/>
      </w:pPr>
    </w:p>
    <w:p w:rsidR="00A2116A" w:rsidP="00A2116A" w:rsidRDefault="00A2116A" w14:paraId="3BF1C20C" w14:textId="77777777">
      <w:pPr>
        <w:spacing w:line="276" w:lineRule="auto"/>
        <w:rPr>
          <w:b/>
          <w:bCs/>
        </w:rPr>
      </w:pPr>
      <w:r>
        <w:rPr>
          <w:b/>
          <w:bCs/>
        </w:rPr>
        <w:t>Antwoord</w:t>
      </w:r>
    </w:p>
    <w:p w:rsidRPr="00357231" w:rsidR="00A2116A" w:rsidP="00A2116A" w:rsidRDefault="00A2116A" w14:paraId="44AE0C44" w14:textId="77777777">
      <w:pPr>
        <w:spacing w:line="276" w:lineRule="auto"/>
      </w:pPr>
      <w:r w:rsidRPr="00357231">
        <w:t xml:space="preserve">Indien er signalen zijn dat bedrijven sancties overtreden wordt hier altijd onderzoek naar gedaan en waar nodig wordt er handhavend opgetreden. Dergelijk optreden is aan het OM. </w:t>
      </w:r>
    </w:p>
    <w:p w:rsidR="00A2116A" w:rsidP="00A2116A" w:rsidRDefault="00A2116A" w14:paraId="64197899" w14:textId="77777777">
      <w:pPr>
        <w:spacing w:line="276" w:lineRule="auto"/>
      </w:pPr>
    </w:p>
    <w:p w:rsidR="00A2116A" w:rsidP="00A2116A" w:rsidRDefault="00A2116A" w14:paraId="40347500" w14:textId="77777777">
      <w:pPr>
        <w:spacing w:line="276" w:lineRule="auto"/>
      </w:pPr>
    </w:p>
    <w:p w:rsidR="00A2116A" w:rsidP="00A2116A" w:rsidRDefault="00A2116A" w14:paraId="37795EA9" w14:textId="77777777">
      <w:pPr>
        <w:spacing w:line="276" w:lineRule="auto"/>
        <w:rPr>
          <w:b/>
          <w:bCs/>
        </w:rPr>
      </w:pPr>
      <w:r>
        <w:rPr>
          <w:b/>
          <w:bCs/>
        </w:rPr>
        <w:t>Vraag 8</w:t>
      </w:r>
    </w:p>
    <w:p w:rsidRPr="008B3C41" w:rsidR="00A2116A" w:rsidP="00A2116A" w:rsidRDefault="00A2116A" w14:paraId="4631552E" w14:textId="77777777">
      <w:pPr>
        <w:spacing w:line="276" w:lineRule="auto"/>
        <w:rPr>
          <w:b/>
          <w:bCs/>
        </w:rPr>
      </w:pPr>
      <w:r w:rsidRPr="0078467E">
        <w:t>Bent u bereid met de Griekse regering te overleggen over hun aanpak van dit probleem, nu de verkoop van de olietankers zich blijkens het artikel in grote mate daar heeft voorgedaan?</w:t>
      </w:r>
    </w:p>
    <w:p w:rsidR="00A2116A" w:rsidP="00A2116A" w:rsidRDefault="00A2116A" w14:paraId="6D9DB31B" w14:textId="77777777">
      <w:pPr>
        <w:spacing w:line="276" w:lineRule="auto"/>
      </w:pPr>
    </w:p>
    <w:p w:rsidR="00A2116A" w:rsidP="00A2116A" w:rsidRDefault="00A2116A" w14:paraId="55ECF424" w14:textId="77777777">
      <w:pPr>
        <w:spacing w:line="276" w:lineRule="auto"/>
        <w:rPr>
          <w:b/>
          <w:bCs/>
        </w:rPr>
      </w:pPr>
      <w:r>
        <w:rPr>
          <w:b/>
          <w:bCs/>
        </w:rPr>
        <w:t>Antwoord</w:t>
      </w:r>
    </w:p>
    <w:p w:rsidR="00A2116A" w:rsidP="00A2116A" w:rsidRDefault="00A2116A" w14:paraId="7E5EE11E" w14:textId="77777777">
      <w:pPr>
        <w:spacing w:line="276" w:lineRule="auto"/>
      </w:pPr>
      <w:r w:rsidRPr="00357231">
        <w:t>Het kabinet voert over het verder bestrijden van de Russische schaduwvloot een voortdurende dialoog met EU-instellingen en -lidstaten en blijft dit met volle inzet doen.</w:t>
      </w:r>
    </w:p>
    <w:p w:rsidR="00A2116A" w:rsidP="00A2116A" w:rsidRDefault="00A2116A" w14:paraId="18EF2626" w14:textId="77777777">
      <w:pPr>
        <w:spacing w:line="276" w:lineRule="auto"/>
      </w:pPr>
    </w:p>
    <w:p w:rsidRPr="00357231" w:rsidR="00A2116A" w:rsidP="00A2116A" w:rsidRDefault="00A2116A" w14:paraId="29974929" w14:textId="77777777">
      <w:pPr>
        <w:spacing w:line="276" w:lineRule="auto"/>
      </w:pPr>
      <w:r w:rsidRPr="0078467E">
        <w:t>1) FTM, 4 februari 2025, “Europese scheepseigenaren verkopen oude olietankers voor miljarden en helpen daarmee Poetin”</w:t>
      </w:r>
    </w:p>
    <w:p w:rsidR="00EA73AF" w:rsidRDefault="00EA73AF" w14:paraId="2BDE7D11" w14:textId="77777777"/>
    <w:sectPr w:rsidR="00EA73AF" w:rsidSect="00A2116A">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3664" w14:textId="77777777" w:rsidR="00A2116A" w:rsidRDefault="00A2116A" w:rsidP="00A2116A">
      <w:pPr>
        <w:spacing w:after="0" w:line="240" w:lineRule="auto"/>
      </w:pPr>
      <w:r>
        <w:separator/>
      </w:r>
    </w:p>
  </w:endnote>
  <w:endnote w:type="continuationSeparator" w:id="0">
    <w:p w14:paraId="09434F80" w14:textId="77777777" w:rsidR="00A2116A" w:rsidRDefault="00A2116A" w:rsidP="00A21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7863" w14:textId="77777777" w:rsidR="00A2116A" w:rsidRPr="00A2116A" w:rsidRDefault="00A2116A" w:rsidP="00A2116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D7E3" w14:textId="77777777" w:rsidR="00A2116A" w:rsidRPr="00A2116A" w:rsidRDefault="00A2116A" w:rsidP="00A2116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B043" w14:textId="77777777" w:rsidR="00A2116A" w:rsidRPr="00A2116A" w:rsidRDefault="00A2116A" w:rsidP="00A211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3A94" w14:textId="77777777" w:rsidR="00A2116A" w:rsidRDefault="00A2116A" w:rsidP="00A2116A">
      <w:pPr>
        <w:spacing w:after="0" w:line="240" w:lineRule="auto"/>
      </w:pPr>
      <w:r>
        <w:separator/>
      </w:r>
    </w:p>
  </w:footnote>
  <w:footnote w:type="continuationSeparator" w:id="0">
    <w:p w14:paraId="0CB4080A" w14:textId="77777777" w:rsidR="00A2116A" w:rsidRDefault="00A2116A" w:rsidP="00A21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7D7E" w14:textId="77777777" w:rsidR="00A2116A" w:rsidRPr="00A2116A" w:rsidRDefault="00A2116A" w:rsidP="00A2116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8BBF" w14:textId="77777777" w:rsidR="00A2116A" w:rsidRPr="00A2116A" w:rsidRDefault="00A2116A" w:rsidP="00A2116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747B" w14:textId="77777777" w:rsidR="00A2116A" w:rsidRPr="00A2116A" w:rsidRDefault="00A2116A" w:rsidP="00A2116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6A"/>
    <w:rsid w:val="002746B4"/>
    <w:rsid w:val="00A2116A"/>
    <w:rsid w:val="00EA73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A2568"/>
  <w15:chartTrackingRefBased/>
  <w15:docId w15:val="{BFC686E5-9501-4767-91C1-54ED54EEE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11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211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2116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2116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2116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211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11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11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11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116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2116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2116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2116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2116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211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11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11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116A"/>
    <w:rPr>
      <w:rFonts w:eastAsiaTheme="majorEastAsia" w:cstheme="majorBidi"/>
      <w:color w:val="272727" w:themeColor="text1" w:themeTint="D8"/>
    </w:rPr>
  </w:style>
  <w:style w:type="paragraph" w:styleId="Titel">
    <w:name w:val="Title"/>
    <w:basedOn w:val="Standaard"/>
    <w:next w:val="Standaard"/>
    <w:link w:val="TitelChar"/>
    <w:uiPriority w:val="10"/>
    <w:qFormat/>
    <w:rsid w:val="00A21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11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11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11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11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116A"/>
    <w:rPr>
      <w:i/>
      <w:iCs/>
      <w:color w:val="404040" w:themeColor="text1" w:themeTint="BF"/>
    </w:rPr>
  </w:style>
  <w:style w:type="paragraph" w:styleId="Lijstalinea">
    <w:name w:val="List Paragraph"/>
    <w:basedOn w:val="Standaard"/>
    <w:uiPriority w:val="34"/>
    <w:qFormat/>
    <w:rsid w:val="00A2116A"/>
    <w:pPr>
      <w:ind w:left="720"/>
      <w:contextualSpacing/>
    </w:pPr>
  </w:style>
  <w:style w:type="character" w:styleId="Intensievebenadrukking">
    <w:name w:val="Intense Emphasis"/>
    <w:basedOn w:val="Standaardalinea-lettertype"/>
    <w:uiPriority w:val="21"/>
    <w:qFormat/>
    <w:rsid w:val="00A2116A"/>
    <w:rPr>
      <w:i/>
      <w:iCs/>
      <w:color w:val="2F5496" w:themeColor="accent1" w:themeShade="BF"/>
    </w:rPr>
  </w:style>
  <w:style w:type="paragraph" w:styleId="Duidelijkcitaat">
    <w:name w:val="Intense Quote"/>
    <w:basedOn w:val="Standaard"/>
    <w:next w:val="Standaard"/>
    <w:link w:val="DuidelijkcitaatChar"/>
    <w:uiPriority w:val="30"/>
    <w:qFormat/>
    <w:rsid w:val="00A211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2116A"/>
    <w:rPr>
      <w:i/>
      <w:iCs/>
      <w:color w:val="2F5496" w:themeColor="accent1" w:themeShade="BF"/>
    </w:rPr>
  </w:style>
  <w:style w:type="character" w:styleId="Intensieveverwijzing">
    <w:name w:val="Intense Reference"/>
    <w:basedOn w:val="Standaardalinea-lettertype"/>
    <w:uiPriority w:val="32"/>
    <w:qFormat/>
    <w:rsid w:val="00A2116A"/>
    <w:rPr>
      <w:b/>
      <w:bCs/>
      <w:smallCaps/>
      <w:color w:val="2F5496" w:themeColor="accent1" w:themeShade="BF"/>
      <w:spacing w:val="5"/>
    </w:rPr>
  </w:style>
  <w:style w:type="paragraph" w:customStyle="1" w:styleId="Referentiegegevens">
    <w:name w:val="Referentiegegevens"/>
    <w:basedOn w:val="Standaard"/>
    <w:next w:val="Standaard"/>
    <w:uiPriority w:val="9"/>
    <w:qFormat/>
    <w:rsid w:val="00A2116A"/>
    <w:pPr>
      <w:autoSpaceDN w:val="0"/>
      <w:spacing w:after="0" w:line="180" w:lineRule="exact"/>
      <w:textAlignment w:val="baseline"/>
    </w:pPr>
    <w:rPr>
      <w:rFonts w:ascii="Verdana" w:eastAsia="DejaVu Sans" w:hAnsi="Verdana" w:cs="Lohit Hindi"/>
      <w:color w:val="000000"/>
      <w:kern w:val="0"/>
      <w:sz w:val="13"/>
      <w:szCs w:val="13"/>
      <w14:ligatures w14:val="none"/>
    </w:rPr>
  </w:style>
  <w:style w:type="paragraph" w:customStyle="1" w:styleId="Referentiegegevensbold">
    <w:name w:val="Referentiegegevens bold"/>
    <w:basedOn w:val="Standaard"/>
    <w:next w:val="Standaard"/>
    <w:uiPriority w:val="10"/>
    <w:qFormat/>
    <w:rsid w:val="00A2116A"/>
    <w:pPr>
      <w:autoSpaceDN w:val="0"/>
      <w:spacing w:after="0" w:line="180" w:lineRule="exact"/>
      <w:textAlignment w:val="baseline"/>
    </w:pPr>
    <w:rPr>
      <w:rFonts w:ascii="Verdana" w:eastAsia="DejaVu Sans" w:hAnsi="Verdana" w:cs="Lohit Hindi"/>
      <w:b/>
      <w:color w:val="000000"/>
      <w:kern w:val="0"/>
      <w:sz w:val="13"/>
      <w:szCs w:val="13"/>
      <w14:ligatures w14:val="none"/>
    </w:rPr>
  </w:style>
  <w:style w:type="paragraph" w:customStyle="1" w:styleId="WitregelW1">
    <w:name w:val="Witregel W1"/>
    <w:basedOn w:val="Standaard"/>
    <w:next w:val="Standaard"/>
    <w:rsid w:val="00A2116A"/>
    <w:pPr>
      <w:autoSpaceDN w:val="0"/>
      <w:spacing w:after="0" w:line="90" w:lineRule="exact"/>
      <w:textAlignment w:val="baseline"/>
    </w:pPr>
    <w:rPr>
      <w:rFonts w:ascii="Verdana" w:eastAsia="DejaVu Sans" w:hAnsi="Verdana" w:cs="Lohit Hindi"/>
      <w:color w:val="000000"/>
      <w:kern w:val="0"/>
      <w:sz w:val="9"/>
      <w:szCs w:val="9"/>
      <w14:ligatures w14:val="none"/>
    </w:rPr>
  </w:style>
  <w:style w:type="paragraph" w:customStyle="1" w:styleId="WitregelW2">
    <w:name w:val="Witregel W2"/>
    <w:basedOn w:val="Standaard"/>
    <w:next w:val="Standaard"/>
    <w:rsid w:val="00A2116A"/>
    <w:pPr>
      <w:autoSpaceDN w:val="0"/>
      <w:spacing w:after="0" w:line="270" w:lineRule="exact"/>
      <w:textAlignment w:val="baseline"/>
    </w:pPr>
    <w:rPr>
      <w:rFonts w:ascii="Verdana" w:eastAsia="DejaVu Sans" w:hAnsi="Verdana" w:cs="Lohit Hindi"/>
      <w:color w:val="000000"/>
      <w:kern w:val="0"/>
      <w:sz w:val="27"/>
      <w:szCs w:val="27"/>
      <w14:ligatures w14:val="none"/>
    </w:rPr>
  </w:style>
  <w:style w:type="paragraph" w:styleId="Koptekst">
    <w:name w:val="header"/>
    <w:basedOn w:val="Standaard"/>
    <w:link w:val="KoptekstChar"/>
    <w:uiPriority w:val="99"/>
    <w:unhideWhenUsed/>
    <w:rsid w:val="00A2116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14:ligatures w14:val="none"/>
    </w:rPr>
  </w:style>
  <w:style w:type="character" w:customStyle="1" w:styleId="KoptekstChar">
    <w:name w:val="Koptekst Char"/>
    <w:basedOn w:val="Standaardalinea-lettertype"/>
    <w:link w:val="Koptekst"/>
    <w:uiPriority w:val="99"/>
    <w:rsid w:val="00A2116A"/>
    <w:rPr>
      <w:rFonts w:ascii="Verdana" w:eastAsia="DejaVu Sans" w:hAnsi="Verdana" w:cs="Lohit Hindi"/>
      <w:color w:val="000000"/>
      <w:kern w:val="0"/>
      <w:sz w:val="18"/>
      <w:szCs w:val="18"/>
      <w14:ligatures w14:val="none"/>
    </w:rPr>
  </w:style>
  <w:style w:type="paragraph" w:styleId="Voettekst">
    <w:name w:val="footer"/>
    <w:basedOn w:val="Standaard"/>
    <w:link w:val="VoettekstChar"/>
    <w:uiPriority w:val="99"/>
    <w:unhideWhenUsed/>
    <w:rsid w:val="00A2116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14:ligatures w14:val="none"/>
    </w:rPr>
  </w:style>
  <w:style w:type="character" w:customStyle="1" w:styleId="VoettekstChar">
    <w:name w:val="Voettekst Char"/>
    <w:basedOn w:val="Standaardalinea-lettertype"/>
    <w:link w:val="Voettekst"/>
    <w:uiPriority w:val="99"/>
    <w:rsid w:val="00A2116A"/>
    <w:rPr>
      <w:rFonts w:ascii="Verdana" w:eastAsia="DejaVu Sans" w:hAnsi="Verdana" w:cs="Lohit Hindi"/>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817</ap:Words>
  <ap:Characters>4497</ap:Characters>
  <ap:DocSecurity>0</ap:DocSecurity>
  <ap:Lines>37</ap:Lines>
  <ap:Paragraphs>10</ap:Paragraphs>
  <ap:ScaleCrop>false</ap:ScaleCrop>
  <ap:LinksUpToDate>false</ap:LinksUpToDate>
  <ap:CharactersWithSpaces>5304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2025-02-27T10:07:00.0000000Z</dcterms:created>
  <dcterms:modified xsi:type="dcterms:W3CDTF">2025-02-27T10:08:00.0000000Z</dcterms:modified>
  <version/>
  <category/>
</coreProperties>
</file>