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13E7" w:rsidR="002F13E7" w:rsidP="002F13E7" w:rsidRDefault="002F13E7" w14:paraId="5C299909" w14:textId="539B69CF">
      <w:pPr>
        <w:pStyle w:val="Geenafstand"/>
        <w:rPr>
          <w:b/>
          <w:bCs/>
        </w:rPr>
      </w:pPr>
      <w:r w:rsidRPr="002F13E7">
        <w:rPr>
          <w:b/>
          <w:bCs/>
        </w:rPr>
        <w:t>AH 1430</w:t>
      </w:r>
    </w:p>
    <w:p w:rsidR="002F13E7" w:rsidP="002F13E7" w:rsidRDefault="002F13E7" w14:paraId="370A1524" w14:textId="5404BE5C">
      <w:pPr>
        <w:pStyle w:val="Geenafstand"/>
        <w:rPr>
          <w:b/>
          <w:bCs/>
        </w:rPr>
      </w:pPr>
      <w:r w:rsidRPr="002F13E7">
        <w:rPr>
          <w:b/>
          <w:bCs/>
        </w:rPr>
        <w:t>2025Z00290</w:t>
      </w:r>
    </w:p>
    <w:p w:rsidRPr="002F13E7" w:rsidR="002F13E7" w:rsidP="002F13E7" w:rsidRDefault="002F13E7" w14:paraId="3CA367D1" w14:textId="77777777">
      <w:pPr>
        <w:pStyle w:val="Geenafstand"/>
        <w:rPr>
          <w:b/>
          <w:bCs/>
        </w:rPr>
      </w:pPr>
    </w:p>
    <w:p w:rsidRPr="00A71055" w:rsidR="002F13E7" w:rsidP="007B1AD8" w:rsidRDefault="002F13E7" w14:paraId="502C4141" w14:textId="20F1D1B8">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Struycken</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27 februari 2025)</w:t>
      </w:r>
    </w:p>
    <w:p w:rsidR="002F13E7" w:rsidP="002F13E7" w:rsidRDefault="002F13E7" w14:paraId="2450E5DB" w14:textId="3D7D4D6C">
      <w:pPr>
        <w:autoSpaceDE w:val="0"/>
        <w:adjustRightInd w:val="0"/>
        <w:spacing w:line="240" w:lineRule="auto"/>
        <w:rPr>
          <w:rFonts w:eastAsia="DejaVuSerifCondensed" w:cs="DejaVuSerifCondensed"/>
          <w:sz w:val="24"/>
        </w:rPr>
      </w:pPr>
      <w:r w:rsidRPr="002F13E7">
        <w:rPr>
          <w:rFonts w:eastAsia="DejaVuSerifCondensed" w:cs="DejaVuSerifCondensed"/>
          <w:sz w:val="24"/>
        </w:rPr>
        <w:t>Zie ook Aanhangsel Handelingen, vergaderjaar 2024-2025, nr.</w:t>
      </w:r>
      <w:r>
        <w:rPr>
          <w:rFonts w:eastAsia="DejaVuSerifCondensed" w:cs="DejaVuSerifCondensed"/>
          <w:sz w:val="24"/>
        </w:rPr>
        <w:t xml:space="preserve"> 1218</w:t>
      </w:r>
    </w:p>
    <w:p w:rsidRPr="002F13E7" w:rsidR="002F13E7" w:rsidP="002F13E7" w:rsidRDefault="002F13E7" w14:paraId="7CFEE92C" w14:textId="77777777">
      <w:pPr>
        <w:autoSpaceDE w:val="0"/>
        <w:adjustRightInd w:val="0"/>
        <w:spacing w:line="240" w:lineRule="auto"/>
        <w:rPr>
          <w:rFonts w:eastAsia="DejaVuSerifCondensed" w:cs="DejaVuSerifCondensed"/>
        </w:rPr>
      </w:pPr>
    </w:p>
    <w:p w:rsidRPr="000B711E" w:rsidR="002F13E7" w:rsidP="002F13E7" w:rsidRDefault="002F13E7" w14:paraId="42E0C6FC" w14:textId="77777777">
      <w:pPr>
        <w:autoSpaceDE w:val="0"/>
        <w:adjustRightInd w:val="0"/>
        <w:spacing w:line="240" w:lineRule="auto"/>
        <w:rPr>
          <w:b/>
          <w:bCs/>
        </w:rPr>
      </w:pPr>
      <w:r w:rsidRPr="0048250A">
        <w:rPr>
          <w:rFonts w:eastAsia="DejaVuSerifCondensed" w:cs="DejaVuSerifCondensed"/>
          <w:b/>
          <w:bCs/>
        </w:rPr>
        <w:t>Vraag 1</w:t>
      </w:r>
      <w:r w:rsidRPr="00B87167">
        <w:rPr>
          <w:rFonts w:eastAsia="DejaVuSerifCondensed" w:cs="DejaVuSerifCondensed"/>
        </w:rPr>
        <w:t xml:space="preserve"> </w:t>
      </w:r>
      <w:r w:rsidRPr="00B87167">
        <w:rPr>
          <w:rFonts w:eastAsia="DejaVuSerifCondensed" w:cs="DejaVuSerifCondensed"/>
        </w:rPr>
        <w:br/>
      </w:r>
      <w:r w:rsidRPr="000B711E">
        <w:rPr>
          <w:rFonts w:eastAsia="DejaVuSerifCondensed" w:cs="DejaVuSerifCondensed"/>
          <w:b/>
          <w:bCs/>
        </w:rPr>
        <w:t xml:space="preserve">Bent u bekend met </w:t>
      </w:r>
      <w:r w:rsidRPr="000B711E">
        <w:rPr>
          <w:b/>
          <w:bCs/>
        </w:rPr>
        <w:t xml:space="preserve">het nieuws dat </w:t>
      </w:r>
      <w:proofErr w:type="spellStart"/>
      <w:r w:rsidRPr="000B711E">
        <w:rPr>
          <w:b/>
          <w:bCs/>
        </w:rPr>
        <w:t>Unibet</w:t>
      </w:r>
      <w:proofErr w:type="spellEnd"/>
      <w:r w:rsidRPr="000B711E">
        <w:rPr>
          <w:b/>
          <w:bCs/>
        </w:rPr>
        <w:t xml:space="preserve"> bewust rechtszaken dwarsboomt tegen Nederlandse gedupeerden?</w:t>
      </w:r>
      <w:r w:rsidRPr="000B711E">
        <w:rPr>
          <w:rStyle w:val="Voetnootmarkering"/>
          <w:b/>
          <w:bCs/>
        </w:rPr>
        <w:footnoteReference w:id="1"/>
      </w:r>
      <w:r w:rsidRPr="000B711E">
        <w:rPr>
          <w:b/>
          <w:bCs/>
        </w:rPr>
        <w:t> </w:t>
      </w:r>
    </w:p>
    <w:p w:rsidRPr="00B87167" w:rsidR="002F13E7" w:rsidP="002F13E7" w:rsidRDefault="002F13E7" w14:paraId="443E8DC9" w14:textId="77777777">
      <w:pPr>
        <w:autoSpaceDE w:val="0"/>
        <w:adjustRightInd w:val="0"/>
        <w:spacing w:line="240" w:lineRule="auto"/>
        <w:rPr>
          <w:rFonts w:eastAsia="DejaVuSerifCondensed" w:cs="DejaVuSerifCondensed"/>
        </w:rPr>
      </w:pPr>
    </w:p>
    <w:p w:rsidRPr="0048250A" w:rsidR="002F13E7" w:rsidP="002F13E7" w:rsidRDefault="002F13E7" w14:paraId="2ED22280"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1</w:t>
      </w:r>
    </w:p>
    <w:p w:rsidR="002F13E7" w:rsidP="002F13E7" w:rsidRDefault="002F13E7" w14:paraId="4E82511B" w14:textId="77777777">
      <w:pPr>
        <w:autoSpaceDE w:val="0"/>
        <w:adjustRightInd w:val="0"/>
        <w:spacing w:line="240" w:lineRule="auto"/>
      </w:pPr>
      <w:r>
        <w:t>Ik ben bekend met het artikel "</w:t>
      </w:r>
      <w:proofErr w:type="spellStart"/>
      <w:r>
        <w:t>Unibet</w:t>
      </w:r>
      <w:proofErr w:type="spellEnd"/>
      <w:r>
        <w:t xml:space="preserve"> geeft gokkers die via de rechter geld terugeisen geen inzage meer in transacties: ’Dit is sabotage’".</w:t>
      </w:r>
    </w:p>
    <w:p w:rsidRPr="00B87167" w:rsidR="002F13E7" w:rsidP="002F13E7" w:rsidRDefault="002F13E7" w14:paraId="786E5305" w14:textId="77777777">
      <w:pPr>
        <w:autoSpaceDE w:val="0"/>
        <w:adjustRightInd w:val="0"/>
        <w:spacing w:line="240" w:lineRule="auto"/>
        <w:rPr>
          <w:rFonts w:eastAsia="DejaVuSerifCondensed" w:cs="DejaVuSerifCondensed"/>
        </w:rPr>
      </w:pPr>
    </w:p>
    <w:p w:rsidRPr="0048250A" w:rsidR="002F13E7" w:rsidP="002F13E7" w:rsidRDefault="002F13E7" w14:paraId="3B73DB55"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2</w:t>
      </w:r>
    </w:p>
    <w:p w:rsidRPr="000B711E" w:rsidR="002F13E7" w:rsidP="002F13E7" w:rsidRDefault="002F13E7" w14:paraId="66B210BC" w14:textId="77777777">
      <w:pPr>
        <w:spacing w:line="240" w:lineRule="auto"/>
        <w:rPr>
          <w:b/>
          <w:bCs/>
        </w:rPr>
      </w:pPr>
      <w:r w:rsidRPr="000B711E">
        <w:rPr>
          <w:b/>
          <w:bCs/>
        </w:rPr>
        <w:t xml:space="preserve">Wat vindt u ervan dat </w:t>
      </w:r>
      <w:proofErr w:type="spellStart"/>
      <w:r w:rsidRPr="000B711E">
        <w:rPr>
          <w:b/>
          <w:bCs/>
        </w:rPr>
        <w:t>Unibet</w:t>
      </w:r>
      <w:proofErr w:type="spellEnd"/>
      <w:r w:rsidRPr="000B711E">
        <w:rPr>
          <w:b/>
          <w:bCs/>
        </w:rPr>
        <w:t xml:space="preserve"> tussen 2004 en 2021 zonder vergunning een miljardenwinst heeft geboekt onder andere met verdiensten in de Nederlandse markt?</w:t>
      </w:r>
    </w:p>
    <w:p w:rsidRPr="00784A39" w:rsidR="002F13E7" w:rsidP="002F13E7" w:rsidRDefault="002F13E7" w14:paraId="5838F9BA" w14:textId="77777777">
      <w:pPr>
        <w:spacing w:line="240" w:lineRule="auto"/>
      </w:pPr>
      <w:r w:rsidRPr="0048250A">
        <w:rPr>
          <w:rFonts w:eastAsia="DejaVuSerifCondensed" w:cs="DejaVuSerifCondensed"/>
          <w:b/>
          <w:bCs/>
        </w:rPr>
        <w:t>Antwoord op vraag 2</w:t>
      </w:r>
      <w:r>
        <w:rPr>
          <w:rFonts w:eastAsia="DejaVuSerifCondensed" w:cs="DejaVuSerifCondensed"/>
          <w:b/>
          <w:bCs/>
        </w:rPr>
        <w:br/>
      </w:r>
      <w:r>
        <w:t>Dat partijen zonder vergunning kansspelen konden aanbieden zonder waarborgen voor de bescherming van spelers was onwenselijk. Dit was dan ook een belangrijke reden voor legalisering.</w:t>
      </w:r>
      <w:r>
        <w:rPr>
          <w:rStyle w:val="Voetnootmarkering"/>
        </w:rPr>
        <w:footnoteReference w:id="2"/>
      </w:r>
      <w:r>
        <w:t xml:space="preserve"> Door de regulering van de online kansspelmarkt zijn er nu wettelijke normen waar vergunninghouders zich aan dienen te houden. Ook kan daardoor de Kansspelautoriteit (</w:t>
      </w:r>
      <w:proofErr w:type="spellStart"/>
      <w:r>
        <w:t>Ksa</w:t>
      </w:r>
      <w:proofErr w:type="spellEnd"/>
      <w:r>
        <w:t xml:space="preserve">) ingrijpen wanneer de wet wordt overtreden. Daarnaast blijft uiteraard belangrijk om illegaal aanbod tegen te blijven gaan, zoals ik ook aan uw Kamer heb aangegeven in mijn brief van 14 februari jl. over mijn  visie op kansspelen en de beleidsreactie op de evaluatie van de Wet kansspelen op afstand (Wet </w:t>
      </w:r>
      <w:proofErr w:type="spellStart"/>
      <w:r>
        <w:t>koa</w:t>
      </w:r>
      <w:proofErr w:type="spellEnd"/>
      <w:r>
        <w:t>).</w:t>
      </w:r>
      <w:r>
        <w:rPr>
          <w:rStyle w:val="Voetnootmarkering"/>
        </w:rPr>
        <w:footnoteReference w:id="3"/>
      </w:r>
      <w:r>
        <w:t xml:space="preserve"> </w:t>
      </w:r>
    </w:p>
    <w:p w:rsidRPr="0048250A" w:rsidR="002F13E7" w:rsidP="002F13E7" w:rsidRDefault="002F13E7" w14:paraId="1CD130F6"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3</w:t>
      </w:r>
    </w:p>
    <w:p w:rsidRPr="000B711E" w:rsidR="002F13E7" w:rsidP="002F13E7" w:rsidRDefault="002F13E7" w14:paraId="204FFF6C" w14:textId="77777777">
      <w:pPr>
        <w:spacing w:line="240" w:lineRule="auto"/>
        <w:rPr>
          <w:b/>
          <w:bCs/>
        </w:rPr>
      </w:pPr>
      <w:r w:rsidRPr="000B711E">
        <w:rPr>
          <w:b/>
          <w:bCs/>
        </w:rPr>
        <w:t xml:space="preserve">Wat vindt u ervan dat </w:t>
      </w:r>
      <w:proofErr w:type="spellStart"/>
      <w:r w:rsidRPr="000B711E">
        <w:rPr>
          <w:b/>
          <w:bCs/>
        </w:rPr>
        <w:t>Unibet</w:t>
      </w:r>
      <w:proofErr w:type="spellEnd"/>
      <w:r w:rsidRPr="000B711E">
        <w:rPr>
          <w:b/>
          <w:bCs/>
        </w:rPr>
        <w:t xml:space="preserve"> sinds 17 april 2024 niet meer voldoet aan de AVG-verplichtingen en geen transactieoverzicht meer levert aan gedupeerden waardoor gedupeerden geen geld meer kunnen verhalen bij </w:t>
      </w:r>
      <w:proofErr w:type="spellStart"/>
      <w:r w:rsidRPr="000B711E">
        <w:rPr>
          <w:b/>
          <w:bCs/>
        </w:rPr>
        <w:t>Unibet</w:t>
      </w:r>
      <w:proofErr w:type="spellEnd"/>
      <w:r w:rsidRPr="000B711E">
        <w:rPr>
          <w:b/>
          <w:bCs/>
        </w:rPr>
        <w:t xml:space="preserve"> voor de illegaal geleverde diensten?</w:t>
      </w:r>
    </w:p>
    <w:p w:rsidRPr="0048250A" w:rsidR="002F13E7" w:rsidP="002F13E7" w:rsidRDefault="002F13E7" w14:paraId="38069299"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lastRenderedPageBreak/>
        <w:t>Vraag 4</w:t>
      </w:r>
    </w:p>
    <w:p w:rsidRPr="000B711E" w:rsidR="002F13E7" w:rsidP="002F13E7" w:rsidRDefault="002F13E7" w14:paraId="6F32D28B" w14:textId="77777777">
      <w:pPr>
        <w:spacing w:line="240" w:lineRule="auto"/>
        <w:rPr>
          <w:b/>
          <w:bCs/>
        </w:rPr>
      </w:pPr>
      <w:r w:rsidRPr="000B711E">
        <w:rPr>
          <w:b/>
          <w:bCs/>
        </w:rPr>
        <w:t xml:space="preserve">Klopt het volgens u dat </w:t>
      </w:r>
      <w:proofErr w:type="spellStart"/>
      <w:r w:rsidRPr="000B711E">
        <w:rPr>
          <w:b/>
          <w:bCs/>
        </w:rPr>
        <w:t>Unibet</w:t>
      </w:r>
      <w:proofErr w:type="spellEnd"/>
      <w:r w:rsidRPr="000B711E">
        <w:rPr>
          <w:b/>
          <w:bCs/>
        </w:rPr>
        <w:t xml:space="preserve"> ook verplicht is deze gegevens te verlenen en dat de excuses die zij hebben verzonden deze zaken niet te leveren geen hout snijden?</w:t>
      </w:r>
    </w:p>
    <w:p w:rsidRPr="0048250A" w:rsidR="002F13E7" w:rsidP="002F13E7" w:rsidRDefault="002F13E7" w14:paraId="0BC40BF8"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w:t>
      </w:r>
      <w:r>
        <w:rPr>
          <w:rFonts w:eastAsia="DejaVuSerifCondensed" w:cs="DejaVuSerifCondensed"/>
          <w:b/>
          <w:bCs/>
        </w:rPr>
        <w:t xml:space="preserve">vragen </w:t>
      </w:r>
      <w:r w:rsidRPr="0048250A">
        <w:rPr>
          <w:rFonts w:eastAsia="DejaVuSerifCondensed" w:cs="DejaVuSerifCondensed"/>
          <w:b/>
          <w:bCs/>
        </w:rPr>
        <w:t>3</w:t>
      </w:r>
      <w:r>
        <w:rPr>
          <w:rFonts w:eastAsia="DejaVuSerifCondensed" w:cs="DejaVuSerifCondensed"/>
          <w:b/>
          <w:bCs/>
        </w:rPr>
        <w:t xml:space="preserve"> en 4 </w:t>
      </w:r>
    </w:p>
    <w:p w:rsidR="002F13E7" w:rsidP="002F13E7" w:rsidRDefault="002F13E7" w14:paraId="7B0BEB1A" w14:textId="77777777">
      <w:pPr>
        <w:spacing w:line="240" w:lineRule="auto"/>
        <w:rPr>
          <w:rFonts w:eastAsia="DejaVuSerifCondensed" w:cs="DejaVuSerifCondensed"/>
        </w:rPr>
      </w:pPr>
      <w:bookmarkStart w:name="_Hlk190072743" w:id="1"/>
      <w:r w:rsidRPr="006F5F8D">
        <w:rPr>
          <w:rFonts w:eastAsia="DejaVuSerifCondensed" w:cs="DejaVuSerifCondensed"/>
        </w:rPr>
        <w:t xml:space="preserve">Als wettelijke </w:t>
      </w:r>
      <w:r>
        <w:rPr>
          <w:rFonts w:eastAsia="DejaVuSerifCondensed" w:cs="DejaVuSerifCondensed"/>
        </w:rPr>
        <w:t>verplichtingen,</w:t>
      </w:r>
      <w:r w:rsidRPr="006F5F8D">
        <w:rPr>
          <w:rFonts w:eastAsia="DejaVuSerifCondensed" w:cs="DejaVuSerifCondensed"/>
        </w:rPr>
        <w:t xml:space="preserve"> zoals die uit de Algemene Verordening Gegevensbescherming (AVG)</w:t>
      </w:r>
      <w:r>
        <w:rPr>
          <w:rFonts w:eastAsia="DejaVuSerifCondensed" w:cs="DejaVuSerifCondensed"/>
        </w:rPr>
        <w:t>,</w:t>
      </w:r>
      <w:r w:rsidRPr="006F5F8D">
        <w:rPr>
          <w:rFonts w:eastAsia="DejaVuSerifCondensed" w:cs="DejaVuSerifCondensed"/>
        </w:rPr>
        <w:t xml:space="preserve"> niet worden nageleefd, dan keur ik dat vanzelfsprekend af. </w:t>
      </w:r>
      <w:r>
        <w:rPr>
          <w:rFonts w:eastAsia="DejaVuSerifCondensed" w:cs="DejaVuSerifCondensed"/>
        </w:rPr>
        <w:t xml:space="preserve">Een transactieoverzicht bij een aanbieder van kansspelen geeft de financiële transacties weer (stortingen en uitkering van geld) van een speler over een bepaalde periode. De aanbieder, verwerker van persoonsgegevens, is in sommige situaties verplicht deze gegevens te bewaren en soms juist verplicht deze te vernietigen. </w:t>
      </w:r>
      <w:r>
        <w:t>Of</w:t>
      </w:r>
      <w:r w:rsidRPr="0013151A">
        <w:t xml:space="preserve"> de Algemene verordening gegevensbescherming (AVG) in </w:t>
      </w:r>
      <w:r>
        <w:t xml:space="preserve">het betreffende geval </w:t>
      </w:r>
      <w:r w:rsidRPr="0013151A">
        <w:t>verplicht</w:t>
      </w:r>
      <w:r>
        <w:t xml:space="preserve"> tot inzage</w:t>
      </w:r>
      <w:r w:rsidRPr="0013151A">
        <w:t>, staat niet ter beoordeling van mij</w:t>
      </w:r>
      <w:r>
        <w:t xml:space="preserve">. De Autoriteit Persoonsgegevens (AP) houdt als onafhankelijk toezichthouder toezicht op onder andere de naleving van de AVG. </w:t>
      </w:r>
      <w:r w:rsidRPr="0013151A">
        <w:rPr>
          <w:rFonts w:eastAsia="DejaVuSerifCondensed" w:cs="DejaVuSerifCondensed"/>
        </w:rPr>
        <w:t xml:space="preserve">Wanneer </w:t>
      </w:r>
      <w:r>
        <w:rPr>
          <w:rFonts w:eastAsia="DejaVuSerifCondensed" w:cs="DejaVuSerifCondensed"/>
        </w:rPr>
        <w:t>een vergunninghouder</w:t>
      </w:r>
      <w:r w:rsidRPr="0013151A">
        <w:rPr>
          <w:rFonts w:eastAsia="DejaVuSerifCondensed" w:cs="DejaVuSerifCondensed"/>
        </w:rPr>
        <w:t xml:space="preserve"> geen medewerking verleent ofschoon </w:t>
      </w:r>
      <w:r>
        <w:rPr>
          <w:rFonts w:eastAsia="DejaVuSerifCondensed" w:cs="DejaVuSerifCondensed"/>
        </w:rPr>
        <w:t xml:space="preserve">hij </w:t>
      </w:r>
      <w:r w:rsidRPr="0013151A">
        <w:rPr>
          <w:rFonts w:eastAsia="DejaVuSerifCondensed" w:cs="DejaVuSerifCondensed"/>
        </w:rPr>
        <w:t>daartoe</w:t>
      </w:r>
      <w:r>
        <w:rPr>
          <w:rFonts w:eastAsia="DejaVuSerifCondensed" w:cs="DejaVuSerifCondensed"/>
        </w:rPr>
        <w:t xml:space="preserve"> wel is</w:t>
      </w:r>
      <w:r w:rsidRPr="0013151A">
        <w:rPr>
          <w:rFonts w:eastAsia="DejaVuSerifCondensed" w:cs="DejaVuSerifCondensed"/>
        </w:rPr>
        <w:t xml:space="preserve"> gehouden, kan het raadzaam zijn hierover een klacht in te dienen bij de AP. Het is aan de toezichthouder om vast te stellen of een partij zich </w:t>
      </w:r>
      <w:r>
        <w:rPr>
          <w:rFonts w:eastAsia="DejaVuSerifCondensed" w:cs="DejaVuSerifCondensed"/>
        </w:rPr>
        <w:t xml:space="preserve">niet </w:t>
      </w:r>
      <w:r w:rsidRPr="0013151A">
        <w:rPr>
          <w:rFonts w:eastAsia="DejaVuSerifCondensed" w:cs="DejaVuSerifCondensed"/>
        </w:rPr>
        <w:t>aan de AVG houdt</w:t>
      </w:r>
      <w:r>
        <w:rPr>
          <w:rFonts w:eastAsia="DejaVuSerifCondensed" w:cs="DejaVuSerifCondensed"/>
        </w:rPr>
        <w:t xml:space="preserve">. </w:t>
      </w:r>
      <w:bookmarkEnd w:id="1"/>
      <w:r>
        <w:rPr>
          <w:rFonts w:eastAsia="DejaVuSerifCondensed" w:cs="DejaVuSerifCondensed"/>
        </w:rPr>
        <w:t>Daarnaast is h</w:t>
      </w:r>
      <w:r w:rsidRPr="00897D9E">
        <w:rPr>
          <w:rFonts w:eastAsia="DejaVuSerifCondensed" w:cs="DejaVuSerifCondensed"/>
        </w:rPr>
        <w:t xml:space="preserve">et uitgangspunt dat de Staat niet treedt in </w:t>
      </w:r>
      <w:r>
        <w:rPr>
          <w:rFonts w:eastAsia="DejaVuSerifCondensed" w:cs="DejaVuSerifCondensed"/>
        </w:rPr>
        <w:t>geschillen over rechts</w:t>
      </w:r>
      <w:r w:rsidRPr="00897D9E">
        <w:rPr>
          <w:rFonts w:eastAsia="DejaVuSerifCondensed" w:cs="DejaVuSerifCondensed"/>
        </w:rPr>
        <w:t>verhouding</w:t>
      </w:r>
      <w:r>
        <w:rPr>
          <w:rFonts w:eastAsia="DejaVuSerifCondensed" w:cs="DejaVuSerifCondensed"/>
        </w:rPr>
        <w:t>en</w:t>
      </w:r>
      <w:r w:rsidRPr="00897D9E">
        <w:rPr>
          <w:rFonts w:eastAsia="DejaVuSerifCondensed" w:cs="DejaVuSerifCondensed"/>
        </w:rPr>
        <w:t xml:space="preserve"> tussen een (illegale) aanbieder van kansspelen en de speler. </w:t>
      </w:r>
      <w:bookmarkStart w:name="_Hlk190072856" w:id="2"/>
      <w:r>
        <w:rPr>
          <w:rFonts w:eastAsia="DejaVuSerifCondensed" w:cs="DejaVuSerifCondensed"/>
        </w:rPr>
        <w:t>De beoordeling van een geschil over de civiele rechtsverhouding van de partijen is voorbehouden aan de rechter. En</w:t>
      </w:r>
      <w:bookmarkStart w:name="_Hlk190787629" w:id="3"/>
      <w:r>
        <w:rPr>
          <w:rFonts w:eastAsia="DejaVuSerifCondensed" w:cs="DejaVuSerifCondensed"/>
        </w:rPr>
        <w:t xml:space="preserve"> de Wet op de kansspelen (Wok) voorziet er niet in dat vergunninghouders verplicht zijn om gegevens aan te leveren over een periode waarin zij nog geen vergunning hadden</w:t>
      </w:r>
      <w:bookmarkEnd w:id="3"/>
      <w:r>
        <w:rPr>
          <w:rFonts w:eastAsia="DejaVuSerifCondensed" w:cs="DejaVuSerifCondensed"/>
        </w:rPr>
        <w:t>.</w:t>
      </w:r>
      <w:bookmarkEnd w:id="2"/>
    </w:p>
    <w:p w:rsidRPr="003F496C" w:rsidR="002F13E7" w:rsidP="002F13E7" w:rsidRDefault="002F13E7" w14:paraId="134745A0" w14:textId="77777777">
      <w:pPr>
        <w:spacing w:line="240" w:lineRule="auto"/>
      </w:pPr>
      <w:r w:rsidRPr="00C72876">
        <w:t>Het is echter niet aan mij om te oordelen of de betreffende kansspelaanbieder verplicht is deze gegevens te verlenen</w:t>
      </w:r>
      <w:r>
        <w:t xml:space="preserve"> in het kader van de AVG of vanwege contractuele verhouding</w:t>
      </w:r>
      <w:r w:rsidRPr="00C72876">
        <w:t>. Dit ligt bij de AP en zo nodig bij de rechter.</w:t>
      </w:r>
    </w:p>
    <w:p w:rsidRPr="0048250A" w:rsidR="002F13E7" w:rsidP="002F13E7" w:rsidRDefault="002F13E7" w14:paraId="3046C44C" w14:textId="77777777">
      <w:pPr>
        <w:autoSpaceDE w:val="0"/>
        <w:adjustRightInd w:val="0"/>
        <w:spacing w:line="240" w:lineRule="auto"/>
        <w:rPr>
          <w:rFonts w:eastAsia="DejaVuSerifCondensed" w:cs="DejaVuSerifCondensed"/>
          <w:b/>
          <w:bCs/>
        </w:rPr>
      </w:pPr>
      <w:bookmarkStart w:name="_Hlk183531895" w:id="4"/>
      <w:r w:rsidRPr="0048250A">
        <w:rPr>
          <w:rFonts w:eastAsia="DejaVuSerifCondensed" w:cs="DejaVuSerifCondensed"/>
          <w:b/>
          <w:bCs/>
        </w:rPr>
        <w:t>Vraag 5</w:t>
      </w:r>
    </w:p>
    <w:bookmarkEnd w:id="4"/>
    <w:p w:rsidRPr="000B711E" w:rsidR="002F13E7" w:rsidP="002F13E7" w:rsidRDefault="002F13E7" w14:paraId="25E561CA" w14:textId="77777777">
      <w:pPr>
        <w:spacing w:line="240" w:lineRule="auto"/>
        <w:rPr>
          <w:b/>
          <w:bCs/>
        </w:rPr>
      </w:pPr>
      <w:r w:rsidRPr="000B711E">
        <w:rPr>
          <w:b/>
          <w:bCs/>
        </w:rPr>
        <w:t xml:space="preserve">Vindt u het ook wrang dat </w:t>
      </w:r>
      <w:proofErr w:type="spellStart"/>
      <w:r w:rsidRPr="000B711E">
        <w:rPr>
          <w:b/>
          <w:bCs/>
        </w:rPr>
        <w:t>Unibet</w:t>
      </w:r>
      <w:proofErr w:type="spellEnd"/>
      <w:r w:rsidRPr="000B711E">
        <w:rPr>
          <w:b/>
          <w:bCs/>
        </w:rPr>
        <w:t xml:space="preserve"> deze handelswijze heeft terwijl het juist nu wel een legale vergunninghouder is in de Nederlandse online gokmarkt?</w:t>
      </w:r>
    </w:p>
    <w:p w:rsidRPr="0049188C" w:rsidR="002F13E7" w:rsidP="002F13E7" w:rsidRDefault="002F13E7" w14:paraId="6BE5557A" w14:textId="77777777">
      <w:pPr>
        <w:autoSpaceDE w:val="0"/>
        <w:adjustRightInd w:val="0"/>
        <w:spacing w:line="240" w:lineRule="auto"/>
        <w:rPr>
          <w:rFonts w:eastAsia="DejaVuSerifCondensed" w:cs="DejaVuSerifCondensed"/>
          <w:b/>
          <w:bCs/>
        </w:rPr>
      </w:pPr>
      <w:r w:rsidRPr="0049188C">
        <w:rPr>
          <w:rFonts w:eastAsia="DejaVuSerifCondensed" w:cs="DejaVuSerifCondensed"/>
          <w:b/>
          <w:bCs/>
        </w:rPr>
        <w:t xml:space="preserve">Antwoord </w:t>
      </w:r>
      <w:r>
        <w:rPr>
          <w:rFonts w:eastAsia="DejaVuSerifCondensed" w:cs="DejaVuSerifCondensed"/>
          <w:b/>
          <w:bCs/>
        </w:rPr>
        <w:t xml:space="preserve">op vraag 5 </w:t>
      </w:r>
    </w:p>
    <w:p w:rsidR="002F13E7" w:rsidP="002F13E7" w:rsidRDefault="002F13E7" w14:paraId="580D1404" w14:textId="77777777">
      <w:pPr>
        <w:autoSpaceDE w:val="0"/>
        <w:adjustRightInd w:val="0"/>
        <w:spacing w:line="240" w:lineRule="auto"/>
        <w:rPr>
          <w:rFonts w:eastAsia="DejaVuSerifCondensed" w:cs="DejaVuSerifCondensed"/>
        </w:rPr>
      </w:pPr>
      <w:bookmarkStart w:name="_Hlk190272091" w:id="5"/>
      <w:r>
        <w:rPr>
          <w:rFonts w:eastAsia="DejaVuSerifCondensed" w:cs="DejaVuSerifCondensed"/>
        </w:rPr>
        <w:t xml:space="preserve">Iedere aanbieder van online kansspelen dient zich te houden aan de geldende wet- en regelgeving. Zoals ik ook heb aangegeven in mijn antwoord op vraag 3 en 4, keur ik het af als wettelijke verplichtingen niet worden nageleefd. </w:t>
      </w:r>
    </w:p>
    <w:p w:rsidR="002F13E7" w:rsidP="002F13E7" w:rsidRDefault="002F13E7" w14:paraId="08C5D079" w14:textId="77777777">
      <w:pPr>
        <w:autoSpaceDE w:val="0"/>
        <w:adjustRightInd w:val="0"/>
        <w:spacing w:line="240" w:lineRule="auto"/>
        <w:rPr>
          <w:rFonts w:eastAsia="DejaVuSerifCondensed" w:cs="DejaVuSerifCondensed"/>
        </w:rPr>
      </w:pPr>
    </w:p>
    <w:p w:rsidR="002F13E7" w:rsidP="002F13E7" w:rsidRDefault="002F13E7" w14:paraId="27DB5E77" w14:textId="77777777">
      <w:pPr>
        <w:autoSpaceDE w:val="0"/>
        <w:adjustRightInd w:val="0"/>
        <w:spacing w:line="240" w:lineRule="auto"/>
        <w:rPr>
          <w:rFonts w:eastAsia="DejaVuSerifCondensed" w:cs="DejaVuSerifCondensed"/>
        </w:rPr>
      </w:pPr>
      <w:r>
        <w:rPr>
          <w:rFonts w:eastAsia="DejaVuSerifCondensed" w:cs="DejaVuSerifCondensed"/>
        </w:rPr>
        <w:t xml:space="preserve">Een aanvrager van een vergunning is doorgelicht aan de hand van alle geldende criteria en vergunningseisen conform wet- en regelgeving. Zonder in de beoordeling van deze casus te treden, geldt dat bij de totstandkoming van de Wet </w:t>
      </w:r>
      <w:proofErr w:type="spellStart"/>
      <w:r>
        <w:rPr>
          <w:rFonts w:eastAsia="DejaVuSerifCondensed" w:cs="DejaVuSerifCondensed"/>
        </w:rPr>
        <w:t>koa</w:t>
      </w:r>
      <w:proofErr w:type="spellEnd"/>
      <w:r>
        <w:rPr>
          <w:rFonts w:eastAsia="DejaVuSerifCondensed" w:cs="DejaVuSerifCondensed"/>
        </w:rPr>
        <w:t xml:space="preserve"> is besloten dat z</w:t>
      </w:r>
      <w:r w:rsidRPr="006771D5">
        <w:rPr>
          <w:rFonts w:eastAsia="DejaVuSerifCondensed" w:cs="DejaVuSerifCondensed"/>
        </w:rPr>
        <w:t xml:space="preserve">onder enige clementie voor aanbieders die in het verleden de wet hebben overtreden, </w:t>
      </w:r>
      <w:r>
        <w:rPr>
          <w:rFonts w:eastAsia="DejaVuSerifCondensed" w:cs="DejaVuSerifCondensed"/>
        </w:rPr>
        <w:t>een veilig gecontroleerd en attractief</w:t>
      </w:r>
      <w:r w:rsidRPr="006771D5">
        <w:rPr>
          <w:rFonts w:eastAsia="DejaVuSerifCondensed" w:cs="DejaVuSerifCondensed"/>
        </w:rPr>
        <w:t xml:space="preserve"> </w:t>
      </w:r>
      <w:r w:rsidRPr="006771D5">
        <w:rPr>
          <w:rFonts w:eastAsia="DejaVuSerifCondensed" w:cs="DejaVuSerifCondensed"/>
        </w:rPr>
        <w:lastRenderedPageBreak/>
        <w:t>aanbod niet tot stand</w:t>
      </w:r>
      <w:r>
        <w:rPr>
          <w:rFonts w:eastAsia="DejaVuSerifCondensed" w:cs="DejaVuSerifCondensed"/>
        </w:rPr>
        <w:t xml:space="preserve"> zou komen. Om hier duidelijke grenzen aan te stellen, </w:t>
      </w:r>
      <w:r w:rsidRPr="006218EE">
        <w:rPr>
          <w:rFonts w:eastAsia="DejaVuSerifCondensed" w:cs="DejaVuSerifCondensed"/>
        </w:rPr>
        <w:t xml:space="preserve">heeft de </w:t>
      </w:r>
      <w:proofErr w:type="spellStart"/>
      <w:r w:rsidRPr="006218EE">
        <w:rPr>
          <w:rFonts w:eastAsia="DejaVuSerifCondensed" w:cs="DejaVuSerifCondensed"/>
        </w:rPr>
        <w:t>Ksa</w:t>
      </w:r>
      <w:proofErr w:type="spellEnd"/>
      <w:r w:rsidRPr="006218EE">
        <w:rPr>
          <w:rFonts w:eastAsia="DejaVuSerifCondensed" w:cs="DejaVuSerifCondensed"/>
        </w:rPr>
        <w:t xml:space="preserve"> mede naar aanleiding van de motie Postema beleidsregels </w:t>
      </w:r>
      <w:r>
        <w:rPr>
          <w:rFonts w:eastAsia="DejaVuSerifCondensed" w:cs="DejaVuSerifCondensed"/>
        </w:rPr>
        <w:t>geïntroduceerd.</w:t>
      </w:r>
      <w:r>
        <w:rPr>
          <w:rStyle w:val="Voetnootmarkering"/>
          <w:rFonts w:eastAsia="DejaVuSerifCondensed" w:cs="DejaVuSerifCondensed"/>
        </w:rPr>
        <w:footnoteReference w:id="4"/>
      </w:r>
      <w:r>
        <w:rPr>
          <w:rFonts w:eastAsia="DejaVuSerifCondensed" w:cs="DejaVuSerifCondensed"/>
        </w:rPr>
        <w:t xml:space="preserve"> Een vergunningsaanvrager diende op grond van die beleidsregels twee jaar en negen maanden voorafgaand aan de datum dat hij een aanvraag indiende zich te hebben onthouden van online kansspelaanbod gericht op Nederland.</w:t>
      </w:r>
      <w:r>
        <w:rPr>
          <w:rStyle w:val="Voetnootmarkering"/>
          <w:rFonts w:eastAsia="DejaVuSerifCondensed" w:cs="DejaVuSerifCondensed"/>
        </w:rPr>
        <w:footnoteReference w:id="5"/>
      </w:r>
      <w:r>
        <w:rPr>
          <w:rFonts w:eastAsia="DejaVuSerifCondensed" w:cs="DejaVuSerifCondensed"/>
        </w:rPr>
        <w:t xml:space="preserve"> Het niet voldoen aan deze criteria, zou in dat geval ertoe leiden dat de </w:t>
      </w:r>
      <w:proofErr w:type="spellStart"/>
      <w:r>
        <w:rPr>
          <w:rFonts w:eastAsia="DejaVuSerifCondensed" w:cs="DejaVuSerifCondensed"/>
        </w:rPr>
        <w:t>Ksa</w:t>
      </w:r>
      <w:proofErr w:type="spellEnd"/>
      <w:r>
        <w:rPr>
          <w:rFonts w:eastAsia="DejaVuSerifCondensed" w:cs="DejaVuSerifCondensed"/>
        </w:rPr>
        <w:t xml:space="preserve"> de betreffende vergunning niet zou verlenen. </w:t>
      </w:r>
    </w:p>
    <w:bookmarkEnd w:id="5"/>
    <w:p w:rsidR="002F13E7" w:rsidP="002F13E7" w:rsidRDefault="002F13E7" w14:paraId="25C3D106" w14:textId="77777777">
      <w:pPr>
        <w:autoSpaceDE w:val="0"/>
        <w:adjustRightInd w:val="0"/>
        <w:spacing w:line="240" w:lineRule="auto"/>
        <w:rPr>
          <w:rFonts w:eastAsia="DejaVuSerifCondensed" w:cs="DejaVuSerifCondensed"/>
        </w:rPr>
      </w:pPr>
    </w:p>
    <w:p w:rsidRPr="0048250A" w:rsidR="002F13E7" w:rsidP="002F13E7" w:rsidRDefault="002F13E7" w14:paraId="6436AC31"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6</w:t>
      </w:r>
    </w:p>
    <w:p w:rsidRPr="000B711E" w:rsidR="002F13E7" w:rsidP="002F13E7" w:rsidRDefault="002F13E7" w14:paraId="2078CBEA" w14:textId="77777777">
      <w:pPr>
        <w:spacing w:line="240" w:lineRule="auto"/>
        <w:rPr>
          <w:b/>
          <w:bCs/>
        </w:rPr>
      </w:pPr>
      <w:r w:rsidRPr="000B711E">
        <w:rPr>
          <w:b/>
          <w:bCs/>
        </w:rPr>
        <w:t xml:space="preserve">Bent u bereid te onderzoeken of er mogelijkheden zijn om de huidige vergunning van </w:t>
      </w:r>
      <w:proofErr w:type="spellStart"/>
      <w:r w:rsidRPr="000B711E">
        <w:rPr>
          <w:b/>
          <w:bCs/>
        </w:rPr>
        <w:t>Unibet</w:t>
      </w:r>
      <w:proofErr w:type="spellEnd"/>
      <w:r w:rsidRPr="000B711E">
        <w:rPr>
          <w:b/>
          <w:bCs/>
        </w:rPr>
        <w:t xml:space="preserve"> nu te schorsen of in te trekken vanwege het niet meewerken aan het oplossen en compenseren van de illegale praktijken uit het verleden in lijn met art. 4b lid 1 van de wet op de kansspelen?</w:t>
      </w:r>
    </w:p>
    <w:p w:rsidRPr="0048250A" w:rsidR="002F13E7" w:rsidP="002F13E7" w:rsidRDefault="002F13E7" w14:paraId="55338A00"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6</w:t>
      </w:r>
    </w:p>
    <w:p w:rsidR="002F13E7" w:rsidP="002F13E7" w:rsidRDefault="002F13E7" w14:paraId="35421278" w14:textId="77777777">
      <w:pPr>
        <w:autoSpaceDE w:val="0"/>
        <w:adjustRightInd w:val="0"/>
        <w:spacing w:line="240" w:lineRule="auto"/>
        <w:rPr>
          <w:rFonts w:eastAsia="DejaVuSerifCondensed" w:cs="DejaVuSerifCondensed"/>
          <w:b/>
          <w:bCs/>
        </w:rPr>
      </w:pPr>
      <w:r>
        <w:rPr>
          <w:rFonts w:eastAsia="DejaVuSerifCondensed" w:cs="DejaVuSerifCondensed"/>
        </w:rPr>
        <w:t>Het is niet aan mij om te besluiten over te gaan op het schorsen of intrekken van een vergunning. De</w:t>
      </w:r>
      <w:r w:rsidRPr="007D69D0">
        <w:rPr>
          <w:rFonts w:eastAsia="DejaVuSerifCondensed" w:cs="DejaVuSerifCondensed"/>
        </w:rPr>
        <w:t xml:space="preserve"> </w:t>
      </w:r>
      <w:proofErr w:type="spellStart"/>
      <w:r>
        <w:rPr>
          <w:rFonts w:eastAsia="DejaVuSerifCondensed" w:cs="DejaVuSerifCondensed"/>
        </w:rPr>
        <w:t>Ksa</w:t>
      </w:r>
      <w:proofErr w:type="spellEnd"/>
      <w:r>
        <w:rPr>
          <w:rFonts w:eastAsia="DejaVuSerifCondensed" w:cs="DejaVuSerifCondensed"/>
        </w:rPr>
        <w:t xml:space="preserve"> is</w:t>
      </w:r>
      <w:r w:rsidRPr="007D69D0">
        <w:rPr>
          <w:rFonts w:eastAsia="DejaVuSerifCondensed" w:cs="DejaVuSerifCondensed"/>
        </w:rPr>
        <w:t xml:space="preserve"> een onafhankelijk toezichthouder en </w:t>
      </w:r>
      <w:r>
        <w:rPr>
          <w:rFonts w:eastAsia="DejaVuSerifCondensed" w:cs="DejaVuSerifCondensed"/>
        </w:rPr>
        <w:t xml:space="preserve">een </w:t>
      </w:r>
      <w:r w:rsidRPr="007D69D0">
        <w:rPr>
          <w:rFonts w:eastAsia="DejaVuSerifCondensed" w:cs="DejaVuSerifCondensed"/>
        </w:rPr>
        <w:t>zelfstandig bestuursorgaan.</w:t>
      </w:r>
      <w:r>
        <w:rPr>
          <w:rFonts w:eastAsia="DejaVuSerifCondensed" w:cs="DejaVuSerifCondensed"/>
        </w:rPr>
        <w:t xml:space="preserve"> </w:t>
      </w:r>
      <w:r>
        <w:t xml:space="preserve">De </w:t>
      </w:r>
      <w:proofErr w:type="spellStart"/>
      <w:r>
        <w:t>Ksa</w:t>
      </w:r>
      <w:proofErr w:type="spellEnd"/>
      <w:r>
        <w:t xml:space="preserve"> heeft de aanvragers van een vergunning doorgelicht aan de hand van alle geldende criteria en vergunningseisen conform wet- en regelgeving. Daarbij gaat het ook om het betrouwbaarheidsvereiste vervat in artikel 4b, eerste lid, en – specifiek voor kansspelen op afstand – artikel 31i van de Wet op de kansspelen (Wok) alsmede de daarop berustende betrouwbaarheidsbepalingen. Dat omvat een betrouwbaarheidsbeoordeling op grond van artikel 3.4 Besluit kansspelen op afstand, waarbij de </w:t>
      </w:r>
      <w:proofErr w:type="spellStart"/>
      <w:r>
        <w:t>Ksa</w:t>
      </w:r>
      <w:proofErr w:type="spellEnd"/>
      <w:r>
        <w:t xml:space="preserve"> bepaalde antecedenten in de beoordeling kan meenemen. De </w:t>
      </w:r>
      <w:proofErr w:type="spellStart"/>
      <w:r>
        <w:t>Ksa</w:t>
      </w:r>
      <w:proofErr w:type="spellEnd"/>
      <w:r>
        <w:t xml:space="preserve"> beoordeelde of een aanvraag hieraan geheel voldeed. Indien dit het geval was, heeft de </w:t>
      </w:r>
      <w:proofErr w:type="spellStart"/>
      <w:r>
        <w:t>Ksa</w:t>
      </w:r>
      <w:proofErr w:type="spellEnd"/>
      <w:r>
        <w:t xml:space="preserve"> de gevraagde vergunning verstrekt. Voor het meenemen van antecedenten in de betrouwbaarheidsbeoordeling dient er voor de </w:t>
      </w:r>
      <w:proofErr w:type="spellStart"/>
      <w:r>
        <w:t>Ksa</w:t>
      </w:r>
      <w:proofErr w:type="spellEnd"/>
      <w:r>
        <w:t xml:space="preserve"> voldoende aanleiding te zijn. Noch de rechter, noch de privacy-toezichthouder, namelijk de AP, heeft zich over deze casus uitgelaten. Daarmee is het vooralsnog niet in te schatten of dit kwalificeert als een antecedent. </w:t>
      </w:r>
    </w:p>
    <w:p w:rsidR="002F13E7" w:rsidP="002F13E7" w:rsidRDefault="002F13E7" w14:paraId="42CB51B9" w14:textId="77777777">
      <w:pPr>
        <w:autoSpaceDE w:val="0"/>
        <w:adjustRightInd w:val="0"/>
        <w:spacing w:line="240" w:lineRule="auto"/>
        <w:rPr>
          <w:rFonts w:eastAsia="DejaVuSerifCondensed" w:cs="DejaVuSerifCondensed"/>
          <w:b/>
          <w:bCs/>
        </w:rPr>
      </w:pPr>
    </w:p>
    <w:p w:rsidRPr="0048250A" w:rsidR="002F13E7" w:rsidP="002F13E7" w:rsidRDefault="002F13E7" w14:paraId="0D0AEEAB"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7</w:t>
      </w:r>
    </w:p>
    <w:p w:rsidRPr="000B711E" w:rsidR="002F13E7" w:rsidP="002F13E7" w:rsidRDefault="002F13E7" w14:paraId="7772BC08" w14:textId="77777777">
      <w:pPr>
        <w:spacing w:line="240" w:lineRule="auto"/>
        <w:rPr>
          <w:b/>
          <w:bCs/>
        </w:rPr>
      </w:pPr>
      <w:r w:rsidRPr="000B711E">
        <w:rPr>
          <w:b/>
          <w:bCs/>
        </w:rPr>
        <w:t xml:space="preserve">Bent u bereid onderzoek te laten verrichten naar de naleving van de AVG door </w:t>
      </w:r>
      <w:proofErr w:type="spellStart"/>
      <w:r w:rsidRPr="000B711E">
        <w:rPr>
          <w:b/>
          <w:bCs/>
        </w:rPr>
        <w:t>Unibet</w:t>
      </w:r>
      <w:proofErr w:type="spellEnd"/>
      <w:r w:rsidRPr="000B711E">
        <w:rPr>
          <w:b/>
          <w:bCs/>
        </w:rPr>
        <w:t xml:space="preserve"> en de gevolgen hiervan voor Gedupeerden?</w:t>
      </w:r>
    </w:p>
    <w:p w:rsidRPr="0048250A" w:rsidR="002F13E7" w:rsidP="002F13E7" w:rsidRDefault="002F13E7" w14:paraId="07A47BAA"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7</w:t>
      </w:r>
    </w:p>
    <w:p w:rsidRPr="007D69D0" w:rsidR="002F13E7" w:rsidP="002F13E7" w:rsidRDefault="002F13E7" w14:paraId="4C28ECDE" w14:textId="77777777">
      <w:pPr>
        <w:autoSpaceDE w:val="0"/>
        <w:adjustRightInd w:val="0"/>
        <w:spacing w:line="240" w:lineRule="auto"/>
        <w:rPr>
          <w:rFonts w:eastAsia="DejaVuSerifCondensed" w:cs="DejaVuSerifCondensed"/>
        </w:rPr>
      </w:pPr>
      <w:r w:rsidRPr="001A1748">
        <w:rPr>
          <w:rFonts w:eastAsia="DejaVuSerifCondensed" w:cs="DejaVuSerifCondensed"/>
        </w:rPr>
        <w:lastRenderedPageBreak/>
        <w:t>Het is niet aan mij</w:t>
      </w:r>
      <w:r>
        <w:rPr>
          <w:rFonts w:eastAsia="DejaVuSerifCondensed" w:cs="DejaVuSerifCondensed"/>
        </w:rPr>
        <w:t>,</w:t>
      </w:r>
      <w:r w:rsidRPr="001A1748">
        <w:rPr>
          <w:rFonts w:eastAsia="DejaVuSerifCondensed" w:cs="DejaVuSerifCondensed"/>
        </w:rPr>
        <w:t xml:space="preserve"> maar aan de AP om onderzoek te doen naar de naleving van de AVG.</w:t>
      </w:r>
      <w:r>
        <w:rPr>
          <w:rFonts w:eastAsia="DejaVuSerifCondensed" w:cs="DejaVuSerifCondensed"/>
        </w:rPr>
        <w:t xml:space="preserve"> </w:t>
      </w:r>
      <w:r w:rsidRPr="00F5053F">
        <w:rPr>
          <w:rFonts w:eastAsia="DejaVuSerifCondensed" w:cs="DejaVuSerifCondensed"/>
        </w:rPr>
        <w:t xml:space="preserve">De </w:t>
      </w:r>
      <w:r>
        <w:rPr>
          <w:rFonts w:eastAsia="DejaVuSerifCondensed" w:cs="DejaVuSerifCondensed"/>
        </w:rPr>
        <w:t>AP</w:t>
      </w:r>
      <w:r w:rsidRPr="00F5053F">
        <w:rPr>
          <w:rFonts w:eastAsia="DejaVuSerifCondensed" w:cs="DejaVuSerifCondensed"/>
        </w:rPr>
        <w:t xml:space="preserve"> bepaalt als onafhankelijke toezichthouder zelf naar welke situaties zij een onderzoek instelt.</w:t>
      </w:r>
      <w:r>
        <w:rPr>
          <w:rFonts w:eastAsia="DejaVuSerifCondensed" w:cs="DejaVuSerifCondensed"/>
        </w:rPr>
        <w:t xml:space="preserve"> Ik heb de </w:t>
      </w:r>
      <w:proofErr w:type="spellStart"/>
      <w:r>
        <w:rPr>
          <w:rFonts w:eastAsia="DejaVuSerifCondensed" w:cs="DejaVuSerifCondensed"/>
        </w:rPr>
        <w:t>Ksa</w:t>
      </w:r>
      <w:proofErr w:type="spellEnd"/>
      <w:r>
        <w:rPr>
          <w:rFonts w:eastAsia="DejaVuSerifCondensed" w:cs="DejaVuSerifCondensed"/>
        </w:rPr>
        <w:t xml:space="preserve"> en AP gewezen op de betreffende casus. </w:t>
      </w:r>
    </w:p>
    <w:p w:rsidR="002F13E7" w:rsidP="002F13E7" w:rsidRDefault="002F13E7" w14:paraId="5913DEC2" w14:textId="77777777">
      <w:pPr>
        <w:autoSpaceDE w:val="0"/>
        <w:adjustRightInd w:val="0"/>
        <w:spacing w:line="240" w:lineRule="auto"/>
        <w:rPr>
          <w:rFonts w:eastAsia="DejaVuSerifCondensed" w:cs="DejaVuSerifCondensed"/>
          <w:b/>
          <w:bCs/>
        </w:rPr>
      </w:pPr>
    </w:p>
    <w:p w:rsidRPr="0048250A" w:rsidR="002F13E7" w:rsidP="002F13E7" w:rsidRDefault="002F13E7" w14:paraId="6A5597B5"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8</w:t>
      </w:r>
    </w:p>
    <w:p w:rsidRPr="000B711E" w:rsidR="002F13E7" w:rsidP="002F13E7" w:rsidRDefault="002F13E7" w14:paraId="70A9F5C9" w14:textId="77777777">
      <w:pPr>
        <w:spacing w:line="240" w:lineRule="auto"/>
        <w:rPr>
          <w:b/>
          <w:bCs/>
        </w:rPr>
      </w:pPr>
      <w:r w:rsidRPr="000B711E">
        <w:rPr>
          <w:b/>
          <w:bCs/>
        </w:rPr>
        <w:t>Bent u tevens bereid met de Kansspelautoriteit (</w:t>
      </w:r>
      <w:proofErr w:type="spellStart"/>
      <w:r w:rsidRPr="000B711E">
        <w:rPr>
          <w:b/>
          <w:bCs/>
        </w:rPr>
        <w:t>Ksa</w:t>
      </w:r>
      <w:proofErr w:type="spellEnd"/>
      <w:r w:rsidRPr="000B711E">
        <w:rPr>
          <w:b/>
          <w:bCs/>
        </w:rPr>
        <w:t xml:space="preserve">) in gesprek te gaan om te kijken op welke manier er kan worden gehandhaafd tegen </w:t>
      </w:r>
      <w:proofErr w:type="spellStart"/>
      <w:r w:rsidRPr="000B711E">
        <w:rPr>
          <w:b/>
          <w:bCs/>
        </w:rPr>
        <w:t>Unibet</w:t>
      </w:r>
      <w:proofErr w:type="spellEnd"/>
      <w:r w:rsidRPr="000B711E">
        <w:rPr>
          <w:b/>
          <w:bCs/>
        </w:rPr>
        <w:t xml:space="preserve"> zolang zij de AVG overtreden? </w:t>
      </w:r>
    </w:p>
    <w:p w:rsidRPr="0048250A" w:rsidR="002F13E7" w:rsidP="002F13E7" w:rsidRDefault="002F13E7" w14:paraId="43470399"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8</w:t>
      </w:r>
    </w:p>
    <w:p w:rsidRPr="006276ED" w:rsidR="002F13E7" w:rsidP="002F13E7" w:rsidRDefault="002F13E7" w14:paraId="1661EDDC" w14:textId="77777777">
      <w:pPr>
        <w:autoSpaceDE w:val="0"/>
        <w:adjustRightInd w:val="0"/>
        <w:spacing w:line="240" w:lineRule="auto"/>
        <w:rPr>
          <w:rFonts w:eastAsia="DejaVuSerifCondensed" w:cs="DejaVuSerifCondensed"/>
        </w:rPr>
      </w:pPr>
      <w:r>
        <w:t xml:space="preserve">De </w:t>
      </w:r>
      <w:proofErr w:type="spellStart"/>
      <w:r>
        <w:t>Ksa</w:t>
      </w:r>
      <w:proofErr w:type="spellEnd"/>
      <w:r>
        <w:t xml:space="preserve"> is de toezichthouder met betrekking tot de naleving van de Wok. Zij houdt geen toezicht op de naleving van de AVG. Zoals ook aangegeven in het antwoord op vraag zes is het nog niet in te schatten of het handelen van </w:t>
      </w:r>
      <w:proofErr w:type="spellStart"/>
      <w:r>
        <w:t>Unibet</w:t>
      </w:r>
      <w:proofErr w:type="spellEnd"/>
      <w:r>
        <w:t xml:space="preserve"> kwalificeert als antecedent en door de </w:t>
      </w:r>
      <w:proofErr w:type="spellStart"/>
      <w:r>
        <w:t>Ksa</w:t>
      </w:r>
      <w:proofErr w:type="spellEnd"/>
      <w:r>
        <w:t xml:space="preserve"> kan worden meegenomen in de betrouwbaarheidsbeoordeling van </w:t>
      </w:r>
      <w:proofErr w:type="spellStart"/>
      <w:r>
        <w:t>Unibet</w:t>
      </w:r>
      <w:proofErr w:type="spellEnd"/>
      <w:r>
        <w:t xml:space="preserve">. Het is aan de AP om te bepalen in hoeverre er sprake is van een overtreding van de AVG en op welke wijze daartegen wordt opgetreden. De toezichthouders bepalen zelf wanneer zij tot onderzoek overgaan. </w:t>
      </w:r>
    </w:p>
    <w:p w:rsidR="002C3023" w:rsidRDefault="002C3023" w14:paraId="45EECC44" w14:textId="77777777"/>
    <w:sectPr w:rsidR="002C3023" w:rsidSect="002F13E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6288" w14:textId="77777777" w:rsidR="002F13E7" w:rsidRDefault="002F13E7" w:rsidP="002F13E7">
      <w:pPr>
        <w:spacing w:after="0" w:line="240" w:lineRule="auto"/>
      </w:pPr>
      <w:r>
        <w:separator/>
      </w:r>
    </w:p>
  </w:endnote>
  <w:endnote w:type="continuationSeparator" w:id="0">
    <w:p w14:paraId="6241990B" w14:textId="77777777" w:rsidR="002F13E7" w:rsidRDefault="002F13E7"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9E67" w14:textId="77777777" w:rsidR="002F13E7" w:rsidRPr="002F13E7" w:rsidRDefault="002F13E7" w:rsidP="002F13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E631" w14:textId="77777777" w:rsidR="002F13E7" w:rsidRPr="002F13E7" w:rsidRDefault="002F13E7" w:rsidP="002F13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B2B4" w14:textId="77777777" w:rsidR="002F13E7" w:rsidRPr="002F13E7" w:rsidRDefault="002F13E7" w:rsidP="002F13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1B49" w14:textId="77777777" w:rsidR="002F13E7" w:rsidRDefault="002F13E7" w:rsidP="002F13E7">
      <w:pPr>
        <w:spacing w:after="0" w:line="240" w:lineRule="auto"/>
      </w:pPr>
      <w:r>
        <w:separator/>
      </w:r>
    </w:p>
  </w:footnote>
  <w:footnote w:type="continuationSeparator" w:id="0">
    <w:p w14:paraId="0D5540B5" w14:textId="77777777" w:rsidR="002F13E7" w:rsidRDefault="002F13E7" w:rsidP="002F13E7">
      <w:pPr>
        <w:spacing w:after="0" w:line="240" w:lineRule="auto"/>
      </w:pPr>
      <w:r>
        <w:continuationSeparator/>
      </w:r>
    </w:p>
  </w:footnote>
  <w:footnote w:id="1">
    <w:p w14:paraId="6F46C7C8" w14:textId="77777777" w:rsidR="002F13E7" w:rsidRPr="004D4325" w:rsidRDefault="002F13E7" w:rsidP="002F13E7">
      <w:pPr>
        <w:pStyle w:val="Voetnoottekst"/>
        <w:rPr>
          <w:color w:val="000000" w:themeColor="text1"/>
          <w:sz w:val="16"/>
          <w:szCs w:val="16"/>
          <w:lang w:val="nl-NL"/>
        </w:rPr>
      </w:pPr>
      <w:r w:rsidRPr="00ED6785">
        <w:rPr>
          <w:rStyle w:val="Voetnootmarkering"/>
          <w:color w:val="000000" w:themeColor="text1"/>
          <w:sz w:val="16"/>
          <w:szCs w:val="16"/>
        </w:rPr>
        <w:footnoteRef/>
      </w:r>
      <w:r w:rsidRPr="004D4325">
        <w:rPr>
          <w:color w:val="000000" w:themeColor="text1"/>
          <w:sz w:val="16"/>
          <w:szCs w:val="16"/>
          <w:lang w:val="nl-NL"/>
        </w:rPr>
        <w:t xml:space="preserve"> </w:t>
      </w:r>
      <w:hyperlink r:id="rId1" w:history="1">
        <w:r w:rsidRPr="004D4325">
          <w:rPr>
            <w:rStyle w:val="Hyperlink"/>
            <w:color w:val="000000" w:themeColor="text1"/>
            <w:sz w:val="16"/>
            <w:szCs w:val="16"/>
            <w:lang w:val="nl-NL"/>
          </w:rPr>
          <w:t>www.telegraaf.nl/nieuws/554465173/unibet-geeft-gokkers-die-via-de-rechter-geld-terugeisen-geen-inzage-meer-in-transacties-dit-is-sabotage</w:t>
        </w:r>
      </w:hyperlink>
      <w:r w:rsidRPr="004D4325">
        <w:rPr>
          <w:color w:val="000000" w:themeColor="text1"/>
          <w:sz w:val="16"/>
          <w:szCs w:val="16"/>
          <w:lang w:val="nl-NL"/>
        </w:rPr>
        <w:t xml:space="preserve"> </w:t>
      </w:r>
    </w:p>
  </w:footnote>
  <w:footnote w:id="2">
    <w:p w14:paraId="096B44B0" w14:textId="77777777" w:rsidR="002F13E7" w:rsidRPr="004D4325" w:rsidRDefault="002F13E7" w:rsidP="002F13E7">
      <w:pPr>
        <w:pStyle w:val="Voetnoottekst"/>
        <w:rPr>
          <w:lang w:val="nl-NL"/>
        </w:rPr>
      </w:pPr>
      <w:r w:rsidRPr="006E10B8">
        <w:rPr>
          <w:rStyle w:val="Voetnootmarkering"/>
          <w:color w:val="000000" w:themeColor="text1"/>
          <w:sz w:val="16"/>
          <w:szCs w:val="16"/>
        </w:rPr>
        <w:footnoteRef/>
      </w:r>
      <w:r w:rsidRPr="006E10B8">
        <w:rPr>
          <w:color w:val="000000" w:themeColor="text1"/>
          <w:sz w:val="16"/>
          <w:szCs w:val="16"/>
          <w:lang w:val="nl-NL"/>
        </w:rPr>
        <w:t xml:space="preserve"> </w:t>
      </w:r>
      <w:bookmarkStart w:id="0" w:name="_Hlk191305208"/>
      <w:r w:rsidRPr="006E10B8">
        <w:rPr>
          <w:i/>
          <w:iCs/>
          <w:color w:val="000000" w:themeColor="text1"/>
          <w:sz w:val="16"/>
          <w:szCs w:val="16"/>
          <w:lang w:val="nl-NL"/>
        </w:rPr>
        <w:t>Kamerstukken II 2013/14</w:t>
      </w:r>
      <w:r w:rsidRPr="006E10B8">
        <w:rPr>
          <w:color w:val="000000" w:themeColor="text1"/>
          <w:sz w:val="16"/>
          <w:szCs w:val="16"/>
          <w:lang w:val="nl-NL"/>
        </w:rPr>
        <w:t xml:space="preserve">, memorie van toelichting, 33996 nr. 3. </w:t>
      </w:r>
      <w:r w:rsidRPr="004D4325">
        <w:rPr>
          <w:color w:val="000000" w:themeColor="text1"/>
          <w:lang w:val="nl-NL"/>
        </w:rPr>
        <w:t xml:space="preserve"> </w:t>
      </w:r>
      <w:bookmarkEnd w:id="0"/>
    </w:p>
  </w:footnote>
  <w:footnote w:id="3">
    <w:p w14:paraId="7336BF51" w14:textId="77777777" w:rsidR="002F13E7" w:rsidRPr="00376EFE" w:rsidRDefault="002F13E7" w:rsidP="002F13E7">
      <w:pPr>
        <w:pStyle w:val="Voetnoottekst"/>
        <w:rPr>
          <w:lang w:val="nl-NL"/>
        </w:rPr>
      </w:pPr>
      <w:r w:rsidRPr="004D4325">
        <w:rPr>
          <w:rStyle w:val="Voetnootmarkering"/>
        </w:rPr>
        <w:footnoteRef/>
      </w:r>
      <w:r w:rsidRPr="00376EFE">
        <w:rPr>
          <w:lang w:val="nl-NL"/>
        </w:rPr>
        <w:t xml:space="preserve"> </w:t>
      </w:r>
      <w:r w:rsidRPr="00376EFE">
        <w:rPr>
          <w:i/>
          <w:iCs/>
          <w:color w:val="000000" w:themeColor="text1"/>
          <w:sz w:val="16"/>
          <w:szCs w:val="16"/>
          <w:lang w:val="nl-NL"/>
        </w:rPr>
        <w:t>Kamerstukken II</w:t>
      </w:r>
      <w:r w:rsidRPr="00376EFE">
        <w:rPr>
          <w:color w:val="000000" w:themeColor="text1"/>
          <w:sz w:val="16"/>
          <w:szCs w:val="16"/>
          <w:lang w:val="nl-NL"/>
        </w:rPr>
        <w:t xml:space="preserve"> 2024/25, 24 557, nr. 245.</w:t>
      </w:r>
      <w:r>
        <w:rPr>
          <w:lang w:val="nl-NL"/>
        </w:rPr>
        <w:t xml:space="preserve"> </w:t>
      </w:r>
    </w:p>
  </w:footnote>
  <w:footnote w:id="4">
    <w:p w14:paraId="16568D26" w14:textId="77777777" w:rsidR="002F13E7" w:rsidRPr="00BC11E8" w:rsidRDefault="002F13E7" w:rsidP="002F13E7">
      <w:pPr>
        <w:pStyle w:val="Voetnoottekst"/>
        <w:rPr>
          <w:sz w:val="16"/>
          <w:szCs w:val="16"/>
          <w:lang w:val="nl-NL"/>
        </w:rPr>
      </w:pPr>
      <w:r w:rsidRPr="00BC11E8">
        <w:rPr>
          <w:rStyle w:val="Voetnootmarkering"/>
          <w:sz w:val="16"/>
          <w:szCs w:val="16"/>
        </w:rPr>
        <w:footnoteRef/>
      </w:r>
      <w:r w:rsidRPr="00BC11E8">
        <w:rPr>
          <w:sz w:val="16"/>
          <w:szCs w:val="16"/>
          <w:lang w:val="nl-NL"/>
        </w:rPr>
        <w:t xml:space="preserve"> </w:t>
      </w:r>
      <w:r w:rsidRPr="00BC11E8">
        <w:rPr>
          <w:i/>
          <w:iCs/>
          <w:sz w:val="16"/>
          <w:szCs w:val="16"/>
          <w:lang w:val="nl-NL"/>
        </w:rPr>
        <w:t>Kamerstukken I</w:t>
      </w:r>
      <w:r w:rsidRPr="00BC11E8">
        <w:rPr>
          <w:sz w:val="16"/>
          <w:szCs w:val="16"/>
          <w:lang w:val="nl-NL"/>
        </w:rPr>
        <w:t xml:space="preserve"> 2018/19, 33 996, nr. L en Artikel 3.8 in beleidsregels vergunningverlening kansspelen op afstand van Kansspelautoriteit, zie Staatscourant 2021, nr. 13407.</w:t>
      </w:r>
    </w:p>
  </w:footnote>
  <w:footnote w:id="5">
    <w:p w14:paraId="1171B510" w14:textId="77777777" w:rsidR="002F13E7" w:rsidRPr="00BC11E8" w:rsidRDefault="002F13E7" w:rsidP="002F13E7">
      <w:pPr>
        <w:pStyle w:val="Voetnoottekst"/>
        <w:rPr>
          <w:lang w:val="nl-NL"/>
        </w:rPr>
      </w:pPr>
      <w:r w:rsidRPr="00BC11E8">
        <w:rPr>
          <w:rStyle w:val="Voetnootmarkering"/>
          <w:sz w:val="16"/>
          <w:szCs w:val="16"/>
        </w:rPr>
        <w:footnoteRef/>
      </w:r>
      <w:r w:rsidRPr="00BC11E8">
        <w:rPr>
          <w:sz w:val="16"/>
          <w:szCs w:val="16"/>
          <w:lang w:val="nl-NL"/>
        </w:rPr>
        <w:t xml:space="preserve"> Daarnaast mocht </w:t>
      </w:r>
      <w:r w:rsidRPr="00BC11E8">
        <w:rPr>
          <w:rFonts w:eastAsia="DejaVuSerifCondensed" w:cs="DejaVuSerifCondensed"/>
          <w:sz w:val="16"/>
          <w:szCs w:val="16"/>
          <w:lang w:val="nl-NL"/>
        </w:rPr>
        <w:t>de aanvrager mocht in die strikt omlijnde afkoelingsperiode geen webpagina met Nederlandse extensie (.nl) hebben gehad, geen reclame hebben gemaakt gericht op Nederland, geen webpagina’s in het Nederlands hebben gehad of webpagina’s zich op Nederland richten en geen betaalmiddelen gebruiken die uitsluitend of grotendeels door Nederlanders worden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87CD" w14:textId="77777777" w:rsidR="002F13E7" w:rsidRPr="002F13E7" w:rsidRDefault="002F13E7" w:rsidP="002F13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E32C" w14:textId="77777777" w:rsidR="002F13E7" w:rsidRPr="002F13E7" w:rsidRDefault="002F13E7" w:rsidP="002F13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BBF" w14:textId="77777777" w:rsidR="002F13E7" w:rsidRPr="002F13E7" w:rsidRDefault="002F13E7" w:rsidP="002F13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E7"/>
    <w:rsid w:val="002C3023"/>
    <w:rsid w:val="002F13E7"/>
    <w:rsid w:val="008C565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A68D"/>
  <w15:chartTrackingRefBased/>
  <w15:docId w15:val="{A4CCFC92-C776-4331-AF40-3E5296C4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1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1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13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13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13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13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13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13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13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13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13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13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13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13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13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13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13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13E7"/>
    <w:rPr>
      <w:rFonts w:eastAsiaTheme="majorEastAsia" w:cstheme="majorBidi"/>
      <w:color w:val="272727" w:themeColor="text1" w:themeTint="D8"/>
    </w:rPr>
  </w:style>
  <w:style w:type="paragraph" w:styleId="Titel">
    <w:name w:val="Title"/>
    <w:basedOn w:val="Standaard"/>
    <w:next w:val="Standaard"/>
    <w:link w:val="TitelChar"/>
    <w:uiPriority w:val="10"/>
    <w:qFormat/>
    <w:rsid w:val="002F1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13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13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13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13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13E7"/>
    <w:rPr>
      <w:i/>
      <w:iCs/>
      <w:color w:val="404040" w:themeColor="text1" w:themeTint="BF"/>
    </w:rPr>
  </w:style>
  <w:style w:type="paragraph" w:styleId="Lijstalinea">
    <w:name w:val="List Paragraph"/>
    <w:basedOn w:val="Standaard"/>
    <w:uiPriority w:val="34"/>
    <w:qFormat/>
    <w:rsid w:val="002F13E7"/>
    <w:pPr>
      <w:ind w:left="720"/>
      <w:contextualSpacing/>
    </w:pPr>
  </w:style>
  <w:style w:type="character" w:styleId="Intensievebenadrukking">
    <w:name w:val="Intense Emphasis"/>
    <w:basedOn w:val="Standaardalinea-lettertype"/>
    <w:uiPriority w:val="21"/>
    <w:qFormat/>
    <w:rsid w:val="002F13E7"/>
    <w:rPr>
      <w:i/>
      <w:iCs/>
      <w:color w:val="0F4761" w:themeColor="accent1" w:themeShade="BF"/>
    </w:rPr>
  </w:style>
  <w:style w:type="paragraph" w:styleId="Duidelijkcitaat">
    <w:name w:val="Intense Quote"/>
    <w:basedOn w:val="Standaard"/>
    <w:next w:val="Standaard"/>
    <w:link w:val="DuidelijkcitaatChar"/>
    <w:uiPriority w:val="30"/>
    <w:qFormat/>
    <w:rsid w:val="002F1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13E7"/>
    <w:rPr>
      <w:i/>
      <w:iCs/>
      <w:color w:val="0F4761" w:themeColor="accent1" w:themeShade="BF"/>
    </w:rPr>
  </w:style>
  <w:style w:type="character" w:styleId="Intensieveverwijzing">
    <w:name w:val="Intense Reference"/>
    <w:basedOn w:val="Standaardalinea-lettertype"/>
    <w:uiPriority w:val="32"/>
    <w:qFormat/>
    <w:rsid w:val="002F13E7"/>
    <w:rPr>
      <w:b/>
      <w:bCs/>
      <w:smallCaps/>
      <w:color w:val="0F4761" w:themeColor="accent1" w:themeShade="BF"/>
      <w:spacing w:val="5"/>
    </w:rPr>
  </w:style>
  <w:style w:type="character" w:styleId="Hyperlink">
    <w:name w:val="Hyperlink"/>
    <w:basedOn w:val="Standaardalinea-lettertype"/>
    <w:uiPriority w:val="99"/>
    <w:unhideWhenUsed/>
    <w:rsid w:val="002F13E7"/>
    <w:rPr>
      <w:color w:val="467886" w:themeColor="hyperlink"/>
      <w:u w:val="single"/>
    </w:rPr>
  </w:style>
  <w:style w:type="paragraph" w:customStyle="1" w:styleId="Referentiegegevens">
    <w:name w:val="Referentiegegevens"/>
    <w:basedOn w:val="Standaard"/>
    <w:next w:val="Standaard"/>
    <w:rsid w:val="002F13E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F13E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F13E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F13E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F13E7"/>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2F13E7"/>
    <w:rPr>
      <w:rFonts w:ascii="Verdana" w:hAnsi="Verdana"/>
      <w:sz w:val="20"/>
      <w:szCs w:val="20"/>
      <w:lang w:val="en-US"/>
    </w:rPr>
  </w:style>
  <w:style w:type="character" w:styleId="Voetnootmarkering">
    <w:name w:val="footnote reference"/>
    <w:basedOn w:val="Standaardalinea-lettertype"/>
    <w:uiPriority w:val="99"/>
    <w:semiHidden/>
    <w:unhideWhenUsed/>
    <w:rsid w:val="002F13E7"/>
    <w:rPr>
      <w:vertAlign w:val="superscript"/>
    </w:rPr>
  </w:style>
  <w:style w:type="paragraph" w:styleId="Koptekst">
    <w:name w:val="header"/>
    <w:basedOn w:val="Standaard"/>
    <w:link w:val="KoptekstChar"/>
    <w:uiPriority w:val="99"/>
    <w:unhideWhenUsed/>
    <w:rsid w:val="002F13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3E7"/>
  </w:style>
  <w:style w:type="paragraph" w:styleId="Voettekst">
    <w:name w:val="footer"/>
    <w:basedOn w:val="Standaard"/>
    <w:link w:val="VoettekstChar"/>
    <w:uiPriority w:val="99"/>
    <w:unhideWhenUsed/>
    <w:rsid w:val="002F13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13E7"/>
  </w:style>
  <w:style w:type="paragraph" w:styleId="Geenafstand">
    <w:name w:val="No Spacing"/>
    <w:uiPriority w:val="1"/>
    <w:qFormat/>
    <w:rsid w:val="002F1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nieuws/554465173/unibet-geeft-gokkers-die-via-de-rechter-geld-terugeisen-geen-inzage-meer-in-transacties-dit-is-sabota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1123</ap:Words>
  <ap:Characters>6182</ap:Characters>
  <ap:DocSecurity>0</ap:DocSecurity>
  <ap:Lines>51</ap:Lines>
  <ap:Paragraphs>14</ap:Paragraphs>
  <ap:ScaleCrop>false</ap:ScaleCrop>
  <ap:LinksUpToDate>false</ap:LinksUpToDate>
  <ap:CharactersWithSpaces>7291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2025-02-27T13:59:00.0000000Z</dcterms:created>
  <dcterms:modified xsi:type="dcterms:W3CDTF">2025-02-27T14:00:00.0000000Z</dcterms:modified>
  <version/>
  <category/>
</coreProperties>
</file>