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695E" w:rsidR="0018695E" w:rsidP="0018695E" w:rsidRDefault="0018695E" w14:paraId="19CC5627" w14:textId="38E71151">
      <w:pPr>
        <w:pStyle w:val="Standaardcursief"/>
        <w:rPr>
          <w:b/>
          <w:bCs/>
          <w:i w:val="0"/>
          <w:iCs/>
        </w:rPr>
      </w:pPr>
      <w:r w:rsidRPr="0018695E">
        <w:rPr>
          <w:b/>
          <w:bCs/>
          <w:i w:val="0"/>
          <w:iCs/>
        </w:rPr>
        <w:t>AH 1431</w:t>
      </w:r>
    </w:p>
    <w:p w:rsidR="0018695E" w:rsidP="0018695E" w:rsidRDefault="0018695E" w14:paraId="1979497F" w14:textId="0ABAFA77">
      <w:pPr>
        <w:pStyle w:val="Standaardcursief"/>
        <w:rPr>
          <w:b/>
          <w:bCs/>
          <w:i w:val="0"/>
          <w:iCs/>
        </w:rPr>
      </w:pPr>
      <w:r w:rsidRPr="0018695E">
        <w:rPr>
          <w:b/>
          <w:bCs/>
          <w:i w:val="0"/>
          <w:iCs/>
        </w:rPr>
        <w:t>2025Z00387</w:t>
      </w:r>
    </w:p>
    <w:p w:rsidRPr="0018695E" w:rsidR="0018695E" w:rsidP="0018695E" w:rsidRDefault="0018695E" w14:paraId="35342A48" w14:textId="77777777">
      <w:pPr>
        <w:rPr>
          <w:lang w:eastAsia="nl-NL"/>
        </w:rPr>
      </w:pPr>
    </w:p>
    <w:p w:rsidRPr="00A71055" w:rsidR="0018695E" w:rsidP="007B1AD8" w:rsidRDefault="0018695E" w14:paraId="332ECCFE" w14:textId="64A3D836">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27 februari 2025)</w:t>
      </w:r>
    </w:p>
    <w:p w:rsidR="0018695E" w:rsidP="0018695E" w:rsidRDefault="0018695E" w14:paraId="7CAFADD3" w14:textId="00788F26">
      <w:pPr>
        <w:rPr>
          <w:rFonts w:eastAsia="DejaVuSerifCondensed" w:cs="DejaVuSerifCondensed"/>
          <w:sz w:val="24"/>
        </w:rPr>
      </w:pPr>
      <w:r w:rsidRPr="0018695E">
        <w:rPr>
          <w:rFonts w:eastAsia="DejaVuSerifCondensed" w:cs="DejaVuSerifCondensed"/>
          <w:sz w:val="24"/>
        </w:rPr>
        <w:t>Zie ook Aanhangsel Handelingen, vergaderjaar 2024-2025, nr.</w:t>
      </w:r>
      <w:r>
        <w:rPr>
          <w:rFonts w:eastAsia="DejaVuSerifCondensed" w:cs="DejaVuSerifCondensed"/>
          <w:sz w:val="24"/>
        </w:rPr>
        <w:t xml:space="preserve"> 1228</w:t>
      </w:r>
    </w:p>
    <w:p w:rsidRPr="0018695E" w:rsidR="0018695E" w:rsidP="0018695E" w:rsidRDefault="0018695E" w14:paraId="3EB7600B" w14:textId="77777777">
      <w:pPr>
        <w:rPr>
          <w:rFonts w:eastAsia="DejaVuSerifCondensed" w:cs="DejaVuSerifCondensed"/>
        </w:rPr>
      </w:pPr>
    </w:p>
    <w:p w:rsidR="0018695E" w:rsidP="0018695E" w:rsidRDefault="0018695E" w14:paraId="4F11E059" w14:textId="77777777">
      <w:pPr>
        <w:rPr>
          <w:rFonts w:eastAsia="DejaVuSerifCondensed" w:cs="DejaVuSerifCondensed"/>
          <w:b/>
          <w:bCs/>
        </w:rPr>
      </w:pPr>
      <w:r w:rsidRPr="0048250A">
        <w:rPr>
          <w:rFonts w:eastAsia="DejaVuSerifCondensed" w:cs="DejaVuSerifCondensed"/>
          <w:b/>
          <w:bCs/>
        </w:rPr>
        <w:t>Vraag 1</w:t>
      </w:r>
      <w:r w:rsidRPr="00B87167">
        <w:rPr>
          <w:rFonts w:eastAsia="DejaVuSerifCondensed" w:cs="DejaVuSerifCondensed"/>
        </w:rPr>
        <w:t xml:space="preserve"> </w:t>
      </w:r>
      <w:r w:rsidRPr="00B87167">
        <w:rPr>
          <w:rFonts w:eastAsia="DejaVuSerifCondensed" w:cs="DejaVuSerifCondensed"/>
        </w:rPr>
        <w:br/>
      </w:r>
      <w:r w:rsidRPr="001A4FDE">
        <w:rPr>
          <w:b/>
          <w:bCs/>
        </w:rPr>
        <w:t>Bent u bekend met het bericht ‘</w:t>
      </w:r>
      <w:proofErr w:type="spellStart"/>
      <w:r w:rsidRPr="001A4FDE">
        <w:rPr>
          <w:b/>
          <w:bCs/>
        </w:rPr>
        <w:t>Unibet</w:t>
      </w:r>
      <w:proofErr w:type="spellEnd"/>
      <w:r w:rsidRPr="001A4FDE">
        <w:rPr>
          <w:b/>
          <w:bCs/>
        </w:rPr>
        <w:t xml:space="preserve"> geeft gokkers die via de rechter geld terugeisen geen inzage meer in transacties: ‘Dit is sabotage’’?</w:t>
      </w:r>
      <w:r w:rsidRPr="001A4FDE">
        <w:rPr>
          <w:rStyle w:val="Voetnootmarkering"/>
          <w:b/>
          <w:bCs/>
        </w:rPr>
        <w:footnoteReference w:id="1"/>
      </w:r>
      <w:r w:rsidRPr="001A4FDE">
        <w:rPr>
          <w:b/>
          <w:bCs/>
        </w:rPr>
        <w:br/>
      </w:r>
    </w:p>
    <w:p w:rsidRPr="0048250A" w:rsidR="0018695E" w:rsidP="0018695E" w:rsidRDefault="0018695E" w14:paraId="7BD8896D" w14:textId="77777777">
      <w:pPr>
        <w:rPr>
          <w:rFonts w:eastAsia="DejaVuSerifCondensed" w:cs="DejaVuSerifCondensed"/>
          <w:b/>
          <w:bCs/>
        </w:rPr>
      </w:pPr>
      <w:r w:rsidRPr="0048250A">
        <w:rPr>
          <w:rFonts w:eastAsia="DejaVuSerifCondensed" w:cs="DejaVuSerifCondensed"/>
          <w:b/>
          <w:bCs/>
        </w:rPr>
        <w:t>Antwoord op vraag 1</w:t>
      </w:r>
    </w:p>
    <w:p w:rsidR="0018695E" w:rsidP="0018695E" w:rsidRDefault="0018695E" w14:paraId="3D1D054C" w14:textId="77777777">
      <w:pPr>
        <w:autoSpaceDE w:val="0"/>
        <w:adjustRightInd w:val="0"/>
        <w:spacing w:line="240" w:lineRule="auto"/>
      </w:pPr>
      <w:r>
        <w:t xml:space="preserve">Ja. </w:t>
      </w:r>
    </w:p>
    <w:p w:rsidRPr="00B87167" w:rsidR="0018695E" w:rsidP="0018695E" w:rsidRDefault="0018695E" w14:paraId="1D610143" w14:textId="77777777">
      <w:pPr>
        <w:autoSpaceDE w:val="0"/>
        <w:adjustRightInd w:val="0"/>
        <w:spacing w:line="240" w:lineRule="auto"/>
        <w:rPr>
          <w:rFonts w:eastAsia="DejaVuSerifCondensed" w:cs="DejaVuSerifCondensed"/>
        </w:rPr>
      </w:pPr>
    </w:p>
    <w:p w:rsidRPr="0048250A" w:rsidR="0018695E" w:rsidP="0018695E" w:rsidRDefault="0018695E" w14:paraId="2D7A3A36"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2</w:t>
      </w:r>
    </w:p>
    <w:p w:rsidRPr="001A4FDE" w:rsidR="0018695E" w:rsidP="0018695E" w:rsidRDefault="0018695E" w14:paraId="4517FF69" w14:textId="77777777">
      <w:pPr>
        <w:spacing w:line="240" w:lineRule="auto"/>
        <w:rPr>
          <w:b/>
          <w:bCs/>
        </w:rPr>
      </w:pPr>
      <w:r w:rsidRPr="001A4FDE">
        <w:rPr>
          <w:b/>
          <w:bCs/>
        </w:rPr>
        <w:t xml:space="preserve">Wat vindt u ervan dat gedupeerde gokkers geen toegang meer hebben tot het transactieoverzicht in hun </w:t>
      </w:r>
      <w:proofErr w:type="spellStart"/>
      <w:r w:rsidRPr="001A4FDE">
        <w:rPr>
          <w:b/>
          <w:bCs/>
        </w:rPr>
        <w:t>Unibet</w:t>
      </w:r>
      <w:proofErr w:type="spellEnd"/>
      <w:r w:rsidRPr="001A4FDE">
        <w:rPr>
          <w:b/>
          <w:bCs/>
        </w:rPr>
        <w:t>-account, met name in het licht van de Algemene verordening gegevensbescherming?</w:t>
      </w:r>
    </w:p>
    <w:p w:rsidRPr="00127890" w:rsidR="0018695E" w:rsidP="0018695E" w:rsidRDefault="0018695E" w14:paraId="44AE3829" w14:textId="77777777">
      <w:pPr>
        <w:spacing w:line="240" w:lineRule="auto"/>
        <w:rPr>
          <w:rFonts w:eastAsia="DejaVuSerifCondensed" w:cs="DejaVuSerifCondensed"/>
          <w:b/>
          <w:bCs/>
        </w:rPr>
      </w:pPr>
      <w:r w:rsidRPr="0048250A">
        <w:rPr>
          <w:rFonts w:eastAsia="DejaVuSerifCondensed" w:cs="DejaVuSerifCondensed"/>
          <w:b/>
          <w:bCs/>
        </w:rPr>
        <w:t>Antwoord op vraag 2</w:t>
      </w:r>
      <w:r>
        <w:rPr>
          <w:rFonts w:eastAsia="DejaVuSerifCondensed" w:cs="DejaVuSerifCondensed"/>
          <w:b/>
          <w:bCs/>
        </w:rPr>
        <w:br/>
      </w:r>
      <w:r w:rsidRPr="0013151A">
        <w:t xml:space="preserve">Ik </w:t>
      </w:r>
      <w:r>
        <w:t>verwacht van</w:t>
      </w:r>
      <w:r w:rsidRPr="0013151A">
        <w:t xml:space="preserve"> vergunninghouders </w:t>
      </w:r>
      <w:r>
        <w:t xml:space="preserve">dat zij </w:t>
      </w:r>
      <w:r w:rsidRPr="0013151A">
        <w:t>me</w:t>
      </w:r>
      <w:r>
        <w:t xml:space="preserve">dewerking verlenen </w:t>
      </w:r>
      <w:r w:rsidRPr="0013151A">
        <w:t xml:space="preserve"> en transparantie betrachten wanneer spelers v</w:t>
      </w:r>
      <w:r>
        <w:t>erzoeken</w:t>
      </w:r>
      <w:r w:rsidRPr="0013151A">
        <w:t xml:space="preserve"> om inza</w:t>
      </w:r>
      <w:r>
        <w:t>g</w:t>
      </w:r>
      <w:r w:rsidRPr="0013151A">
        <w:t xml:space="preserve">e van hun </w:t>
      </w:r>
      <w:r>
        <w:t>(persoons)</w:t>
      </w:r>
      <w:r w:rsidRPr="0013151A">
        <w:t>gegevens</w:t>
      </w:r>
      <w:r>
        <w:t xml:space="preserve">. </w:t>
      </w:r>
      <w:r w:rsidRPr="0013151A">
        <w:t xml:space="preserve">Ook wanneer dit een contractuele verhouding in het verleden betreft. Waartoe de Algemene verordening gegevensbescherming (AVG) in </w:t>
      </w:r>
      <w:proofErr w:type="spellStart"/>
      <w:r w:rsidRPr="0013151A">
        <w:t>casu</w:t>
      </w:r>
      <w:proofErr w:type="spellEnd"/>
      <w:r w:rsidRPr="0013151A">
        <w:t xml:space="preserve"> toe verplicht, staat evenwel niet ter beoordeling van mij</w:t>
      </w:r>
      <w:r>
        <w:t xml:space="preserve">. De Autoriteit Persoonsgegevens (AP) houdt als onafhankelijk toezichthouder toezicht op onder andere de naleving van de AVG. </w:t>
      </w:r>
      <w:r w:rsidRPr="0013151A">
        <w:rPr>
          <w:rFonts w:eastAsia="DejaVuSerifCondensed" w:cs="DejaVuSerifCondensed"/>
        </w:rPr>
        <w:t xml:space="preserve">Wanneer </w:t>
      </w:r>
      <w:r>
        <w:rPr>
          <w:rFonts w:eastAsia="DejaVuSerifCondensed" w:cs="DejaVuSerifCondensed"/>
        </w:rPr>
        <w:t>een vergunninghouder</w:t>
      </w:r>
      <w:r w:rsidRPr="0013151A">
        <w:rPr>
          <w:rFonts w:eastAsia="DejaVuSerifCondensed" w:cs="DejaVuSerifCondensed"/>
        </w:rPr>
        <w:t xml:space="preserve"> geen medewerking verleent ofschoon </w:t>
      </w:r>
      <w:r>
        <w:rPr>
          <w:rFonts w:eastAsia="DejaVuSerifCondensed" w:cs="DejaVuSerifCondensed"/>
        </w:rPr>
        <w:t xml:space="preserve">hij </w:t>
      </w:r>
      <w:r w:rsidRPr="0013151A">
        <w:rPr>
          <w:rFonts w:eastAsia="DejaVuSerifCondensed" w:cs="DejaVuSerifCondensed"/>
        </w:rPr>
        <w:t>daartoe</w:t>
      </w:r>
      <w:r>
        <w:rPr>
          <w:rFonts w:eastAsia="DejaVuSerifCondensed" w:cs="DejaVuSerifCondensed"/>
        </w:rPr>
        <w:t xml:space="preserve"> wel is</w:t>
      </w:r>
      <w:r w:rsidRPr="0013151A">
        <w:rPr>
          <w:rFonts w:eastAsia="DejaVuSerifCondensed" w:cs="DejaVuSerifCondensed"/>
        </w:rPr>
        <w:t xml:space="preserve"> gehouden, </w:t>
      </w:r>
      <w:r>
        <w:rPr>
          <w:rFonts w:eastAsia="DejaVuSerifCondensed" w:cs="DejaVuSerifCondensed"/>
        </w:rPr>
        <w:t>is het mogelijk</w:t>
      </w:r>
      <w:r w:rsidRPr="0013151A">
        <w:rPr>
          <w:rFonts w:eastAsia="DejaVuSerifCondensed" w:cs="DejaVuSerifCondensed"/>
        </w:rPr>
        <w:t xml:space="preserve"> hierover een klacht in te dienen bij de AP. Het is aan de toezichthouder om vast te stellen of een partij zich </w:t>
      </w:r>
      <w:r>
        <w:rPr>
          <w:rFonts w:eastAsia="DejaVuSerifCondensed" w:cs="DejaVuSerifCondensed"/>
        </w:rPr>
        <w:t xml:space="preserve">niet </w:t>
      </w:r>
      <w:r w:rsidRPr="0013151A">
        <w:rPr>
          <w:rFonts w:eastAsia="DejaVuSerifCondensed" w:cs="DejaVuSerifCondensed"/>
        </w:rPr>
        <w:t>aan de AVG houdt.</w:t>
      </w:r>
    </w:p>
    <w:p w:rsidRPr="0048250A" w:rsidR="0018695E" w:rsidP="0018695E" w:rsidRDefault="0018695E" w14:paraId="6AAD4EA4"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3</w:t>
      </w:r>
    </w:p>
    <w:p w:rsidRPr="001A4FDE" w:rsidR="0018695E" w:rsidP="0018695E" w:rsidRDefault="0018695E" w14:paraId="15AEC9F0" w14:textId="77777777">
      <w:pPr>
        <w:autoSpaceDE w:val="0"/>
        <w:adjustRightInd w:val="0"/>
        <w:spacing w:line="240" w:lineRule="auto"/>
        <w:rPr>
          <w:rFonts w:eastAsia="DejaVuSerifCondensed" w:cs="DejaVuSerifCondensed"/>
          <w:b/>
          <w:bCs/>
        </w:rPr>
      </w:pPr>
      <w:r w:rsidRPr="001A4FDE">
        <w:rPr>
          <w:b/>
          <w:bCs/>
        </w:rPr>
        <w:t>Vindt u het passend dat het betreffende gokbedrijf, gevestigd op Malta, een legale vergunning heeft om kansspelen aan te bieden, terwijl veel gedupeerden nog wachten op de terugvordering van hun verloren geld na het illegale aanbod van dit bedrijf van voor 1 oktober 2021?</w:t>
      </w:r>
      <w:r w:rsidRPr="001A4FDE">
        <w:rPr>
          <w:b/>
          <w:bCs/>
        </w:rPr>
        <w:br/>
      </w:r>
    </w:p>
    <w:p w:rsidRPr="0048250A" w:rsidR="0018695E" w:rsidP="0018695E" w:rsidRDefault="0018695E" w14:paraId="6D85C64A"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lastRenderedPageBreak/>
        <w:t xml:space="preserve">Antwoord op </w:t>
      </w:r>
      <w:r>
        <w:rPr>
          <w:rFonts w:eastAsia="DejaVuSerifCondensed" w:cs="DejaVuSerifCondensed"/>
          <w:b/>
          <w:bCs/>
        </w:rPr>
        <w:t xml:space="preserve">vraag </w:t>
      </w:r>
      <w:r w:rsidRPr="0048250A">
        <w:rPr>
          <w:rFonts w:eastAsia="DejaVuSerifCondensed" w:cs="DejaVuSerifCondensed"/>
          <w:b/>
          <w:bCs/>
        </w:rPr>
        <w:t>3</w:t>
      </w:r>
    </w:p>
    <w:p w:rsidR="0018695E" w:rsidP="0018695E" w:rsidRDefault="0018695E" w14:paraId="4014F760" w14:textId="77777777">
      <w:pPr>
        <w:autoSpaceDE w:val="0"/>
        <w:adjustRightInd w:val="0"/>
        <w:spacing w:line="240" w:lineRule="auto"/>
        <w:rPr>
          <w:rFonts w:eastAsia="DejaVuSerifCondensed" w:cs="DejaVuSerifCondensed"/>
        </w:rPr>
      </w:pPr>
      <w:r>
        <w:rPr>
          <w:rFonts w:eastAsia="DejaVuSerifCondensed" w:cs="DejaVuSerifCondensed"/>
        </w:rPr>
        <w:t>Een belangrijke</w:t>
      </w:r>
      <w:r w:rsidRPr="006771D5">
        <w:rPr>
          <w:rFonts w:eastAsia="DejaVuSerifCondensed" w:cs="DejaVuSerifCondensed"/>
        </w:rPr>
        <w:t xml:space="preserve"> doelstelling van </w:t>
      </w:r>
      <w:r>
        <w:rPr>
          <w:rFonts w:eastAsia="DejaVuSerifCondensed" w:cs="DejaVuSerifCondensed"/>
        </w:rPr>
        <w:t>legalisering van online kansspelen was</w:t>
      </w:r>
      <w:r w:rsidRPr="006771D5">
        <w:rPr>
          <w:rFonts w:eastAsia="DejaVuSerifCondensed" w:cs="DejaVuSerifCondensed"/>
        </w:rPr>
        <w:t xml:space="preserve"> een veilig, gecontroleerd aanbod van online kansspelen </w:t>
      </w:r>
      <w:r>
        <w:rPr>
          <w:rFonts w:eastAsia="DejaVuSerifCondensed" w:cs="DejaVuSerifCondensed"/>
        </w:rPr>
        <w:t xml:space="preserve">te </w:t>
      </w:r>
      <w:r w:rsidRPr="006771D5">
        <w:rPr>
          <w:rFonts w:eastAsia="DejaVuSerifCondensed" w:cs="DejaVuSerifCondensed"/>
        </w:rPr>
        <w:t>creëren.</w:t>
      </w:r>
      <w:r>
        <w:rPr>
          <w:rFonts w:eastAsia="DejaVuSerifCondensed" w:cs="DejaVuSerifCondensed"/>
        </w:rPr>
        <w:t xml:space="preserve"> Destijds is besloten dat z</w:t>
      </w:r>
      <w:r w:rsidRPr="006771D5">
        <w:rPr>
          <w:rFonts w:eastAsia="DejaVuSerifCondensed" w:cs="DejaVuSerifCondensed"/>
        </w:rPr>
        <w:t xml:space="preserve">onder enige clementie voor aanbieders die in het verleden de wet hebben overtreden, </w:t>
      </w:r>
      <w:r>
        <w:rPr>
          <w:rFonts w:eastAsia="DejaVuSerifCondensed" w:cs="DejaVuSerifCondensed"/>
        </w:rPr>
        <w:t>een veilig gecontroleerd en attractief</w:t>
      </w:r>
      <w:r w:rsidRPr="006771D5">
        <w:rPr>
          <w:rFonts w:eastAsia="DejaVuSerifCondensed" w:cs="DejaVuSerifCondensed"/>
        </w:rPr>
        <w:t xml:space="preserve"> aanbod niet tot stand</w:t>
      </w:r>
      <w:r>
        <w:rPr>
          <w:rFonts w:eastAsia="DejaVuSerifCondensed" w:cs="DejaVuSerifCondensed"/>
        </w:rPr>
        <w:t xml:space="preserve"> zou komen. Om hier duidelijke grenzen aan te stellen, </w:t>
      </w:r>
      <w:r w:rsidRPr="006218EE">
        <w:rPr>
          <w:rFonts w:eastAsia="DejaVuSerifCondensed" w:cs="DejaVuSerifCondensed"/>
        </w:rPr>
        <w:t>heeft de Kansspelautoriteit (</w:t>
      </w:r>
      <w:proofErr w:type="spellStart"/>
      <w:r w:rsidRPr="006218EE">
        <w:rPr>
          <w:rFonts w:eastAsia="DejaVuSerifCondensed" w:cs="DejaVuSerifCondensed"/>
        </w:rPr>
        <w:t>Ksa</w:t>
      </w:r>
      <w:proofErr w:type="spellEnd"/>
      <w:r w:rsidRPr="006218EE">
        <w:rPr>
          <w:rFonts w:eastAsia="DejaVuSerifCondensed" w:cs="DejaVuSerifCondensed"/>
        </w:rPr>
        <w:t xml:space="preserve">) mede naar aanleiding van de motie Postema beleidsregels </w:t>
      </w:r>
      <w:r>
        <w:rPr>
          <w:rFonts w:eastAsia="DejaVuSerifCondensed" w:cs="DejaVuSerifCondensed"/>
        </w:rPr>
        <w:t>geïntroduceerd.</w:t>
      </w:r>
      <w:r>
        <w:rPr>
          <w:rStyle w:val="Voetnootmarkering"/>
          <w:rFonts w:eastAsia="DejaVuSerifCondensed" w:cs="DejaVuSerifCondensed"/>
        </w:rPr>
        <w:footnoteReference w:id="2"/>
      </w:r>
      <w:r>
        <w:rPr>
          <w:rFonts w:eastAsia="DejaVuSerifCondensed" w:cs="DejaVuSerifCondensed"/>
        </w:rPr>
        <w:t xml:space="preserve"> Een vergunningsaanvrager diende op grond van die beleidsregels twee jaar en negen maanden voorafgaand aan de datum dat hij een aanvraag indiende zich te hebben onthouden van online kansspelaanbod gericht op Nederland. De aanvrager mocht in die strikt omlijnde afkoelingsperiode geen webpagina met Nederlandse extensie (.nl) hebben gehad, geen reclame hebben gemaakt gericht op Nederland, geen webpagina’s in het Nederlands hebben gehad of webpagina’s die zich op Nederland richten en geen betaalmiddelen gebruiken die uitsluitend of grotendeels door Nederlanders worden gebruikt. Het niet voldoen aan deze criteria, zou in dat geval ertoe leiden dat de </w:t>
      </w:r>
      <w:proofErr w:type="spellStart"/>
      <w:r>
        <w:rPr>
          <w:rFonts w:eastAsia="DejaVuSerifCondensed" w:cs="DejaVuSerifCondensed"/>
        </w:rPr>
        <w:t>Ksa</w:t>
      </w:r>
      <w:proofErr w:type="spellEnd"/>
      <w:r>
        <w:rPr>
          <w:rFonts w:eastAsia="DejaVuSerifCondensed" w:cs="DejaVuSerifCondensed"/>
        </w:rPr>
        <w:t xml:space="preserve"> de betreffende vergunning niet zou verlenen.</w:t>
      </w:r>
    </w:p>
    <w:p w:rsidR="0018695E" w:rsidP="0018695E" w:rsidRDefault="0018695E" w14:paraId="7F62E654" w14:textId="77777777">
      <w:pPr>
        <w:autoSpaceDE w:val="0"/>
        <w:adjustRightInd w:val="0"/>
        <w:spacing w:line="240" w:lineRule="auto"/>
        <w:rPr>
          <w:rFonts w:eastAsia="DejaVuSerifCondensed" w:cs="DejaVuSerifCondensed"/>
          <w:b/>
          <w:bCs/>
        </w:rPr>
      </w:pPr>
    </w:p>
    <w:p w:rsidRPr="0048250A" w:rsidR="0018695E" w:rsidP="0018695E" w:rsidRDefault="0018695E" w14:paraId="102B1729"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4</w:t>
      </w:r>
    </w:p>
    <w:p w:rsidRPr="001A4FDE" w:rsidR="0018695E" w:rsidP="0018695E" w:rsidRDefault="0018695E" w14:paraId="60243012" w14:textId="77777777">
      <w:pPr>
        <w:spacing w:line="240" w:lineRule="auto"/>
        <w:rPr>
          <w:b/>
          <w:bCs/>
        </w:rPr>
      </w:pPr>
      <w:r w:rsidRPr="001A4FDE">
        <w:rPr>
          <w:b/>
          <w:bCs/>
        </w:rPr>
        <w:t>Hoe plaatst u dit bericht in het licht van artikel 4b, lid 1 van de Wet kansspelen op afstand, waarin staat dat kansspelaanbieders moeten aantonen dat hun betrouwbaarheid en geschiktheid om een vergunning te houden, buiten twijfel moet staan?</w:t>
      </w:r>
    </w:p>
    <w:p w:rsidR="0018695E" w:rsidP="0018695E" w:rsidRDefault="0018695E" w14:paraId="67551ADF" w14:textId="77777777">
      <w:pPr>
        <w:autoSpaceDE w:val="0"/>
        <w:adjustRightInd w:val="0"/>
        <w:spacing w:line="240" w:lineRule="auto"/>
      </w:pPr>
      <w:r w:rsidRPr="00177B72">
        <w:rPr>
          <w:b/>
          <w:bCs/>
        </w:rPr>
        <w:t xml:space="preserve">Antwoord </w:t>
      </w:r>
      <w:r>
        <w:rPr>
          <w:b/>
          <w:bCs/>
        </w:rPr>
        <w:t xml:space="preserve">op vraag </w:t>
      </w:r>
      <w:r w:rsidRPr="00177B72">
        <w:rPr>
          <w:b/>
          <w:bCs/>
        </w:rPr>
        <w:t>4</w:t>
      </w:r>
      <w:r>
        <w:br/>
        <w:t xml:space="preserve">De </w:t>
      </w:r>
      <w:proofErr w:type="spellStart"/>
      <w:r>
        <w:t>Ksa</w:t>
      </w:r>
      <w:proofErr w:type="spellEnd"/>
      <w:r>
        <w:t xml:space="preserve"> heeft de aanvragers van een vergunning doorgelicht aan de hand van alle geldende criteria en vergunningseisen conform wet- en regelgeving. Daarbij gaat het ook om het betrouwbaarheidsvereiste vervat in artikel 4b, eerste lid, en – specifiek voor kansspelen op afstand – artikel 31i van de Wet op de kansspelen (Wok) alsmede de daarop berustende betrouwbaarheidsbepalingen. Dat omvat een betrouwbaarheidsbeoordeling op grond van artikel 3.4 Besluit kansspelen op afstand, waarbij de </w:t>
      </w:r>
      <w:proofErr w:type="spellStart"/>
      <w:r>
        <w:t>Ksa</w:t>
      </w:r>
      <w:proofErr w:type="spellEnd"/>
      <w:r>
        <w:t xml:space="preserve"> bepaalde antecedenten in die beoordeling kan meenemen. Alleen indien een aanvrager geheel hier naar oordeel van de </w:t>
      </w:r>
      <w:proofErr w:type="spellStart"/>
      <w:r>
        <w:t>Ksa</w:t>
      </w:r>
      <w:proofErr w:type="spellEnd"/>
      <w:r>
        <w:t xml:space="preserve"> aan voldeed, heeft de </w:t>
      </w:r>
      <w:proofErr w:type="spellStart"/>
      <w:r>
        <w:t>Ksa</w:t>
      </w:r>
      <w:proofErr w:type="spellEnd"/>
      <w:r>
        <w:t xml:space="preserve"> de gevraagde vergunning verstrekt. Voor het meenemen van antecedenten in de betrouwbaarheidsbeoordeling dient er voor de </w:t>
      </w:r>
      <w:proofErr w:type="spellStart"/>
      <w:r>
        <w:t>Ksa</w:t>
      </w:r>
      <w:proofErr w:type="spellEnd"/>
      <w:r>
        <w:t xml:space="preserve"> voldoende aanleiding te zijn.</w:t>
      </w:r>
      <w:r>
        <w:rPr>
          <w:rStyle w:val="Voetnootmarkering"/>
        </w:rPr>
        <w:footnoteReference w:id="3"/>
      </w:r>
      <w:r>
        <w:t xml:space="preserve"> Noch de rechter, noch de privacy-toezichthouder, namelijk de AP, heeft zich over deze casus uitgelaten. Daarmee is het vooralsnog niet in te schatten of dit kwalificeert als een antecedent. </w:t>
      </w:r>
    </w:p>
    <w:p w:rsidR="0018695E" w:rsidP="0018695E" w:rsidRDefault="0018695E" w14:paraId="46F4D246" w14:textId="77777777">
      <w:pPr>
        <w:autoSpaceDE w:val="0"/>
        <w:adjustRightInd w:val="0"/>
        <w:spacing w:line="240" w:lineRule="auto"/>
      </w:pPr>
    </w:p>
    <w:p w:rsidRPr="0048250A" w:rsidR="0018695E" w:rsidP="0018695E" w:rsidRDefault="0018695E" w14:paraId="3933AB89" w14:textId="77777777">
      <w:pPr>
        <w:autoSpaceDE w:val="0"/>
        <w:adjustRightInd w:val="0"/>
        <w:spacing w:line="240" w:lineRule="auto"/>
        <w:rPr>
          <w:rFonts w:eastAsia="DejaVuSerifCondensed" w:cs="DejaVuSerifCondensed"/>
          <w:b/>
          <w:bCs/>
        </w:rPr>
      </w:pPr>
      <w:bookmarkStart w:name="_Hlk183531895" w:id="0"/>
      <w:r w:rsidRPr="0048250A">
        <w:rPr>
          <w:rFonts w:eastAsia="DejaVuSerifCondensed" w:cs="DejaVuSerifCondensed"/>
          <w:b/>
          <w:bCs/>
        </w:rPr>
        <w:t>Vraag 5</w:t>
      </w:r>
    </w:p>
    <w:bookmarkEnd w:id="0"/>
    <w:p w:rsidR="0018695E" w:rsidP="0018695E" w:rsidRDefault="0018695E" w14:paraId="0E487406" w14:textId="77777777">
      <w:pPr>
        <w:spacing w:line="240" w:lineRule="auto"/>
        <w:rPr>
          <w:rFonts w:eastAsia="DejaVuSerifCondensed" w:cs="DejaVuSerifCondensed"/>
        </w:rPr>
      </w:pPr>
      <w:r w:rsidRPr="001A4FDE">
        <w:rPr>
          <w:b/>
          <w:bCs/>
        </w:rPr>
        <w:t xml:space="preserve">Bent u van mening dat </w:t>
      </w:r>
      <w:proofErr w:type="spellStart"/>
      <w:r w:rsidRPr="001A4FDE">
        <w:rPr>
          <w:b/>
          <w:bCs/>
        </w:rPr>
        <w:t>Unibet</w:t>
      </w:r>
      <w:proofErr w:type="spellEnd"/>
      <w:r w:rsidRPr="001A4FDE">
        <w:rPr>
          <w:b/>
          <w:bCs/>
        </w:rPr>
        <w:t xml:space="preserve"> met deze werkwijze hun zorgplicht, waar alle kansspelaanbieders met een vergunning zich aan moeten houden, naleeft?</w:t>
      </w:r>
      <w:r>
        <w:br/>
      </w:r>
      <w:r>
        <w:rPr>
          <w:rFonts w:eastAsia="DejaVuSerifCondensed" w:cs="DejaVuSerifCondensed"/>
          <w:b/>
          <w:bCs/>
        </w:rPr>
        <w:br/>
      </w:r>
      <w:r w:rsidRPr="0049188C">
        <w:rPr>
          <w:rFonts w:eastAsia="DejaVuSerifCondensed" w:cs="DejaVuSerifCondensed"/>
          <w:b/>
          <w:bCs/>
        </w:rPr>
        <w:t xml:space="preserve">Antwoord </w:t>
      </w:r>
      <w:r>
        <w:rPr>
          <w:rFonts w:eastAsia="DejaVuSerifCondensed" w:cs="DejaVuSerifCondensed"/>
          <w:b/>
          <w:bCs/>
        </w:rPr>
        <w:t>op vraag 5</w:t>
      </w:r>
      <w:r>
        <w:rPr>
          <w:rFonts w:eastAsia="DejaVuSerifCondensed" w:cs="DejaVuSerifCondensed"/>
          <w:b/>
          <w:bCs/>
        </w:rPr>
        <w:br/>
      </w:r>
      <w:r>
        <w:rPr>
          <w:rFonts w:eastAsia="DejaVuSerifCondensed" w:cs="DejaVuSerifCondensed"/>
        </w:rPr>
        <w:t>De zorgplicht zoals onder andere vervat in artikel 4a, eerste lid, en artikel 31m van de Wok verplicht de vergunninghouder de gegevens van de speler, waaronder diens transacties te verwerken ter invulling van de verplichte analyse van het speelgedrag.</w:t>
      </w:r>
      <w:r>
        <w:rPr>
          <w:rStyle w:val="Voetnootmarkering"/>
          <w:rFonts w:eastAsia="DejaVuSerifCondensed" w:cs="DejaVuSerifCondensed"/>
        </w:rPr>
        <w:footnoteReference w:id="4"/>
      </w:r>
      <w:r>
        <w:rPr>
          <w:rFonts w:eastAsia="DejaVuSerifCondensed" w:cs="DejaVuSerifCondensed"/>
        </w:rPr>
        <w:t xml:space="preserve"> In de memorie van toelichting op de Wok is ook opgenomen dat een aanbieder van kansspelen op afstand die over een vergunning beschikt, deze informatie dient te verstrekken aan de speler over zijn speelgedrag.</w:t>
      </w:r>
      <w:r>
        <w:rPr>
          <w:rStyle w:val="Voetnootmarkering"/>
          <w:rFonts w:eastAsia="DejaVuSerifCondensed" w:cs="DejaVuSerifCondensed"/>
        </w:rPr>
        <w:footnoteReference w:id="5"/>
      </w:r>
      <w:r>
        <w:rPr>
          <w:rFonts w:eastAsia="DejaVuSerifCondensed" w:cs="DejaVuSerifCondensed"/>
        </w:rPr>
        <w:t xml:space="preserve"> De bepalingen met betrekking tot de zorgplicht kunnen echter vergunninghouders enkel verplichten over de periode dat zij een vergunning hebben.  </w:t>
      </w:r>
    </w:p>
    <w:p w:rsidRPr="0048250A" w:rsidR="0018695E" w:rsidP="0018695E" w:rsidRDefault="0018695E" w14:paraId="0C97C813"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6</w:t>
      </w:r>
    </w:p>
    <w:p w:rsidRPr="001A4FDE" w:rsidR="0018695E" w:rsidP="0018695E" w:rsidRDefault="0018695E" w14:paraId="35E335BA" w14:textId="77777777">
      <w:pPr>
        <w:autoSpaceDE w:val="0"/>
        <w:adjustRightInd w:val="0"/>
        <w:spacing w:line="240" w:lineRule="auto"/>
        <w:rPr>
          <w:b/>
          <w:bCs/>
        </w:rPr>
      </w:pPr>
      <w:r w:rsidRPr="001A4FDE">
        <w:rPr>
          <w:b/>
          <w:bCs/>
        </w:rPr>
        <w:t>Op welke manieren kunnen kansspelaanbieders hun vergunning verliezen en is het bewust schenden van consumentenrechten hier onderdeel van?</w:t>
      </w:r>
    </w:p>
    <w:p w:rsidR="0018695E" w:rsidP="0018695E" w:rsidRDefault="0018695E" w14:paraId="6890FC95" w14:textId="77777777">
      <w:pPr>
        <w:autoSpaceDE w:val="0"/>
        <w:adjustRightInd w:val="0"/>
        <w:spacing w:line="240" w:lineRule="auto"/>
      </w:pPr>
    </w:p>
    <w:p w:rsidRPr="0048250A" w:rsidR="0018695E" w:rsidP="0018695E" w:rsidRDefault="0018695E" w14:paraId="1D36BC12"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6</w:t>
      </w:r>
    </w:p>
    <w:p w:rsidR="0018695E" w:rsidP="0018695E" w:rsidRDefault="0018695E" w14:paraId="57D9AD25" w14:textId="77777777">
      <w:pPr>
        <w:autoSpaceDE w:val="0"/>
        <w:adjustRightInd w:val="0"/>
        <w:spacing w:line="240" w:lineRule="auto"/>
        <w:rPr>
          <w:rFonts w:eastAsia="DejaVuSerifCondensed" w:cs="DejaVuSerifCondensed"/>
        </w:rPr>
      </w:pPr>
      <w:r>
        <w:rPr>
          <w:rFonts w:eastAsia="DejaVuSerifCondensed" w:cs="DejaVuSerifCondensed"/>
        </w:rPr>
        <w:t xml:space="preserve">Het is aan de </w:t>
      </w:r>
      <w:proofErr w:type="spellStart"/>
      <w:r>
        <w:rPr>
          <w:rFonts w:eastAsia="DejaVuSerifCondensed" w:cs="DejaVuSerifCondensed"/>
        </w:rPr>
        <w:t>Ksa</w:t>
      </w:r>
      <w:proofErr w:type="spellEnd"/>
      <w:r>
        <w:rPr>
          <w:rFonts w:eastAsia="DejaVuSerifCondensed" w:cs="DejaVuSerifCondensed"/>
        </w:rPr>
        <w:t xml:space="preserve"> om toezicht te houden op de Wok en te handhaven wanneer een overtreding wordt geconstateerd. De </w:t>
      </w:r>
      <w:proofErr w:type="spellStart"/>
      <w:r>
        <w:rPr>
          <w:rFonts w:eastAsia="DejaVuSerifCondensed" w:cs="DejaVuSerifCondensed"/>
        </w:rPr>
        <w:t>Ksa</w:t>
      </w:r>
      <w:proofErr w:type="spellEnd"/>
      <w:r>
        <w:rPr>
          <w:rFonts w:eastAsia="DejaVuSerifCondensed" w:cs="DejaVuSerifCondensed"/>
        </w:rPr>
        <w:t xml:space="preserve"> kan verschillende bevoegdheden inzetten, waaronder het intrekken van een vergunning. </w:t>
      </w:r>
    </w:p>
    <w:p w:rsidR="0018695E" w:rsidP="0018695E" w:rsidRDefault="0018695E" w14:paraId="54D43D88" w14:textId="77777777">
      <w:pPr>
        <w:autoSpaceDE w:val="0"/>
        <w:adjustRightInd w:val="0"/>
        <w:spacing w:line="240" w:lineRule="auto"/>
        <w:rPr>
          <w:rFonts w:eastAsia="DejaVuSerifCondensed" w:cs="DejaVuSerifCondensed"/>
        </w:rPr>
      </w:pPr>
    </w:p>
    <w:p w:rsidR="0018695E" w:rsidP="0018695E" w:rsidRDefault="0018695E" w14:paraId="6D49631E" w14:textId="77777777">
      <w:pPr>
        <w:autoSpaceDE w:val="0"/>
        <w:adjustRightInd w:val="0"/>
        <w:spacing w:line="240" w:lineRule="auto"/>
        <w:rPr>
          <w:rFonts w:eastAsia="DejaVuSerifCondensed" w:cs="DejaVuSerifCondensed"/>
        </w:rPr>
      </w:pPr>
      <w:r>
        <w:rPr>
          <w:rFonts w:eastAsia="DejaVuSerifCondensed" w:cs="DejaVuSerifCondensed"/>
        </w:rPr>
        <w:t xml:space="preserve">Als bedoeld in artikel 31d van de Wok kan een vergunning worden ingetrokken indien de beslissing om de vergunning te verlenen is gebaseerd op onjuiste of onvolledige gegevens. De onjuistheid of onvolledigheid moet van dermate aard zijn dat de vergunning niet zou zijn verleend wanneer de </w:t>
      </w:r>
      <w:proofErr w:type="spellStart"/>
      <w:r>
        <w:rPr>
          <w:rFonts w:eastAsia="DejaVuSerifCondensed" w:cs="DejaVuSerifCondensed"/>
        </w:rPr>
        <w:t>Ksa</w:t>
      </w:r>
      <w:proofErr w:type="spellEnd"/>
      <w:r>
        <w:rPr>
          <w:rFonts w:eastAsia="DejaVuSerifCondensed" w:cs="DejaVuSerifCondensed"/>
        </w:rPr>
        <w:t xml:space="preserve"> toentertijd beschikking had gehad over deze gegevens. De vergunning kan ook worden ingetrokken wanneer niet aan de voorwaarden die gelden voor de verlening van die vergunning worden voldaan. Verder kan een vergunning worden ingetrokken, indien de vergunninghouder de wettelijke voorschriften op grond van de Wok, de Wet op de kansspelbelasting, de Wet ter voorkoming van witwassen en financieren van terrorisme, de beperking waaronder de vergunning is verleend of de aan de vergunning verbonden voorschriften heeft overtreden. Dit kunnen ook voorschriften met betrekking tot aan de vergunning verbonden consumentenrechten zijn. Aangezien een intrekking van de vergunning het zwaarste instrument is dat de </w:t>
      </w:r>
      <w:proofErr w:type="spellStart"/>
      <w:r>
        <w:rPr>
          <w:rFonts w:eastAsia="DejaVuSerifCondensed" w:cs="DejaVuSerifCondensed"/>
        </w:rPr>
        <w:t>Ksa</w:t>
      </w:r>
      <w:proofErr w:type="spellEnd"/>
      <w:r>
        <w:rPr>
          <w:rFonts w:eastAsia="DejaVuSerifCondensed" w:cs="DejaVuSerifCondensed"/>
        </w:rPr>
        <w:t xml:space="preserve"> tot haar beschikking heeft, is intrekken een </w:t>
      </w:r>
      <w:r>
        <w:rPr>
          <w:rFonts w:eastAsia="DejaVuSerifCondensed" w:cs="DejaVuSerifCondensed"/>
        </w:rPr>
        <w:lastRenderedPageBreak/>
        <w:t>ultimum remedium. Dit instrument wordt pas ingezet als andere instrumenten om naleving af te dwingen niet werken.</w:t>
      </w:r>
    </w:p>
    <w:p w:rsidRPr="00766F9D" w:rsidR="0018695E" w:rsidP="0018695E" w:rsidRDefault="0018695E" w14:paraId="336C7880" w14:textId="77777777">
      <w:pPr>
        <w:autoSpaceDE w:val="0"/>
        <w:adjustRightInd w:val="0"/>
        <w:spacing w:line="240" w:lineRule="auto"/>
        <w:rPr>
          <w:rFonts w:eastAsia="DejaVuSerifCondensed" w:cs="DejaVuSerifCondensed"/>
        </w:rPr>
      </w:pPr>
    </w:p>
    <w:p w:rsidRPr="0048250A" w:rsidR="0018695E" w:rsidP="0018695E" w:rsidRDefault="0018695E" w14:paraId="6357910D"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7</w:t>
      </w:r>
    </w:p>
    <w:p w:rsidRPr="001A4FDE" w:rsidR="0018695E" w:rsidP="0018695E" w:rsidRDefault="0018695E" w14:paraId="316495A9" w14:textId="77777777">
      <w:pPr>
        <w:autoSpaceDE w:val="0"/>
        <w:adjustRightInd w:val="0"/>
        <w:spacing w:line="240" w:lineRule="auto"/>
        <w:rPr>
          <w:b/>
          <w:bCs/>
        </w:rPr>
      </w:pPr>
      <w:r w:rsidRPr="001A4FDE">
        <w:rPr>
          <w:b/>
          <w:bCs/>
        </w:rPr>
        <w:t xml:space="preserve">Bent u het met het CDA eens dat </w:t>
      </w:r>
      <w:proofErr w:type="spellStart"/>
      <w:r w:rsidRPr="001A4FDE">
        <w:rPr>
          <w:b/>
          <w:bCs/>
        </w:rPr>
        <w:t>Unibet</w:t>
      </w:r>
      <w:proofErr w:type="spellEnd"/>
      <w:r w:rsidRPr="001A4FDE">
        <w:rPr>
          <w:b/>
          <w:bCs/>
        </w:rPr>
        <w:t xml:space="preserve"> op deze manier de belangen van Nederlandse consumenten schendt en zo ja, welke stappen gaat u hiertegen ondernemen?</w:t>
      </w:r>
    </w:p>
    <w:p w:rsidR="0018695E" w:rsidP="0018695E" w:rsidRDefault="0018695E" w14:paraId="7ACE4A7C" w14:textId="77777777">
      <w:pPr>
        <w:autoSpaceDE w:val="0"/>
        <w:adjustRightInd w:val="0"/>
        <w:spacing w:line="240" w:lineRule="auto"/>
      </w:pPr>
    </w:p>
    <w:p w:rsidRPr="0048250A" w:rsidR="0018695E" w:rsidP="0018695E" w:rsidRDefault="0018695E" w14:paraId="570C6BEF"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7</w:t>
      </w:r>
    </w:p>
    <w:p w:rsidR="0018695E" w:rsidP="0018695E" w:rsidRDefault="0018695E" w14:paraId="12959774" w14:textId="77777777">
      <w:pPr>
        <w:autoSpaceDE w:val="0"/>
        <w:adjustRightInd w:val="0"/>
        <w:spacing w:line="240" w:lineRule="auto"/>
        <w:rPr>
          <w:rFonts w:eastAsia="DejaVuSerifCondensed" w:cs="DejaVuSerifCondensed"/>
          <w:b/>
          <w:bCs/>
        </w:rPr>
      </w:pPr>
      <w:r>
        <w:rPr>
          <w:rFonts w:eastAsia="DejaVuSerifCondensed" w:cs="DejaVuSerifCondensed"/>
        </w:rPr>
        <w:t xml:space="preserve">De kwestie dat een kansspelaanbieder geen inzage verleent aan spelers in hun gegevens en deze mogelijk heeft verwijderd, betreft vooraleerst een civielrechtelijke kwestie of tussen de speler en een illegale aanbieder toentertijd een contractuele rechtsverhouding is ontstaan. Ik kan geen uitspraken hierover doen. De speler kan juridische stappen ondernemen om vast te stellen of daar sprake van is en of – bij gebreke van een geldige overeenkomst – het geld dat hij (netto) heeft verloren moet worden terugbetaald. Wanneer de speler vindt dat de AVG wordt overtreden, dan kan deze hier een melding van maken bij de AP. </w:t>
      </w:r>
    </w:p>
    <w:p w:rsidR="0018695E" w:rsidP="0018695E" w:rsidRDefault="0018695E" w14:paraId="0FDFF8A3" w14:textId="77777777">
      <w:pPr>
        <w:autoSpaceDE w:val="0"/>
        <w:adjustRightInd w:val="0"/>
        <w:spacing w:line="240" w:lineRule="auto"/>
        <w:rPr>
          <w:rFonts w:eastAsia="DejaVuSerifCondensed" w:cs="DejaVuSerifCondensed"/>
          <w:b/>
          <w:bCs/>
        </w:rPr>
      </w:pPr>
    </w:p>
    <w:p w:rsidRPr="0048250A" w:rsidR="0018695E" w:rsidP="0018695E" w:rsidRDefault="0018695E" w14:paraId="1E52413C"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8</w:t>
      </w:r>
    </w:p>
    <w:p w:rsidRPr="001A4FDE" w:rsidR="0018695E" w:rsidP="0018695E" w:rsidRDefault="0018695E" w14:paraId="549D613B" w14:textId="77777777">
      <w:pPr>
        <w:autoSpaceDE w:val="0"/>
        <w:adjustRightInd w:val="0"/>
        <w:spacing w:line="240" w:lineRule="auto"/>
        <w:rPr>
          <w:rFonts w:eastAsia="DejaVuSerifCondensed" w:cs="DejaVuSerifCondensed"/>
          <w:b/>
          <w:bCs/>
        </w:rPr>
      </w:pPr>
      <w:r w:rsidRPr="001A4FDE">
        <w:rPr>
          <w:b/>
          <w:bCs/>
        </w:rPr>
        <w:t xml:space="preserve">Waren de problemen tussen </w:t>
      </w:r>
      <w:proofErr w:type="spellStart"/>
      <w:r w:rsidRPr="001A4FDE">
        <w:rPr>
          <w:b/>
          <w:bCs/>
        </w:rPr>
        <w:t>Unibet</w:t>
      </w:r>
      <w:proofErr w:type="spellEnd"/>
      <w:r w:rsidRPr="001A4FDE">
        <w:rPr>
          <w:b/>
          <w:bCs/>
        </w:rPr>
        <w:t xml:space="preserve"> en gedupeerde gokkers bekend toen </w:t>
      </w:r>
      <w:proofErr w:type="spellStart"/>
      <w:r w:rsidRPr="001A4FDE">
        <w:rPr>
          <w:b/>
          <w:bCs/>
        </w:rPr>
        <w:t>Unibet</w:t>
      </w:r>
      <w:proofErr w:type="spellEnd"/>
      <w:r w:rsidRPr="001A4FDE">
        <w:rPr>
          <w:b/>
          <w:bCs/>
        </w:rPr>
        <w:t xml:space="preserve"> een vergunning kreeg om legaal online kansspelen aan te bieden in Nederland?</w:t>
      </w:r>
      <w:r w:rsidRPr="001A4FDE">
        <w:rPr>
          <w:b/>
          <w:bCs/>
        </w:rPr>
        <w:br/>
      </w:r>
    </w:p>
    <w:p w:rsidRPr="0048250A" w:rsidR="0018695E" w:rsidP="0018695E" w:rsidRDefault="0018695E" w14:paraId="34A7E462"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8</w:t>
      </w:r>
    </w:p>
    <w:p w:rsidR="0018695E" w:rsidP="0018695E" w:rsidRDefault="0018695E" w14:paraId="27F1562D" w14:textId="77777777">
      <w:pPr>
        <w:autoSpaceDE w:val="0"/>
        <w:adjustRightInd w:val="0"/>
        <w:spacing w:line="240" w:lineRule="auto"/>
      </w:pPr>
      <w:r>
        <w:t xml:space="preserve">Er waren bij de </w:t>
      </w:r>
      <w:proofErr w:type="spellStart"/>
      <w:r>
        <w:t>Ksa</w:t>
      </w:r>
      <w:proofErr w:type="spellEnd"/>
      <w:r>
        <w:t xml:space="preserve"> ten tijde van de vergunningverlening geen signalen bekend van zodanige ernst dat ze de vergunningverlening zouden beïnvloeden. Tevens waren mede naar aanleiding van de motie Postema en omwille van de bescherming van de speler </w:t>
      </w:r>
      <w:r w:rsidRPr="00A73D50">
        <w:t xml:space="preserve">beleidsregels </w:t>
      </w:r>
      <w:r>
        <w:t xml:space="preserve">geïntroduceerd om een afkoelingsperiode te bewerkstelligen. Een eerder </w:t>
      </w:r>
      <w:proofErr w:type="spellStart"/>
      <w:r>
        <w:t>onvergunde</w:t>
      </w:r>
      <w:proofErr w:type="spellEnd"/>
      <w:r>
        <w:t xml:space="preserve"> aanbieder moest twee jaar en negen maanden voor het indienen van een vergunningsaanvraag niet actief zijn geweest in Nederland.</w:t>
      </w:r>
      <w:r w:rsidRPr="00601EFF">
        <w:t xml:space="preserve"> </w:t>
      </w:r>
    </w:p>
    <w:p w:rsidR="0018695E" w:rsidP="0018695E" w:rsidRDefault="0018695E" w14:paraId="7083B644" w14:textId="77777777">
      <w:pPr>
        <w:autoSpaceDE w:val="0"/>
        <w:adjustRightInd w:val="0"/>
        <w:spacing w:line="240" w:lineRule="auto"/>
        <w:rPr>
          <w:rFonts w:eastAsia="DejaVuSerifCondensed" w:cs="DejaVuSerifCondensed"/>
          <w:b/>
          <w:bCs/>
        </w:rPr>
      </w:pPr>
    </w:p>
    <w:p w:rsidRPr="0048250A" w:rsidR="0018695E" w:rsidP="0018695E" w:rsidRDefault="0018695E" w14:paraId="07F43835"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9</w:t>
      </w:r>
    </w:p>
    <w:p w:rsidRPr="001A4FDE" w:rsidR="0018695E" w:rsidP="0018695E" w:rsidRDefault="0018695E" w14:paraId="3F1CF324" w14:textId="77777777">
      <w:pPr>
        <w:spacing w:line="240" w:lineRule="auto"/>
        <w:rPr>
          <w:b/>
          <w:bCs/>
        </w:rPr>
      </w:pPr>
      <w:r w:rsidRPr="001A4FDE">
        <w:rPr>
          <w:b/>
          <w:bCs/>
        </w:rPr>
        <w:t xml:space="preserve">Bent u ervan op de hoogte dat toenmalig minister Donner in 2005 bevestigde dat op grond van de Wet op de Kansspelen verboden overeenkomsten nietig zijn en zo ja, wat vindt u van het feit dat </w:t>
      </w:r>
      <w:proofErr w:type="spellStart"/>
      <w:r w:rsidRPr="001A4FDE">
        <w:rPr>
          <w:b/>
          <w:bCs/>
        </w:rPr>
        <w:t>Unibet</w:t>
      </w:r>
      <w:proofErr w:type="spellEnd"/>
      <w:r w:rsidRPr="001A4FDE">
        <w:rPr>
          <w:b/>
          <w:bCs/>
        </w:rPr>
        <w:t xml:space="preserve"> en andere kansspelaanbieders desondanks dit soort kansspelovereenkomsten bleven aanbieden?</w:t>
      </w:r>
    </w:p>
    <w:p w:rsidRPr="0048250A" w:rsidR="0018695E" w:rsidP="0018695E" w:rsidRDefault="0018695E" w14:paraId="54A87429"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lastRenderedPageBreak/>
        <w:t xml:space="preserve">Antwoord op vraag </w:t>
      </w:r>
      <w:r>
        <w:rPr>
          <w:rFonts w:eastAsia="DejaVuSerifCondensed" w:cs="DejaVuSerifCondensed"/>
          <w:b/>
          <w:bCs/>
        </w:rPr>
        <w:t>9</w:t>
      </w:r>
    </w:p>
    <w:p w:rsidR="0018695E" w:rsidP="0018695E" w:rsidRDefault="0018695E" w14:paraId="5D7D18B1" w14:textId="77777777">
      <w:pPr>
        <w:autoSpaceDE w:val="0"/>
        <w:adjustRightInd w:val="0"/>
        <w:spacing w:line="240" w:lineRule="auto"/>
      </w:pPr>
      <w:r>
        <w:t>Ja.</w:t>
      </w:r>
      <w:r>
        <w:rPr>
          <w:rStyle w:val="Voetnootmarkering"/>
        </w:rPr>
        <w:footnoteReference w:id="6"/>
      </w:r>
      <w:r>
        <w:t xml:space="preserve"> De weging in hoeverre er sprake is van een nietige overeenkomst, is aan de rechter. Het aanbieden van kansspelen zonder vergunning is verboden. Ik vind het  onacceptabel dat partijen zonder vergunning kansspelen aanboden en daarvoor overeenkomsten aangingen met spelers. Dit was een reden voor legalisering van online kansspelen, zodat waarborgen konden worden geboden voor consumentenbescherming. </w:t>
      </w:r>
    </w:p>
    <w:p w:rsidR="0018695E" w:rsidP="0018695E" w:rsidRDefault="0018695E" w14:paraId="2329294D" w14:textId="77777777">
      <w:pPr>
        <w:autoSpaceDE w:val="0"/>
        <w:adjustRightInd w:val="0"/>
        <w:spacing w:line="240" w:lineRule="auto"/>
      </w:pPr>
    </w:p>
    <w:p w:rsidR="0018695E" w:rsidP="0018695E" w:rsidRDefault="0018695E" w14:paraId="7D223122"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10</w:t>
      </w:r>
    </w:p>
    <w:p w:rsidRPr="001A4FDE" w:rsidR="0018695E" w:rsidP="0018695E" w:rsidRDefault="0018695E" w14:paraId="23C3CE1A" w14:textId="77777777">
      <w:pPr>
        <w:autoSpaceDE w:val="0"/>
        <w:adjustRightInd w:val="0"/>
        <w:spacing w:line="240" w:lineRule="auto"/>
        <w:rPr>
          <w:b/>
          <w:bCs/>
        </w:rPr>
      </w:pPr>
      <w:r w:rsidRPr="001A4FDE">
        <w:rPr>
          <w:b/>
          <w:bCs/>
        </w:rPr>
        <w:t>Bent u bereid om in gesprek te gaan met de Kansspelautoriteit en de Autoriteit Persoonsgegevens om deze zorgwekkende situaties te bespreken en te bezien op welke manier hierop gehandhaafd kan worden?</w:t>
      </w:r>
    </w:p>
    <w:p w:rsidR="0018695E" w:rsidP="0018695E" w:rsidRDefault="0018695E" w14:paraId="29C692E3" w14:textId="77777777">
      <w:pPr>
        <w:autoSpaceDE w:val="0"/>
        <w:adjustRightInd w:val="0"/>
        <w:spacing w:line="240" w:lineRule="auto"/>
        <w:rPr>
          <w:rFonts w:eastAsia="DejaVuSerifCondensed" w:cs="DejaVuSerifCondensed"/>
          <w:b/>
          <w:bCs/>
        </w:rPr>
      </w:pPr>
    </w:p>
    <w:p w:rsidR="0018695E" w:rsidP="0018695E" w:rsidRDefault="0018695E" w14:paraId="41FDE754"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vraag </w:t>
      </w:r>
      <w:r>
        <w:rPr>
          <w:rFonts w:eastAsia="DejaVuSerifCondensed" w:cs="DejaVuSerifCondensed"/>
          <w:b/>
          <w:bCs/>
        </w:rPr>
        <w:t>10</w:t>
      </w:r>
    </w:p>
    <w:p w:rsidR="0018695E" w:rsidP="0018695E" w:rsidRDefault="0018695E" w14:paraId="44A06BB0" w14:textId="77777777">
      <w:pPr>
        <w:autoSpaceDE w:val="0"/>
        <w:adjustRightInd w:val="0"/>
        <w:spacing w:line="240" w:lineRule="auto"/>
        <w:rPr>
          <w:rFonts w:eastAsia="DejaVuSerifCondensed" w:cs="DejaVuSerifCondensed"/>
        </w:rPr>
      </w:pPr>
      <w:r>
        <w:rPr>
          <w:rFonts w:eastAsia="DejaVuSerifCondensed" w:cs="DejaVuSerifCondensed"/>
        </w:rPr>
        <w:t xml:space="preserve">Ik heb de </w:t>
      </w:r>
      <w:proofErr w:type="spellStart"/>
      <w:r>
        <w:rPr>
          <w:rFonts w:eastAsia="DejaVuSerifCondensed" w:cs="DejaVuSerifCondensed"/>
        </w:rPr>
        <w:t>Ksa</w:t>
      </w:r>
      <w:proofErr w:type="spellEnd"/>
      <w:r>
        <w:rPr>
          <w:rFonts w:eastAsia="DejaVuSerifCondensed" w:cs="DejaVuSerifCondensed"/>
        </w:rPr>
        <w:t xml:space="preserve"> en AP gewezen op de betreffende casus. Het is aan hen om toezicht te houden op de naleving van geldende wet- en regelgeving en wanneer zij een overtreding constateren om hiertegen op te treden. </w:t>
      </w:r>
    </w:p>
    <w:p w:rsidR="0018695E" w:rsidP="0018695E" w:rsidRDefault="0018695E" w14:paraId="59502789" w14:textId="77777777">
      <w:pPr>
        <w:autoSpaceDE w:val="0"/>
        <w:adjustRightInd w:val="0"/>
        <w:spacing w:line="240" w:lineRule="auto"/>
        <w:rPr>
          <w:rFonts w:eastAsia="DejaVuSerifCondensed" w:cs="DejaVuSerifCondensed"/>
          <w:b/>
          <w:bCs/>
        </w:rPr>
      </w:pPr>
    </w:p>
    <w:p w:rsidR="0018695E" w:rsidP="0018695E" w:rsidRDefault="0018695E" w14:paraId="7309A27C"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11</w:t>
      </w:r>
    </w:p>
    <w:p w:rsidRPr="001A4FDE" w:rsidR="0018695E" w:rsidP="0018695E" w:rsidRDefault="0018695E" w14:paraId="53AB6894" w14:textId="77777777">
      <w:pPr>
        <w:rPr>
          <w:b/>
          <w:bCs/>
        </w:rPr>
      </w:pPr>
      <w:r w:rsidRPr="001A4FDE">
        <w:rPr>
          <w:b/>
          <w:bCs/>
        </w:rPr>
        <w:t>Bent u bereid om met andere Europese lidstaten samen te werken om te waarborgen dat bedrijven die in de Europese Unie online kansspelen aanbieden, ook gerechtelijke uitspraken van rechters in EU-lidstaten respecteren en indien zij dit niet doen, ook in andere EU-lidstaten hun vergunning dienen in te leveren?</w:t>
      </w:r>
    </w:p>
    <w:p w:rsidRPr="00AC5B2B" w:rsidR="0018695E" w:rsidP="0018695E" w:rsidRDefault="0018695E" w14:paraId="71D7E794" w14:textId="77777777">
      <w:pPr>
        <w:pStyle w:val="Standaardcursief"/>
        <w:rPr>
          <w:b/>
          <w:bCs/>
          <w:i w:val="0"/>
          <w:iCs/>
        </w:rPr>
      </w:pPr>
      <w:r w:rsidRPr="00AC5B2B">
        <w:rPr>
          <w:b/>
          <w:bCs/>
          <w:i w:val="0"/>
          <w:iCs/>
        </w:rPr>
        <w:t>Antwoord op vraag 11</w:t>
      </w:r>
    </w:p>
    <w:p w:rsidRPr="00791B4F" w:rsidR="0018695E" w:rsidP="0018695E" w:rsidRDefault="0018695E" w14:paraId="02DC159A" w14:textId="77777777">
      <w:pPr>
        <w:autoSpaceDE w:val="0"/>
        <w:adjustRightInd w:val="0"/>
        <w:spacing w:line="240" w:lineRule="auto"/>
        <w:rPr>
          <w:rFonts w:eastAsia="DejaVuSerifCondensed" w:cs="DejaVuSerifCondensed"/>
        </w:rPr>
      </w:pPr>
      <w:r>
        <w:rPr>
          <w:rFonts w:eastAsia="DejaVuSerifCondensed" w:cs="DejaVuSerifCondensed"/>
        </w:rPr>
        <w:t xml:space="preserve">Ja, ik vind het belangrijk dat Europese lidstaten samenwerken op het gebied van kansspelen. </w:t>
      </w:r>
      <w:r w:rsidRPr="00791B4F">
        <w:rPr>
          <w:rFonts w:eastAsia="DejaVuSerifCondensed" w:cs="DejaVuSerifCondensed"/>
        </w:rPr>
        <w:t xml:space="preserve">Zoals aangeven in mijn brief van 10 oktober 2024, </w:t>
      </w:r>
      <w:r>
        <w:rPr>
          <w:rFonts w:eastAsia="DejaVuSerifCondensed" w:cs="DejaVuSerifCondensed"/>
        </w:rPr>
        <w:t>heb</w:t>
      </w:r>
      <w:r w:rsidRPr="00791B4F">
        <w:rPr>
          <w:rFonts w:eastAsia="DejaVuSerifCondensed" w:cs="DejaVuSerifCondensed"/>
        </w:rPr>
        <w:t xml:space="preserve"> ik contact met andere </w:t>
      </w:r>
      <w:r>
        <w:rPr>
          <w:rFonts w:eastAsia="DejaVuSerifCondensed" w:cs="DejaVuSerifCondensed"/>
        </w:rPr>
        <w:t>l</w:t>
      </w:r>
      <w:r w:rsidRPr="00791B4F">
        <w:rPr>
          <w:rFonts w:eastAsia="DejaVuSerifCondensed" w:cs="DejaVuSerifCondensed"/>
        </w:rPr>
        <w:t xml:space="preserve">idstaten en met de Europese Commissie over vraagstukken rondom het uitvoeren van </w:t>
      </w:r>
      <w:r>
        <w:rPr>
          <w:rFonts w:eastAsia="DejaVuSerifCondensed" w:cs="DejaVuSerifCondensed"/>
        </w:rPr>
        <w:t>gerechtelijke uitspraken uit andere lidstaten</w:t>
      </w:r>
      <w:r w:rsidRPr="00791B4F">
        <w:rPr>
          <w:rFonts w:eastAsia="DejaVuSerifCondensed" w:cs="DejaVuSerifCondensed"/>
        </w:rPr>
        <w:t xml:space="preserve"> </w:t>
      </w:r>
      <w:r>
        <w:rPr>
          <w:rFonts w:eastAsia="DejaVuSerifCondensed" w:cs="DejaVuSerifCondensed"/>
        </w:rPr>
        <w:t>die betrekking hebben op</w:t>
      </w:r>
      <w:r w:rsidRPr="00791B4F">
        <w:rPr>
          <w:rFonts w:eastAsia="DejaVuSerifCondensed" w:cs="DejaVuSerifCondensed"/>
        </w:rPr>
        <w:t xml:space="preserve"> aanbieders van online kansspelen.</w:t>
      </w:r>
      <w:r>
        <w:rPr>
          <w:rStyle w:val="Voetnootmarkering"/>
          <w:rFonts w:eastAsia="DejaVuSerifCondensed" w:cs="DejaVuSerifCondensed"/>
        </w:rPr>
        <w:footnoteReference w:id="7"/>
      </w:r>
      <w:r w:rsidRPr="00791B4F">
        <w:rPr>
          <w:rFonts w:eastAsia="DejaVuSerifCondensed" w:cs="DejaVuSerifCondensed"/>
        </w:rPr>
        <w:t xml:space="preserve"> Het is</w:t>
      </w:r>
      <w:r>
        <w:rPr>
          <w:rFonts w:eastAsia="DejaVuSerifCondensed" w:cs="DejaVuSerifCondensed"/>
        </w:rPr>
        <w:t xml:space="preserve"> voorts</w:t>
      </w:r>
      <w:r w:rsidRPr="00791B4F">
        <w:rPr>
          <w:rFonts w:eastAsia="DejaVuSerifCondensed" w:cs="DejaVuSerifCondensed"/>
        </w:rPr>
        <w:t xml:space="preserve"> aan </w:t>
      </w:r>
      <w:r>
        <w:rPr>
          <w:rFonts w:eastAsia="DejaVuSerifCondensed" w:cs="DejaVuSerifCondensed"/>
        </w:rPr>
        <w:t>l</w:t>
      </w:r>
      <w:r w:rsidRPr="00791B4F">
        <w:rPr>
          <w:rFonts w:eastAsia="DejaVuSerifCondensed" w:cs="DejaVuSerifCondensed"/>
        </w:rPr>
        <w:t xml:space="preserve">idstaten </w:t>
      </w:r>
      <w:r>
        <w:rPr>
          <w:rFonts w:eastAsia="DejaVuSerifCondensed" w:cs="DejaVuSerifCondensed"/>
        </w:rPr>
        <w:t xml:space="preserve">en de betreffende toezichthouders van de lidstaten </w:t>
      </w:r>
      <w:r w:rsidRPr="00791B4F">
        <w:rPr>
          <w:rFonts w:eastAsia="DejaVuSerifCondensed" w:cs="DejaVuSerifCondensed"/>
        </w:rPr>
        <w:t xml:space="preserve">om te besluiten over </w:t>
      </w:r>
      <w:r>
        <w:rPr>
          <w:rFonts w:eastAsia="DejaVuSerifCondensed" w:cs="DejaVuSerifCondensed"/>
        </w:rPr>
        <w:t xml:space="preserve">de intrekking of verlenging van </w:t>
      </w:r>
      <w:r w:rsidRPr="00791B4F">
        <w:rPr>
          <w:rFonts w:eastAsia="DejaVuSerifCondensed" w:cs="DejaVuSerifCondensed"/>
        </w:rPr>
        <w:t>vergunningen die zij hebben afgegeven.</w:t>
      </w:r>
      <w:r>
        <w:rPr>
          <w:rFonts w:eastAsia="DejaVuSerifCondensed" w:cs="DejaVuSerifCondensed"/>
        </w:rPr>
        <w:t xml:space="preserve"> </w:t>
      </w:r>
    </w:p>
    <w:p w:rsidR="0018695E" w:rsidP="0018695E" w:rsidRDefault="0018695E" w14:paraId="503559BC" w14:textId="77777777">
      <w:pPr>
        <w:autoSpaceDE w:val="0"/>
        <w:adjustRightInd w:val="0"/>
        <w:spacing w:line="240" w:lineRule="auto"/>
        <w:rPr>
          <w:rFonts w:eastAsia="DejaVuSerifCondensed" w:cs="DejaVuSerifCondensed"/>
        </w:rPr>
      </w:pPr>
    </w:p>
    <w:p w:rsidRPr="006276ED" w:rsidR="0018695E" w:rsidP="0018695E" w:rsidRDefault="0018695E" w14:paraId="29C06242" w14:textId="77777777">
      <w:pPr>
        <w:autoSpaceDE w:val="0"/>
        <w:adjustRightInd w:val="0"/>
        <w:spacing w:line="240" w:lineRule="auto"/>
        <w:rPr>
          <w:rFonts w:eastAsia="DejaVuSerifCondensed" w:cs="DejaVuSerifCondensed"/>
        </w:rPr>
      </w:pPr>
    </w:p>
    <w:p w:rsidR="002C3023" w:rsidRDefault="002C3023" w14:paraId="54864A1A" w14:textId="77777777"/>
    <w:sectPr w:rsidR="002C3023" w:rsidSect="0018695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1DC4" w14:textId="77777777" w:rsidR="0018695E" w:rsidRDefault="0018695E" w:rsidP="0018695E">
      <w:pPr>
        <w:spacing w:after="0" w:line="240" w:lineRule="auto"/>
      </w:pPr>
      <w:r>
        <w:separator/>
      </w:r>
    </w:p>
  </w:endnote>
  <w:endnote w:type="continuationSeparator" w:id="0">
    <w:p w14:paraId="14F765D9" w14:textId="77777777" w:rsidR="0018695E" w:rsidRDefault="0018695E" w:rsidP="0018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B2AB" w14:textId="77777777" w:rsidR="0018695E" w:rsidRPr="0018695E" w:rsidRDefault="0018695E" w:rsidP="00186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AA61" w14:textId="77777777" w:rsidR="0018695E" w:rsidRPr="0018695E" w:rsidRDefault="0018695E" w:rsidP="00186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770A" w14:textId="77777777" w:rsidR="0018695E" w:rsidRPr="0018695E" w:rsidRDefault="0018695E" w:rsidP="00186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4B5C" w14:textId="77777777" w:rsidR="0018695E" w:rsidRDefault="0018695E" w:rsidP="0018695E">
      <w:pPr>
        <w:spacing w:after="0" w:line="240" w:lineRule="auto"/>
      </w:pPr>
      <w:r>
        <w:separator/>
      </w:r>
    </w:p>
  </w:footnote>
  <w:footnote w:type="continuationSeparator" w:id="0">
    <w:p w14:paraId="5FEC0DEB" w14:textId="77777777" w:rsidR="0018695E" w:rsidRDefault="0018695E" w:rsidP="0018695E">
      <w:pPr>
        <w:spacing w:after="0" w:line="240" w:lineRule="auto"/>
      </w:pPr>
      <w:r>
        <w:continuationSeparator/>
      </w:r>
    </w:p>
  </w:footnote>
  <w:footnote w:id="1">
    <w:p w14:paraId="6333B505" w14:textId="77777777" w:rsidR="0018695E" w:rsidRPr="002A0DC8" w:rsidRDefault="0018695E" w:rsidP="0018695E">
      <w:pPr>
        <w:pStyle w:val="Voetnoottekst"/>
        <w:rPr>
          <w:sz w:val="16"/>
          <w:szCs w:val="16"/>
          <w:lang w:val="nl-NL"/>
        </w:rPr>
      </w:pPr>
      <w:r>
        <w:rPr>
          <w:rStyle w:val="Voetnootmarkering"/>
        </w:rPr>
        <w:footnoteRef/>
      </w:r>
      <w:r w:rsidRPr="002A0DC8">
        <w:rPr>
          <w:lang w:val="nl-NL"/>
        </w:rPr>
        <w:t xml:space="preserve"> </w:t>
      </w:r>
      <w:hyperlink r:id="rId1" w:history="1">
        <w:r w:rsidRPr="006C0279">
          <w:rPr>
            <w:rStyle w:val="Hyperlink"/>
            <w:sz w:val="16"/>
            <w:szCs w:val="16"/>
            <w:lang w:val="nl-NL"/>
          </w:rPr>
          <w:t>www.telegraaf.nl/nieuws/554465173/unibet-geeft-gokkers-die-via-de-rechter-geld-terugeisen-geen-inzage-meer-in-transacties-dit-is-sabotage</w:t>
        </w:r>
      </w:hyperlink>
    </w:p>
  </w:footnote>
  <w:footnote w:id="2">
    <w:p w14:paraId="51B46213" w14:textId="77777777" w:rsidR="0018695E" w:rsidRPr="006218EE" w:rsidRDefault="0018695E" w:rsidP="0018695E">
      <w:pPr>
        <w:pStyle w:val="Voetnoottekst"/>
        <w:rPr>
          <w:lang w:val="nl-NL"/>
        </w:rPr>
      </w:pPr>
      <w:r>
        <w:rPr>
          <w:rStyle w:val="Voetnootmarkering"/>
        </w:rPr>
        <w:footnoteRef/>
      </w:r>
      <w:r w:rsidRPr="001C5BA9">
        <w:rPr>
          <w:lang w:val="nl-NL"/>
        </w:rPr>
        <w:t xml:space="preserve"> </w:t>
      </w:r>
      <w:r w:rsidRPr="004408A0">
        <w:rPr>
          <w:i/>
          <w:iCs/>
          <w:sz w:val="16"/>
          <w:szCs w:val="16"/>
          <w:lang w:val="nl-NL"/>
        </w:rPr>
        <w:t>Kamerstukken I</w:t>
      </w:r>
      <w:r w:rsidRPr="004408A0">
        <w:rPr>
          <w:sz w:val="16"/>
          <w:szCs w:val="16"/>
          <w:lang w:val="nl-NL"/>
        </w:rPr>
        <w:t xml:space="preserve"> 2018/19, 33 996, nr. L</w:t>
      </w:r>
      <w:r>
        <w:rPr>
          <w:sz w:val="16"/>
          <w:szCs w:val="16"/>
          <w:lang w:val="nl-NL"/>
        </w:rPr>
        <w:t xml:space="preserve"> en Artikel 3.8 in beleidsregels vergunningverlening kansspelen op afstand van Kansspelautoriteit, zie Staatscourant 2021, nr. 13407.</w:t>
      </w:r>
    </w:p>
  </w:footnote>
  <w:footnote w:id="3">
    <w:p w14:paraId="102343E7" w14:textId="77777777" w:rsidR="0018695E" w:rsidRPr="002A0DC8" w:rsidRDefault="0018695E" w:rsidP="0018695E">
      <w:pPr>
        <w:pStyle w:val="Voetnoottekst"/>
        <w:rPr>
          <w:lang w:val="nl-NL"/>
        </w:rPr>
      </w:pPr>
      <w:r>
        <w:rPr>
          <w:rStyle w:val="Voetnootmarkering"/>
        </w:rPr>
        <w:footnoteRef/>
      </w:r>
      <w:r w:rsidRPr="002A0DC8">
        <w:rPr>
          <w:lang w:val="nl-NL"/>
        </w:rPr>
        <w:t xml:space="preserve"> </w:t>
      </w:r>
      <w:r w:rsidRPr="002A0DC8">
        <w:rPr>
          <w:sz w:val="16"/>
          <w:szCs w:val="16"/>
          <w:lang w:val="nl-NL"/>
        </w:rPr>
        <w:t xml:space="preserve">De vastgestelde feiten, gebeurtenissen of gedragingen die van invloed zijn op de betrouwbaarheid van de </w:t>
      </w:r>
      <w:r>
        <w:rPr>
          <w:sz w:val="16"/>
          <w:szCs w:val="16"/>
          <w:lang w:val="nl-NL"/>
        </w:rPr>
        <w:t>(kandidaat)</w:t>
      </w:r>
      <w:r w:rsidRPr="002A0DC8">
        <w:rPr>
          <w:sz w:val="16"/>
          <w:szCs w:val="16"/>
          <w:lang w:val="nl-NL"/>
        </w:rPr>
        <w:t>vergunning</w:t>
      </w:r>
      <w:r>
        <w:rPr>
          <w:sz w:val="16"/>
          <w:szCs w:val="16"/>
          <w:lang w:val="nl-NL"/>
        </w:rPr>
        <w:t>houder</w:t>
      </w:r>
      <w:r w:rsidRPr="002A0DC8">
        <w:rPr>
          <w:sz w:val="16"/>
          <w:szCs w:val="16"/>
          <w:lang w:val="nl-NL"/>
        </w:rPr>
        <w:t xml:space="preserve"> kunnen van invloed zijn op de </w:t>
      </w:r>
      <w:r>
        <w:rPr>
          <w:sz w:val="16"/>
          <w:szCs w:val="16"/>
          <w:lang w:val="nl-NL"/>
        </w:rPr>
        <w:t>(her)</w:t>
      </w:r>
      <w:r w:rsidRPr="002A0DC8">
        <w:rPr>
          <w:sz w:val="16"/>
          <w:szCs w:val="16"/>
          <w:lang w:val="nl-NL"/>
        </w:rPr>
        <w:t xml:space="preserve">beoordeling door de </w:t>
      </w:r>
      <w:proofErr w:type="spellStart"/>
      <w:r w:rsidRPr="002A0DC8">
        <w:rPr>
          <w:sz w:val="16"/>
          <w:szCs w:val="16"/>
          <w:lang w:val="nl-NL"/>
        </w:rPr>
        <w:t>Ksa</w:t>
      </w:r>
      <w:proofErr w:type="spellEnd"/>
      <w:r w:rsidRPr="002A0DC8">
        <w:rPr>
          <w:sz w:val="16"/>
          <w:szCs w:val="16"/>
          <w:lang w:val="nl-NL"/>
        </w:rPr>
        <w:t>.</w:t>
      </w:r>
      <w:r w:rsidRPr="00E8366C">
        <w:rPr>
          <w:sz w:val="16"/>
          <w:szCs w:val="16"/>
          <w:lang w:val="nl-NL"/>
        </w:rPr>
        <w:t xml:space="preserve"> Dit betreft relevante strafrechtelijke antecedenten evenals toezichtantecedenten, financiële antecedenten, fiscaal bestuursrechtelijke antecedenten en overige antecedenten. (Artikel 3.4 Besluit Kansspelen op afstand)</w:t>
      </w:r>
      <w:r>
        <w:rPr>
          <w:lang w:val="nl-NL"/>
        </w:rPr>
        <w:t xml:space="preserve"> </w:t>
      </w:r>
    </w:p>
  </w:footnote>
  <w:footnote w:id="4">
    <w:p w14:paraId="33F0B5F5" w14:textId="77777777" w:rsidR="0018695E" w:rsidRPr="006C009D" w:rsidRDefault="0018695E" w:rsidP="0018695E">
      <w:pPr>
        <w:pStyle w:val="Voetnoottekst"/>
        <w:rPr>
          <w:lang w:val="nl-NL"/>
        </w:rPr>
      </w:pPr>
      <w:r w:rsidRPr="006C009D">
        <w:rPr>
          <w:rStyle w:val="Voetnootmarkering"/>
          <w:sz w:val="16"/>
          <w:szCs w:val="16"/>
        </w:rPr>
        <w:footnoteRef/>
      </w:r>
      <w:r w:rsidRPr="006C009D">
        <w:rPr>
          <w:sz w:val="16"/>
          <w:szCs w:val="16"/>
          <w:lang w:val="nl-NL"/>
        </w:rPr>
        <w:t xml:space="preserve"> Artikel</w:t>
      </w:r>
      <w:r>
        <w:rPr>
          <w:sz w:val="16"/>
          <w:szCs w:val="16"/>
          <w:lang w:val="nl-NL"/>
        </w:rPr>
        <w:t xml:space="preserve"> 4a</w:t>
      </w:r>
      <w:r w:rsidRPr="006C009D">
        <w:rPr>
          <w:sz w:val="16"/>
          <w:szCs w:val="16"/>
          <w:lang w:val="nl-NL"/>
        </w:rPr>
        <w:t xml:space="preserve"> </w:t>
      </w:r>
      <w:r>
        <w:rPr>
          <w:sz w:val="16"/>
          <w:szCs w:val="16"/>
          <w:lang w:val="nl-NL"/>
        </w:rPr>
        <w:t xml:space="preserve">en </w:t>
      </w:r>
      <w:r w:rsidRPr="006C009D">
        <w:rPr>
          <w:sz w:val="16"/>
          <w:szCs w:val="16"/>
          <w:lang w:val="nl-NL"/>
        </w:rPr>
        <w:t xml:space="preserve">31m </w:t>
      </w:r>
      <w:r>
        <w:rPr>
          <w:sz w:val="16"/>
          <w:szCs w:val="16"/>
          <w:lang w:val="nl-NL"/>
        </w:rPr>
        <w:t>W</w:t>
      </w:r>
      <w:r w:rsidRPr="006C009D">
        <w:rPr>
          <w:sz w:val="16"/>
          <w:szCs w:val="16"/>
          <w:lang w:val="nl-NL"/>
        </w:rPr>
        <w:t xml:space="preserve">et op de kansspelen. </w:t>
      </w:r>
    </w:p>
  </w:footnote>
  <w:footnote w:id="5">
    <w:p w14:paraId="348144F5" w14:textId="77777777" w:rsidR="0018695E" w:rsidRPr="002A0DC8" w:rsidRDefault="0018695E" w:rsidP="0018695E">
      <w:pPr>
        <w:pStyle w:val="Voetnoottekst"/>
        <w:rPr>
          <w:lang w:val="nl-NL"/>
        </w:rPr>
      </w:pPr>
      <w:r>
        <w:rPr>
          <w:rStyle w:val="Voetnootmarkering"/>
        </w:rPr>
        <w:footnoteRef/>
      </w:r>
      <w:r w:rsidRPr="002A0DC8">
        <w:rPr>
          <w:lang w:val="nl-NL"/>
        </w:rPr>
        <w:t xml:space="preserve"> </w:t>
      </w:r>
      <w:bookmarkStart w:id="1" w:name="_Hlk191305208"/>
      <w:r w:rsidRPr="006E10B8">
        <w:rPr>
          <w:i/>
          <w:iCs/>
          <w:color w:val="000000" w:themeColor="text1"/>
          <w:sz w:val="16"/>
          <w:szCs w:val="16"/>
          <w:lang w:val="nl-NL"/>
        </w:rPr>
        <w:t>Kamerstukken II 2013/14</w:t>
      </w:r>
      <w:r w:rsidRPr="006E10B8">
        <w:rPr>
          <w:color w:val="000000" w:themeColor="text1"/>
          <w:sz w:val="16"/>
          <w:szCs w:val="16"/>
          <w:lang w:val="nl-NL"/>
        </w:rPr>
        <w:t>, 33996 nr. 3.</w:t>
      </w:r>
      <w:bookmarkEnd w:id="1"/>
      <w:r w:rsidRPr="006E10B8">
        <w:rPr>
          <w:color w:val="000000" w:themeColor="text1"/>
          <w:sz w:val="16"/>
          <w:szCs w:val="16"/>
          <w:lang w:val="nl-NL"/>
        </w:rPr>
        <w:t xml:space="preserve"> </w:t>
      </w:r>
      <w:r w:rsidRPr="00320914">
        <w:rPr>
          <w:color w:val="000000" w:themeColor="text1"/>
          <w:sz w:val="16"/>
          <w:szCs w:val="16"/>
          <w:lang w:val="nl-NL"/>
        </w:rPr>
        <w:t xml:space="preserve"> </w:t>
      </w:r>
    </w:p>
  </w:footnote>
  <w:footnote w:id="6">
    <w:p w14:paraId="5E3F3362" w14:textId="77777777" w:rsidR="0018695E" w:rsidRPr="005F51F9" w:rsidRDefault="0018695E" w:rsidP="0018695E">
      <w:pPr>
        <w:pStyle w:val="Voetnoottekst"/>
        <w:rPr>
          <w:lang w:val="nl-NL"/>
        </w:rPr>
      </w:pPr>
      <w:r w:rsidRPr="00D27F14">
        <w:rPr>
          <w:rStyle w:val="Voetnootmarkering"/>
          <w:sz w:val="16"/>
          <w:szCs w:val="16"/>
        </w:rPr>
        <w:footnoteRef/>
      </w:r>
      <w:r w:rsidRPr="005F51F9">
        <w:rPr>
          <w:sz w:val="16"/>
          <w:szCs w:val="16"/>
          <w:lang w:val="nl-NL"/>
        </w:rPr>
        <w:t xml:space="preserve"> Kamerstukken II 2004/05, 30 137, nr. 8, p. 5-6. </w:t>
      </w:r>
    </w:p>
  </w:footnote>
  <w:footnote w:id="7">
    <w:p w14:paraId="39A32246" w14:textId="77777777" w:rsidR="0018695E" w:rsidRPr="00976A7D" w:rsidRDefault="0018695E" w:rsidP="0018695E">
      <w:pPr>
        <w:pStyle w:val="Voetnoottekst"/>
        <w:rPr>
          <w:lang w:val="nl-NL"/>
        </w:rPr>
      </w:pPr>
      <w:r w:rsidRPr="00A5117E">
        <w:rPr>
          <w:rStyle w:val="Voetnootmarkering"/>
          <w:sz w:val="16"/>
          <w:szCs w:val="16"/>
        </w:rPr>
        <w:footnoteRef/>
      </w:r>
      <w:r w:rsidRPr="00976A7D">
        <w:rPr>
          <w:sz w:val="16"/>
          <w:szCs w:val="16"/>
          <w:lang w:val="nl-NL"/>
        </w:rPr>
        <w:t xml:space="preserve"> Kamerstukken II 2024/25, 24 5557, nr. 243.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DA5D" w14:textId="77777777" w:rsidR="0018695E" w:rsidRPr="0018695E" w:rsidRDefault="0018695E" w:rsidP="00186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6FD1" w14:textId="77777777" w:rsidR="0018695E" w:rsidRPr="0018695E" w:rsidRDefault="0018695E" w:rsidP="00186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166D" w14:textId="77777777" w:rsidR="0018695E" w:rsidRPr="0018695E" w:rsidRDefault="0018695E" w:rsidP="001869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5E"/>
    <w:rsid w:val="0018695E"/>
    <w:rsid w:val="002C3023"/>
    <w:rsid w:val="008C565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47F6"/>
  <w15:chartTrackingRefBased/>
  <w15:docId w15:val="{2705E4E2-C338-4238-AA9E-087C5594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69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69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69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6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6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6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6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6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6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95E"/>
    <w:rPr>
      <w:rFonts w:eastAsiaTheme="majorEastAsia" w:cstheme="majorBidi"/>
      <w:color w:val="272727" w:themeColor="text1" w:themeTint="D8"/>
    </w:rPr>
  </w:style>
  <w:style w:type="paragraph" w:styleId="Titel">
    <w:name w:val="Title"/>
    <w:basedOn w:val="Standaard"/>
    <w:next w:val="Standaard"/>
    <w:link w:val="TitelChar"/>
    <w:uiPriority w:val="10"/>
    <w:qFormat/>
    <w:rsid w:val="0018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95E"/>
    <w:rPr>
      <w:i/>
      <w:iCs/>
      <w:color w:val="404040" w:themeColor="text1" w:themeTint="BF"/>
    </w:rPr>
  </w:style>
  <w:style w:type="paragraph" w:styleId="Lijstalinea">
    <w:name w:val="List Paragraph"/>
    <w:basedOn w:val="Standaard"/>
    <w:uiPriority w:val="34"/>
    <w:qFormat/>
    <w:rsid w:val="0018695E"/>
    <w:pPr>
      <w:ind w:left="720"/>
      <w:contextualSpacing/>
    </w:pPr>
  </w:style>
  <w:style w:type="character" w:styleId="Intensievebenadrukking">
    <w:name w:val="Intense Emphasis"/>
    <w:basedOn w:val="Standaardalinea-lettertype"/>
    <w:uiPriority w:val="21"/>
    <w:qFormat/>
    <w:rsid w:val="0018695E"/>
    <w:rPr>
      <w:i/>
      <w:iCs/>
      <w:color w:val="0F4761" w:themeColor="accent1" w:themeShade="BF"/>
    </w:rPr>
  </w:style>
  <w:style w:type="paragraph" w:styleId="Duidelijkcitaat">
    <w:name w:val="Intense Quote"/>
    <w:basedOn w:val="Standaard"/>
    <w:next w:val="Standaard"/>
    <w:link w:val="DuidelijkcitaatChar"/>
    <w:uiPriority w:val="30"/>
    <w:qFormat/>
    <w:rsid w:val="0018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695E"/>
    <w:rPr>
      <w:i/>
      <w:iCs/>
      <w:color w:val="0F4761" w:themeColor="accent1" w:themeShade="BF"/>
    </w:rPr>
  </w:style>
  <w:style w:type="character" w:styleId="Intensieveverwijzing">
    <w:name w:val="Intense Reference"/>
    <w:basedOn w:val="Standaardalinea-lettertype"/>
    <w:uiPriority w:val="32"/>
    <w:qFormat/>
    <w:rsid w:val="0018695E"/>
    <w:rPr>
      <w:b/>
      <w:bCs/>
      <w:smallCaps/>
      <w:color w:val="0F4761" w:themeColor="accent1" w:themeShade="BF"/>
      <w:spacing w:val="5"/>
    </w:rPr>
  </w:style>
  <w:style w:type="character" w:styleId="Hyperlink">
    <w:name w:val="Hyperlink"/>
    <w:basedOn w:val="Standaardalinea-lettertype"/>
    <w:uiPriority w:val="99"/>
    <w:unhideWhenUsed/>
    <w:rsid w:val="0018695E"/>
    <w:rPr>
      <w:color w:val="467886" w:themeColor="hyperlink"/>
      <w:u w:val="single"/>
    </w:rPr>
  </w:style>
  <w:style w:type="paragraph" w:customStyle="1" w:styleId="Referentiegegevens">
    <w:name w:val="Referentiegegevens"/>
    <w:basedOn w:val="Standaard"/>
    <w:next w:val="Standaard"/>
    <w:rsid w:val="001869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69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18695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tekst">
    <w:name w:val="footer"/>
    <w:basedOn w:val="Referentiegegevens"/>
    <w:next w:val="Referentiegegevens"/>
    <w:link w:val="VoettekstChar"/>
    <w:rsid w:val="0018695E"/>
    <w:pPr>
      <w:spacing w:line="140" w:lineRule="exact"/>
    </w:pPr>
  </w:style>
  <w:style w:type="character" w:customStyle="1" w:styleId="VoettekstChar">
    <w:name w:val="Voettekst Char"/>
    <w:basedOn w:val="Standaardalinea-lettertype"/>
    <w:link w:val="Voettekst"/>
    <w:rsid w:val="0018695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869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69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869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695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695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8695E"/>
    <w:rPr>
      <w:rFonts w:ascii="Verdana" w:hAnsi="Verdana"/>
      <w:sz w:val="20"/>
      <w:szCs w:val="20"/>
      <w:lang w:val="en-US"/>
    </w:rPr>
  </w:style>
  <w:style w:type="character" w:styleId="Voetnootmarkering">
    <w:name w:val="footnote reference"/>
    <w:basedOn w:val="Standaardalinea-lettertype"/>
    <w:uiPriority w:val="99"/>
    <w:semiHidden/>
    <w:unhideWhenUsed/>
    <w:rsid w:val="00186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nieuws/554465173/unibet-geeft-gokkers-die-via-de-rechter-geld-terugeisen-geen-inzage-meer-in-transacties-dit-is-sabot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1512</ap:Words>
  <ap:Characters>8319</ap:Characters>
  <ap:DocSecurity>0</ap:DocSecurity>
  <ap:Lines>69</ap:Lines>
  <ap:Paragraphs>19</ap:Paragraphs>
  <ap:ScaleCrop>false</ap:ScaleCrop>
  <ap:LinksUpToDate>false</ap:LinksUpToDate>
  <ap:CharactersWithSpaces>9812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2025-02-27T14:01:00.0000000Z</dcterms:created>
  <dcterms:modified xsi:type="dcterms:W3CDTF">2025-02-27T14:02:00.0000000Z</dcterms:modified>
  <version/>
  <category/>
</coreProperties>
</file>