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340ECA" w:rsidP="00641529" w:rsidRDefault="00340ECA" w14:paraId="3F2EC961" w14:textId="77777777">
      <w:pPr>
        <w:rPr>
          <w:szCs w:val="18"/>
        </w:rPr>
      </w:pPr>
    </w:p>
    <w:p w:rsidR="00CE78E9" w:rsidP="00641529" w:rsidRDefault="001C2777" w14:paraId="23E96104" w14:textId="77777777">
      <w:r>
        <w:t>Geachte Voorzitter,</w:t>
      </w:r>
      <w:r>
        <w:br/>
      </w:r>
    </w:p>
    <w:p w:rsidR="00CE78E9" w:rsidP="00641529" w:rsidRDefault="001C2777" w14:paraId="4B3B8E5A" w14:textId="11E9B0A3">
      <w:r>
        <w:t>Hierbij zend</w:t>
      </w:r>
      <w:r w:rsidR="00835376">
        <w:t xml:space="preserve"> ik, mede namens de minister van Infrastructuur en Waterstaat,</w:t>
      </w:r>
      <w:r>
        <w:t xml:space="preserve"> u de antwoorden op de vragen van het lid </w:t>
      </w:r>
      <w:r w:rsidR="00020AEB">
        <w:t xml:space="preserve">Pierik </w:t>
      </w:r>
      <w:r>
        <w:t>(</w:t>
      </w:r>
      <w:r w:rsidR="00020AEB">
        <w:t>BBB</w:t>
      </w:r>
      <w:r>
        <w:t xml:space="preserve">) over </w:t>
      </w:r>
      <w:r w:rsidRPr="00020AEB" w:rsidR="00020AEB">
        <w:t xml:space="preserve">het artikel 'Derogatiebedrijven helpen kabinet een handje: ‘Nitraatconcentratie daalt naar, op of onder de norm’' </w:t>
      </w:r>
      <w:r>
        <w:t>(</w:t>
      </w:r>
      <w:r w:rsidRPr="00020AEB" w:rsidR="00020AEB">
        <w:t>2024Z15098</w:t>
      </w:r>
      <w:r w:rsidR="00020AEB">
        <w:t>,</w:t>
      </w:r>
      <w:r w:rsidRPr="00020AEB" w:rsidR="00020AEB">
        <w:t xml:space="preserve"> ingezonden 4 oktober 2024</w:t>
      </w:r>
      <w:r>
        <w:t xml:space="preserve">). </w:t>
      </w:r>
    </w:p>
    <w:p w:rsidR="00020AEB" w:rsidP="00641529" w:rsidRDefault="00020AEB" w14:paraId="1F06E498" w14:textId="77777777">
      <w:pPr>
        <w:rPr>
          <w:rStyle w:val="Zwaar"/>
          <w:b w:val="0"/>
          <w:bCs w:val="0"/>
        </w:rPr>
      </w:pPr>
    </w:p>
    <w:p w:rsidR="00677EFC" w:rsidP="00641529" w:rsidRDefault="001C2777" w14:paraId="0B13475E" w14:textId="37F17549">
      <w:pPr>
        <w:rPr>
          <w:rStyle w:val="Zwaar"/>
          <w:b w:val="0"/>
          <w:bCs w:val="0"/>
        </w:rPr>
      </w:pPr>
      <w:r>
        <w:rPr>
          <w:rStyle w:val="Zwaar"/>
          <w:b w:val="0"/>
          <w:bCs w:val="0"/>
        </w:rPr>
        <w:t>Hoogachtend,</w:t>
      </w:r>
    </w:p>
    <w:p w:rsidR="0028637E" w:rsidP="00641529" w:rsidRDefault="0028637E" w14:paraId="1EFFCDE4" w14:textId="77777777">
      <w:pPr>
        <w:rPr>
          <w:rStyle w:val="Zwaar"/>
          <w:b w:val="0"/>
          <w:bCs w:val="0"/>
        </w:rPr>
      </w:pPr>
    </w:p>
    <w:p w:rsidRPr="00EC58D9" w:rsidR="00F71F9E" w:rsidP="00641529" w:rsidRDefault="00F71F9E" w14:paraId="7DA59AD7" w14:textId="77777777"/>
    <w:p w:rsidRPr="00EC58D9" w:rsidR="007239A1" w:rsidP="00641529" w:rsidRDefault="007239A1" w14:paraId="55322510" w14:textId="77777777"/>
    <w:p w:rsidR="007239A1" w:rsidP="00641529" w:rsidRDefault="007239A1" w14:paraId="7FC4B37F" w14:textId="77777777"/>
    <w:p w:rsidRPr="00EC58D9" w:rsidR="0028637E" w:rsidP="00641529" w:rsidRDefault="0028637E" w14:paraId="21FA2C43" w14:textId="77777777"/>
    <w:p w:rsidRPr="006A15A5" w:rsidR="007239A1" w:rsidP="00641529" w:rsidRDefault="001C2777" w14:paraId="3827036D" w14:textId="77777777">
      <w:pPr>
        <w:rPr>
          <w:szCs w:val="18"/>
        </w:rPr>
      </w:pPr>
      <w:r w:rsidRPr="00B11DD6">
        <w:t>Femke Marije Wiersma</w:t>
      </w:r>
    </w:p>
    <w:p w:rsidR="004E505E" w:rsidP="00641529" w:rsidRDefault="001C2777" w14:paraId="4BBB42D7" w14:textId="77777777">
      <w:r w:rsidRPr="00EC58D9">
        <w:t xml:space="preserve">Minister van </w:t>
      </w:r>
      <w:r w:rsidR="00704E60">
        <w:rPr>
          <w:rFonts w:cs="Calibri"/>
          <w:szCs w:val="18"/>
        </w:rPr>
        <w:t>Landbouw, Visserij, Voedselzekerheid en Natuur</w:t>
      </w:r>
    </w:p>
    <w:p w:rsidRPr="00006C01" w:rsidR="00481085" w:rsidP="00641529" w:rsidRDefault="00481085" w14:paraId="6A000E91" w14:textId="77777777"/>
    <w:p w:rsidR="00C25A1D" w:rsidP="00641529" w:rsidRDefault="00C25A1D" w14:paraId="1F3BB010" w14:textId="77777777">
      <w:pPr>
        <w:rPr>
          <w:rStyle w:val="Zwaar"/>
          <w:b w:val="0"/>
          <w:bCs w:val="0"/>
        </w:rPr>
      </w:pPr>
    </w:p>
    <w:p w:rsidR="00C25A1D" w:rsidP="00641529" w:rsidRDefault="001C2777" w14:paraId="4FDE120E" w14:textId="77777777">
      <w:pPr>
        <w:rPr>
          <w:b/>
        </w:rPr>
      </w:pPr>
      <w:r>
        <w:rPr>
          <w:b/>
        </w:rPr>
        <w:br w:type="page"/>
      </w:r>
    </w:p>
    <w:p w:rsidR="00020AEB" w:rsidP="00641529" w:rsidRDefault="00020AEB" w14:paraId="395E89F3" w14:textId="1D1CAF5F">
      <w:pPr>
        <w:rPr>
          <w:b/>
        </w:rPr>
      </w:pPr>
      <w:r w:rsidRPr="00020AEB">
        <w:rPr>
          <w:b/>
        </w:rPr>
        <w:lastRenderedPageBreak/>
        <w:t>2024Z15098</w:t>
      </w:r>
    </w:p>
    <w:p w:rsidRPr="00020AEB" w:rsidR="00641529" w:rsidP="00641529" w:rsidRDefault="00641529" w14:paraId="632401CA" w14:textId="77777777">
      <w:pPr>
        <w:rPr>
          <w:b/>
        </w:rPr>
      </w:pPr>
    </w:p>
    <w:p w:rsidR="00641529" w:rsidP="00641529" w:rsidRDefault="00641529" w14:paraId="333E1D1C" w14:textId="77777777">
      <w:pPr>
        <w:rPr>
          <w:szCs w:val="18"/>
        </w:rPr>
      </w:pPr>
      <w:r>
        <w:rPr>
          <w:szCs w:val="18"/>
        </w:rPr>
        <w:t>1</w:t>
      </w:r>
    </w:p>
    <w:p w:rsidR="00020AEB" w:rsidP="00641529" w:rsidRDefault="00020AEB" w14:paraId="054FAD92" w14:textId="7322E33B">
      <w:pPr>
        <w:rPr>
          <w:szCs w:val="18"/>
        </w:rPr>
      </w:pPr>
      <w:r w:rsidRPr="00B24965">
        <w:rPr>
          <w:szCs w:val="18"/>
        </w:rPr>
        <w:t>Bent u beiden bekend met het artikel 'Derogatiebedrijven helpen kabinet een handje: ‘Nitraatconcentratie daalt naar, op of onder de norm’'?</w:t>
      </w:r>
      <w:r w:rsidRPr="00B24965">
        <w:rPr>
          <w:szCs w:val="18"/>
        </w:rPr>
        <w:br/>
      </w:r>
    </w:p>
    <w:p w:rsidR="00020AEB" w:rsidP="00641529" w:rsidRDefault="00020AEB" w14:paraId="1D3BF6AA" w14:textId="60FCBCC3">
      <w:pPr>
        <w:rPr>
          <w:szCs w:val="18"/>
        </w:rPr>
      </w:pPr>
      <w:r>
        <w:rPr>
          <w:szCs w:val="18"/>
        </w:rPr>
        <w:t>Antwoord</w:t>
      </w:r>
    </w:p>
    <w:p w:rsidR="00020AEB" w:rsidP="00641529" w:rsidRDefault="00020AEB" w14:paraId="5CC25F80" w14:textId="77777777">
      <w:pPr>
        <w:rPr>
          <w:szCs w:val="18"/>
        </w:rPr>
      </w:pPr>
      <w:r w:rsidRPr="00B24965">
        <w:rPr>
          <w:szCs w:val="18"/>
        </w:rPr>
        <w:t>Ja.</w:t>
      </w:r>
    </w:p>
    <w:p w:rsidRPr="00B24965" w:rsidR="00020AEB" w:rsidP="00641529" w:rsidRDefault="00020AEB" w14:paraId="3E5B3F66" w14:textId="77777777">
      <w:pPr>
        <w:ind w:left="360"/>
        <w:rPr>
          <w:szCs w:val="18"/>
        </w:rPr>
      </w:pPr>
    </w:p>
    <w:p w:rsidR="00641529" w:rsidP="00641529" w:rsidRDefault="00641529" w14:paraId="5B9303B4" w14:textId="77777777">
      <w:pPr>
        <w:rPr>
          <w:szCs w:val="18"/>
        </w:rPr>
      </w:pPr>
      <w:r>
        <w:rPr>
          <w:szCs w:val="18"/>
        </w:rPr>
        <w:t>2</w:t>
      </w:r>
    </w:p>
    <w:p w:rsidR="00020AEB" w:rsidP="00641529" w:rsidRDefault="00020AEB" w14:paraId="27D6AAD0" w14:textId="2A7A6AF5">
      <w:pPr>
        <w:rPr>
          <w:szCs w:val="18"/>
        </w:rPr>
      </w:pPr>
      <w:r w:rsidRPr="0086366A">
        <w:rPr>
          <w:szCs w:val="18"/>
        </w:rPr>
        <w:t>Kunt u beiden een reactie geven op het artikel en daarbij de onderzoeken van het RIVM en van Wageningen Economic Research betrekken? </w:t>
      </w:r>
      <w:r w:rsidRPr="0086366A">
        <w:rPr>
          <w:szCs w:val="18"/>
        </w:rPr>
        <w:br/>
      </w:r>
    </w:p>
    <w:p w:rsidRPr="0086366A" w:rsidR="00020AEB" w:rsidP="00641529" w:rsidRDefault="00020AEB" w14:paraId="198DAA46" w14:textId="48AE7133">
      <w:pPr>
        <w:rPr>
          <w:szCs w:val="18"/>
        </w:rPr>
      </w:pPr>
      <w:r>
        <w:rPr>
          <w:szCs w:val="18"/>
        </w:rPr>
        <w:t>Antwoord</w:t>
      </w:r>
    </w:p>
    <w:p w:rsidRPr="00FF5607" w:rsidR="00020AEB" w:rsidP="00641529" w:rsidRDefault="00020AEB" w14:paraId="7163A3F5" w14:textId="78273781">
      <w:pPr>
        <w:rPr>
          <w:szCs w:val="18"/>
        </w:rPr>
      </w:pPr>
      <w:bookmarkStart w:name="_Hlk179212694" w:id="0"/>
      <w:r w:rsidRPr="0086366A">
        <w:rPr>
          <w:szCs w:val="18"/>
        </w:rPr>
        <w:t>Het rapport laat zien dat er sinds 2017 een stijging is geweest in de nitraatconcentraties op de derogatiebedrijven</w:t>
      </w:r>
      <w:r w:rsidR="009C6717">
        <w:rPr>
          <w:szCs w:val="18"/>
        </w:rPr>
        <w:t>,</w:t>
      </w:r>
      <w:r w:rsidRPr="009C6717" w:rsidR="009C6717">
        <w:t xml:space="preserve"> </w:t>
      </w:r>
      <w:r w:rsidR="009C6717">
        <w:t>waarschijnlijk door de droge jaren van 2018 tot en met 2020,</w:t>
      </w:r>
      <w:r w:rsidRPr="0086366A">
        <w:rPr>
          <w:szCs w:val="18"/>
        </w:rPr>
        <w:t xml:space="preserve"> en dat deze sinds 2022 op alle bodemtypen weer dalen, veelal vanwege de hogere neerslag van de afgelopen 2-3 jaar. </w:t>
      </w:r>
      <w:r w:rsidR="003E41BA">
        <w:rPr>
          <w:szCs w:val="18"/>
        </w:rPr>
        <w:t>De ontwikkelingen in de waterkwaliteit zullen door de Europese Commissie betrokken worden bij het oordeel over een nieuwe derogatie</w:t>
      </w:r>
      <w:r w:rsidRPr="00FF5607">
        <w:rPr>
          <w:szCs w:val="18"/>
        </w:rPr>
        <w:t xml:space="preserve">. </w:t>
      </w:r>
    </w:p>
    <w:p w:rsidRPr="0086366A" w:rsidR="00020AEB" w:rsidP="00641529" w:rsidRDefault="00020AEB" w14:paraId="1695E944" w14:textId="77777777">
      <w:pPr>
        <w:ind w:left="360"/>
        <w:rPr>
          <w:szCs w:val="18"/>
        </w:rPr>
      </w:pPr>
    </w:p>
    <w:bookmarkEnd w:id="0"/>
    <w:p w:rsidR="00641529" w:rsidP="00641529" w:rsidRDefault="00641529" w14:paraId="1B84FE10" w14:textId="77777777">
      <w:pPr>
        <w:rPr>
          <w:szCs w:val="18"/>
        </w:rPr>
      </w:pPr>
      <w:r>
        <w:rPr>
          <w:szCs w:val="18"/>
        </w:rPr>
        <w:t>3</w:t>
      </w:r>
    </w:p>
    <w:p w:rsidR="00020AEB" w:rsidP="00641529" w:rsidRDefault="00020AEB" w14:paraId="1022818A" w14:textId="66A67936">
      <w:pPr>
        <w:rPr>
          <w:szCs w:val="18"/>
        </w:rPr>
      </w:pPr>
      <w:r w:rsidRPr="0086366A">
        <w:rPr>
          <w:szCs w:val="18"/>
        </w:rPr>
        <w:t>Zijn deze rapporten al voorgelegd aan de Europese Commissie? Zo nee, bent u voornemens dat te doen?</w:t>
      </w:r>
      <w:r w:rsidRPr="0086366A">
        <w:rPr>
          <w:szCs w:val="18"/>
        </w:rPr>
        <w:br/>
      </w:r>
    </w:p>
    <w:p w:rsidRPr="0086366A" w:rsidR="00020AEB" w:rsidP="00641529" w:rsidRDefault="00020AEB" w14:paraId="740CB86A" w14:textId="197FFFF5">
      <w:pPr>
        <w:rPr>
          <w:szCs w:val="18"/>
        </w:rPr>
      </w:pPr>
      <w:r>
        <w:rPr>
          <w:szCs w:val="18"/>
        </w:rPr>
        <w:t>Antwoord</w:t>
      </w:r>
    </w:p>
    <w:p w:rsidRPr="00FF5607" w:rsidR="00020AEB" w:rsidP="00641529" w:rsidRDefault="00020AEB" w14:paraId="16D04894" w14:textId="77777777">
      <w:pPr>
        <w:rPr>
          <w:szCs w:val="18"/>
        </w:rPr>
      </w:pPr>
      <w:r w:rsidRPr="00FF5607">
        <w:rPr>
          <w:szCs w:val="18"/>
        </w:rPr>
        <w:t xml:space="preserve">Ja, deze rapporten zijn </w:t>
      </w:r>
      <w:r w:rsidRPr="0086366A">
        <w:rPr>
          <w:szCs w:val="18"/>
        </w:rPr>
        <w:t xml:space="preserve">door de minister van LVVN </w:t>
      </w:r>
      <w:r w:rsidRPr="00FF5607">
        <w:rPr>
          <w:szCs w:val="18"/>
        </w:rPr>
        <w:t xml:space="preserve">met de Europese Commissie gedeeld. Nederland is dit ook jaarlijks </w:t>
      </w:r>
      <w:r w:rsidRPr="0086366A">
        <w:rPr>
          <w:szCs w:val="18"/>
        </w:rPr>
        <w:t xml:space="preserve">(voor 1 juli) </w:t>
      </w:r>
      <w:r w:rsidRPr="00FF5607">
        <w:rPr>
          <w:szCs w:val="18"/>
        </w:rPr>
        <w:t xml:space="preserve">verplicht op grond van de derogatiebeschikking. </w:t>
      </w:r>
    </w:p>
    <w:p w:rsidRPr="0086366A" w:rsidR="00020AEB" w:rsidP="00641529" w:rsidRDefault="00020AEB" w14:paraId="4F7D0725" w14:textId="77777777">
      <w:pPr>
        <w:ind w:left="360"/>
        <w:rPr>
          <w:szCs w:val="18"/>
        </w:rPr>
      </w:pPr>
    </w:p>
    <w:p w:rsidR="00641529" w:rsidP="00641529" w:rsidRDefault="00641529" w14:paraId="668F54E4" w14:textId="77777777">
      <w:pPr>
        <w:rPr>
          <w:szCs w:val="18"/>
        </w:rPr>
      </w:pPr>
      <w:r>
        <w:rPr>
          <w:szCs w:val="18"/>
        </w:rPr>
        <w:t>4</w:t>
      </w:r>
    </w:p>
    <w:p w:rsidR="00020AEB" w:rsidP="00641529" w:rsidRDefault="00020AEB" w14:paraId="0A87E4D2" w14:textId="20A49FB3">
      <w:pPr>
        <w:rPr>
          <w:szCs w:val="18"/>
        </w:rPr>
      </w:pPr>
      <w:r w:rsidRPr="0086366A">
        <w:rPr>
          <w:szCs w:val="18"/>
        </w:rPr>
        <w:t>Welke rapporten over deze onderwerpen zijn de afgelopen jaren gedeeld met de Europese Commissie?</w:t>
      </w:r>
      <w:r w:rsidRPr="0086366A">
        <w:rPr>
          <w:szCs w:val="18"/>
        </w:rPr>
        <w:br/>
      </w:r>
    </w:p>
    <w:p w:rsidRPr="0086366A" w:rsidR="00020AEB" w:rsidP="00641529" w:rsidRDefault="00020AEB" w14:paraId="170A19F1" w14:textId="56F311F6">
      <w:pPr>
        <w:rPr>
          <w:szCs w:val="18"/>
        </w:rPr>
      </w:pPr>
      <w:r>
        <w:rPr>
          <w:szCs w:val="18"/>
        </w:rPr>
        <w:t>Antwoord</w:t>
      </w:r>
    </w:p>
    <w:p w:rsidR="00020AEB" w:rsidP="00641529" w:rsidRDefault="00020AEB" w14:paraId="1A61FF9E" w14:textId="26620AD7">
      <w:pPr>
        <w:rPr>
          <w:szCs w:val="18"/>
        </w:rPr>
      </w:pPr>
      <w:bookmarkStart w:name="_Hlk179293705" w:id="1"/>
      <w:r w:rsidRPr="00FF5607">
        <w:rPr>
          <w:szCs w:val="18"/>
        </w:rPr>
        <w:t>Nederland verstrekt verplicht jaarlijks een rapportage van de waterkwaliteit onder derogatiebedrijven aan de Europese Commissie. Tevens wordt elke 4 jaar een bredere rapportage gemaakt van de effecten van het mestbeleid op de waterkwaliteit in Nederland.</w:t>
      </w:r>
      <w:r>
        <w:rPr>
          <w:szCs w:val="18"/>
        </w:rPr>
        <w:t xml:space="preserve"> Deze </w:t>
      </w:r>
      <w:r w:rsidRPr="0086366A">
        <w:rPr>
          <w:szCs w:val="18"/>
        </w:rPr>
        <w:t>Nitraatrapportage</w:t>
      </w:r>
      <w:r>
        <w:rPr>
          <w:szCs w:val="18"/>
        </w:rPr>
        <w:t xml:space="preserve"> is voor het laatst in 2020</w:t>
      </w:r>
      <w:r w:rsidRPr="00FF5607">
        <w:rPr>
          <w:szCs w:val="18"/>
        </w:rPr>
        <w:t xml:space="preserve"> aan de Europese Commissie</w:t>
      </w:r>
      <w:r>
        <w:rPr>
          <w:szCs w:val="18"/>
        </w:rPr>
        <w:t xml:space="preserve"> gestuurd</w:t>
      </w:r>
      <w:r>
        <w:rPr>
          <w:rStyle w:val="Voetnootmarkering"/>
          <w:szCs w:val="18"/>
        </w:rPr>
        <w:footnoteReference w:id="1"/>
      </w:r>
      <w:r>
        <w:rPr>
          <w:szCs w:val="18"/>
        </w:rPr>
        <w:t xml:space="preserve"> en dit najaar wordt komt de volgende versie.</w:t>
      </w:r>
      <w:r w:rsidR="00551531">
        <w:rPr>
          <w:szCs w:val="18"/>
        </w:rPr>
        <w:t xml:space="preserve"> Tevens worden ook andere </w:t>
      </w:r>
      <w:r w:rsidR="009870A7">
        <w:rPr>
          <w:szCs w:val="18"/>
        </w:rPr>
        <w:t>rapporten waar relevant met de Commissie gedeeld, bijvoorbeeld het rapport van Herman de Boer zoals medegedeeld in het Commissiedebat van 24 april 2024</w:t>
      </w:r>
      <w:r w:rsidR="009870A7">
        <w:rPr>
          <w:rStyle w:val="Voetnootmarkering"/>
          <w:szCs w:val="18"/>
        </w:rPr>
        <w:footnoteReference w:id="2"/>
      </w:r>
      <w:r w:rsidR="009870A7">
        <w:rPr>
          <w:szCs w:val="18"/>
        </w:rPr>
        <w:t>.</w:t>
      </w:r>
      <w:r w:rsidR="00551531">
        <w:rPr>
          <w:szCs w:val="18"/>
        </w:rPr>
        <w:t xml:space="preserve"> </w:t>
      </w:r>
      <w:r>
        <w:rPr>
          <w:szCs w:val="18"/>
        </w:rPr>
        <w:t>Tot slot worden de gegevens van deze rapportages aangevuld met andere gegevens gebruikt voor de stroomgebiedbeheerplannen voor de Kaderrichtlijn Water (KRW), die iedere 6 jaar aan de Europese Commissie worden toegestuurd</w:t>
      </w:r>
      <w:r>
        <w:rPr>
          <w:rStyle w:val="Voetnootmarkering"/>
          <w:szCs w:val="18"/>
        </w:rPr>
        <w:footnoteReference w:id="3"/>
      </w:r>
      <w:r>
        <w:rPr>
          <w:szCs w:val="18"/>
        </w:rPr>
        <w:t>.</w:t>
      </w:r>
    </w:p>
    <w:p w:rsidRPr="00FF5607" w:rsidR="00020AEB" w:rsidP="00641529" w:rsidRDefault="00020AEB" w14:paraId="3C981422" w14:textId="77777777">
      <w:pPr>
        <w:ind w:left="360"/>
        <w:rPr>
          <w:szCs w:val="18"/>
        </w:rPr>
      </w:pPr>
      <w:r w:rsidRPr="00FF5607">
        <w:rPr>
          <w:szCs w:val="18"/>
        </w:rPr>
        <w:t xml:space="preserve">  </w:t>
      </w:r>
    </w:p>
    <w:p w:rsidR="00641529" w:rsidP="00641529" w:rsidRDefault="00641529" w14:paraId="65CDD464" w14:textId="77777777">
      <w:pPr>
        <w:rPr>
          <w:szCs w:val="18"/>
        </w:rPr>
      </w:pPr>
      <w:r>
        <w:rPr>
          <w:szCs w:val="18"/>
        </w:rPr>
        <w:t>5</w:t>
      </w:r>
    </w:p>
    <w:p w:rsidR="00020AEB" w:rsidP="00641529" w:rsidRDefault="00020AEB" w14:paraId="31493DFC" w14:textId="40B7CA04">
      <w:pPr>
        <w:rPr>
          <w:szCs w:val="18"/>
        </w:rPr>
      </w:pPr>
      <w:r w:rsidRPr="0086366A">
        <w:rPr>
          <w:szCs w:val="18"/>
        </w:rPr>
        <w:t>Welke gegevens van nitraatconcentratie zijn bekend bij de Europese Commissie en wie is verantwoordelijk voor deze gegevensverstrekking?</w:t>
      </w:r>
      <w:r w:rsidRPr="0086366A">
        <w:rPr>
          <w:szCs w:val="18"/>
        </w:rPr>
        <w:br/>
      </w:r>
    </w:p>
    <w:p w:rsidRPr="0086366A" w:rsidR="00020AEB" w:rsidP="00641529" w:rsidRDefault="00020AEB" w14:paraId="6742E287" w14:textId="40CF5B4E">
      <w:pPr>
        <w:rPr>
          <w:szCs w:val="18"/>
        </w:rPr>
      </w:pPr>
      <w:r>
        <w:rPr>
          <w:szCs w:val="18"/>
        </w:rPr>
        <w:t>Antwoord</w:t>
      </w:r>
    </w:p>
    <w:bookmarkEnd w:id="1"/>
    <w:p w:rsidRPr="0086366A" w:rsidR="00020AEB" w:rsidP="00641529" w:rsidRDefault="00020AEB" w14:paraId="61DBBA05" w14:textId="77777777">
      <w:pPr>
        <w:rPr>
          <w:szCs w:val="18"/>
        </w:rPr>
      </w:pPr>
      <w:r>
        <w:rPr>
          <w:szCs w:val="18"/>
        </w:rPr>
        <w:t xml:space="preserve">De gegevens die gebruikt zijn voor de derogatierapportage zijn afkomstig van het Landelijk Meetnet effecten Mestbeleid (LMM). In de Nitraatrapportage worden meer gegevens gebruikt. </w:t>
      </w:r>
      <w:r w:rsidRPr="0086366A">
        <w:rPr>
          <w:szCs w:val="18"/>
        </w:rPr>
        <w:t xml:space="preserve">In de tabel hieronder staat aangegeven welke gegevensbronnen </w:t>
      </w:r>
      <w:r>
        <w:rPr>
          <w:szCs w:val="18"/>
        </w:rPr>
        <w:t>er</w:t>
      </w:r>
      <w:r w:rsidRPr="0086366A">
        <w:rPr>
          <w:szCs w:val="18"/>
        </w:rPr>
        <w:t xml:space="preserve"> zijn</w:t>
      </w:r>
      <w:r>
        <w:rPr>
          <w:szCs w:val="18"/>
        </w:rPr>
        <w:t xml:space="preserve"> en wie verantwoordelijk is.</w:t>
      </w:r>
    </w:p>
    <w:tbl>
      <w:tblPr>
        <w:tblStyle w:val="Tabelraster"/>
        <w:tblW w:w="8647"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2409"/>
        <w:gridCol w:w="1701"/>
        <w:gridCol w:w="2127"/>
      </w:tblGrid>
      <w:tr w:rsidRPr="0086366A" w:rsidR="00020AEB" w:rsidTr="00392C80" w14:paraId="2BE4333F" w14:textId="77777777">
        <w:tc>
          <w:tcPr>
            <w:tcW w:w="2410" w:type="dxa"/>
            <w:tcBorders>
              <w:top w:val="single" w:color="auto" w:sz="12" w:space="0"/>
              <w:bottom w:val="single" w:color="auto" w:sz="4" w:space="0"/>
            </w:tcBorders>
          </w:tcPr>
          <w:p w:rsidRPr="0086366A" w:rsidR="00020AEB" w:rsidP="00641529" w:rsidRDefault="00020AEB" w14:paraId="457C4AFA" w14:textId="77777777">
            <w:pPr>
              <w:pStyle w:val="RIVMStandaard"/>
              <w:rPr>
                <w:b/>
                <w:bCs/>
                <w:sz w:val="18"/>
                <w:szCs w:val="18"/>
              </w:rPr>
            </w:pPr>
            <w:r w:rsidRPr="0086366A">
              <w:rPr>
                <w:b/>
                <w:bCs/>
                <w:sz w:val="18"/>
                <w:szCs w:val="18"/>
              </w:rPr>
              <w:t>Meetnet</w:t>
            </w:r>
          </w:p>
        </w:tc>
        <w:tc>
          <w:tcPr>
            <w:tcW w:w="2409" w:type="dxa"/>
            <w:tcBorders>
              <w:top w:val="single" w:color="auto" w:sz="12" w:space="0"/>
              <w:bottom w:val="single" w:color="auto" w:sz="4" w:space="0"/>
            </w:tcBorders>
          </w:tcPr>
          <w:p w:rsidRPr="0086366A" w:rsidR="00020AEB" w:rsidP="00641529" w:rsidRDefault="00020AEB" w14:paraId="4C5527A5" w14:textId="77777777">
            <w:pPr>
              <w:pStyle w:val="RIVMStandaard"/>
              <w:rPr>
                <w:b/>
                <w:bCs/>
                <w:sz w:val="18"/>
                <w:szCs w:val="18"/>
              </w:rPr>
            </w:pPr>
            <w:r w:rsidRPr="0086366A">
              <w:rPr>
                <w:b/>
                <w:bCs/>
                <w:sz w:val="18"/>
                <w:szCs w:val="18"/>
              </w:rPr>
              <w:t>Type water</w:t>
            </w:r>
          </w:p>
        </w:tc>
        <w:tc>
          <w:tcPr>
            <w:tcW w:w="1701" w:type="dxa"/>
            <w:tcBorders>
              <w:top w:val="single" w:color="auto" w:sz="12" w:space="0"/>
              <w:bottom w:val="single" w:color="auto" w:sz="4" w:space="0"/>
            </w:tcBorders>
          </w:tcPr>
          <w:p w:rsidRPr="0086366A" w:rsidR="00020AEB" w:rsidP="00641529" w:rsidRDefault="00020AEB" w14:paraId="79DEC213" w14:textId="77777777">
            <w:pPr>
              <w:pStyle w:val="RIVMStandaard"/>
              <w:rPr>
                <w:b/>
                <w:bCs/>
                <w:sz w:val="18"/>
                <w:szCs w:val="18"/>
              </w:rPr>
            </w:pPr>
            <w:r w:rsidRPr="0086366A">
              <w:rPr>
                <w:b/>
                <w:bCs/>
                <w:sz w:val="18"/>
                <w:szCs w:val="18"/>
              </w:rPr>
              <w:t>Parameter</w:t>
            </w:r>
          </w:p>
        </w:tc>
        <w:tc>
          <w:tcPr>
            <w:tcW w:w="2127" w:type="dxa"/>
            <w:tcBorders>
              <w:top w:val="single" w:color="auto" w:sz="12" w:space="0"/>
              <w:bottom w:val="single" w:color="auto" w:sz="4" w:space="0"/>
            </w:tcBorders>
          </w:tcPr>
          <w:p w:rsidRPr="0086366A" w:rsidR="00020AEB" w:rsidP="00641529" w:rsidRDefault="00020AEB" w14:paraId="71C84AA3" w14:textId="77777777">
            <w:pPr>
              <w:pStyle w:val="RIVMStandaard"/>
              <w:rPr>
                <w:b/>
                <w:bCs/>
                <w:sz w:val="18"/>
                <w:szCs w:val="18"/>
              </w:rPr>
            </w:pPr>
            <w:r w:rsidRPr="0086366A">
              <w:rPr>
                <w:b/>
                <w:bCs/>
                <w:sz w:val="18"/>
                <w:szCs w:val="18"/>
              </w:rPr>
              <w:t>Verantwoordelijke gegevens</w:t>
            </w:r>
          </w:p>
        </w:tc>
      </w:tr>
      <w:tr w:rsidRPr="0086366A" w:rsidR="00020AEB" w:rsidTr="00392C80" w14:paraId="04C162EF" w14:textId="77777777">
        <w:tc>
          <w:tcPr>
            <w:tcW w:w="2410" w:type="dxa"/>
            <w:tcBorders>
              <w:top w:val="single" w:color="auto" w:sz="4" w:space="0"/>
            </w:tcBorders>
          </w:tcPr>
          <w:p w:rsidRPr="0086366A" w:rsidR="00020AEB" w:rsidP="00641529" w:rsidRDefault="00020AEB" w14:paraId="6C8EBE3E" w14:textId="77777777">
            <w:pPr>
              <w:pStyle w:val="RIVMStandaard"/>
              <w:rPr>
                <w:sz w:val="18"/>
                <w:szCs w:val="18"/>
              </w:rPr>
            </w:pPr>
            <w:r w:rsidRPr="0086366A">
              <w:rPr>
                <w:sz w:val="18"/>
                <w:szCs w:val="18"/>
              </w:rPr>
              <w:t xml:space="preserve">Landelijk meetnet </w:t>
            </w:r>
            <w:r>
              <w:rPr>
                <w:sz w:val="18"/>
                <w:szCs w:val="18"/>
              </w:rPr>
              <w:t>effecten mestbeleid</w:t>
            </w:r>
            <w:r w:rsidRPr="0086366A">
              <w:rPr>
                <w:sz w:val="18"/>
                <w:szCs w:val="18"/>
              </w:rPr>
              <w:t xml:space="preserve"> (LMM)</w:t>
            </w:r>
          </w:p>
        </w:tc>
        <w:tc>
          <w:tcPr>
            <w:tcW w:w="2409" w:type="dxa"/>
            <w:tcBorders>
              <w:top w:val="single" w:color="auto" w:sz="4" w:space="0"/>
            </w:tcBorders>
          </w:tcPr>
          <w:p w:rsidRPr="0086366A" w:rsidR="00020AEB" w:rsidP="00641529" w:rsidRDefault="00020AEB" w14:paraId="3B253FDE" w14:textId="77777777">
            <w:pPr>
              <w:pStyle w:val="RIVMStandaard"/>
              <w:rPr>
                <w:sz w:val="18"/>
                <w:szCs w:val="18"/>
              </w:rPr>
            </w:pPr>
            <w:r w:rsidRPr="0086366A">
              <w:rPr>
                <w:sz w:val="18"/>
                <w:szCs w:val="18"/>
              </w:rPr>
              <w:t>Uitspoelingswater (ondiep grondwater)</w:t>
            </w:r>
            <w:r>
              <w:rPr>
                <w:sz w:val="18"/>
                <w:szCs w:val="18"/>
              </w:rPr>
              <w:t>, landbouwsloten</w:t>
            </w:r>
          </w:p>
        </w:tc>
        <w:tc>
          <w:tcPr>
            <w:tcW w:w="1701" w:type="dxa"/>
            <w:tcBorders>
              <w:top w:val="single" w:color="auto" w:sz="4" w:space="0"/>
            </w:tcBorders>
          </w:tcPr>
          <w:p w:rsidR="00020AEB" w:rsidP="00641529" w:rsidRDefault="00020AEB" w14:paraId="1F0FFE7E" w14:textId="77777777">
            <w:pPr>
              <w:pStyle w:val="RIVMStandaard"/>
              <w:rPr>
                <w:sz w:val="18"/>
                <w:szCs w:val="18"/>
              </w:rPr>
            </w:pPr>
            <w:r w:rsidRPr="0086366A">
              <w:rPr>
                <w:sz w:val="18"/>
                <w:szCs w:val="18"/>
              </w:rPr>
              <w:t>Nitraat</w:t>
            </w:r>
            <w:r>
              <w:rPr>
                <w:sz w:val="18"/>
                <w:szCs w:val="18"/>
              </w:rPr>
              <w:t xml:space="preserve">, </w:t>
            </w:r>
          </w:p>
          <w:p w:rsidRPr="0086366A" w:rsidR="00020AEB" w:rsidP="00641529" w:rsidRDefault="00020AEB" w14:paraId="43A2EF41" w14:textId="77777777">
            <w:pPr>
              <w:pStyle w:val="RIVMStandaard"/>
              <w:rPr>
                <w:sz w:val="18"/>
                <w:szCs w:val="18"/>
              </w:rPr>
            </w:pPr>
            <w:r>
              <w:rPr>
                <w:sz w:val="18"/>
                <w:szCs w:val="18"/>
              </w:rPr>
              <w:t>Fosfaat</w:t>
            </w:r>
          </w:p>
        </w:tc>
        <w:tc>
          <w:tcPr>
            <w:tcW w:w="2127" w:type="dxa"/>
            <w:tcBorders>
              <w:top w:val="single" w:color="auto" w:sz="4" w:space="0"/>
            </w:tcBorders>
          </w:tcPr>
          <w:p w:rsidRPr="0086366A" w:rsidR="00020AEB" w:rsidP="00641529" w:rsidRDefault="00020AEB" w14:paraId="5CC17564" w14:textId="77777777">
            <w:pPr>
              <w:pStyle w:val="RIVMStandaard"/>
              <w:rPr>
                <w:sz w:val="18"/>
                <w:szCs w:val="18"/>
              </w:rPr>
            </w:pPr>
            <w:r>
              <w:rPr>
                <w:sz w:val="18"/>
                <w:szCs w:val="18"/>
              </w:rPr>
              <w:t>RIVM</w:t>
            </w:r>
          </w:p>
        </w:tc>
      </w:tr>
      <w:tr w:rsidRPr="0086366A" w:rsidR="00020AEB" w:rsidTr="00392C80" w14:paraId="429853B2" w14:textId="77777777">
        <w:tc>
          <w:tcPr>
            <w:tcW w:w="2410" w:type="dxa"/>
            <w:tcBorders>
              <w:top w:val="single" w:color="auto" w:sz="4" w:space="0"/>
            </w:tcBorders>
          </w:tcPr>
          <w:p w:rsidRPr="0086366A" w:rsidR="00020AEB" w:rsidP="00641529" w:rsidRDefault="00020AEB" w14:paraId="09FD29FE" w14:textId="77777777">
            <w:pPr>
              <w:pStyle w:val="RIVMStandaard"/>
              <w:rPr>
                <w:sz w:val="18"/>
                <w:szCs w:val="18"/>
              </w:rPr>
            </w:pPr>
            <w:r w:rsidRPr="0086366A">
              <w:rPr>
                <w:sz w:val="18"/>
                <w:szCs w:val="18"/>
              </w:rPr>
              <w:t>Landelijk Meetnet Grondwater</w:t>
            </w:r>
            <w:r>
              <w:rPr>
                <w:sz w:val="18"/>
                <w:szCs w:val="18"/>
              </w:rPr>
              <w:t>kwaliteit (LMG)</w:t>
            </w:r>
          </w:p>
        </w:tc>
        <w:tc>
          <w:tcPr>
            <w:tcW w:w="2409" w:type="dxa"/>
            <w:tcBorders>
              <w:top w:val="single" w:color="auto" w:sz="4" w:space="0"/>
            </w:tcBorders>
          </w:tcPr>
          <w:p w:rsidRPr="0086366A" w:rsidR="00020AEB" w:rsidP="00641529" w:rsidRDefault="00020AEB" w14:paraId="5040AD78" w14:textId="77777777">
            <w:pPr>
              <w:pStyle w:val="RIVMStandaard"/>
              <w:rPr>
                <w:sz w:val="18"/>
                <w:szCs w:val="18"/>
              </w:rPr>
            </w:pPr>
            <w:r w:rsidRPr="0086366A">
              <w:rPr>
                <w:sz w:val="18"/>
                <w:szCs w:val="18"/>
              </w:rPr>
              <w:t>Grondwater</w:t>
            </w:r>
            <w:r>
              <w:rPr>
                <w:sz w:val="18"/>
                <w:szCs w:val="18"/>
              </w:rPr>
              <w:t xml:space="preserve"> (5-30 m diepte)</w:t>
            </w:r>
          </w:p>
        </w:tc>
        <w:tc>
          <w:tcPr>
            <w:tcW w:w="1701" w:type="dxa"/>
            <w:tcBorders>
              <w:top w:val="single" w:color="auto" w:sz="4" w:space="0"/>
            </w:tcBorders>
          </w:tcPr>
          <w:p w:rsidR="00020AEB" w:rsidP="00641529" w:rsidRDefault="00020AEB" w14:paraId="5C4BB746" w14:textId="77777777">
            <w:pPr>
              <w:pStyle w:val="RIVMStandaard"/>
              <w:rPr>
                <w:sz w:val="18"/>
                <w:szCs w:val="18"/>
              </w:rPr>
            </w:pPr>
            <w:r w:rsidRPr="0086366A">
              <w:rPr>
                <w:sz w:val="18"/>
                <w:szCs w:val="18"/>
              </w:rPr>
              <w:t>Nitraat</w:t>
            </w:r>
            <w:r>
              <w:rPr>
                <w:sz w:val="18"/>
                <w:szCs w:val="18"/>
              </w:rPr>
              <w:t>,</w:t>
            </w:r>
          </w:p>
          <w:p w:rsidRPr="0086366A" w:rsidR="00020AEB" w:rsidP="00641529" w:rsidRDefault="00020AEB" w14:paraId="5FC2DABC" w14:textId="77777777">
            <w:pPr>
              <w:pStyle w:val="RIVMStandaard"/>
              <w:rPr>
                <w:sz w:val="18"/>
                <w:szCs w:val="18"/>
              </w:rPr>
            </w:pPr>
            <w:r>
              <w:rPr>
                <w:sz w:val="18"/>
                <w:szCs w:val="18"/>
              </w:rPr>
              <w:t>Fosfaat</w:t>
            </w:r>
          </w:p>
        </w:tc>
        <w:tc>
          <w:tcPr>
            <w:tcW w:w="2127" w:type="dxa"/>
            <w:tcBorders>
              <w:top w:val="single" w:color="auto" w:sz="4" w:space="0"/>
            </w:tcBorders>
          </w:tcPr>
          <w:p w:rsidRPr="0086366A" w:rsidR="00020AEB" w:rsidP="00641529" w:rsidRDefault="00020AEB" w14:paraId="514E4420" w14:textId="77777777">
            <w:pPr>
              <w:pStyle w:val="RIVMStandaard"/>
              <w:rPr>
                <w:sz w:val="18"/>
                <w:szCs w:val="18"/>
              </w:rPr>
            </w:pPr>
            <w:r>
              <w:rPr>
                <w:sz w:val="18"/>
                <w:szCs w:val="18"/>
              </w:rPr>
              <w:t>RIVM</w:t>
            </w:r>
          </w:p>
        </w:tc>
      </w:tr>
      <w:tr w:rsidRPr="0086366A" w:rsidR="00020AEB" w:rsidTr="00392C80" w14:paraId="40B4550F" w14:textId="77777777">
        <w:tc>
          <w:tcPr>
            <w:tcW w:w="2410" w:type="dxa"/>
            <w:tcBorders>
              <w:top w:val="single" w:color="auto" w:sz="4" w:space="0"/>
            </w:tcBorders>
          </w:tcPr>
          <w:p w:rsidRPr="0086366A" w:rsidR="00020AEB" w:rsidP="00641529" w:rsidRDefault="00020AEB" w14:paraId="68CFA5DC" w14:textId="77777777">
            <w:pPr>
              <w:pStyle w:val="RIVMStandaard"/>
              <w:rPr>
                <w:sz w:val="18"/>
                <w:szCs w:val="18"/>
              </w:rPr>
            </w:pPr>
            <w:r w:rsidRPr="0086366A">
              <w:rPr>
                <w:sz w:val="18"/>
                <w:szCs w:val="18"/>
              </w:rPr>
              <w:t xml:space="preserve">Registratie </w:t>
            </w:r>
            <w:r>
              <w:rPr>
                <w:sz w:val="18"/>
                <w:szCs w:val="18"/>
              </w:rPr>
              <w:t>Waterkwaliteit</w:t>
            </w:r>
            <w:r w:rsidRPr="0086366A">
              <w:rPr>
                <w:sz w:val="18"/>
                <w:szCs w:val="18"/>
              </w:rPr>
              <w:t xml:space="preserve"> bedrijven (REWAB)</w:t>
            </w:r>
          </w:p>
        </w:tc>
        <w:tc>
          <w:tcPr>
            <w:tcW w:w="2409" w:type="dxa"/>
            <w:tcBorders>
              <w:top w:val="single" w:color="auto" w:sz="4" w:space="0"/>
            </w:tcBorders>
          </w:tcPr>
          <w:p w:rsidRPr="0086366A" w:rsidR="00020AEB" w:rsidP="00641529" w:rsidRDefault="00020AEB" w14:paraId="011ACCBB" w14:textId="77777777">
            <w:pPr>
              <w:pStyle w:val="RIVMStandaard"/>
              <w:rPr>
                <w:sz w:val="18"/>
                <w:szCs w:val="18"/>
              </w:rPr>
            </w:pPr>
            <w:r w:rsidRPr="0086366A">
              <w:rPr>
                <w:sz w:val="18"/>
                <w:szCs w:val="18"/>
              </w:rPr>
              <w:t>Gemengd ruwwater voor drinkwater</w:t>
            </w:r>
            <w:r>
              <w:rPr>
                <w:sz w:val="18"/>
                <w:szCs w:val="18"/>
              </w:rPr>
              <w:t>-</w:t>
            </w:r>
            <w:r w:rsidRPr="0086366A">
              <w:rPr>
                <w:sz w:val="18"/>
                <w:szCs w:val="18"/>
              </w:rPr>
              <w:t xml:space="preserve"> productie</w:t>
            </w:r>
            <w:r>
              <w:rPr>
                <w:sz w:val="18"/>
                <w:szCs w:val="18"/>
              </w:rPr>
              <w:t xml:space="preserve"> (&gt; 30 m diepte)</w:t>
            </w:r>
          </w:p>
        </w:tc>
        <w:tc>
          <w:tcPr>
            <w:tcW w:w="1701" w:type="dxa"/>
            <w:tcBorders>
              <w:top w:val="single" w:color="auto" w:sz="4" w:space="0"/>
            </w:tcBorders>
          </w:tcPr>
          <w:p w:rsidR="00020AEB" w:rsidP="00641529" w:rsidRDefault="00020AEB" w14:paraId="7C2CD34F" w14:textId="77777777">
            <w:pPr>
              <w:pStyle w:val="RIVMStandaard"/>
              <w:rPr>
                <w:sz w:val="18"/>
                <w:szCs w:val="18"/>
              </w:rPr>
            </w:pPr>
            <w:r w:rsidRPr="0086366A">
              <w:rPr>
                <w:sz w:val="18"/>
                <w:szCs w:val="18"/>
              </w:rPr>
              <w:t>Nitraat</w:t>
            </w:r>
            <w:r>
              <w:rPr>
                <w:sz w:val="18"/>
                <w:szCs w:val="18"/>
              </w:rPr>
              <w:t>,</w:t>
            </w:r>
          </w:p>
          <w:p w:rsidRPr="0086366A" w:rsidR="00020AEB" w:rsidP="00641529" w:rsidRDefault="00020AEB" w14:paraId="5EB37270" w14:textId="77777777">
            <w:pPr>
              <w:pStyle w:val="RIVMStandaard"/>
              <w:rPr>
                <w:sz w:val="18"/>
                <w:szCs w:val="18"/>
              </w:rPr>
            </w:pPr>
            <w:r>
              <w:rPr>
                <w:sz w:val="18"/>
                <w:szCs w:val="18"/>
              </w:rPr>
              <w:t>Fosfaat</w:t>
            </w:r>
          </w:p>
        </w:tc>
        <w:tc>
          <w:tcPr>
            <w:tcW w:w="2127" w:type="dxa"/>
            <w:tcBorders>
              <w:top w:val="single" w:color="auto" w:sz="4" w:space="0"/>
            </w:tcBorders>
          </w:tcPr>
          <w:p w:rsidRPr="0086366A" w:rsidR="00020AEB" w:rsidP="00641529" w:rsidRDefault="00020AEB" w14:paraId="253A17EB" w14:textId="77777777">
            <w:pPr>
              <w:pStyle w:val="RIVMStandaard"/>
              <w:rPr>
                <w:sz w:val="18"/>
                <w:szCs w:val="18"/>
              </w:rPr>
            </w:pPr>
            <w:r w:rsidRPr="0086366A">
              <w:rPr>
                <w:sz w:val="18"/>
                <w:szCs w:val="18"/>
              </w:rPr>
              <w:t>Drinkwaterbedrijven</w:t>
            </w:r>
          </w:p>
        </w:tc>
      </w:tr>
      <w:tr w:rsidRPr="0086366A" w:rsidR="00020AEB" w:rsidTr="00392C80" w14:paraId="455F89CB" w14:textId="77777777">
        <w:tc>
          <w:tcPr>
            <w:tcW w:w="2410" w:type="dxa"/>
            <w:tcBorders>
              <w:top w:val="single" w:color="auto" w:sz="4" w:space="0"/>
            </w:tcBorders>
          </w:tcPr>
          <w:p w:rsidRPr="0086366A" w:rsidR="00020AEB" w:rsidP="00641529" w:rsidRDefault="00020AEB" w14:paraId="612FED40" w14:textId="77777777">
            <w:pPr>
              <w:pStyle w:val="RIVMStandaard"/>
              <w:rPr>
                <w:sz w:val="18"/>
                <w:szCs w:val="18"/>
              </w:rPr>
            </w:pPr>
            <w:r>
              <w:rPr>
                <w:sz w:val="18"/>
                <w:szCs w:val="18"/>
              </w:rPr>
              <w:t xml:space="preserve">Meetnet KRW en </w:t>
            </w:r>
            <w:r w:rsidRPr="0086366A">
              <w:rPr>
                <w:sz w:val="18"/>
                <w:szCs w:val="18"/>
              </w:rPr>
              <w:t>M</w:t>
            </w:r>
            <w:r>
              <w:rPr>
                <w:sz w:val="18"/>
                <w:szCs w:val="18"/>
              </w:rPr>
              <w:t>eetnet Nutriënten Landbouw Specifiek Oppervlaktewater (M</w:t>
            </w:r>
            <w:r w:rsidRPr="0086366A">
              <w:rPr>
                <w:sz w:val="18"/>
                <w:szCs w:val="18"/>
              </w:rPr>
              <w:t>NLSO</w:t>
            </w:r>
            <w:r>
              <w:rPr>
                <w:sz w:val="18"/>
                <w:szCs w:val="18"/>
              </w:rPr>
              <w:t>)</w:t>
            </w:r>
          </w:p>
        </w:tc>
        <w:tc>
          <w:tcPr>
            <w:tcW w:w="2409" w:type="dxa"/>
            <w:tcBorders>
              <w:top w:val="single" w:color="auto" w:sz="4" w:space="0"/>
            </w:tcBorders>
          </w:tcPr>
          <w:p w:rsidRPr="0086366A" w:rsidR="00020AEB" w:rsidP="00641529" w:rsidRDefault="00020AEB" w14:paraId="06AD9110" w14:textId="77777777">
            <w:pPr>
              <w:pStyle w:val="RIVMStandaard"/>
              <w:rPr>
                <w:sz w:val="18"/>
                <w:szCs w:val="18"/>
              </w:rPr>
            </w:pPr>
            <w:r w:rsidRPr="0086366A">
              <w:rPr>
                <w:sz w:val="18"/>
                <w:szCs w:val="18"/>
              </w:rPr>
              <w:t>Zoet oppervlaktewater</w:t>
            </w:r>
            <w:r>
              <w:rPr>
                <w:sz w:val="18"/>
                <w:szCs w:val="18"/>
              </w:rPr>
              <w:t xml:space="preserve"> (regionale- en Rijkswateren)</w:t>
            </w:r>
          </w:p>
        </w:tc>
        <w:tc>
          <w:tcPr>
            <w:tcW w:w="1701" w:type="dxa"/>
            <w:tcBorders>
              <w:top w:val="single" w:color="auto" w:sz="4" w:space="0"/>
            </w:tcBorders>
          </w:tcPr>
          <w:p w:rsidR="00020AEB" w:rsidP="00641529" w:rsidRDefault="00020AEB" w14:paraId="4BA2BA00" w14:textId="77777777">
            <w:pPr>
              <w:pStyle w:val="RIVMStandaard"/>
              <w:rPr>
                <w:sz w:val="18"/>
                <w:szCs w:val="18"/>
              </w:rPr>
            </w:pPr>
            <w:r w:rsidRPr="0086366A">
              <w:rPr>
                <w:sz w:val="18"/>
                <w:szCs w:val="18"/>
              </w:rPr>
              <w:t>Nitraat</w:t>
            </w:r>
            <w:r>
              <w:rPr>
                <w:sz w:val="18"/>
                <w:szCs w:val="18"/>
              </w:rPr>
              <w:t>, N-totaal,</w:t>
            </w:r>
          </w:p>
          <w:p w:rsidRPr="0086366A" w:rsidR="00020AEB" w:rsidP="00641529" w:rsidRDefault="00020AEB" w14:paraId="3CC66BC4" w14:textId="77777777">
            <w:pPr>
              <w:pStyle w:val="RIVMStandaard"/>
              <w:rPr>
                <w:sz w:val="18"/>
                <w:szCs w:val="18"/>
              </w:rPr>
            </w:pPr>
            <w:r>
              <w:rPr>
                <w:sz w:val="18"/>
                <w:szCs w:val="18"/>
              </w:rPr>
              <w:t>Fosfaat*</w:t>
            </w:r>
          </w:p>
        </w:tc>
        <w:tc>
          <w:tcPr>
            <w:tcW w:w="2127" w:type="dxa"/>
            <w:tcBorders>
              <w:top w:val="single" w:color="auto" w:sz="4" w:space="0"/>
            </w:tcBorders>
          </w:tcPr>
          <w:p w:rsidRPr="0086366A" w:rsidR="00020AEB" w:rsidP="00641529" w:rsidRDefault="00020AEB" w14:paraId="232108E9" w14:textId="77777777">
            <w:pPr>
              <w:pStyle w:val="RIVMStandaard"/>
              <w:rPr>
                <w:sz w:val="18"/>
                <w:szCs w:val="18"/>
              </w:rPr>
            </w:pPr>
            <w:r w:rsidRPr="0086366A">
              <w:rPr>
                <w:sz w:val="18"/>
                <w:szCs w:val="18"/>
              </w:rPr>
              <w:t>Waterschappen, RWS</w:t>
            </w:r>
          </w:p>
        </w:tc>
      </w:tr>
      <w:tr w:rsidRPr="0086366A" w:rsidR="00020AEB" w:rsidTr="00392C80" w14:paraId="06D278FE" w14:textId="77777777">
        <w:tc>
          <w:tcPr>
            <w:tcW w:w="2410" w:type="dxa"/>
            <w:tcBorders>
              <w:top w:val="single" w:color="auto" w:sz="4" w:space="0"/>
              <w:bottom w:val="single" w:color="auto" w:sz="4" w:space="0"/>
            </w:tcBorders>
          </w:tcPr>
          <w:p w:rsidRPr="0086366A" w:rsidR="00020AEB" w:rsidP="00641529" w:rsidRDefault="00020AEB" w14:paraId="7D35FE98" w14:textId="77777777">
            <w:pPr>
              <w:pStyle w:val="RIVMStandaard"/>
              <w:rPr>
                <w:sz w:val="18"/>
                <w:szCs w:val="18"/>
              </w:rPr>
            </w:pPr>
            <w:r>
              <w:rPr>
                <w:sz w:val="18"/>
                <w:szCs w:val="18"/>
              </w:rPr>
              <w:t xml:space="preserve">Meetnet </w:t>
            </w:r>
            <w:r w:rsidRPr="0086366A">
              <w:rPr>
                <w:sz w:val="18"/>
                <w:szCs w:val="18"/>
              </w:rPr>
              <w:t>KRW en KRM</w:t>
            </w:r>
          </w:p>
        </w:tc>
        <w:tc>
          <w:tcPr>
            <w:tcW w:w="2409" w:type="dxa"/>
            <w:tcBorders>
              <w:top w:val="single" w:color="auto" w:sz="4" w:space="0"/>
              <w:bottom w:val="single" w:color="auto" w:sz="4" w:space="0"/>
            </w:tcBorders>
          </w:tcPr>
          <w:p w:rsidRPr="0086366A" w:rsidR="00020AEB" w:rsidP="00641529" w:rsidRDefault="00020AEB" w14:paraId="1B7502DC" w14:textId="77777777">
            <w:pPr>
              <w:pStyle w:val="RIVMStandaard"/>
              <w:rPr>
                <w:sz w:val="18"/>
                <w:szCs w:val="18"/>
              </w:rPr>
            </w:pPr>
            <w:r w:rsidRPr="0086366A">
              <w:rPr>
                <w:sz w:val="18"/>
                <w:szCs w:val="18"/>
              </w:rPr>
              <w:t>Zout oppervlaktewater</w:t>
            </w:r>
            <w:r>
              <w:rPr>
                <w:sz w:val="18"/>
                <w:szCs w:val="18"/>
              </w:rPr>
              <w:t xml:space="preserve"> (</w:t>
            </w:r>
            <w:r w:rsidRPr="0086366A">
              <w:rPr>
                <w:sz w:val="18"/>
                <w:szCs w:val="18"/>
              </w:rPr>
              <w:t>Rijkswateren</w:t>
            </w:r>
            <w:r>
              <w:rPr>
                <w:sz w:val="18"/>
                <w:szCs w:val="18"/>
              </w:rPr>
              <w:t>)</w:t>
            </w:r>
          </w:p>
        </w:tc>
        <w:tc>
          <w:tcPr>
            <w:tcW w:w="1701" w:type="dxa"/>
            <w:tcBorders>
              <w:top w:val="single" w:color="auto" w:sz="4" w:space="0"/>
              <w:bottom w:val="single" w:color="auto" w:sz="4" w:space="0"/>
            </w:tcBorders>
          </w:tcPr>
          <w:p w:rsidR="00020AEB" w:rsidP="00641529" w:rsidRDefault="00020AEB" w14:paraId="72FB6C4A" w14:textId="77777777">
            <w:pPr>
              <w:pStyle w:val="RIVMStandaard"/>
              <w:rPr>
                <w:sz w:val="18"/>
                <w:szCs w:val="18"/>
              </w:rPr>
            </w:pPr>
            <w:r w:rsidRPr="0086366A">
              <w:rPr>
                <w:sz w:val="18"/>
                <w:szCs w:val="18"/>
              </w:rPr>
              <w:t>Nitraat</w:t>
            </w:r>
            <w:r>
              <w:rPr>
                <w:sz w:val="18"/>
                <w:szCs w:val="18"/>
              </w:rPr>
              <w:t>, DIN (opgelost anorganisch N)</w:t>
            </w:r>
          </w:p>
          <w:p w:rsidRPr="0086366A" w:rsidR="00020AEB" w:rsidP="00641529" w:rsidRDefault="00020AEB" w14:paraId="32763FD4" w14:textId="77777777">
            <w:pPr>
              <w:pStyle w:val="RIVMStandaard"/>
              <w:rPr>
                <w:sz w:val="18"/>
                <w:szCs w:val="18"/>
              </w:rPr>
            </w:pPr>
            <w:r>
              <w:rPr>
                <w:sz w:val="18"/>
                <w:szCs w:val="18"/>
              </w:rPr>
              <w:t>Fosfaat*</w:t>
            </w:r>
          </w:p>
        </w:tc>
        <w:tc>
          <w:tcPr>
            <w:tcW w:w="2127" w:type="dxa"/>
            <w:tcBorders>
              <w:top w:val="single" w:color="auto" w:sz="4" w:space="0"/>
              <w:bottom w:val="single" w:color="auto" w:sz="4" w:space="0"/>
            </w:tcBorders>
          </w:tcPr>
          <w:p w:rsidRPr="0086366A" w:rsidR="00020AEB" w:rsidP="00641529" w:rsidRDefault="00020AEB" w14:paraId="7D7B860C" w14:textId="77777777">
            <w:pPr>
              <w:pStyle w:val="RIVMStandaard"/>
              <w:rPr>
                <w:sz w:val="18"/>
                <w:szCs w:val="18"/>
              </w:rPr>
            </w:pPr>
            <w:r w:rsidRPr="0086366A">
              <w:rPr>
                <w:sz w:val="18"/>
                <w:szCs w:val="18"/>
              </w:rPr>
              <w:t>RWS</w:t>
            </w:r>
          </w:p>
        </w:tc>
      </w:tr>
      <w:tr w:rsidRPr="0086366A" w:rsidR="00020AEB" w:rsidTr="00392C80" w14:paraId="4B4227F9" w14:textId="77777777">
        <w:tc>
          <w:tcPr>
            <w:tcW w:w="8647" w:type="dxa"/>
            <w:gridSpan w:val="4"/>
            <w:tcBorders>
              <w:top w:val="single" w:color="auto" w:sz="4" w:space="0"/>
            </w:tcBorders>
          </w:tcPr>
          <w:p w:rsidRPr="005B5209" w:rsidR="00020AEB" w:rsidP="00641529" w:rsidRDefault="00020AEB" w14:paraId="53785AD9" w14:textId="77777777">
            <w:pPr>
              <w:ind w:left="360"/>
              <w:rPr>
                <w:szCs w:val="18"/>
              </w:rPr>
            </w:pPr>
            <w:r>
              <w:rPr>
                <w:szCs w:val="18"/>
              </w:rPr>
              <w:t>* In oppervlaktewater wordt naast fosfaat “P-totaal” gemeten, een maat voor al het fosfor in een watermonster.</w:t>
            </w:r>
          </w:p>
        </w:tc>
      </w:tr>
    </w:tbl>
    <w:p w:rsidR="00020AEB" w:rsidP="00641529" w:rsidRDefault="00020AEB" w14:paraId="44045FF0" w14:textId="77777777">
      <w:pPr>
        <w:ind w:left="360"/>
        <w:rPr>
          <w:szCs w:val="18"/>
        </w:rPr>
      </w:pPr>
    </w:p>
    <w:p w:rsidR="00641529" w:rsidP="00641529" w:rsidRDefault="00641529" w14:paraId="7BB008A2" w14:textId="77777777">
      <w:pPr>
        <w:rPr>
          <w:szCs w:val="18"/>
        </w:rPr>
      </w:pPr>
      <w:r>
        <w:rPr>
          <w:szCs w:val="18"/>
        </w:rPr>
        <w:t>6</w:t>
      </w:r>
    </w:p>
    <w:p w:rsidRPr="00AF1EBD" w:rsidR="00020AEB" w:rsidP="00641529" w:rsidRDefault="00020AEB" w14:paraId="76E143EA" w14:textId="6320C846">
      <w:pPr>
        <w:rPr>
          <w:szCs w:val="18"/>
        </w:rPr>
      </w:pPr>
      <w:r w:rsidRPr="0086366A">
        <w:rPr>
          <w:szCs w:val="18"/>
        </w:rPr>
        <w:t>Kunt u (de ministe</w:t>
      </w:r>
      <w:r w:rsidRPr="00AF1EBD">
        <w:rPr>
          <w:szCs w:val="18"/>
        </w:rPr>
        <w:t>r van Infrastructuur en Waterstaat) uw recente uitspraak “Daarbij is de mestderogatie van tafel en dat zal het water in ieder geval een stuk helpen”, gedaan tijdens het commissiedebat Water van 24 september jongstleden, herinneren?</w:t>
      </w:r>
      <w:r w:rsidRPr="00AF1EBD">
        <w:rPr>
          <w:szCs w:val="18"/>
        </w:rPr>
        <w:br/>
      </w:r>
    </w:p>
    <w:p w:rsidR="00641529" w:rsidP="00641529" w:rsidRDefault="00641529" w14:paraId="6E242C57" w14:textId="77777777">
      <w:pPr>
        <w:rPr>
          <w:szCs w:val="18"/>
        </w:rPr>
      </w:pPr>
      <w:r>
        <w:rPr>
          <w:szCs w:val="18"/>
        </w:rPr>
        <w:t>7</w:t>
      </w:r>
    </w:p>
    <w:p w:rsidRPr="00AF1EBD" w:rsidR="00020AEB" w:rsidP="00641529" w:rsidRDefault="00020AEB" w14:paraId="3AF75E05" w14:textId="53FB637A">
      <w:pPr>
        <w:rPr>
          <w:szCs w:val="18"/>
        </w:rPr>
      </w:pPr>
      <w:r w:rsidRPr="00AF1EBD">
        <w:rPr>
          <w:szCs w:val="18"/>
        </w:rPr>
        <w:t>Staat u nog steeds achter die uitspraak?</w:t>
      </w:r>
      <w:r w:rsidRPr="00AF1EBD">
        <w:rPr>
          <w:szCs w:val="18"/>
        </w:rPr>
        <w:br/>
      </w:r>
    </w:p>
    <w:p w:rsidR="00641529" w:rsidP="00641529" w:rsidRDefault="00641529" w14:paraId="33F4360B" w14:textId="77777777">
      <w:pPr>
        <w:rPr>
          <w:szCs w:val="18"/>
        </w:rPr>
      </w:pPr>
    </w:p>
    <w:p w:rsidR="00641529" w:rsidP="00641529" w:rsidRDefault="00641529" w14:paraId="5DE4392C" w14:textId="49F76BED">
      <w:pPr>
        <w:rPr>
          <w:szCs w:val="18"/>
        </w:rPr>
      </w:pPr>
      <w:r>
        <w:rPr>
          <w:szCs w:val="18"/>
        </w:rPr>
        <w:t>8</w:t>
      </w:r>
    </w:p>
    <w:p w:rsidRPr="00AF1EBD" w:rsidR="00020AEB" w:rsidP="00641529" w:rsidRDefault="00020AEB" w14:paraId="3EDEC2F4" w14:textId="59B52D06">
      <w:pPr>
        <w:rPr>
          <w:szCs w:val="18"/>
        </w:rPr>
      </w:pPr>
      <w:r w:rsidRPr="00AF1EBD">
        <w:rPr>
          <w:szCs w:val="18"/>
        </w:rPr>
        <w:t xml:space="preserve">Was u ten tijde van uw uitspraak bekend met het advies van de Commissie van Deskundigen Meststoffenwet (CDM) uit 2020 waarin staat dat bij geen derogatie de nitraatuitspoeling waarschijnlijk zal toenemen, omdat grasland zal worden omgezet in maisland voor de productie van meer eiwitarmvoer? </w:t>
      </w:r>
      <w:r w:rsidRPr="00AF1EBD">
        <w:rPr>
          <w:szCs w:val="18"/>
        </w:rPr>
        <w:br/>
      </w:r>
    </w:p>
    <w:p w:rsidR="00641529" w:rsidP="00641529" w:rsidRDefault="00641529" w14:paraId="26082CB8" w14:textId="77777777">
      <w:pPr>
        <w:rPr>
          <w:szCs w:val="18"/>
        </w:rPr>
      </w:pPr>
      <w:r>
        <w:rPr>
          <w:szCs w:val="18"/>
        </w:rPr>
        <w:t>9</w:t>
      </w:r>
    </w:p>
    <w:p w:rsidRPr="00AF1EBD" w:rsidR="00020AEB" w:rsidP="00641529" w:rsidRDefault="00020AEB" w14:paraId="02E9DC04" w14:textId="08B5158B">
      <w:pPr>
        <w:rPr>
          <w:szCs w:val="18"/>
        </w:rPr>
      </w:pPr>
      <w:r w:rsidRPr="00AF1EBD">
        <w:rPr>
          <w:szCs w:val="18"/>
        </w:rPr>
        <w:t>Deelt u de mening dat uit (onder andere) bovenstaande onderzoeken blijkt dat het helemaal niet zo evident is dat er daadwerkelijk een positief effect op de waterkwaliteit zal zijn bij het wegvallen van derogatie?</w:t>
      </w:r>
      <w:r w:rsidRPr="00AF1EBD">
        <w:rPr>
          <w:szCs w:val="18"/>
        </w:rPr>
        <w:br/>
      </w:r>
    </w:p>
    <w:p w:rsidR="00641529" w:rsidP="00641529" w:rsidRDefault="00641529" w14:paraId="15C63F73" w14:textId="77777777">
      <w:pPr>
        <w:rPr>
          <w:szCs w:val="18"/>
        </w:rPr>
      </w:pPr>
      <w:r>
        <w:rPr>
          <w:szCs w:val="18"/>
        </w:rPr>
        <w:t>10</w:t>
      </w:r>
    </w:p>
    <w:p w:rsidRPr="00AF1EBD" w:rsidR="00020AEB" w:rsidP="00641529" w:rsidRDefault="00020AEB" w14:paraId="60AA42F8" w14:textId="3724B1D0">
      <w:pPr>
        <w:rPr>
          <w:szCs w:val="18"/>
        </w:rPr>
      </w:pPr>
      <w:r w:rsidRPr="00AF1EBD">
        <w:rPr>
          <w:szCs w:val="18"/>
        </w:rPr>
        <w:t>Deelt u de mening dat boeren, door het verlies van de derogatie, meer kunstmest moeten aanwenden om de bodemvruchtbaarheid en de gewasopbrengst op peil te houden?</w:t>
      </w:r>
      <w:r w:rsidRPr="00AF1EBD">
        <w:rPr>
          <w:szCs w:val="18"/>
        </w:rPr>
        <w:br/>
      </w:r>
    </w:p>
    <w:p w:rsidR="00641529" w:rsidP="00641529" w:rsidRDefault="00641529" w14:paraId="0EA9D17C" w14:textId="77777777">
      <w:pPr>
        <w:rPr>
          <w:szCs w:val="18"/>
        </w:rPr>
      </w:pPr>
      <w:r>
        <w:rPr>
          <w:szCs w:val="18"/>
        </w:rPr>
        <w:t>11</w:t>
      </w:r>
    </w:p>
    <w:p w:rsidR="00020AEB" w:rsidP="00641529" w:rsidRDefault="00020AEB" w14:paraId="7ED802CD" w14:textId="2DC2364C">
      <w:pPr>
        <w:rPr>
          <w:szCs w:val="18"/>
        </w:rPr>
      </w:pPr>
      <w:r w:rsidRPr="00AF1EBD">
        <w:rPr>
          <w:szCs w:val="18"/>
        </w:rPr>
        <w:t>Wat zijn volgens u de gevolgen van het wegvallen van de derogatie voor het gebruik van kunstmest en de waterkwaliteit en de biodiversiteit?</w:t>
      </w:r>
      <w:r w:rsidRPr="00AF1EBD">
        <w:rPr>
          <w:szCs w:val="18"/>
        </w:rPr>
        <w:br/>
      </w:r>
    </w:p>
    <w:p w:rsidR="00020AEB" w:rsidP="00641529" w:rsidRDefault="00020AEB" w14:paraId="3FF07A18" w14:textId="77777777">
      <w:pPr>
        <w:rPr>
          <w:szCs w:val="18"/>
        </w:rPr>
      </w:pPr>
      <w:r>
        <w:rPr>
          <w:szCs w:val="18"/>
        </w:rPr>
        <w:t>Antwoord op de vragen 6 – 11</w:t>
      </w:r>
    </w:p>
    <w:p w:rsidR="00020AEB" w:rsidP="00641529" w:rsidRDefault="00020AEB" w14:paraId="0788BBDF" w14:textId="77777777">
      <w:pPr>
        <w:rPr>
          <w:szCs w:val="18"/>
        </w:rPr>
      </w:pPr>
      <w:r>
        <w:rPr>
          <w:szCs w:val="18"/>
        </w:rPr>
        <w:t xml:space="preserve">De uitspraak in het CD water van 24 september jl. is gedaan in de context van de vraag wat er extra gaat gebeuren om te voorkomen dat we in 2027 niet aan de eisen van de Kaderrichtlijn Water (KRW) voldoen. Daarbij is aangegeven dat alle partijen zich daarvoor moeten inzetten. Voor het verminderen van de verontreiniging van het water met stoffen uit de landbouw wordt samengewerkt tussen de ministeries van LVVN en IenW. </w:t>
      </w:r>
    </w:p>
    <w:p w:rsidR="004B78C6" w:rsidP="00641529" w:rsidRDefault="004B78C6" w14:paraId="3AD85D0C" w14:textId="77777777">
      <w:pPr>
        <w:rPr>
          <w:szCs w:val="18"/>
        </w:rPr>
      </w:pPr>
    </w:p>
    <w:p w:rsidR="00E3165F" w:rsidP="00641529" w:rsidRDefault="00020AEB" w14:paraId="058440A4" w14:textId="77777777">
      <w:pPr>
        <w:rPr>
          <w:szCs w:val="18"/>
        </w:rPr>
      </w:pPr>
      <w:r>
        <w:rPr>
          <w:szCs w:val="18"/>
        </w:rPr>
        <w:t xml:space="preserve">Er speelt een aantal zaken die invloed hebben op de verontreiniging met meststoffen, waaronder de afbouw van de derogatie. </w:t>
      </w:r>
    </w:p>
    <w:p w:rsidR="00E3165F" w:rsidP="00641529" w:rsidRDefault="00E3165F" w14:paraId="5CCDC889" w14:textId="77777777">
      <w:pPr>
        <w:rPr>
          <w:szCs w:val="18"/>
        </w:rPr>
      </w:pPr>
    </w:p>
    <w:p w:rsidR="00E3165F" w:rsidP="00E3165F" w:rsidRDefault="00E3165F" w14:paraId="01743FD6" w14:textId="0F414441">
      <w:pPr>
        <w:rPr>
          <w:szCs w:val="18"/>
        </w:rPr>
      </w:pPr>
      <w:r>
        <w:rPr>
          <w:szCs w:val="18"/>
        </w:rPr>
        <w:t>In het RIVM-rapport</w:t>
      </w:r>
      <w:r>
        <w:rPr>
          <w:rStyle w:val="Voetnootmarkering"/>
          <w:szCs w:val="18"/>
        </w:rPr>
        <w:footnoteReference w:id="4"/>
      </w:r>
      <w:r>
        <w:rPr>
          <w:szCs w:val="18"/>
        </w:rPr>
        <w:t xml:space="preserve"> is aangegeven dat derogatiebedrijven veelal lagere nitraatconcentraties in het grondwater hebben dan andere bedrijven en dat dat niet zozeer een gevolg is van het soort mest dat wordt toegediend, maar een gevolg van de eis dat minimaal 80% van het areaal van derogatiebedrijven uit grasland moet bestaan</w:t>
      </w:r>
      <w:r w:rsidRPr="003F0F69">
        <w:rPr>
          <w:szCs w:val="18"/>
        </w:rPr>
        <w:t>.</w:t>
      </w:r>
      <w:r w:rsidRPr="003F0F69" w:rsidR="005A372A">
        <w:rPr>
          <w:szCs w:val="18"/>
        </w:rPr>
        <w:t xml:space="preserve"> Deze eis zorgt ervoor dat bedrijven kiezen voor het telen van gras, ondanks dat het een </w:t>
      </w:r>
      <w:r w:rsidRPr="00AB5F34" w:rsidR="005A372A">
        <w:rPr>
          <w:szCs w:val="18"/>
        </w:rPr>
        <w:t>laag renderend</w:t>
      </w:r>
      <w:r w:rsidRPr="003F0F69" w:rsidR="005A372A">
        <w:rPr>
          <w:szCs w:val="18"/>
        </w:rPr>
        <w:t xml:space="preserve"> gewas is. Zonder deze eis zouden bedrijven sneller kiezen voor bouwland, bijvoorbeeld snijmaïs.</w:t>
      </w:r>
      <w:r w:rsidRPr="003F0F69">
        <w:rPr>
          <w:szCs w:val="18"/>
        </w:rPr>
        <w:t xml:space="preserve"> De verliezen van meststoffen en ook gewasbeschermingsmiddelen zijn bij grasland</w:t>
      </w:r>
      <w:r>
        <w:rPr>
          <w:szCs w:val="18"/>
        </w:rPr>
        <w:t xml:space="preserve"> veelal lager dan bij bouwland. Ook de biodiversiteit is meer gediend met grasland dan met bouwland. Het CDM-rapport</w:t>
      </w:r>
      <w:r>
        <w:rPr>
          <w:rStyle w:val="Voetnootmarkering"/>
          <w:szCs w:val="18"/>
        </w:rPr>
        <w:footnoteReference w:id="5"/>
      </w:r>
      <w:r>
        <w:rPr>
          <w:szCs w:val="18"/>
        </w:rPr>
        <w:t xml:space="preserve"> bevestigt het belang van behoud grasland. Dit onderstreept dat een nieuwe derogatie positieve effecten kan hebben op de waterkwaliteit, mits hieraan opnieuw een grasland-eis wordt verbonden, maar dat behoud van grasland ook een belangrijk uitgangspunt voor toekomstige maatregelen moet zijn als er geen derogatie meer zou worden afgegeven.</w:t>
      </w:r>
    </w:p>
    <w:p w:rsidR="00E3165F" w:rsidP="00E3165F" w:rsidRDefault="00E3165F" w14:paraId="63C1A3CC" w14:textId="77777777">
      <w:pPr>
        <w:rPr>
          <w:szCs w:val="18"/>
        </w:rPr>
      </w:pPr>
      <w:r>
        <w:rPr>
          <w:szCs w:val="18"/>
        </w:rPr>
        <w:t>In 2023 heeft de Wageningen Universiteit specifiek gekeken naar de effecten van de afbouw van mestderogatie op emissies van ammoniak en broeikasgassen en op waterkwaliteit</w:t>
      </w:r>
      <w:r>
        <w:rPr>
          <w:rStyle w:val="Voetnootmarkering"/>
          <w:szCs w:val="18"/>
        </w:rPr>
        <w:footnoteReference w:id="6"/>
      </w:r>
      <w:r>
        <w:rPr>
          <w:szCs w:val="18"/>
        </w:rPr>
        <w:t>. Hieruit blijkt dat de maatregelen samen, inclusief de geïnstrumenteerde maatregelen uit het 7</w:t>
      </w:r>
      <w:r w:rsidRPr="005268A0">
        <w:rPr>
          <w:szCs w:val="18"/>
          <w:vertAlign w:val="superscript"/>
        </w:rPr>
        <w:t>e</w:t>
      </w:r>
      <w:r>
        <w:rPr>
          <w:szCs w:val="18"/>
        </w:rPr>
        <w:t xml:space="preserve"> Actieprogramma Nitraatrichtlijn, leiden tot 11-14% minder stikstofuitspoeling en ook positieve effecten op de uitspoeling van fosfaat en emissie van ammoniak naar de lucht.</w:t>
      </w:r>
    </w:p>
    <w:p w:rsidR="00E3165F" w:rsidP="00E3165F" w:rsidRDefault="00E3165F" w14:paraId="16B5A5A6" w14:textId="77777777">
      <w:pPr>
        <w:ind w:left="360"/>
        <w:rPr>
          <w:szCs w:val="18"/>
        </w:rPr>
      </w:pPr>
    </w:p>
    <w:p w:rsidR="00E3165F" w:rsidP="00E3165F" w:rsidRDefault="00E3165F" w14:paraId="51A09CC2" w14:textId="77777777">
      <w:pPr>
        <w:rPr>
          <w:szCs w:val="18"/>
        </w:rPr>
      </w:pPr>
      <w:r>
        <w:rPr>
          <w:szCs w:val="18"/>
        </w:rPr>
        <w:t>Overigens staat in het RIVM-rapport ook dat 47% van de derogatiebedrijven op zandgrond een nitraatconcentratie heeft boven de norm van het grondwater. En eerder is aangegeven dat ook rekening gehouden moet worden met de norm in oppervlaktewater die ongeveer 5 maal strenger is</w:t>
      </w:r>
      <w:r>
        <w:rPr>
          <w:rStyle w:val="Voetnootmarkering"/>
          <w:szCs w:val="18"/>
        </w:rPr>
        <w:footnoteReference w:id="7"/>
      </w:r>
      <w:r>
        <w:rPr>
          <w:szCs w:val="18"/>
        </w:rPr>
        <w:t xml:space="preserve">. Daarmee is nogmaals benadrukt dat er aanvullende maatregelen nodig zijn, ook in de agrarische sector, om </w:t>
      </w:r>
      <w:r w:rsidRPr="00AF1EBD">
        <w:rPr>
          <w:szCs w:val="18"/>
        </w:rPr>
        <w:t xml:space="preserve">een positief effect op de waterkwaliteit </w:t>
      </w:r>
      <w:r>
        <w:rPr>
          <w:szCs w:val="18"/>
        </w:rPr>
        <w:t>te bewerkstelligen. Hiertoe zijn maatregelen opgenomen in het 7</w:t>
      </w:r>
      <w:r w:rsidRPr="007B7C26">
        <w:rPr>
          <w:szCs w:val="18"/>
          <w:vertAlign w:val="superscript"/>
        </w:rPr>
        <w:t>e</w:t>
      </w:r>
      <w:r>
        <w:rPr>
          <w:szCs w:val="18"/>
        </w:rPr>
        <w:t xml:space="preserve"> Actieprogramma Nitraatrichtlijn en het bijbehorende addendum </w:t>
      </w:r>
      <w:r w:rsidRPr="0015375E">
        <w:rPr>
          <w:szCs w:val="18"/>
        </w:rPr>
        <w:t>en wordt nagegaan welke acties in het 8e Actieprogramma nodig zijn</w:t>
      </w:r>
      <w:r>
        <w:rPr>
          <w:szCs w:val="18"/>
        </w:rPr>
        <w:t>. Met het KRW-Impulsprogramma worden ook andere partijen gestimuleerd de benodigde maatregelen te treffen, opdat in 2027 aan de eisen van de KRW kan worden voldaan.</w:t>
      </w:r>
    </w:p>
    <w:p w:rsidR="00E3165F" w:rsidP="00641529" w:rsidRDefault="00E3165F" w14:paraId="1C753B0F" w14:textId="77777777">
      <w:pPr>
        <w:rPr>
          <w:szCs w:val="18"/>
        </w:rPr>
      </w:pPr>
    </w:p>
    <w:p w:rsidR="00020AEB" w:rsidP="00641529" w:rsidRDefault="00020AEB" w14:paraId="239C02A0" w14:textId="3828C5B8">
      <w:pPr>
        <w:ind w:left="360"/>
        <w:rPr>
          <w:szCs w:val="18"/>
        </w:rPr>
      </w:pPr>
      <w:r>
        <w:rPr>
          <w:szCs w:val="18"/>
        </w:rPr>
        <w:t xml:space="preserve">Met het verlies van derogatie en de aanvullende voorwaarden van de laatste beschikking is er minder ruimte voor de toepassing van stikstof uit dierlijke mest. Voor de waterkwaliteit is niet zozeer de vorm van stikstof van invloed, maar wel de totale gift, dus dierlijke mest, kunstmest en/of andere producten, en de momenten waarop dat gebeurt. </w:t>
      </w:r>
      <w:r w:rsidRPr="00ED4FF4" w:rsidR="00ED4FF4">
        <w:rPr>
          <w:szCs w:val="18"/>
        </w:rPr>
        <w:t xml:space="preserve"> </w:t>
      </w:r>
      <w:r w:rsidRPr="00442047" w:rsidR="00442047">
        <w:rPr>
          <w:szCs w:val="18"/>
        </w:rPr>
        <w:t>Het klopt dat boeren bij afbouw van de derogatie meer kunstmest kunnen gaan aanwenden, maar het is de vraag of in de praktijk de verminderde gift aan stikstof met dierlijke mest volledig wordt opgevuld met andere meststoffen.</w:t>
      </w:r>
      <w:r>
        <w:rPr>
          <w:szCs w:val="18"/>
        </w:rPr>
        <w:t xml:space="preserve"> </w:t>
      </w:r>
    </w:p>
    <w:p w:rsidR="00020AEB" w:rsidP="00641529" w:rsidRDefault="00020AEB" w14:paraId="331D78D6" w14:textId="7C358C83">
      <w:pPr>
        <w:rPr>
          <w:szCs w:val="18"/>
        </w:rPr>
      </w:pPr>
      <w:r>
        <w:rPr>
          <w:szCs w:val="18"/>
        </w:rPr>
        <w:t xml:space="preserve">In de </w:t>
      </w:r>
      <w:r w:rsidR="00B3501A">
        <w:rPr>
          <w:szCs w:val="18"/>
        </w:rPr>
        <w:t xml:space="preserve">laatste </w:t>
      </w:r>
      <w:r>
        <w:rPr>
          <w:szCs w:val="18"/>
        </w:rPr>
        <w:t>derogatiebeschikking zijn aanvullende voorwaarden opgenomen</w:t>
      </w:r>
      <w:r w:rsidR="00B3501A">
        <w:rPr>
          <w:szCs w:val="18"/>
        </w:rPr>
        <w:t xml:space="preserve"> </w:t>
      </w:r>
      <w:r>
        <w:rPr>
          <w:szCs w:val="18"/>
        </w:rPr>
        <w:t xml:space="preserve">door de Europese Commissie. </w:t>
      </w:r>
      <w:r w:rsidR="00551531">
        <w:rPr>
          <w:szCs w:val="18"/>
        </w:rPr>
        <w:t>Eén</w:t>
      </w:r>
      <w:r>
        <w:rPr>
          <w:szCs w:val="18"/>
        </w:rPr>
        <w:t xml:space="preserve"> van de voorwaarden betreft een verlaging van de totale gift aan stikstof in nutriënt-verontreinigde gebieden. Andere voorwaarden betreffen onder meer bufferstroken waar geen mest mag worden toegepast, zaaien van vanggewassen en beperkingen aan het scheuren van grasland. Deze maatregelen, die dus onderdeel zijn van </w:t>
      </w:r>
      <w:r w:rsidRPr="00551531" w:rsidR="00551531">
        <w:rPr>
          <w:szCs w:val="18"/>
        </w:rPr>
        <w:t>de voorwaarden voor de geleidelijke afbouw</w:t>
      </w:r>
      <w:r w:rsidR="00551531">
        <w:rPr>
          <w:szCs w:val="18"/>
        </w:rPr>
        <w:t xml:space="preserve"> van </w:t>
      </w:r>
      <w:r>
        <w:rPr>
          <w:szCs w:val="18"/>
        </w:rPr>
        <w:t>de mestderogatie, zijn gunstig voor de waterkwaliteit. In die zin staat de minister van IenW nog steeds achter de uitspraak.</w:t>
      </w:r>
    </w:p>
    <w:p w:rsidR="00020AEB" w:rsidP="00641529" w:rsidRDefault="00020AEB" w14:paraId="17B8C39F" w14:textId="77777777">
      <w:pPr>
        <w:ind w:left="360"/>
        <w:rPr>
          <w:szCs w:val="18"/>
        </w:rPr>
      </w:pPr>
    </w:p>
    <w:p w:rsidR="00020AEB" w:rsidP="00641529" w:rsidRDefault="00020AEB" w14:paraId="6A02A77E" w14:textId="77777777">
      <w:pPr>
        <w:ind w:left="360"/>
        <w:rPr>
          <w:szCs w:val="18"/>
        </w:rPr>
      </w:pPr>
      <w:bookmarkStart w:name="_Hlk179451149" w:id="2"/>
    </w:p>
    <w:bookmarkEnd w:id="2"/>
    <w:p w:rsidR="00641529" w:rsidP="00641529" w:rsidRDefault="00641529" w14:paraId="1C4A561D" w14:textId="77777777">
      <w:pPr>
        <w:rPr>
          <w:szCs w:val="18"/>
        </w:rPr>
      </w:pPr>
      <w:r>
        <w:rPr>
          <w:szCs w:val="18"/>
        </w:rPr>
        <w:t>12</w:t>
      </w:r>
    </w:p>
    <w:p w:rsidR="00020AEB" w:rsidP="00641529" w:rsidRDefault="00020AEB" w14:paraId="54C6584B" w14:textId="4A683F1F">
      <w:pPr>
        <w:rPr>
          <w:szCs w:val="18"/>
        </w:rPr>
      </w:pPr>
      <w:r w:rsidRPr="00AF1EBD">
        <w:rPr>
          <w:szCs w:val="18"/>
        </w:rPr>
        <w:t>Kunt u (de minister van Landbouw, Visserij, Voedselzekerheid en Natuur) aangeven wat het verwachte effect is op de hoeveelheid grasland in Nederland na afschaffing van de derogatie?</w:t>
      </w:r>
      <w:r w:rsidRPr="00AF1EBD">
        <w:rPr>
          <w:szCs w:val="18"/>
        </w:rPr>
        <w:br/>
      </w:r>
    </w:p>
    <w:p w:rsidR="00020AEB" w:rsidP="00641529" w:rsidRDefault="00020AEB" w14:paraId="6F29A87D" w14:textId="4223387A">
      <w:pPr>
        <w:rPr>
          <w:szCs w:val="18"/>
        </w:rPr>
      </w:pPr>
      <w:r>
        <w:rPr>
          <w:szCs w:val="18"/>
        </w:rPr>
        <w:t>Antwoord</w:t>
      </w:r>
    </w:p>
    <w:p w:rsidR="00020AEB" w:rsidP="00641529" w:rsidRDefault="00020AEB" w14:paraId="5836130E" w14:textId="77777777">
      <w:pPr>
        <w:rPr>
          <w:szCs w:val="18"/>
        </w:rPr>
      </w:pPr>
      <w:r w:rsidRPr="00FF5607">
        <w:rPr>
          <w:szCs w:val="18"/>
        </w:rPr>
        <w:t>Naar verwachting neemt het areaal grasland af in veel gebieden na afschaffing van de derogatie. Hoe groot dit effect zal zijn is echter niet aan te geven omdat dit van veel factoren afhangt, zoals bodemsoort</w:t>
      </w:r>
      <w:r>
        <w:rPr>
          <w:szCs w:val="18"/>
        </w:rPr>
        <w:t>,</w:t>
      </w:r>
      <w:r w:rsidRPr="00FF5607">
        <w:rPr>
          <w:szCs w:val="18"/>
        </w:rPr>
        <w:t xml:space="preserve"> bedrijfstype</w:t>
      </w:r>
      <w:r>
        <w:rPr>
          <w:szCs w:val="18"/>
        </w:rPr>
        <w:t xml:space="preserve"> en specifieke ondernemerskeuzes</w:t>
      </w:r>
      <w:r w:rsidRPr="00FF5607">
        <w:rPr>
          <w:szCs w:val="18"/>
        </w:rPr>
        <w:t xml:space="preserve">. </w:t>
      </w:r>
    </w:p>
    <w:p w:rsidRPr="00FF5607" w:rsidR="00020AEB" w:rsidP="00641529" w:rsidRDefault="00020AEB" w14:paraId="20921570" w14:textId="77777777">
      <w:pPr>
        <w:ind w:left="360"/>
        <w:rPr>
          <w:szCs w:val="18"/>
        </w:rPr>
      </w:pPr>
    </w:p>
    <w:p w:rsidR="003666C9" w:rsidRDefault="003666C9" w14:paraId="6DB57798" w14:textId="77777777">
      <w:pPr>
        <w:spacing w:line="240" w:lineRule="auto"/>
        <w:rPr>
          <w:szCs w:val="18"/>
        </w:rPr>
      </w:pPr>
      <w:r>
        <w:rPr>
          <w:szCs w:val="18"/>
        </w:rPr>
        <w:br w:type="page"/>
      </w:r>
    </w:p>
    <w:p w:rsidR="00641529" w:rsidP="00641529" w:rsidRDefault="00641529" w14:paraId="14C7314A" w14:textId="61D61A22">
      <w:pPr>
        <w:rPr>
          <w:szCs w:val="18"/>
        </w:rPr>
      </w:pPr>
      <w:r>
        <w:rPr>
          <w:szCs w:val="18"/>
        </w:rPr>
        <w:t>13</w:t>
      </w:r>
    </w:p>
    <w:p w:rsidR="00020AEB" w:rsidP="00641529" w:rsidRDefault="00020AEB" w14:paraId="2D85E9D0" w14:textId="0626ACFE">
      <w:pPr>
        <w:rPr>
          <w:szCs w:val="18"/>
        </w:rPr>
      </w:pPr>
      <w:r w:rsidRPr="00AF1EBD">
        <w:rPr>
          <w:szCs w:val="18"/>
        </w:rPr>
        <w:t>Hoe houdt u rekening met de invloed van wisselende weersomstandigheden op de uitspoeling van nitraat en de nitraatconcentratie in het grondwater? Welke aanvullende maatregelen worden overwogen om de weersafhankelijke fluctuaties te beheersen?</w:t>
      </w:r>
      <w:r w:rsidRPr="00AF1EBD">
        <w:rPr>
          <w:szCs w:val="18"/>
        </w:rPr>
        <w:br/>
      </w:r>
    </w:p>
    <w:p w:rsidR="00020AEB" w:rsidP="00641529" w:rsidRDefault="00020AEB" w14:paraId="1E74B9FF" w14:textId="4CE4F3DA">
      <w:pPr>
        <w:rPr>
          <w:szCs w:val="18"/>
        </w:rPr>
      </w:pPr>
      <w:r>
        <w:rPr>
          <w:szCs w:val="18"/>
        </w:rPr>
        <w:t>Antwoord</w:t>
      </w:r>
    </w:p>
    <w:p w:rsidRPr="00006C01" w:rsidR="00481085" w:rsidP="00641529" w:rsidRDefault="00020AEB" w14:paraId="18BB9919" w14:textId="6CB5537D">
      <w:r w:rsidRPr="00FF5607">
        <w:rPr>
          <w:szCs w:val="18"/>
        </w:rPr>
        <w:t>Het is op dit moment nog moeilijk te zeggen hoe de wisselende weersomstandigheden zich zullen ontwikkelen. De Commissie Deskundigen Meststoffenwet heeft in 2020 een advies opgeleverd over hoe om te gaan met structurele droogte in het mestbeleid</w:t>
      </w:r>
      <w:r w:rsidRPr="00BB2AD9">
        <w:rPr>
          <w:szCs w:val="18"/>
          <w:vertAlign w:val="superscript"/>
        </w:rPr>
        <w:footnoteReference w:id="8"/>
      </w:r>
      <w:r w:rsidRPr="00FF5607">
        <w:rPr>
          <w:szCs w:val="18"/>
        </w:rPr>
        <w:t>, maar zoals afgelopen jaar is gebleken is ook extreme neerslag iets dat zich in de toekomst vaker voor kan gaan doen. Het is ook niet ondenkbaar dat opbrengsten van bepaalde gewassen in Nederland juist kunnen toenemen door klimaatverandering. Dit maakt het toepassen van generieke maatregelen zeer lastig. Hoe dan ook zal van boeren de komende jaren verwacht worden dat zij, nog meer dan voorheen, rekening houden met de weersverwachtingen in hun bemestingsplan. Ook het zo mogelijk meer verspreiden van de bemesting over het seizoen zal hier van belang zijn.</w:t>
      </w:r>
    </w:p>
    <w:sectPr w:rsidRPr="00006C01" w:rsidR="00481085"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EB33" w14:textId="77777777" w:rsidR="00C554D5" w:rsidRDefault="00C554D5">
      <w:r>
        <w:separator/>
      </w:r>
    </w:p>
    <w:p w14:paraId="153F00F6" w14:textId="77777777" w:rsidR="00C554D5" w:rsidRDefault="00C554D5"/>
  </w:endnote>
  <w:endnote w:type="continuationSeparator" w:id="0">
    <w:p w14:paraId="096CFB7D" w14:textId="77777777" w:rsidR="00C554D5" w:rsidRDefault="00C554D5">
      <w:r>
        <w:continuationSeparator/>
      </w:r>
    </w:p>
    <w:p w14:paraId="34F8A288" w14:textId="77777777" w:rsidR="00C554D5" w:rsidRDefault="00C5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0701" w14:textId="77777777" w:rsidR="00FD39DA" w:rsidRDefault="00FD39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74F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0161" w14:paraId="1C43F14B" w14:textId="77777777" w:rsidTr="00CA6A25">
      <w:trPr>
        <w:trHeight w:hRule="exact" w:val="240"/>
      </w:trPr>
      <w:tc>
        <w:tcPr>
          <w:tcW w:w="7601" w:type="dxa"/>
          <w:shd w:val="clear" w:color="auto" w:fill="auto"/>
        </w:tcPr>
        <w:p w14:paraId="16D073FD" w14:textId="77777777" w:rsidR="00527BD4" w:rsidRDefault="00527BD4" w:rsidP="003F1F6B">
          <w:pPr>
            <w:pStyle w:val="Huisstijl-Rubricering"/>
          </w:pPr>
        </w:p>
      </w:tc>
      <w:tc>
        <w:tcPr>
          <w:tcW w:w="2156" w:type="dxa"/>
        </w:tcPr>
        <w:p w14:paraId="55FE6A61" w14:textId="255CF49A" w:rsidR="00527BD4" w:rsidRPr="00645414" w:rsidRDefault="001C27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E55D2">
              <w:t>7</w:t>
            </w:r>
          </w:fldSimple>
        </w:p>
      </w:tc>
    </w:tr>
  </w:tbl>
  <w:p w14:paraId="758C8CD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0161" w14:paraId="01807474" w14:textId="77777777" w:rsidTr="00CA6A25">
      <w:trPr>
        <w:trHeight w:hRule="exact" w:val="240"/>
      </w:trPr>
      <w:tc>
        <w:tcPr>
          <w:tcW w:w="7601" w:type="dxa"/>
          <w:shd w:val="clear" w:color="auto" w:fill="auto"/>
        </w:tcPr>
        <w:p w14:paraId="61468664" w14:textId="77777777" w:rsidR="00527BD4" w:rsidRDefault="00527BD4" w:rsidP="008C356D">
          <w:pPr>
            <w:pStyle w:val="Huisstijl-Rubricering"/>
          </w:pPr>
        </w:p>
      </w:tc>
      <w:tc>
        <w:tcPr>
          <w:tcW w:w="2170" w:type="dxa"/>
        </w:tcPr>
        <w:p w14:paraId="699E85D0" w14:textId="19FE6487" w:rsidR="00527BD4" w:rsidRPr="00ED539E" w:rsidRDefault="001C27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C554D5">
              <w:t>1</w:t>
            </w:r>
          </w:fldSimple>
        </w:p>
      </w:tc>
    </w:tr>
  </w:tbl>
  <w:p w14:paraId="38002B3B" w14:textId="77777777" w:rsidR="00527BD4" w:rsidRPr="00BC3B53" w:rsidRDefault="00527BD4" w:rsidP="008C356D">
    <w:pPr>
      <w:pStyle w:val="Voettekst"/>
      <w:spacing w:line="240" w:lineRule="auto"/>
      <w:rPr>
        <w:sz w:val="2"/>
        <w:szCs w:val="2"/>
      </w:rPr>
    </w:pPr>
  </w:p>
  <w:p w14:paraId="79874CE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A4A95" w14:textId="77777777" w:rsidR="00C554D5" w:rsidRDefault="00C554D5">
      <w:r>
        <w:separator/>
      </w:r>
    </w:p>
    <w:p w14:paraId="6B0C094C" w14:textId="77777777" w:rsidR="00C554D5" w:rsidRDefault="00C554D5"/>
  </w:footnote>
  <w:footnote w:type="continuationSeparator" w:id="0">
    <w:p w14:paraId="35A45E66" w14:textId="77777777" w:rsidR="00C554D5" w:rsidRDefault="00C554D5">
      <w:r>
        <w:continuationSeparator/>
      </w:r>
    </w:p>
    <w:p w14:paraId="7DC64944" w14:textId="77777777" w:rsidR="00C554D5" w:rsidRDefault="00C554D5"/>
  </w:footnote>
  <w:footnote w:id="1">
    <w:p w14:paraId="226C179E" w14:textId="7D4B2B62" w:rsidR="00020AEB" w:rsidRPr="00641529" w:rsidRDefault="00020AEB" w:rsidP="00020AEB">
      <w:pPr>
        <w:pStyle w:val="Voetnoottekst"/>
        <w:rPr>
          <w:szCs w:val="13"/>
        </w:rPr>
      </w:pPr>
      <w:r w:rsidRPr="00641529">
        <w:rPr>
          <w:rStyle w:val="Voetnootmarkering"/>
          <w:szCs w:val="13"/>
        </w:rPr>
        <w:footnoteRef/>
      </w:r>
      <w:hyperlink r:id="rId1" w:history="1">
        <w:r w:rsidR="00835376" w:rsidRPr="00641529">
          <w:rPr>
            <w:rStyle w:val="Hyperlink"/>
            <w:szCs w:val="13"/>
          </w:rPr>
          <w:t>https://www.rijksoverheid.nl/documenten/rapporten/2020/11/23/landbouwpraktijk-en-waterkwaliteit-in-nederland-toestand-2016-2019-en-trend-1992-2019</w:t>
        </w:r>
      </w:hyperlink>
      <w:r w:rsidRPr="00641529">
        <w:rPr>
          <w:szCs w:val="13"/>
        </w:rPr>
        <w:t xml:space="preserve"> </w:t>
      </w:r>
    </w:p>
  </w:footnote>
  <w:footnote w:id="2">
    <w:p w14:paraId="1781DEC1" w14:textId="72A65505" w:rsidR="009870A7" w:rsidRPr="00641529" w:rsidRDefault="009870A7">
      <w:pPr>
        <w:pStyle w:val="Voetnoottekst"/>
        <w:rPr>
          <w:szCs w:val="13"/>
        </w:rPr>
      </w:pPr>
      <w:r w:rsidRPr="00641529">
        <w:rPr>
          <w:rStyle w:val="Voetnootmarkering"/>
          <w:szCs w:val="13"/>
        </w:rPr>
        <w:footnoteRef/>
      </w:r>
      <w:r w:rsidRPr="00641529">
        <w:rPr>
          <w:szCs w:val="13"/>
        </w:rPr>
        <w:t xml:space="preserve"> https://www.tweedekamer.nl/kamerstukken/commissieverslagen/detail?id=2024Z07469&amp;did=2024D17955</w:t>
      </w:r>
    </w:p>
  </w:footnote>
  <w:footnote w:id="3">
    <w:p w14:paraId="27D2CA43" w14:textId="77777777" w:rsidR="00020AEB" w:rsidRPr="00641529" w:rsidRDefault="00020AEB" w:rsidP="00020AEB">
      <w:pPr>
        <w:pStyle w:val="Voetnoottekst"/>
        <w:rPr>
          <w:szCs w:val="13"/>
        </w:rPr>
      </w:pPr>
      <w:r w:rsidRPr="00641529">
        <w:rPr>
          <w:rStyle w:val="Voetnootmarkering"/>
          <w:szCs w:val="13"/>
        </w:rPr>
        <w:footnoteRef/>
      </w:r>
      <w:r w:rsidRPr="00641529">
        <w:rPr>
          <w:szCs w:val="13"/>
        </w:rPr>
        <w:t xml:space="preserve"> </w:t>
      </w:r>
      <w:hyperlink r:id="rId2" w:history="1">
        <w:r w:rsidRPr="00641529">
          <w:rPr>
            <w:rStyle w:val="Hyperlink"/>
            <w:szCs w:val="13"/>
          </w:rPr>
          <w:t>https://www.rijksoverheid.nl/documenten/rapporten/2022/03/18/bijlage-stroomgebiedbeheerplannen-rijn-maas-schelde-en-eems-2022-2027</w:t>
        </w:r>
      </w:hyperlink>
      <w:r w:rsidRPr="00641529">
        <w:rPr>
          <w:szCs w:val="13"/>
        </w:rPr>
        <w:t xml:space="preserve"> </w:t>
      </w:r>
    </w:p>
  </w:footnote>
  <w:footnote w:id="4">
    <w:p w14:paraId="4020D2EB" w14:textId="77777777" w:rsidR="00E3165F" w:rsidRPr="00641529" w:rsidRDefault="00E3165F" w:rsidP="00E3165F">
      <w:pPr>
        <w:pStyle w:val="Voetnoottekst"/>
        <w:rPr>
          <w:szCs w:val="13"/>
        </w:rPr>
      </w:pPr>
      <w:r w:rsidRPr="00641529">
        <w:rPr>
          <w:rStyle w:val="Voetnootmarkering"/>
          <w:szCs w:val="13"/>
        </w:rPr>
        <w:footnoteRef/>
      </w:r>
      <w:r w:rsidRPr="00641529">
        <w:rPr>
          <w:szCs w:val="13"/>
        </w:rPr>
        <w:t xml:space="preserve"> RIVM, 3 juli 2024, Landbouwpraktijk en waterkwaliteit op landbouwbedrijven aangemeld voor derogatie in 2022 (rivm.nl)</w:t>
      </w:r>
    </w:p>
  </w:footnote>
  <w:footnote w:id="5">
    <w:p w14:paraId="46485464" w14:textId="77777777" w:rsidR="00E3165F" w:rsidRPr="00641529" w:rsidRDefault="00E3165F" w:rsidP="00E3165F">
      <w:pPr>
        <w:pStyle w:val="Voetnoottekst"/>
        <w:rPr>
          <w:szCs w:val="13"/>
        </w:rPr>
      </w:pPr>
      <w:r w:rsidRPr="00641529">
        <w:rPr>
          <w:rStyle w:val="Voetnootmarkering"/>
          <w:szCs w:val="13"/>
        </w:rPr>
        <w:footnoteRef/>
      </w:r>
      <w:r w:rsidRPr="00641529">
        <w:rPr>
          <w:szCs w:val="13"/>
        </w:rPr>
        <w:t xml:space="preserve"> WUR.nl, 12 februari 2020, CDM-advies: ‘Milieueffecten bij geen derogatie van de Nitraatrichtlijn’ </w:t>
      </w:r>
    </w:p>
  </w:footnote>
  <w:footnote w:id="6">
    <w:p w14:paraId="5FDA640E" w14:textId="77777777" w:rsidR="00E3165F" w:rsidRPr="00641529" w:rsidRDefault="00E3165F" w:rsidP="00E3165F">
      <w:pPr>
        <w:pStyle w:val="Voetnoottekst"/>
        <w:rPr>
          <w:szCs w:val="13"/>
        </w:rPr>
      </w:pPr>
      <w:r w:rsidRPr="00641529">
        <w:rPr>
          <w:rStyle w:val="Voetnootmarkering"/>
          <w:szCs w:val="13"/>
        </w:rPr>
        <w:footnoteRef/>
      </w:r>
      <w:r w:rsidRPr="00641529">
        <w:rPr>
          <w:szCs w:val="13"/>
        </w:rPr>
        <w:t xml:space="preserve"> </w:t>
      </w:r>
      <w:hyperlink r:id="rId3" w:history="1">
        <w:r w:rsidRPr="00641529">
          <w:rPr>
            <w:rStyle w:val="Hyperlink"/>
            <w:szCs w:val="13"/>
          </w:rPr>
          <w:t>https://www.rijksoverheid.nl/documenten/rapporten/2023/07/14/wur-effecten-afbouw-mestderogatie-rapport-juli-2023</w:t>
        </w:r>
      </w:hyperlink>
      <w:r w:rsidRPr="00641529">
        <w:rPr>
          <w:szCs w:val="13"/>
        </w:rPr>
        <w:t xml:space="preserve"> </w:t>
      </w:r>
    </w:p>
  </w:footnote>
  <w:footnote w:id="7">
    <w:p w14:paraId="583D6439" w14:textId="77777777" w:rsidR="00E3165F" w:rsidRPr="00641529" w:rsidRDefault="00E3165F" w:rsidP="00E3165F">
      <w:pPr>
        <w:pStyle w:val="Voetnoottekst"/>
        <w:rPr>
          <w:szCs w:val="13"/>
        </w:rPr>
      </w:pPr>
      <w:r w:rsidRPr="00641529">
        <w:rPr>
          <w:rStyle w:val="Voetnootmarkering"/>
          <w:szCs w:val="13"/>
        </w:rPr>
        <w:footnoteRef/>
      </w:r>
      <w:r w:rsidRPr="00641529">
        <w:rPr>
          <w:szCs w:val="13"/>
        </w:rPr>
        <w:t xml:space="preserve"> </w:t>
      </w:r>
      <w:hyperlink r:id="rId4" w:history="1">
        <w:r w:rsidRPr="00641529">
          <w:rPr>
            <w:rStyle w:val="Hyperlink"/>
            <w:szCs w:val="13"/>
          </w:rPr>
          <w:t>https://zoek.officielebekendmakingen.nl/kst-27625-661.html</w:t>
        </w:r>
      </w:hyperlink>
      <w:r w:rsidRPr="00641529">
        <w:rPr>
          <w:szCs w:val="13"/>
        </w:rPr>
        <w:t xml:space="preserve"> </w:t>
      </w:r>
    </w:p>
  </w:footnote>
  <w:footnote w:id="8">
    <w:p w14:paraId="12EE0DE9" w14:textId="77777777" w:rsidR="00020AEB" w:rsidRPr="00641529" w:rsidRDefault="00020AEB" w:rsidP="00020AEB">
      <w:pPr>
        <w:rPr>
          <w:sz w:val="13"/>
          <w:szCs w:val="13"/>
        </w:rPr>
      </w:pPr>
      <w:r w:rsidRPr="00641529">
        <w:rPr>
          <w:rStyle w:val="Voetnootmarkering"/>
          <w:sz w:val="13"/>
          <w:szCs w:val="13"/>
        </w:rPr>
        <w:footnoteRef/>
      </w:r>
      <w:r w:rsidRPr="00641529">
        <w:rPr>
          <w:sz w:val="13"/>
          <w:szCs w:val="13"/>
        </w:rPr>
        <w:t xml:space="preserve"> </w:t>
      </w:r>
      <w:hyperlink r:id="rId5" w:history="1">
        <w:r w:rsidRPr="00641529">
          <w:rPr>
            <w:rStyle w:val="Hyperlink"/>
            <w:sz w:val="13"/>
            <w:szCs w:val="13"/>
          </w:rPr>
          <w:t>https://www.wur.nl/nl/show/cdm-advies-structureel-omgaan-met-droogte-in-het-mestbeleid.html</w:t>
        </w:r>
      </w:hyperlink>
      <w:r w:rsidRPr="00641529">
        <w:rPr>
          <w:sz w:val="13"/>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5665" w14:textId="77777777" w:rsidR="00FD39DA" w:rsidRDefault="00FD39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0161" w14:paraId="43C5093F" w14:textId="77777777" w:rsidTr="00A50CF6">
      <w:tc>
        <w:tcPr>
          <w:tcW w:w="2156" w:type="dxa"/>
          <w:shd w:val="clear" w:color="auto" w:fill="auto"/>
        </w:tcPr>
        <w:p w14:paraId="7D3A61C0" w14:textId="77777777" w:rsidR="00527BD4" w:rsidRPr="005819CE" w:rsidRDefault="001C2777" w:rsidP="00A50CF6">
          <w:pPr>
            <w:pStyle w:val="Huisstijl-Adres"/>
            <w:rPr>
              <w:b/>
            </w:rPr>
          </w:pPr>
          <w:r>
            <w:rPr>
              <w:b/>
            </w:rPr>
            <w:t>Directoraat-generaal Agro</w:t>
          </w:r>
          <w:r w:rsidRPr="005819CE">
            <w:rPr>
              <w:b/>
            </w:rPr>
            <w:br/>
          </w:r>
          <w:r>
            <w:t>Directie Plantaardige Agroketens en Voedselkwaliteit</w:t>
          </w:r>
        </w:p>
      </w:tc>
    </w:tr>
    <w:tr w:rsidR="00800161" w14:paraId="25DBA124" w14:textId="77777777" w:rsidTr="00A50CF6">
      <w:trPr>
        <w:trHeight w:hRule="exact" w:val="200"/>
      </w:trPr>
      <w:tc>
        <w:tcPr>
          <w:tcW w:w="2156" w:type="dxa"/>
          <w:shd w:val="clear" w:color="auto" w:fill="auto"/>
        </w:tcPr>
        <w:p w14:paraId="79009185" w14:textId="77777777" w:rsidR="00527BD4" w:rsidRPr="005819CE" w:rsidRDefault="00527BD4" w:rsidP="00A50CF6"/>
      </w:tc>
    </w:tr>
    <w:tr w:rsidR="00800161" w14:paraId="637E8056" w14:textId="77777777" w:rsidTr="00502512">
      <w:trPr>
        <w:trHeight w:hRule="exact" w:val="774"/>
      </w:trPr>
      <w:tc>
        <w:tcPr>
          <w:tcW w:w="2156" w:type="dxa"/>
          <w:shd w:val="clear" w:color="auto" w:fill="auto"/>
        </w:tcPr>
        <w:p w14:paraId="75C1A570" w14:textId="77777777" w:rsidR="00527BD4" w:rsidRDefault="001C2777" w:rsidP="003A5290">
          <w:pPr>
            <w:pStyle w:val="Huisstijl-Kopje"/>
          </w:pPr>
          <w:r>
            <w:t>Ons kenmerk</w:t>
          </w:r>
        </w:p>
        <w:p w14:paraId="20F49ED8" w14:textId="77777777" w:rsidR="00527BD4" w:rsidRPr="005819CE" w:rsidRDefault="001C2777" w:rsidP="001E6117">
          <w:pPr>
            <w:pStyle w:val="Huisstijl-Kopje"/>
          </w:pPr>
          <w:r>
            <w:rPr>
              <w:b w:val="0"/>
            </w:rPr>
            <w:t>DGA-PAV</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88635295</w:t>
              </w:r>
              <w:r w:rsidR="00F90A14">
                <w:rPr>
                  <w:b w:val="0"/>
                </w:rPr>
                <w:fldChar w:fldCharType="end"/>
              </w:r>
            </w:sdtContent>
          </w:sdt>
        </w:p>
      </w:tc>
    </w:tr>
  </w:tbl>
  <w:p w14:paraId="070E421B" w14:textId="77777777" w:rsidR="00527BD4" w:rsidRDefault="00527BD4" w:rsidP="008C356D"/>
  <w:p w14:paraId="490AB7A3" w14:textId="77777777" w:rsidR="00527BD4" w:rsidRPr="00740712" w:rsidRDefault="00527BD4" w:rsidP="008C356D"/>
  <w:p w14:paraId="3B33BA0A" w14:textId="77777777" w:rsidR="00527BD4" w:rsidRPr="00217880" w:rsidRDefault="00527BD4" w:rsidP="008C356D">
    <w:pPr>
      <w:spacing w:line="0" w:lineRule="atLeast"/>
      <w:rPr>
        <w:sz w:val="2"/>
        <w:szCs w:val="2"/>
      </w:rPr>
    </w:pPr>
  </w:p>
  <w:p w14:paraId="4A74D298" w14:textId="77777777" w:rsidR="00527BD4" w:rsidRDefault="00527BD4" w:rsidP="004F44C2">
    <w:pPr>
      <w:pStyle w:val="Koptekst"/>
      <w:rPr>
        <w:rFonts w:cs="Verdana-Bold"/>
        <w:b/>
        <w:bCs/>
        <w:smallCaps/>
        <w:szCs w:val="18"/>
      </w:rPr>
    </w:pPr>
  </w:p>
  <w:p w14:paraId="7EBFFD90" w14:textId="77777777" w:rsidR="00527BD4" w:rsidRDefault="00527BD4" w:rsidP="004F44C2"/>
  <w:p w14:paraId="266F702E" w14:textId="77777777" w:rsidR="00527BD4" w:rsidRPr="00740712" w:rsidRDefault="00527BD4" w:rsidP="004F44C2"/>
  <w:p w14:paraId="1C2F59B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0161" w14:paraId="6A2F005F" w14:textId="77777777" w:rsidTr="00751A6A">
      <w:trPr>
        <w:trHeight w:val="2636"/>
      </w:trPr>
      <w:tc>
        <w:tcPr>
          <w:tcW w:w="737" w:type="dxa"/>
          <w:shd w:val="clear" w:color="auto" w:fill="auto"/>
        </w:tcPr>
        <w:p w14:paraId="478B66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9D6812C" w14:textId="77777777" w:rsidR="00527BD4" w:rsidRDefault="001C2777"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1EB6CDB" wp14:editId="2FBBE90C">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5265245" w14:textId="77777777" w:rsidR="003E0C4D" w:rsidRDefault="003E0C4D" w:rsidP="00D0609E">
          <w:pPr>
            <w:framePr w:w="6340" w:h="2750" w:hRule="exact" w:hSpace="180" w:wrap="around" w:vAnchor="page" w:hAnchor="text" w:x="3873" w:y="-140"/>
            <w:spacing w:line="240" w:lineRule="auto"/>
          </w:pPr>
        </w:p>
      </w:tc>
    </w:tr>
  </w:tbl>
  <w:p w14:paraId="282E3E84" w14:textId="77777777" w:rsidR="00527BD4" w:rsidRDefault="00527BD4" w:rsidP="00D0609E">
    <w:pPr>
      <w:framePr w:w="6340" w:h="2750" w:hRule="exact" w:hSpace="180" w:wrap="around" w:vAnchor="page" w:hAnchor="text" w:x="3873" w:y="-140"/>
    </w:pPr>
  </w:p>
  <w:p w14:paraId="1121070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0161" w:rsidRPr="00641529" w14:paraId="0176CD72" w14:textId="77777777" w:rsidTr="00A50CF6">
      <w:tc>
        <w:tcPr>
          <w:tcW w:w="2160" w:type="dxa"/>
          <w:shd w:val="clear" w:color="auto" w:fill="auto"/>
        </w:tcPr>
        <w:p w14:paraId="3B1840EF" w14:textId="77777777" w:rsidR="00527BD4" w:rsidRPr="005819CE" w:rsidRDefault="001C2777" w:rsidP="00A50CF6">
          <w:pPr>
            <w:pStyle w:val="Huisstijl-Adres"/>
            <w:rPr>
              <w:b/>
            </w:rPr>
          </w:pPr>
          <w:r>
            <w:rPr>
              <w:b/>
            </w:rPr>
            <w:t>Directoraat-generaal Agro</w:t>
          </w:r>
          <w:r w:rsidRPr="005819CE">
            <w:rPr>
              <w:b/>
            </w:rPr>
            <w:br/>
          </w:r>
          <w:r>
            <w:t>Directie Plantaardige Agroketens en Voedselkwaliteit</w:t>
          </w:r>
        </w:p>
        <w:p w14:paraId="2C7FE80B" w14:textId="77777777" w:rsidR="00527BD4" w:rsidRPr="00BE5ED9" w:rsidRDefault="001C2777" w:rsidP="00A50CF6">
          <w:pPr>
            <w:pStyle w:val="Huisstijl-Adres"/>
          </w:pPr>
          <w:r>
            <w:rPr>
              <w:b/>
            </w:rPr>
            <w:t>Bezoekadres</w:t>
          </w:r>
          <w:r>
            <w:rPr>
              <w:b/>
            </w:rPr>
            <w:br/>
          </w:r>
          <w:r>
            <w:t>Bezuidenhoutseweg 73</w:t>
          </w:r>
          <w:r w:rsidRPr="005819CE">
            <w:br/>
          </w:r>
          <w:r>
            <w:t>2594 AC Den Haag</w:t>
          </w:r>
        </w:p>
        <w:p w14:paraId="41F5B1F5" w14:textId="77777777" w:rsidR="00EF495B" w:rsidRDefault="001C2777" w:rsidP="0098788A">
          <w:pPr>
            <w:pStyle w:val="Huisstijl-Adres"/>
          </w:pPr>
          <w:r>
            <w:rPr>
              <w:b/>
            </w:rPr>
            <w:t>Postadres</w:t>
          </w:r>
          <w:r>
            <w:rPr>
              <w:b/>
            </w:rPr>
            <w:br/>
          </w:r>
          <w:r>
            <w:t>Postbus 20401</w:t>
          </w:r>
          <w:r w:rsidRPr="005819CE">
            <w:br/>
            <w:t>2500 E</w:t>
          </w:r>
          <w:r>
            <w:t>K</w:t>
          </w:r>
          <w:r w:rsidRPr="005819CE">
            <w:t xml:space="preserve"> Den Haag</w:t>
          </w:r>
        </w:p>
        <w:p w14:paraId="09B8D42E" w14:textId="77777777" w:rsidR="00556BEE" w:rsidRPr="005B3814" w:rsidRDefault="001C2777" w:rsidP="0098788A">
          <w:pPr>
            <w:pStyle w:val="Huisstijl-Adres"/>
          </w:pPr>
          <w:r>
            <w:rPr>
              <w:b/>
            </w:rPr>
            <w:t>Overheidsidentificatienr</w:t>
          </w:r>
          <w:r>
            <w:rPr>
              <w:b/>
            </w:rPr>
            <w:br/>
          </w:r>
          <w:r w:rsidR="00BA129E">
            <w:rPr>
              <w:rFonts w:cs="Agrofont"/>
              <w:iCs/>
            </w:rPr>
            <w:t>00000001858272854000</w:t>
          </w:r>
        </w:p>
        <w:p w14:paraId="43ADE6AA" w14:textId="223AB855" w:rsidR="00527BD4" w:rsidRPr="00641529" w:rsidRDefault="001C2777"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00161" w:rsidRPr="00641529" w14:paraId="2EE35E6B" w14:textId="77777777" w:rsidTr="00A50CF6">
      <w:trPr>
        <w:trHeight w:hRule="exact" w:val="200"/>
      </w:trPr>
      <w:tc>
        <w:tcPr>
          <w:tcW w:w="2160" w:type="dxa"/>
          <w:shd w:val="clear" w:color="auto" w:fill="auto"/>
        </w:tcPr>
        <w:p w14:paraId="45B43F0B" w14:textId="77777777" w:rsidR="00527BD4" w:rsidRPr="00C04F8C" w:rsidRDefault="00527BD4" w:rsidP="00A50CF6"/>
      </w:tc>
    </w:tr>
    <w:tr w:rsidR="00800161" w14:paraId="51E15021" w14:textId="77777777" w:rsidTr="00A50CF6">
      <w:tc>
        <w:tcPr>
          <w:tcW w:w="2160" w:type="dxa"/>
          <w:shd w:val="clear" w:color="auto" w:fill="auto"/>
        </w:tcPr>
        <w:p w14:paraId="63A9F082" w14:textId="77777777" w:rsidR="000C0163" w:rsidRPr="005819CE" w:rsidRDefault="001C2777" w:rsidP="000C0163">
          <w:pPr>
            <w:pStyle w:val="Huisstijl-Kopje"/>
          </w:pPr>
          <w:r>
            <w:t>Ons kenmerk</w:t>
          </w:r>
          <w:r w:rsidRPr="005819CE">
            <w:t xml:space="preserve"> </w:t>
          </w:r>
        </w:p>
        <w:p w14:paraId="097C8991" w14:textId="77777777" w:rsidR="000C0163" w:rsidRPr="005819CE" w:rsidRDefault="001C2777" w:rsidP="000C0163">
          <w:pPr>
            <w:pStyle w:val="Huisstijl-Gegeven"/>
          </w:pPr>
          <w:r>
            <w:t>DGA-PAV /</w:t>
          </w:r>
          <w:r w:rsidR="00CC7BA8">
            <w:t xml:space="preserve"> </w:t>
          </w:r>
          <w:r>
            <w:t>88635295</w:t>
          </w:r>
        </w:p>
        <w:p w14:paraId="09B62717" w14:textId="77777777" w:rsidR="00527BD4" w:rsidRPr="005819CE" w:rsidRDefault="001C2777" w:rsidP="00A50CF6">
          <w:pPr>
            <w:pStyle w:val="Huisstijl-Kopje"/>
          </w:pPr>
          <w:r>
            <w:t>Uw kenmerk</w:t>
          </w:r>
        </w:p>
        <w:p w14:paraId="0C76E91A" w14:textId="261185D7" w:rsidR="00527BD4" w:rsidRPr="005819CE" w:rsidRDefault="001C2777" w:rsidP="00641529">
          <w:pPr>
            <w:pStyle w:val="Huisstijl-Gegeven"/>
          </w:pPr>
          <w:r>
            <w:t>2024Z15098</w:t>
          </w:r>
        </w:p>
        <w:p w14:paraId="48D942B7" w14:textId="77777777" w:rsidR="00527BD4" w:rsidRPr="005819CE" w:rsidRDefault="00527BD4" w:rsidP="00A50CF6">
          <w:pPr>
            <w:pStyle w:val="Huisstijl-Gegeven"/>
          </w:pPr>
        </w:p>
      </w:tc>
    </w:tr>
  </w:tbl>
  <w:p w14:paraId="4BCBE0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0161" w14:paraId="7D4FA7FB" w14:textId="77777777" w:rsidTr="009E2051">
      <w:trPr>
        <w:trHeight w:val="400"/>
      </w:trPr>
      <w:tc>
        <w:tcPr>
          <w:tcW w:w="7520" w:type="dxa"/>
          <w:gridSpan w:val="2"/>
          <w:shd w:val="clear" w:color="auto" w:fill="auto"/>
        </w:tcPr>
        <w:p w14:paraId="6763DE2F" w14:textId="77777777" w:rsidR="00527BD4" w:rsidRPr="00BC3B53" w:rsidRDefault="001C2777" w:rsidP="00A50CF6">
          <w:pPr>
            <w:pStyle w:val="Huisstijl-Retouradres"/>
          </w:pPr>
          <w:r>
            <w:t>&gt; Retouradres Postbus 20401 2500 EK Den Haag</w:t>
          </w:r>
        </w:p>
      </w:tc>
    </w:tr>
    <w:tr w:rsidR="00800161" w14:paraId="4C25DE54" w14:textId="77777777" w:rsidTr="009E2051">
      <w:tc>
        <w:tcPr>
          <w:tcW w:w="7520" w:type="dxa"/>
          <w:gridSpan w:val="2"/>
          <w:shd w:val="clear" w:color="auto" w:fill="auto"/>
        </w:tcPr>
        <w:p w14:paraId="73EC5280" w14:textId="77777777" w:rsidR="00527BD4" w:rsidRPr="00983E8F" w:rsidRDefault="00527BD4" w:rsidP="00A50CF6">
          <w:pPr>
            <w:pStyle w:val="Huisstijl-Rubricering"/>
          </w:pPr>
        </w:p>
      </w:tc>
    </w:tr>
    <w:tr w:rsidR="00800161" w14:paraId="77843BF2" w14:textId="77777777" w:rsidTr="009E2051">
      <w:trPr>
        <w:trHeight w:hRule="exact" w:val="2440"/>
      </w:trPr>
      <w:tc>
        <w:tcPr>
          <w:tcW w:w="7520" w:type="dxa"/>
          <w:gridSpan w:val="2"/>
          <w:shd w:val="clear" w:color="auto" w:fill="auto"/>
        </w:tcPr>
        <w:p w14:paraId="63CF10A9" w14:textId="77777777" w:rsidR="00527BD4" w:rsidRDefault="001C2777" w:rsidP="00A50CF6">
          <w:pPr>
            <w:pStyle w:val="Huisstijl-NAW"/>
          </w:pPr>
          <w:r>
            <w:t xml:space="preserve">De Voorzitter van de Tweede Kamer </w:t>
          </w:r>
        </w:p>
        <w:p w14:paraId="19BEFC90" w14:textId="77777777" w:rsidR="00D87195" w:rsidRDefault="001C2777" w:rsidP="00D87195">
          <w:pPr>
            <w:pStyle w:val="Huisstijl-NAW"/>
          </w:pPr>
          <w:r>
            <w:t>der Staten-Generaal</w:t>
          </w:r>
        </w:p>
        <w:p w14:paraId="4EEBD9A2" w14:textId="77777777" w:rsidR="005C769E" w:rsidRDefault="001C2777" w:rsidP="005C769E">
          <w:pPr>
            <w:rPr>
              <w:szCs w:val="18"/>
            </w:rPr>
          </w:pPr>
          <w:r>
            <w:rPr>
              <w:szCs w:val="18"/>
            </w:rPr>
            <w:t>Prinses Irenestraat 6</w:t>
          </w:r>
        </w:p>
        <w:p w14:paraId="4908F3F8" w14:textId="77777777" w:rsidR="005C769E" w:rsidRDefault="001C2777" w:rsidP="005C769E">
          <w:pPr>
            <w:pStyle w:val="Huisstijl-NAW"/>
          </w:pPr>
          <w:r>
            <w:t>2595 BD  DEN HAAG</w:t>
          </w:r>
        </w:p>
      </w:tc>
    </w:tr>
    <w:tr w:rsidR="00800161" w14:paraId="44541B8B" w14:textId="77777777" w:rsidTr="009E2051">
      <w:trPr>
        <w:trHeight w:hRule="exact" w:val="400"/>
      </w:trPr>
      <w:tc>
        <w:tcPr>
          <w:tcW w:w="7520" w:type="dxa"/>
          <w:gridSpan w:val="2"/>
          <w:shd w:val="clear" w:color="auto" w:fill="auto"/>
        </w:tcPr>
        <w:p w14:paraId="26FC9E5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0161" w14:paraId="3E033362" w14:textId="77777777" w:rsidTr="009E2051">
      <w:trPr>
        <w:trHeight w:val="240"/>
      </w:trPr>
      <w:tc>
        <w:tcPr>
          <w:tcW w:w="900" w:type="dxa"/>
          <w:shd w:val="clear" w:color="auto" w:fill="auto"/>
        </w:tcPr>
        <w:p w14:paraId="69B18174" w14:textId="77777777" w:rsidR="00527BD4" w:rsidRPr="007709EF" w:rsidRDefault="001C2777" w:rsidP="00A50CF6">
          <w:pPr>
            <w:rPr>
              <w:szCs w:val="18"/>
            </w:rPr>
          </w:pPr>
          <w:r>
            <w:rPr>
              <w:szCs w:val="18"/>
            </w:rPr>
            <w:t>Datum</w:t>
          </w:r>
        </w:p>
      </w:tc>
      <w:tc>
        <w:tcPr>
          <w:tcW w:w="6620" w:type="dxa"/>
          <w:shd w:val="clear" w:color="auto" w:fill="auto"/>
        </w:tcPr>
        <w:p w14:paraId="59C036CD" w14:textId="12883966" w:rsidR="00527BD4" w:rsidRPr="007709EF" w:rsidRDefault="006661C8" w:rsidP="00A50CF6">
          <w:r>
            <w:t>28 februari 2025</w:t>
          </w:r>
        </w:p>
      </w:tc>
    </w:tr>
    <w:tr w:rsidR="00800161" w14:paraId="2324857A" w14:textId="77777777" w:rsidTr="009E2051">
      <w:trPr>
        <w:trHeight w:val="240"/>
      </w:trPr>
      <w:tc>
        <w:tcPr>
          <w:tcW w:w="900" w:type="dxa"/>
          <w:shd w:val="clear" w:color="auto" w:fill="auto"/>
        </w:tcPr>
        <w:p w14:paraId="1BD7196F" w14:textId="77777777" w:rsidR="00527BD4" w:rsidRPr="007709EF" w:rsidRDefault="001C2777" w:rsidP="00A50CF6">
          <w:pPr>
            <w:rPr>
              <w:szCs w:val="18"/>
            </w:rPr>
          </w:pPr>
          <w:r>
            <w:rPr>
              <w:szCs w:val="18"/>
            </w:rPr>
            <w:t>Betreft</w:t>
          </w:r>
        </w:p>
      </w:tc>
      <w:tc>
        <w:tcPr>
          <w:tcW w:w="6620" w:type="dxa"/>
          <w:shd w:val="clear" w:color="auto" w:fill="auto"/>
        </w:tcPr>
        <w:p w14:paraId="25F78135" w14:textId="21137EC2" w:rsidR="00527BD4" w:rsidRPr="007709EF" w:rsidRDefault="00641529" w:rsidP="00A50CF6">
          <w:r>
            <w:t xml:space="preserve">Beantwoording </w:t>
          </w:r>
          <w:r w:rsidR="00D06735">
            <w:t>Kamer</w:t>
          </w:r>
          <w:r>
            <w:t>v</w:t>
          </w:r>
          <w:r w:rsidR="001C2777">
            <w:t>ragen over het artikel 'Derogatiebedrijven helpen kabinet een handje: ‘Nitraatconcentratie daalt naar, op of onder de norm</w:t>
          </w:r>
          <w:r w:rsidR="00291702">
            <w:t>”’</w:t>
          </w:r>
        </w:p>
      </w:tc>
    </w:tr>
  </w:tbl>
  <w:p w14:paraId="4B216E2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849312">
      <w:start w:val="1"/>
      <w:numFmt w:val="bullet"/>
      <w:pStyle w:val="Lijstopsomteken"/>
      <w:lvlText w:val="•"/>
      <w:lvlJc w:val="left"/>
      <w:pPr>
        <w:tabs>
          <w:tab w:val="num" w:pos="227"/>
        </w:tabs>
        <w:ind w:left="227" w:hanging="227"/>
      </w:pPr>
      <w:rPr>
        <w:rFonts w:ascii="Verdana" w:hAnsi="Verdana" w:hint="default"/>
        <w:sz w:val="18"/>
        <w:szCs w:val="18"/>
      </w:rPr>
    </w:lvl>
    <w:lvl w:ilvl="1" w:tplc="BEE6017E" w:tentative="1">
      <w:start w:val="1"/>
      <w:numFmt w:val="bullet"/>
      <w:lvlText w:val="o"/>
      <w:lvlJc w:val="left"/>
      <w:pPr>
        <w:tabs>
          <w:tab w:val="num" w:pos="1440"/>
        </w:tabs>
        <w:ind w:left="1440" w:hanging="360"/>
      </w:pPr>
      <w:rPr>
        <w:rFonts w:ascii="Courier New" w:hAnsi="Courier New" w:cs="Courier New" w:hint="default"/>
      </w:rPr>
    </w:lvl>
    <w:lvl w:ilvl="2" w:tplc="8EC499B2" w:tentative="1">
      <w:start w:val="1"/>
      <w:numFmt w:val="bullet"/>
      <w:lvlText w:val=""/>
      <w:lvlJc w:val="left"/>
      <w:pPr>
        <w:tabs>
          <w:tab w:val="num" w:pos="2160"/>
        </w:tabs>
        <w:ind w:left="2160" w:hanging="360"/>
      </w:pPr>
      <w:rPr>
        <w:rFonts w:ascii="Wingdings" w:hAnsi="Wingdings" w:hint="default"/>
      </w:rPr>
    </w:lvl>
    <w:lvl w:ilvl="3" w:tplc="DBF4BC8A" w:tentative="1">
      <w:start w:val="1"/>
      <w:numFmt w:val="bullet"/>
      <w:lvlText w:val=""/>
      <w:lvlJc w:val="left"/>
      <w:pPr>
        <w:tabs>
          <w:tab w:val="num" w:pos="2880"/>
        </w:tabs>
        <w:ind w:left="2880" w:hanging="360"/>
      </w:pPr>
      <w:rPr>
        <w:rFonts w:ascii="Symbol" w:hAnsi="Symbol" w:hint="default"/>
      </w:rPr>
    </w:lvl>
    <w:lvl w:ilvl="4" w:tplc="743C962C" w:tentative="1">
      <w:start w:val="1"/>
      <w:numFmt w:val="bullet"/>
      <w:lvlText w:val="o"/>
      <w:lvlJc w:val="left"/>
      <w:pPr>
        <w:tabs>
          <w:tab w:val="num" w:pos="3600"/>
        </w:tabs>
        <w:ind w:left="3600" w:hanging="360"/>
      </w:pPr>
      <w:rPr>
        <w:rFonts w:ascii="Courier New" w:hAnsi="Courier New" w:cs="Courier New" w:hint="default"/>
      </w:rPr>
    </w:lvl>
    <w:lvl w:ilvl="5" w:tplc="7DDA80BC" w:tentative="1">
      <w:start w:val="1"/>
      <w:numFmt w:val="bullet"/>
      <w:lvlText w:val=""/>
      <w:lvlJc w:val="left"/>
      <w:pPr>
        <w:tabs>
          <w:tab w:val="num" w:pos="4320"/>
        </w:tabs>
        <w:ind w:left="4320" w:hanging="360"/>
      </w:pPr>
      <w:rPr>
        <w:rFonts w:ascii="Wingdings" w:hAnsi="Wingdings" w:hint="default"/>
      </w:rPr>
    </w:lvl>
    <w:lvl w:ilvl="6" w:tplc="32CC3A9E" w:tentative="1">
      <w:start w:val="1"/>
      <w:numFmt w:val="bullet"/>
      <w:lvlText w:val=""/>
      <w:lvlJc w:val="left"/>
      <w:pPr>
        <w:tabs>
          <w:tab w:val="num" w:pos="5040"/>
        </w:tabs>
        <w:ind w:left="5040" w:hanging="360"/>
      </w:pPr>
      <w:rPr>
        <w:rFonts w:ascii="Symbol" w:hAnsi="Symbol" w:hint="default"/>
      </w:rPr>
    </w:lvl>
    <w:lvl w:ilvl="7" w:tplc="30488E3E" w:tentative="1">
      <w:start w:val="1"/>
      <w:numFmt w:val="bullet"/>
      <w:lvlText w:val="o"/>
      <w:lvlJc w:val="left"/>
      <w:pPr>
        <w:tabs>
          <w:tab w:val="num" w:pos="5760"/>
        </w:tabs>
        <w:ind w:left="5760" w:hanging="360"/>
      </w:pPr>
      <w:rPr>
        <w:rFonts w:ascii="Courier New" w:hAnsi="Courier New" w:cs="Courier New" w:hint="default"/>
      </w:rPr>
    </w:lvl>
    <w:lvl w:ilvl="8" w:tplc="7A50EE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A167FA0">
      <w:start w:val="1"/>
      <w:numFmt w:val="bullet"/>
      <w:pStyle w:val="Lijstopsomteken2"/>
      <w:lvlText w:val="–"/>
      <w:lvlJc w:val="left"/>
      <w:pPr>
        <w:tabs>
          <w:tab w:val="num" w:pos="227"/>
        </w:tabs>
        <w:ind w:left="227" w:firstLine="0"/>
      </w:pPr>
      <w:rPr>
        <w:rFonts w:ascii="Verdana" w:hAnsi="Verdana" w:hint="default"/>
      </w:rPr>
    </w:lvl>
    <w:lvl w:ilvl="1" w:tplc="AD425606" w:tentative="1">
      <w:start w:val="1"/>
      <w:numFmt w:val="bullet"/>
      <w:lvlText w:val="o"/>
      <w:lvlJc w:val="left"/>
      <w:pPr>
        <w:tabs>
          <w:tab w:val="num" w:pos="1440"/>
        </w:tabs>
        <w:ind w:left="1440" w:hanging="360"/>
      </w:pPr>
      <w:rPr>
        <w:rFonts w:ascii="Courier New" w:hAnsi="Courier New" w:cs="Courier New" w:hint="default"/>
      </w:rPr>
    </w:lvl>
    <w:lvl w:ilvl="2" w:tplc="951E1D9E" w:tentative="1">
      <w:start w:val="1"/>
      <w:numFmt w:val="bullet"/>
      <w:lvlText w:val=""/>
      <w:lvlJc w:val="left"/>
      <w:pPr>
        <w:tabs>
          <w:tab w:val="num" w:pos="2160"/>
        </w:tabs>
        <w:ind w:left="2160" w:hanging="360"/>
      </w:pPr>
      <w:rPr>
        <w:rFonts w:ascii="Wingdings" w:hAnsi="Wingdings" w:hint="default"/>
      </w:rPr>
    </w:lvl>
    <w:lvl w:ilvl="3" w:tplc="BB982696" w:tentative="1">
      <w:start w:val="1"/>
      <w:numFmt w:val="bullet"/>
      <w:lvlText w:val=""/>
      <w:lvlJc w:val="left"/>
      <w:pPr>
        <w:tabs>
          <w:tab w:val="num" w:pos="2880"/>
        </w:tabs>
        <w:ind w:left="2880" w:hanging="360"/>
      </w:pPr>
      <w:rPr>
        <w:rFonts w:ascii="Symbol" w:hAnsi="Symbol" w:hint="default"/>
      </w:rPr>
    </w:lvl>
    <w:lvl w:ilvl="4" w:tplc="AABEBF7E" w:tentative="1">
      <w:start w:val="1"/>
      <w:numFmt w:val="bullet"/>
      <w:lvlText w:val="o"/>
      <w:lvlJc w:val="left"/>
      <w:pPr>
        <w:tabs>
          <w:tab w:val="num" w:pos="3600"/>
        </w:tabs>
        <w:ind w:left="3600" w:hanging="360"/>
      </w:pPr>
      <w:rPr>
        <w:rFonts w:ascii="Courier New" w:hAnsi="Courier New" w:cs="Courier New" w:hint="default"/>
      </w:rPr>
    </w:lvl>
    <w:lvl w:ilvl="5" w:tplc="DACA29DA" w:tentative="1">
      <w:start w:val="1"/>
      <w:numFmt w:val="bullet"/>
      <w:lvlText w:val=""/>
      <w:lvlJc w:val="left"/>
      <w:pPr>
        <w:tabs>
          <w:tab w:val="num" w:pos="4320"/>
        </w:tabs>
        <w:ind w:left="4320" w:hanging="360"/>
      </w:pPr>
      <w:rPr>
        <w:rFonts w:ascii="Wingdings" w:hAnsi="Wingdings" w:hint="default"/>
      </w:rPr>
    </w:lvl>
    <w:lvl w:ilvl="6" w:tplc="EE3CF44E" w:tentative="1">
      <w:start w:val="1"/>
      <w:numFmt w:val="bullet"/>
      <w:lvlText w:val=""/>
      <w:lvlJc w:val="left"/>
      <w:pPr>
        <w:tabs>
          <w:tab w:val="num" w:pos="5040"/>
        </w:tabs>
        <w:ind w:left="5040" w:hanging="360"/>
      </w:pPr>
      <w:rPr>
        <w:rFonts w:ascii="Symbol" w:hAnsi="Symbol" w:hint="default"/>
      </w:rPr>
    </w:lvl>
    <w:lvl w:ilvl="7" w:tplc="E2BA98FE" w:tentative="1">
      <w:start w:val="1"/>
      <w:numFmt w:val="bullet"/>
      <w:lvlText w:val="o"/>
      <w:lvlJc w:val="left"/>
      <w:pPr>
        <w:tabs>
          <w:tab w:val="num" w:pos="5760"/>
        </w:tabs>
        <w:ind w:left="5760" w:hanging="360"/>
      </w:pPr>
      <w:rPr>
        <w:rFonts w:ascii="Courier New" w:hAnsi="Courier New" w:cs="Courier New" w:hint="default"/>
      </w:rPr>
    </w:lvl>
    <w:lvl w:ilvl="8" w:tplc="B98017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382542"/>
    <w:multiLevelType w:val="hybridMultilevel"/>
    <w:tmpl w:val="428E98E8"/>
    <w:lvl w:ilvl="0" w:tplc="6D305F1E">
      <w:start w:val="1"/>
      <w:numFmt w:val="decimal"/>
      <w:lvlText w:val="%1."/>
      <w:lvlJc w:val="left"/>
      <w:pPr>
        <w:ind w:left="720" w:hanging="360"/>
      </w:pPr>
    </w:lvl>
    <w:lvl w:ilvl="1" w:tplc="7E76E4C4">
      <w:start w:val="1"/>
      <w:numFmt w:val="lowerLetter"/>
      <w:lvlText w:val="%2."/>
      <w:lvlJc w:val="left"/>
      <w:pPr>
        <w:ind w:left="1440" w:hanging="360"/>
      </w:pPr>
    </w:lvl>
    <w:lvl w:ilvl="2" w:tplc="CDDE3210">
      <w:start w:val="1"/>
      <w:numFmt w:val="lowerRoman"/>
      <w:lvlText w:val="%3."/>
      <w:lvlJc w:val="right"/>
      <w:pPr>
        <w:ind w:left="2160" w:hanging="180"/>
      </w:pPr>
    </w:lvl>
    <w:lvl w:ilvl="3" w:tplc="FB942218">
      <w:start w:val="1"/>
      <w:numFmt w:val="decimal"/>
      <w:lvlText w:val="%4."/>
      <w:lvlJc w:val="left"/>
      <w:pPr>
        <w:ind w:left="2880" w:hanging="360"/>
      </w:pPr>
    </w:lvl>
    <w:lvl w:ilvl="4" w:tplc="34A4CE48">
      <w:start w:val="1"/>
      <w:numFmt w:val="lowerLetter"/>
      <w:lvlText w:val="%5."/>
      <w:lvlJc w:val="left"/>
      <w:pPr>
        <w:ind w:left="3600" w:hanging="360"/>
      </w:pPr>
    </w:lvl>
    <w:lvl w:ilvl="5" w:tplc="588EC0BC">
      <w:start w:val="1"/>
      <w:numFmt w:val="lowerRoman"/>
      <w:lvlText w:val="%6."/>
      <w:lvlJc w:val="right"/>
      <w:pPr>
        <w:ind w:left="4320" w:hanging="180"/>
      </w:pPr>
    </w:lvl>
    <w:lvl w:ilvl="6" w:tplc="5DD4100E">
      <w:start w:val="1"/>
      <w:numFmt w:val="decimal"/>
      <w:lvlText w:val="%7."/>
      <w:lvlJc w:val="left"/>
      <w:pPr>
        <w:ind w:left="5040" w:hanging="360"/>
      </w:pPr>
    </w:lvl>
    <w:lvl w:ilvl="7" w:tplc="6C88FF7E">
      <w:start w:val="1"/>
      <w:numFmt w:val="lowerLetter"/>
      <w:lvlText w:val="%8."/>
      <w:lvlJc w:val="left"/>
      <w:pPr>
        <w:ind w:left="5760" w:hanging="360"/>
      </w:pPr>
    </w:lvl>
    <w:lvl w:ilvl="8" w:tplc="42A4DD00">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6240355">
    <w:abstractNumId w:val="10"/>
  </w:num>
  <w:num w:numId="2" w16cid:durableId="747003191">
    <w:abstractNumId w:val="7"/>
  </w:num>
  <w:num w:numId="3" w16cid:durableId="644118602">
    <w:abstractNumId w:val="6"/>
  </w:num>
  <w:num w:numId="4" w16cid:durableId="283578142">
    <w:abstractNumId w:val="5"/>
  </w:num>
  <w:num w:numId="5" w16cid:durableId="2106991753">
    <w:abstractNumId w:val="4"/>
  </w:num>
  <w:num w:numId="6" w16cid:durableId="2101874868">
    <w:abstractNumId w:val="8"/>
  </w:num>
  <w:num w:numId="7" w16cid:durableId="847982770">
    <w:abstractNumId w:val="3"/>
  </w:num>
  <w:num w:numId="8" w16cid:durableId="1152676018">
    <w:abstractNumId w:val="2"/>
  </w:num>
  <w:num w:numId="9" w16cid:durableId="503514915">
    <w:abstractNumId w:val="1"/>
  </w:num>
  <w:num w:numId="10" w16cid:durableId="2118792045">
    <w:abstractNumId w:val="0"/>
  </w:num>
  <w:num w:numId="11" w16cid:durableId="54746955">
    <w:abstractNumId w:val="9"/>
  </w:num>
  <w:num w:numId="12" w16cid:durableId="890190937">
    <w:abstractNumId w:val="11"/>
  </w:num>
  <w:num w:numId="13" w16cid:durableId="1287006516">
    <w:abstractNumId w:val="14"/>
  </w:num>
  <w:num w:numId="14" w16cid:durableId="1667971686">
    <w:abstractNumId w:val="12"/>
  </w:num>
  <w:num w:numId="15" w16cid:durableId="12516990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035"/>
    <w:rsid w:val="00020189"/>
    <w:rsid w:val="00020AEB"/>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55D2"/>
    <w:rsid w:val="000E7895"/>
    <w:rsid w:val="000F161D"/>
    <w:rsid w:val="00121BF0"/>
    <w:rsid w:val="00123704"/>
    <w:rsid w:val="001270C7"/>
    <w:rsid w:val="00131735"/>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2777"/>
    <w:rsid w:val="001C32EC"/>
    <w:rsid w:val="001C38BD"/>
    <w:rsid w:val="001C4D5A"/>
    <w:rsid w:val="001E34C6"/>
    <w:rsid w:val="001E5581"/>
    <w:rsid w:val="001E6117"/>
    <w:rsid w:val="001E7C3A"/>
    <w:rsid w:val="001F3C70"/>
    <w:rsid w:val="001F4E68"/>
    <w:rsid w:val="00200D88"/>
    <w:rsid w:val="00201F68"/>
    <w:rsid w:val="00202394"/>
    <w:rsid w:val="0020706B"/>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5E0"/>
    <w:rsid w:val="00280F74"/>
    <w:rsid w:val="0028637E"/>
    <w:rsid w:val="00286998"/>
    <w:rsid w:val="00291702"/>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4768"/>
    <w:rsid w:val="003372C4"/>
    <w:rsid w:val="00340ECA"/>
    <w:rsid w:val="00341FA0"/>
    <w:rsid w:val="00344F3D"/>
    <w:rsid w:val="00345299"/>
    <w:rsid w:val="00351A8D"/>
    <w:rsid w:val="003526BB"/>
    <w:rsid w:val="00352BCF"/>
    <w:rsid w:val="00353932"/>
    <w:rsid w:val="0035464B"/>
    <w:rsid w:val="00361A56"/>
    <w:rsid w:val="00361B7D"/>
    <w:rsid w:val="0036252A"/>
    <w:rsid w:val="00364D9D"/>
    <w:rsid w:val="003666C9"/>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E41BA"/>
    <w:rsid w:val="003F07C6"/>
    <w:rsid w:val="003F0F69"/>
    <w:rsid w:val="003F1F6B"/>
    <w:rsid w:val="003F3757"/>
    <w:rsid w:val="003F38BD"/>
    <w:rsid w:val="003F44B7"/>
    <w:rsid w:val="004008E9"/>
    <w:rsid w:val="00413D48"/>
    <w:rsid w:val="00415E27"/>
    <w:rsid w:val="00420810"/>
    <w:rsid w:val="00423A19"/>
    <w:rsid w:val="00430552"/>
    <w:rsid w:val="0043676A"/>
    <w:rsid w:val="00441AC2"/>
    <w:rsid w:val="00442047"/>
    <w:rsid w:val="0044249B"/>
    <w:rsid w:val="00444F03"/>
    <w:rsid w:val="0045023C"/>
    <w:rsid w:val="00451A5B"/>
    <w:rsid w:val="00452BCD"/>
    <w:rsid w:val="00452CEA"/>
    <w:rsid w:val="00465B52"/>
    <w:rsid w:val="0046708E"/>
    <w:rsid w:val="00472A65"/>
    <w:rsid w:val="00474463"/>
    <w:rsid w:val="00474B75"/>
    <w:rsid w:val="00481085"/>
    <w:rsid w:val="00482D3F"/>
    <w:rsid w:val="00483984"/>
    <w:rsid w:val="00483F0B"/>
    <w:rsid w:val="00496319"/>
    <w:rsid w:val="00497279"/>
    <w:rsid w:val="004A670A"/>
    <w:rsid w:val="004B5465"/>
    <w:rsid w:val="004B70F0"/>
    <w:rsid w:val="004B78C6"/>
    <w:rsid w:val="004D505E"/>
    <w:rsid w:val="004D72CA"/>
    <w:rsid w:val="004E2242"/>
    <w:rsid w:val="004E505E"/>
    <w:rsid w:val="004E61B8"/>
    <w:rsid w:val="004F42FF"/>
    <w:rsid w:val="004F44C2"/>
    <w:rsid w:val="00502512"/>
    <w:rsid w:val="00505262"/>
    <w:rsid w:val="0051132F"/>
    <w:rsid w:val="00516022"/>
    <w:rsid w:val="00521CEE"/>
    <w:rsid w:val="00524FB4"/>
    <w:rsid w:val="00527BD4"/>
    <w:rsid w:val="005403C8"/>
    <w:rsid w:val="005429DC"/>
    <w:rsid w:val="00551531"/>
    <w:rsid w:val="00552F8D"/>
    <w:rsid w:val="00553454"/>
    <w:rsid w:val="005565F9"/>
    <w:rsid w:val="00556BEE"/>
    <w:rsid w:val="005654C3"/>
    <w:rsid w:val="005671E9"/>
    <w:rsid w:val="00573041"/>
    <w:rsid w:val="00575B80"/>
    <w:rsid w:val="0057620F"/>
    <w:rsid w:val="00580687"/>
    <w:rsid w:val="005819CE"/>
    <w:rsid w:val="0058298D"/>
    <w:rsid w:val="00584BAC"/>
    <w:rsid w:val="00593C2B"/>
    <w:rsid w:val="00595231"/>
    <w:rsid w:val="00596166"/>
    <w:rsid w:val="00597F64"/>
    <w:rsid w:val="005A207F"/>
    <w:rsid w:val="005A2F35"/>
    <w:rsid w:val="005A372A"/>
    <w:rsid w:val="005B3814"/>
    <w:rsid w:val="005B463E"/>
    <w:rsid w:val="005C1EF4"/>
    <w:rsid w:val="005C34E1"/>
    <w:rsid w:val="005C3FE0"/>
    <w:rsid w:val="005C740C"/>
    <w:rsid w:val="005C769E"/>
    <w:rsid w:val="005D625B"/>
    <w:rsid w:val="005D79EB"/>
    <w:rsid w:val="005F62D3"/>
    <w:rsid w:val="005F6D11"/>
    <w:rsid w:val="00600CF0"/>
    <w:rsid w:val="006048F4"/>
    <w:rsid w:val="0060660A"/>
    <w:rsid w:val="00613B1D"/>
    <w:rsid w:val="00617A44"/>
    <w:rsid w:val="006202B6"/>
    <w:rsid w:val="006247BE"/>
    <w:rsid w:val="00625CD0"/>
    <w:rsid w:val="0062627D"/>
    <w:rsid w:val="00627432"/>
    <w:rsid w:val="00641529"/>
    <w:rsid w:val="006448E4"/>
    <w:rsid w:val="00645414"/>
    <w:rsid w:val="00653606"/>
    <w:rsid w:val="006610E9"/>
    <w:rsid w:val="00661591"/>
    <w:rsid w:val="006661C8"/>
    <w:rsid w:val="0066632F"/>
    <w:rsid w:val="00672018"/>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161"/>
    <w:rsid w:val="00800CCA"/>
    <w:rsid w:val="008026F9"/>
    <w:rsid w:val="00806120"/>
    <w:rsid w:val="00810C93"/>
    <w:rsid w:val="00812028"/>
    <w:rsid w:val="00812DD8"/>
    <w:rsid w:val="00813082"/>
    <w:rsid w:val="00814D03"/>
    <w:rsid w:val="00821FC1"/>
    <w:rsid w:val="00823AE2"/>
    <w:rsid w:val="00825AF8"/>
    <w:rsid w:val="0083178B"/>
    <w:rsid w:val="00833695"/>
    <w:rsid w:val="008336B7"/>
    <w:rsid w:val="00833A8E"/>
    <w:rsid w:val="00835376"/>
    <w:rsid w:val="00842CD8"/>
    <w:rsid w:val="008431FA"/>
    <w:rsid w:val="00847444"/>
    <w:rsid w:val="008547BA"/>
    <w:rsid w:val="008553C7"/>
    <w:rsid w:val="00857FEB"/>
    <w:rsid w:val="008601AF"/>
    <w:rsid w:val="00872271"/>
    <w:rsid w:val="00883137"/>
    <w:rsid w:val="008A1F5D"/>
    <w:rsid w:val="008A28F5"/>
    <w:rsid w:val="008B1198"/>
    <w:rsid w:val="008B32CC"/>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0924"/>
    <w:rsid w:val="0090271B"/>
    <w:rsid w:val="00910642"/>
    <w:rsid w:val="00910DDF"/>
    <w:rsid w:val="009240EC"/>
    <w:rsid w:val="00924A2D"/>
    <w:rsid w:val="00930ABD"/>
    <w:rsid w:val="00930B13"/>
    <w:rsid w:val="009311C8"/>
    <w:rsid w:val="00933376"/>
    <w:rsid w:val="00933A2F"/>
    <w:rsid w:val="00940813"/>
    <w:rsid w:val="00940B70"/>
    <w:rsid w:val="009632E6"/>
    <w:rsid w:val="00963300"/>
    <w:rsid w:val="009716D8"/>
    <w:rsid w:val="009718F9"/>
    <w:rsid w:val="00972FB9"/>
    <w:rsid w:val="00975112"/>
    <w:rsid w:val="00981768"/>
    <w:rsid w:val="00983E8F"/>
    <w:rsid w:val="009870A7"/>
    <w:rsid w:val="0098788A"/>
    <w:rsid w:val="00994FDA"/>
    <w:rsid w:val="009A31BF"/>
    <w:rsid w:val="009A3B71"/>
    <w:rsid w:val="009A61BC"/>
    <w:rsid w:val="009B0138"/>
    <w:rsid w:val="009B0EC1"/>
    <w:rsid w:val="009B0FE9"/>
    <w:rsid w:val="009B173A"/>
    <w:rsid w:val="009B4632"/>
    <w:rsid w:val="009C3F20"/>
    <w:rsid w:val="009C6717"/>
    <w:rsid w:val="009C7CA1"/>
    <w:rsid w:val="009D043D"/>
    <w:rsid w:val="009E2051"/>
    <w:rsid w:val="009F3259"/>
    <w:rsid w:val="00A056DE"/>
    <w:rsid w:val="00A0768F"/>
    <w:rsid w:val="00A128AD"/>
    <w:rsid w:val="00A14890"/>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5F34"/>
    <w:rsid w:val="00AD6EAC"/>
    <w:rsid w:val="00AE013D"/>
    <w:rsid w:val="00AE11B7"/>
    <w:rsid w:val="00AE7F68"/>
    <w:rsid w:val="00AF0DE7"/>
    <w:rsid w:val="00AF2321"/>
    <w:rsid w:val="00AF52F6"/>
    <w:rsid w:val="00AF52FD"/>
    <w:rsid w:val="00AF54A8"/>
    <w:rsid w:val="00AF7237"/>
    <w:rsid w:val="00AF737B"/>
    <w:rsid w:val="00B0043A"/>
    <w:rsid w:val="00B00D75"/>
    <w:rsid w:val="00B070CB"/>
    <w:rsid w:val="00B11DD6"/>
    <w:rsid w:val="00B12456"/>
    <w:rsid w:val="00B145F0"/>
    <w:rsid w:val="00B259C8"/>
    <w:rsid w:val="00B26CCF"/>
    <w:rsid w:val="00B30FC2"/>
    <w:rsid w:val="00B331A2"/>
    <w:rsid w:val="00B3501A"/>
    <w:rsid w:val="00B425F0"/>
    <w:rsid w:val="00B42DFA"/>
    <w:rsid w:val="00B531DD"/>
    <w:rsid w:val="00B55014"/>
    <w:rsid w:val="00B62232"/>
    <w:rsid w:val="00B70BF3"/>
    <w:rsid w:val="00B71DC2"/>
    <w:rsid w:val="00B74920"/>
    <w:rsid w:val="00B91CFC"/>
    <w:rsid w:val="00B9300F"/>
    <w:rsid w:val="00B93893"/>
    <w:rsid w:val="00B94EE6"/>
    <w:rsid w:val="00BA129E"/>
    <w:rsid w:val="00BA6EB2"/>
    <w:rsid w:val="00BA7E0A"/>
    <w:rsid w:val="00BC3B53"/>
    <w:rsid w:val="00BC3B96"/>
    <w:rsid w:val="00BC4AE3"/>
    <w:rsid w:val="00BC5B28"/>
    <w:rsid w:val="00BE3F88"/>
    <w:rsid w:val="00BE4756"/>
    <w:rsid w:val="00BE5ED9"/>
    <w:rsid w:val="00BE7B41"/>
    <w:rsid w:val="00BF3CC5"/>
    <w:rsid w:val="00C02E2F"/>
    <w:rsid w:val="00C04F8C"/>
    <w:rsid w:val="00C15A91"/>
    <w:rsid w:val="00C206F1"/>
    <w:rsid w:val="00C217E1"/>
    <w:rsid w:val="00C219B1"/>
    <w:rsid w:val="00C25A1D"/>
    <w:rsid w:val="00C306E6"/>
    <w:rsid w:val="00C4015B"/>
    <w:rsid w:val="00C40C60"/>
    <w:rsid w:val="00C51DFD"/>
    <w:rsid w:val="00C5258E"/>
    <w:rsid w:val="00C530C9"/>
    <w:rsid w:val="00C554D5"/>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6735"/>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0F2C"/>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165F"/>
    <w:rsid w:val="00E3731D"/>
    <w:rsid w:val="00E51469"/>
    <w:rsid w:val="00E634E3"/>
    <w:rsid w:val="00E71086"/>
    <w:rsid w:val="00E717C4"/>
    <w:rsid w:val="00E77E18"/>
    <w:rsid w:val="00E77F89"/>
    <w:rsid w:val="00E80330"/>
    <w:rsid w:val="00E806C5"/>
    <w:rsid w:val="00E80E71"/>
    <w:rsid w:val="00E81801"/>
    <w:rsid w:val="00E850D3"/>
    <w:rsid w:val="00E853D6"/>
    <w:rsid w:val="00E876B9"/>
    <w:rsid w:val="00EC0DFF"/>
    <w:rsid w:val="00EC237D"/>
    <w:rsid w:val="00EC4D0E"/>
    <w:rsid w:val="00EC4E2B"/>
    <w:rsid w:val="00EC58D9"/>
    <w:rsid w:val="00ED072A"/>
    <w:rsid w:val="00ED4FF4"/>
    <w:rsid w:val="00ED539E"/>
    <w:rsid w:val="00ED62CF"/>
    <w:rsid w:val="00EE4A1F"/>
    <w:rsid w:val="00EE4C2D"/>
    <w:rsid w:val="00EF1B5A"/>
    <w:rsid w:val="00EF24FB"/>
    <w:rsid w:val="00EF2CCA"/>
    <w:rsid w:val="00EF495B"/>
    <w:rsid w:val="00EF60DC"/>
    <w:rsid w:val="00EF615A"/>
    <w:rsid w:val="00F00F54"/>
    <w:rsid w:val="00F03963"/>
    <w:rsid w:val="00F11068"/>
    <w:rsid w:val="00F1256D"/>
    <w:rsid w:val="00F13A4E"/>
    <w:rsid w:val="00F15796"/>
    <w:rsid w:val="00F172BB"/>
    <w:rsid w:val="00F17B10"/>
    <w:rsid w:val="00F21BEF"/>
    <w:rsid w:val="00F2315B"/>
    <w:rsid w:val="00F41A6F"/>
    <w:rsid w:val="00F41B49"/>
    <w:rsid w:val="00F45A25"/>
    <w:rsid w:val="00F45D0F"/>
    <w:rsid w:val="00F50F86"/>
    <w:rsid w:val="00F53F91"/>
    <w:rsid w:val="00F60EF9"/>
    <w:rsid w:val="00F61569"/>
    <w:rsid w:val="00F61A72"/>
    <w:rsid w:val="00F62B67"/>
    <w:rsid w:val="00F66F13"/>
    <w:rsid w:val="00F71F9E"/>
    <w:rsid w:val="00F74073"/>
    <w:rsid w:val="00F75603"/>
    <w:rsid w:val="00F845B4"/>
    <w:rsid w:val="00F8713B"/>
    <w:rsid w:val="00F90A14"/>
    <w:rsid w:val="00F93F9E"/>
    <w:rsid w:val="00FA2CD7"/>
    <w:rsid w:val="00FA5BB1"/>
    <w:rsid w:val="00FB031B"/>
    <w:rsid w:val="00FB06ED"/>
    <w:rsid w:val="00FC3165"/>
    <w:rsid w:val="00FC36AB"/>
    <w:rsid w:val="00FC4300"/>
    <w:rsid w:val="00FC7F66"/>
    <w:rsid w:val="00FD39DA"/>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AA38E"/>
  <w15:docId w15:val="{23AC6693-3856-40F6-B663-F6C4C5D4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020AEB"/>
    <w:rPr>
      <w:vertAlign w:val="superscript"/>
    </w:rPr>
  </w:style>
  <w:style w:type="paragraph" w:customStyle="1" w:styleId="RIVMStandaard">
    <w:name w:val="RIVM_Standaard"/>
    <w:basedOn w:val="Standaard"/>
    <w:link w:val="RIVMStandaardChar"/>
    <w:qFormat/>
    <w:rsid w:val="00020AEB"/>
    <w:pPr>
      <w:overflowPunct w:val="0"/>
      <w:autoSpaceDE w:val="0"/>
      <w:autoSpaceDN w:val="0"/>
      <w:adjustRightInd w:val="0"/>
      <w:textAlignment w:val="baseline"/>
    </w:pPr>
    <w:rPr>
      <w:rFonts w:eastAsia="MS Mincho"/>
      <w:sz w:val="20"/>
      <w:szCs w:val="20"/>
    </w:rPr>
  </w:style>
  <w:style w:type="character" w:customStyle="1" w:styleId="RIVMStandaardChar">
    <w:name w:val="RIVM_Standaard Char"/>
    <w:basedOn w:val="Standaardalinea-lettertype"/>
    <w:link w:val="RIVMStandaard"/>
    <w:rsid w:val="00020AEB"/>
    <w:rPr>
      <w:rFonts w:ascii="Verdana" w:eastAsia="MS Mincho" w:hAnsi="Verdana"/>
      <w:lang w:val="nl-NL" w:eastAsia="nl-NL"/>
    </w:rPr>
  </w:style>
  <w:style w:type="paragraph" w:styleId="Revisie">
    <w:name w:val="Revision"/>
    <w:hidden/>
    <w:uiPriority w:val="99"/>
    <w:semiHidden/>
    <w:rsid w:val="00835376"/>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835376"/>
    <w:rPr>
      <w:color w:val="605E5C"/>
      <w:shd w:val="clear" w:color="auto" w:fill="E1DFDD"/>
    </w:rPr>
  </w:style>
  <w:style w:type="paragraph" w:styleId="Lijstalinea">
    <w:name w:val="List Paragraph"/>
    <w:basedOn w:val="Standaard"/>
    <w:uiPriority w:val="34"/>
    <w:qFormat/>
    <w:rsid w:val="00641529"/>
    <w:pPr>
      <w:ind w:left="720"/>
      <w:contextualSpacing/>
    </w:pPr>
  </w:style>
  <w:style w:type="character" w:styleId="Verwijzingopmerking">
    <w:name w:val="annotation reference"/>
    <w:basedOn w:val="Standaardalinea-lettertype"/>
    <w:semiHidden/>
    <w:unhideWhenUsed/>
    <w:rsid w:val="009C6717"/>
    <w:rPr>
      <w:sz w:val="16"/>
      <w:szCs w:val="16"/>
    </w:rPr>
  </w:style>
  <w:style w:type="paragraph" w:styleId="Tekstopmerking">
    <w:name w:val="annotation text"/>
    <w:basedOn w:val="Standaard"/>
    <w:link w:val="TekstopmerkingChar"/>
    <w:semiHidden/>
    <w:unhideWhenUsed/>
    <w:rsid w:val="009C6717"/>
    <w:pPr>
      <w:spacing w:line="240" w:lineRule="auto"/>
    </w:pPr>
    <w:rPr>
      <w:sz w:val="20"/>
      <w:szCs w:val="20"/>
    </w:rPr>
  </w:style>
  <w:style w:type="character" w:customStyle="1" w:styleId="TekstopmerkingChar">
    <w:name w:val="Tekst opmerking Char"/>
    <w:basedOn w:val="Standaardalinea-lettertype"/>
    <w:link w:val="Tekstopmerking"/>
    <w:semiHidden/>
    <w:rsid w:val="009C671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C6717"/>
    <w:rPr>
      <w:b/>
      <w:bCs/>
    </w:rPr>
  </w:style>
  <w:style w:type="character" w:customStyle="1" w:styleId="OnderwerpvanopmerkingChar">
    <w:name w:val="Onderwerp van opmerking Char"/>
    <w:basedOn w:val="TekstopmerkingChar"/>
    <w:link w:val="Onderwerpvanopmerking"/>
    <w:semiHidden/>
    <w:rsid w:val="009C671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5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3/07/14/wur-effecten-afbouw-mestderogatie-rapport-juli-2023" TargetMode="External"/><Relationship Id="rId2" Type="http://schemas.openxmlformats.org/officeDocument/2006/relationships/hyperlink" Target="https://www.rijksoverheid.nl/documenten/rapporten/2022/03/18/bijlage-stroomgebiedbeheerplannen-rijn-maas-schelde-en-eems-2022-2027" TargetMode="External"/><Relationship Id="rId1" Type="http://schemas.openxmlformats.org/officeDocument/2006/relationships/hyperlink" Target="https://www.rijksoverheid.nl/documenten/rapporten/2020/11/23/landbouwpraktijk-en-waterkwaliteit-in-nederland-toestand-2016-2019-en-trend-1992-2019" TargetMode="External"/><Relationship Id="rId5" Type="http://schemas.openxmlformats.org/officeDocument/2006/relationships/hyperlink" Target="https://www.wur.nl/nl/show/cdm-advies-structureel-omgaan-met-droogte-in-het-mestbeleid.html" TargetMode="External"/><Relationship Id="rId4" Type="http://schemas.openxmlformats.org/officeDocument/2006/relationships/hyperlink" Target="https://zoek.officielebekendmakingen.nl/kst-27625-66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0F7FB8">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0311D"/>
    <w:rsid w:val="00067F9F"/>
    <w:rsid w:val="00085ACD"/>
    <w:rsid w:val="000F7FB8"/>
    <w:rsid w:val="00334768"/>
    <w:rsid w:val="00361B7D"/>
    <w:rsid w:val="00420810"/>
    <w:rsid w:val="0044266B"/>
    <w:rsid w:val="0049560A"/>
    <w:rsid w:val="004E61B8"/>
    <w:rsid w:val="00547556"/>
    <w:rsid w:val="00553454"/>
    <w:rsid w:val="005B708C"/>
    <w:rsid w:val="005C1EF4"/>
    <w:rsid w:val="00900924"/>
    <w:rsid w:val="00936CFD"/>
    <w:rsid w:val="00940B70"/>
    <w:rsid w:val="00A07B74"/>
    <w:rsid w:val="00A34ABA"/>
    <w:rsid w:val="00AD3100"/>
    <w:rsid w:val="00AD32A9"/>
    <w:rsid w:val="00CA4110"/>
    <w:rsid w:val="00CA7F1B"/>
    <w:rsid w:val="00D113F9"/>
    <w:rsid w:val="00E71086"/>
    <w:rsid w:val="00E80B3D"/>
    <w:rsid w:val="00EF615A"/>
    <w:rsid w:val="00F15796"/>
    <w:rsid w:val="00F41B49"/>
    <w:rsid w:val="00F577A6"/>
    <w:rsid w:val="00FD60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1578</ap:Words>
  <ap:Characters>8685</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2025-02-28T14:59:00.0000000Z</dcterms:created>
  <dcterms:modified xsi:type="dcterms:W3CDTF">2025-02-28T14:59:00.0000000Z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vosc</vt:lpwstr>
  </property>
  <property fmtid="{D5CDD505-2E9C-101B-9397-08002B2CF9AE}" pid="3" name="AUTHOR_ID">
    <vt:lpwstr>vosc</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2024Z15098 </vt:lpwstr>
  </property>
  <property fmtid="{D5CDD505-2E9C-101B-9397-08002B2CF9AE}" pid="7" name="DOCNAME">
    <vt:lpwstr>Vragen van het lid Pierik (BBB) aan de ministers van Infrastructuur en Waterstaat en van Landbouw, Visserij, Voedselzekerheid en Natuur over het artikel 'Derogatiebedrijven helpen kabinet een handje: ‘Nitraatconcentratie daalt naar, op of onder de norm’'</vt:lpwstr>
  </property>
  <property fmtid="{D5CDD505-2E9C-101B-9397-08002B2CF9AE}" pid="8" name="documentId">
    <vt:lpwstr>88635295</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vosc</vt:lpwstr>
  </property>
</Properties>
</file>