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6A5B" w:rsidR="00EB6A5B" w:rsidP="00EB6A5B" w:rsidRDefault="004303CE" w14:paraId="42E96814" w14:textId="3EC566F4">
      <w:pPr>
        <w:ind w:left="1416" w:hanging="1416"/>
        <w:rPr>
          <w:rFonts w:ascii="Calibri" w:hAnsi="Calibri" w:cs="Calibri"/>
        </w:rPr>
      </w:pPr>
      <w:r w:rsidRPr="00EB6A5B">
        <w:rPr>
          <w:rFonts w:ascii="Calibri" w:hAnsi="Calibri" w:cs="Calibri"/>
        </w:rPr>
        <w:t>36600</w:t>
      </w:r>
      <w:r w:rsidRPr="00EB6A5B" w:rsidR="00EB6A5B">
        <w:rPr>
          <w:rFonts w:ascii="Calibri" w:hAnsi="Calibri" w:cs="Calibri"/>
        </w:rPr>
        <w:t xml:space="preserve"> </w:t>
      </w:r>
      <w:r w:rsidRPr="00EB6A5B">
        <w:rPr>
          <w:rFonts w:ascii="Calibri" w:hAnsi="Calibri" w:cs="Calibri"/>
        </w:rPr>
        <w:t>B</w:t>
      </w:r>
      <w:r w:rsidRPr="00EB6A5B" w:rsidR="00EB6A5B">
        <w:rPr>
          <w:rFonts w:ascii="Calibri" w:hAnsi="Calibri" w:cs="Calibri"/>
        </w:rPr>
        <w:tab/>
        <w:t>Vaststelling van de begrotingsstaat van het gemeentefonds voor het jaar 2025</w:t>
      </w:r>
    </w:p>
    <w:p w:rsidRPr="00EB6A5B" w:rsidR="00EB6A5B" w:rsidP="00EB6A5B" w:rsidRDefault="00EB6A5B" w14:paraId="60F6D45D" w14:textId="77777777">
      <w:pPr>
        <w:ind w:left="1410" w:hanging="1410"/>
        <w:rPr>
          <w:rFonts w:ascii="Calibri" w:hAnsi="Calibri" w:cs="Calibri"/>
        </w:rPr>
      </w:pPr>
      <w:r w:rsidRPr="00EB6A5B">
        <w:rPr>
          <w:rFonts w:ascii="Calibri" w:hAnsi="Calibri" w:cs="Calibri"/>
        </w:rPr>
        <w:t xml:space="preserve">Nr. </w:t>
      </w:r>
      <w:r w:rsidRPr="00EB6A5B">
        <w:rPr>
          <w:rFonts w:ascii="Calibri" w:hAnsi="Calibri" w:cs="Calibri"/>
        </w:rPr>
        <w:t>26</w:t>
      </w:r>
      <w:r w:rsidRPr="00EB6A5B">
        <w:rPr>
          <w:rFonts w:ascii="Calibri" w:hAnsi="Calibri" w:cs="Calibri"/>
        </w:rPr>
        <w:tab/>
      </w:r>
      <w:r w:rsidRPr="00EB6A5B">
        <w:rPr>
          <w:rFonts w:ascii="Calibri" w:hAnsi="Calibri" w:cs="Calibri"/>
        </w:rPr>
        <w:tab/>
        <w:t>Brief van de minister van Binnenlandse Zaken en Koninkrijksrelaties</w:t>
      </w:r>
    </w:p>
    <w:p w:rsidRPr="00EB6A5B" w:rsidR="00EB6A5B" w:rsidP="004303CE" w:rsidRDefault="00EB6A5B" w14:paraId="7B688E33" w14:textId="63B71924">
      <w:pPr>
        <w:autoSpaceDE w:val="0"/>
        <w:adjustRightInd w:val="0"/>
        <w:spacing w:line="240" w:lineRule="auto"/>
        <w:rPr>
          <w:rFonts w:ascii="Calibri" w:hAnsi="Calibri" w:cs="Calibri"/>
        </w:rPr>
      </w:pPr>
      <w:r w:rsidRPr="00EB6A5B">
        <w:rPr>
          <w:rFonts w:ascii="Calibri" w:hAnsi="Calibri" w:cs="Calibri"/>
        </w:rPr>
        <w:t>Aan de Voorzitter van de Tweede Kamer der Staten-Generaal</w:t>
      </w:r>
    </w:p>
    <w:p w:rsidRPr="00EB6A5B" w:rsidR="00EB6A5B" w:rsidP="004303CE" w:rsidRDefault="00EB6A5B" w14:paraId="48DF8624" w14:textId="4620CD9E">
      <w:pPr>
        <w:autoSpaceDE w:val="0"/>
        <w:adjustRightInd w:val="0"/>
        <w:spacing w:line="240" w:lineRule="auto"/>
        <w:rPr>
          <w:rFonts w:ascii="Calibri" w:hAnsi="Calibri" w:cs="Calibri"/>
        </w:rPr>
      </w:pPr>
      <w:r w:rsidRPr="00EB6A5B">
        <w:rPr>
          <w:rFonts w:ascii="Calibri" w:hAnsi="Calibri" w:cs="Calibri"/>
        </w:rPr>
        <w:t>Den Haag, 3 maart 2025</w:t>
      </w:r>
    </w:p>
    <w:p w:rsidRPr="00EB6A5B" w:rsidR="004303CE" w:rsidP="004303CE" w:rsidRDefault="004303CE" w14:paraId="27166FB9" w14:textId="77777777">
      <w:pPr>
        <w:autoSpaceDE w:val="0"/>
        <w:adjustRightInd w:val="0"/>
        <w:spacing w:line="240" w:lineRule="auto"/>
        <w:rPr>
          <w:rFonts w:ascii="Calibri" w:hAnsi="Calibri" w:cs="Calibri"/>
        </w:rPr>
      </w:pPr>
    </w:p>
    <w:p w:rsidRPr="00EB6A5B" w:rsidR="004303CE" w:rsidP="004303CE" w:rsidRDefault="004303CE" w14:paraId="5FCDE227" w14:textId="3F5E7E0C">
      <w:pPr>
        <w:autoSpaceDE w:val="0"/>
        <w:adjustRightInd w:val="0"/>
        <w:spacing w:line="240" w:lineRule="auto"/>
        <w:rPr>
          <w:rFonts w:ascii="Calibri" w:hAnsi="Calibri" w:cs="Calibri"/>
        </w:rPr>
      </w:pPr>
      <w:r w:rsidRPr="00EB6A5B">
        <w:rPr>
          <w:rFonts w:ascii="Calibri" w:hAnsi="Calibri" w:cs="Calibri"/>
        </w:rPr>
        <w:t>Tijdens de begrotingsbehandeling van Binnenlandse Zaken en Koninkrijksrelaties (hoofdstuk VII) op woensdag 9 oktober 2024 heeft uw Kamer diverse vragen gesteld. Hierbij bied ik u, naar aanleiding van de vraag van het lid Wingelaar (NSC) over de inzet van reserves</w:t>
      </w:r>
      <w:r w:rsidRPr="00EB6A5B">
        <w:rPr>
          <w:rStyle w:val="Voetnootmarkering"/>
          <w:rFonts w:ascii="Calibri" w:hAnsi="Calibri" w:cs="Calibri"/>
        </w:rPr>
        <w:footnoteReference w:id="1"/>
      </w:r>
      <w:r w:rsidRPr="00EB6A5B">
        <w:rPr>
          <w:rFonts w:ascii="Calibri" w:hAnsi="Calibri" w:cs="Calibri"/>
        </w:rPr>
        <w:t xml:space="preserve">, het overzicht aan van het aantal gemeenten dat in de begroting voor 2025 gebruik maakt van de mogelijkheid voor het inzetten van het surplus van de algemene reserve als structureel dekkingsmiddel.  </w:t>
      </w:r>
    </w:p>
    <w:p w:rsidRPr="00EB6A5B" w:rsidR="004303CE" w:rsidP="004303CE" w:rsidRDefault="004303CE" w14:paraId="10BB1842" w14:textId="77777777">
      <w:pPr>
        <w:autoSpaceDE w:val="0"/>
        <w:adjustRightInd w:val="0"/>
        <w:spacing w:line="240" w:lineRule="auto"/>
        <w:rPr>
          <w:rFonts w:ascii="Calibri" w:hAnsi="Calibri" w:cs="Calibri"/>
        </w:rPr>
      </w:pPr>
      <w:r w:rsidRPr="00EB6A5B">
        <w:rPr>
          <w:rFonts w:ascii="Calibri" w:hAnsi="Calibri" w:cs="Calibri"/>
        </w:rPr>
        <w:t xml:space="preserve">Een ruimere structurele inzet van reserves draagt bij aan de financiële wendbaarheid van medeoverheden en is mogelijk, omdat de reservepositie van een groot deel van de gemeenten de afgelopen vier jaar is verbeterd. De verbetering van de reservepositie van gemeenten blijkt uit de jaarrekeningen van de gemeenten gezamenlijk, die in de afgelopen jaren een overschot lieten zien (bandbreedte van € 1,7- € 3,7 miljard per jaar). Het inzetten van reserves biedt overigens geen </w:t>
      </w:r>
      <w:proofErr w:type="spellStart"/>
      <w:r w:rsidRPr="00EB6A5B">
        <w:rPr>
          <w:rFonts w:ascii="Calibri" w:hAnsi="Calibri" w:cs="Calibri"/>
        </w:rPr>
        <w:t>langetermijnoplossing</w:t>
      </w:r>
      <w:proofErr w:type="spellEnd"/>
      <w:r w:rsidRPr="00EB6A5B">
        <w:rPr>
          <w:rFonts w:ascii="Calibri" w:hAnsi="Calibri" w:cs="Calibri"/>
        </w:rPr>
        <w:t xml:space="preserve"> voor structurele tekorten die zich nu of in de toekomst kunnen voordoen.</w:t>
      </w:r>
    </w:p>
    <w:p w:rsidRPr="00EB6A5B" w:rsidR="004303CE" w:rsidP="004303CE" w:rsidRDefault="004303CE" w14:paraId="7BFE3CE8" w14:textId="77777777">
      <w:pPr>
        <w:autoSpaceDE w:val="0"/>
        <w:adjustRightInd w:val="0"/>
        <w:spacing w:line="240" w:lineRule="auto"/>
        <w:rPr>
          <w:rFonts w:ascii="Calibri" w:hAnsi="Calibri" w:cs="Calibri"/>
        </w:rPr>
      </w:pPr>
      <w:r w:rsidRPr="00EB6A5B">
        <w:rPr>
          <w:rFonts w:ascii="Calibri" w:hAnsi="Calibri" w:cs="Calibri"/>
        </w:rPr>
        <w:t>In het Bestuurlijk Overleg Financiële verhoudingen (</w:t>
      </w:r>
      <w:proofErr w:type="spellStart"/>
      <w:r w:rsidRPr="00EB6A5B">
        <w:rPr>
          <w:rFonts w:ascii="Calibri" w:hAnsi="Calibri" w:cs="Calibri"/>
        </w:rPr>
        <w:t>BOFv</w:t>
      </w:r>
      <w:proofErr w:type="spellEnd"/>
      <w:r w:rsidRPr="00EB6A5B">
        <w:rPr>
          <w:rFonts w:ascii="Calibri" w:hAnsi="Calibri" w:cs="Calibri"/>
        </w:rPr>
        <w:t>) op 21 november 2023 is de ‘Notitie incidenteel/structureel’ vastgesteld, die in nauwe afstemming tussen de fondsbeheerders, VNG, IPO en financieel toezichthouders tot stand is gekomen</w:t>
      </w:r>
      <w:r w:rsidRPr="00EB6A5B">
        <w:rPr>
          <w:rStyle w:val="Voetnootmarkering"/>
          <w:rFonts w:ascii="Calibri" w:hAnsi="Calibri" w:cs="Calibri"/>
        </w:rPr>
        <w:footnoteReference w:id="2"/>
      </w:r>
      <w:r w:rsidRPr="00EB6A5B">
        <w:rPr>
          <w:rFonts w:ascii="Calibri" w:hAnsi="Calibri" w:cs="Calibri"/>
        </w:rPr>
        <w:t>. In deze notitie werden de mogelijkheden verruimd voor gemeenten, om bij een omvangrijke reservepositie onder voorwaarden structurele lasten te dekken met het vrije deel van de algemene reserve. Jaarlijks mogen gemeenten maximaal 10% van het surplus in de algemene reserve, het deel dat niet nodig is voor afdekking van toekomstige risico's, inzetten als structureel dekkingsmiddel. Dit onder de voorwaarde dat de solvabiliteit – een belangrijke indicator van financiële gezondheid - van de gemeente groter of gelijk aan 20% is en blijft. Ook moet het weerstandsvermogen naar het oordeel van de financieel toezichthouder voldoende zijn en gebaseerd op een adequate risico-inventarisatie. Gemeenten kunnen van deze nieuwe mogelijkheid gebruik maken met ingang van de begrotingen voor 2025.</w:t>
      </w:r>
    </w:p>
    <w:p w:rsidR="00EB6A5B" w:rsidRDefault="00EB6A5B" w14:paraId="4FABB124" w14:textId="77777777">
      <w:pPr>
        <w:rPr>
          <w:rFonts w:ascii="Calibri" w:hAnsi="Calibri" w:cs="Calibri"/>
        </w:rPr>
      </w:pPr>
      <w:r>
        <w:rPr>
          <w:rFonts w:ascii="Calibri" w:hAnsi="Calibri" w:cs="Calibri"/>
        </w:rPr>
        <w:br w:type="page"/>
      </w:r>
    </w:p>
    <w:p w:rsidRPr="00EB6A5B" w:rsidR="004303CE" w:rsidP="004303CE" w:rsidRDefault="004303CE" w14:paraId="502B1F9B" w14:textId="08F23A1A">
      <w:pPr>
        <w:autoSpaceDE w:val="0"/>
        <w:adjustRightInd w:val="0"/>
        <w:spacing w:line="240" w:lineRule="auto"/>
        <w:rPr>
          <w:rFonts w:ascii="Calibri" w:hAnsi="Calibri" w:cs="Calibri"/>
        </w:rPr>
      </w:pPr>
      <w:r w:rsidRPr="00EB6A5B">
        <w:rPr>
          <w:rFonts w:ascii="Calibri" w:hAnsi="Calibri" w:cs="Calibri"/>
        </w:rPr>
        <w:lastRenderedPageBreak/>
        <w:t xml:space="preserve">In de begrotingen voor 2025 maken in totaal 46 gemeenten gebruik van de mogelijkheid om (een deel van) het surplus van de algemene reserve in te zetten als structureel dekkingsmiddel (zie bijlage 1). Daarnaast kan ik u melden dat voor 2025 twee gemeenten onder preventief financieel toezicht staan, waarvan één gemeente om financiële redenen (zie bijlage 2). In het landelijk toezichtverslag dat jaarlijks medio juni aan uw Kamer wordt gezonden, brengen de provinciale financieel toezichthouders verslag uit over het door de provincies uitgevoerde financieel toezicht op gemeenten. In dit toezichtverslag zal nader worden stilgestaan bij de naar het oordeel van de provincies belangrijkste trends, ontwikkelingen en onzekerheden ten aanzien van de financiële positie van gemeenten de komende jaren. </w:t>
      </w:r>
    </w:p>
    <w:p w:rsidRPr="00EB6A5B" w:rsidR="004303CE" w:rsidP="004303CE" w:rsidRDefault="004303CE" w14:paraId="21686B61" w14:textId="77777777">
      <w:pPr>
        <w:autoSpaceDE w:val="0"/>
        <w:adjustRightInd w:val="0"/>
        <w:spacing w:line="240" w:lineRule="auto"/>
        <w:rPr>
          <w:rFonts w:ascii="Calibri" w:hAnsi="Calibri" w:cs="Calibri"/>
        </w:rPr>
      </w:pPr>
      <w:r w:rsidRPr="00EB6A5B">
        <w:rPr>
          <w:rFonts w:ascii="Calibri" w:hAnsi="Calibri" w:cs="Calibri"/>
        </w:rPr>
        <w:t>Zoals eerder aangegeven in mijn brief van 4 oktober aan uw Kamer</w:t>
      </w:r>
      <w:r w:rsidRPr="00EB6A5B">
        <w:rPr>
          <w:rFonts w:ascii="Calibri" w:hAnsi="Calibri" w:cs="Calibri"/>
          <w:vertAlign w:val="superscript"/>
        </w:rPr>
        <w:footnoteReference w:id="3"/>
      </w:r>
      <w:r w:rsidRPr="00EB6A5B">
        <w:rPr>
          <w:rFonts w:ascii="Calibri" w:hAnsi="Calibri" w:cs="Calibri"/>
        </w:rPr>
        <w:t>, waarin ik onder andere in ga op de inzet van reserves, wil ik bezien of bij de financiële beoordeling van gemeenten de huidige norm van structureel en reëel evenwicht aangevuld kan worden met andere toetsingscriteria. Te denken valt daarbij aan het meer meewegen van de vermogenspositie ten aanzien van de risico’s, de wendbaarheid en weerbaarheid van een gemeente, een breder risicomodel en bepaalde financiële kengetallen. Op het ogenblik vinden hierover gesprekken plaats met onder andere de provinciale toezichthouders. Naar verwachting kan ik uw Kamer hierover nader informeren in het tweede kwartaal van 2025.</w:t>
      </w:r>
    </w:p>
    <w:p w:rsidRPr="00EB6A5B" w:rsidR="004303CE" w:rsidP="004303CE" w:rsidRDefault="004303CE" w14:paraId="2AB5B631" w14:textId="77777777">
      <w:pPr>
        <w:autoSpaceDE w:val="0"/>
        <w:adjustRightInd w:val="0"/>
        <w:spacing w:line="240" w:lineRule="auto"/>
        <w:rPr>
          <w:rFonts w:ascii="Calibri" w:hAnsi="Calibri" w:cs="Calibri"/>
        </w:rPr>
      </w:pPr>
      <w:r w:rsidRPr="00EB6A5B">
        <w:rPr>
          <w:rFonts w:ascii="Calibri" w:hAnsi="Calibri" w:cs="Calibri"/>
        </w:rPr>
        <w:t>Ik benadruk ten slotte voor de volledigheid nogmaals, dat het inzetten van reserves als structureel dekkingsmiddel niet oneindig kan doorgaan en een hulpmiddel vormt. Het is geen structurele oplossing in het geval dat financiële tekorten bij gemeenten zich blijven voordoen. Wat betreft het bredere vraagstuk van de zorgen die leven bij medeoverheden, verwijs ik onder andere naar de routekaart richting Voorjaarsnota, zoals 29 november 2024 aan uw Kamer verzonden.</w:t>
      </w:r>
      <w:r w:rsidRPr="00EB6A5B">
        <w:rPr>
          <w:rFonts w:ascii="Calibri" w:hAnsi="Calibri" w:cs="Calibri"/>
          <w:vertAlign w:val="superscript"/>
        </w:rPr>
        <w:footnoteReference w:id="4"/>
      </w:r>
      <w:r w:rsidRPr="00EB6A5B">
        <w:rPr>
          <w:rFonts w:ascii="Calibri" w:hAnsi="Calibri" w:cs="Calibri"/>
        </w:rPr>
        <w:t xml:space="preserve"> Ik begrijp de zorgen over de financiën; daarnaast ben ik ermee bekend dat er bij gemeenten ook zorgen zijn over de arbeidsmarkt en de uitvoeringskracht. Naar aanleiding van het Overhedenoverleg heb ik aangegeven dat ik veel waarde hecht aan de balans tussen de ambities, taken, middelen en uitvoeringskracht. Bij het Overhedenoverleg d.d. 21 november 2024 is van kabinetszijde erkend dat deze balans onder druk staat. Het gesprek daarover moet wel zorgvuldig en precies worden gevoerd en daartoe zijn ook concrete afspraken gemaakt. Als kabinet willen we met de medeoverheden een weg naar voren bewandelen. We spreken hiertoe in het Overhedenoverleg van 11 maart a.s. verder met de koepels van gemeenten, provincies en waterschappen.</w:t>
      </w:r>
    </w:p>
    <w:p w:rsidR="00EB6A5B" w:rsidP="00EB6A5B" w:rsidRDefault="00EB6A5B" w14:paraId="03B6511A" w14:textId="77777777">
      <w:pPr>
        <w:pStyle w:val="Geenafstand"/>
      </w:pPr>
    </w:p>
    <w:p w:rsidRPr="00EB6A5B" w:rsidR="00EB6A5B" w:rsidP="00EB6A5B" w:rsidRDefault="00EB6A5B" w14:paraId="4E66FE34" w14:textId="08B786AD">
      <w:pPr>
        <w:pStyle w:val="Geenafstand"/>
      </w:pPr>
      <w:r w:rsidRPr="00EB6A5B">
        <w:t>De minister van Binnenlandse Zaken en Koninkrijksrelaties,</w:t>
      </w:r>
    </w:p>
    <w:p w:rsidRPr="00EB6A5B" w:rsidR="00EB6A5B" w:rsidP="00EB6A5B" w:rsidRDefault="00EB6A5B" w14:paraId="6032FBBD" w14:textId="77777777">
      <w:pPr>
        <w:pStyle w:val="Geenafstand"/>
      </w:pPr>
      <w:r w:rsidRPr="00EB6A5B">
        <w:t xml:space="preserve">J.J.M. Uitermark </w:t>
      </w:r>
    </w:p>
    <w:p w:rsidRPr="00EB6A5B" w:rsidR="004303CE" w:rsidP="004303CE" w:rsidRDefault="004303CE" w14:paraId="7A6A1201" w14:textId="275A0748">
      <w:pPr>
        <w:spacing w:line="240" w:lineRule="auto"/>
        <w:rPr>
          <w:rFonts w:ascii="Calibri" w:hAnsi="Calibri" w:cs="Calibri"/>
        </w:rPr>
      </w:pPr>
      <w:r w:rsidRPr="00EB6A5B">
        <w:rPr>
          <w:rFonts w:ascii="Calibri" w:hAnsi="Calibri" w:cs="Calibri"/>
        </w:rPr>
        <w:lastRenderedPageBreak/>
        <w:t>Bijlage 1: Overzicht inzet surplus algemene reserve als structureel dekkingsmiddel</w:t>
      </w:r>
    </w:p>
    <w:tbl>
      <w:tblPr>
        <w:tblpPr w:leftFromText="141" w:rightFromText="141" w:vertAnchor="page" w:horzAnchor="margin" w:tblpY="4501"/>
        <w:tblW w:w="7508" w:type="dxa"/>
        <w:tblCellMar>
          <w:left w:w="70" w:type="dxa"/>
          <w:right w:w="70" w:type="dxa"/>
        </w:tblCellMar>
        <w:tblLook w:val="04A0" w:firstRow="1" w:lastRow="0" w:firstColumn="1" w:lastColumn="0" w:noHBand="0" w:noVBand="1"/>
      </w:tblPr>
      <w:tblGrid>
        <w:gridCol w:w="1460"/>
        <w:gridCol w:w="1294"/>
        <w:gridCol w:w="1352"/>
        <w:gridCol w:w="3402"/>
      </w:tblGrid>
      <w:tr w:rsidRPr="00EB6A5B" w:rsidR="004303CE" w:rsidTr="00B56528" w14:paraId="466F79C1" w14:textId="77777777">
        <w:trPr>
          <w:trHeight w:val="255"/>
        </w:trPr>
        <w:tc>
          <w:tcPr>
            <w:tcW w:w="1460" w:type="dxa"/>
            <w:tcBorders>
              <w:top w:val="single" w:color="auto" w:sz="4" w:space="0"/>
              <w:left w:val="single" w:color="auto" w:sz="4" w:space="0"/>
              <w:bottom w:val="nil"/>
              <w:right w:val="single" w:color="auto" w:sz="4" w:space="0"/>
            </w:tcBorders>
            <w:shd w:val="clear" w:color="000000" w:fill="D9D9D9"/>
            <w:noWrap/>
            <w:vAlign w:val="bottom"/>
            <w:hideMark/>
          </w:tcPr>
          <w:p w:rsidRPr="00EB6A5B" w:rsidR="004303CE" w:rsidP="00B56528" w:rsidRDefault="004303CE" w14:paraId="5241B0DD" w14:textId="77777777">
            <w:pPr>
              <w:spacing w:line="240" w:lineRule="auto"/>
              <w:rPr>
                <w:rFonts w:ascii="Calibri" w:hAnsi="Calibri" w:eastAsia="Times New Roman" w:cs="Calibri"/>
                <w:b/>
                <w:bCs/>
              </w:rPr>
            </w:pPr>
            <w:r w:rsidRPr="00EB6A5B">
              <w:rPr>
                <w:rFonts w:ascii="Calibri" w:hAnsi="Calibri" w:eastAsia="Times New Roman" w:cs="Calibri"/>
                <w:b/>
                <w:bCs/>
              </w:rPr>
              <w:t>Provincie</w:t>
            </w:r>
          </w:p>
        </w:tc>
        <w:tc>
          <w:tcPr>
            <w:tcW w:w="1294"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3D2AFBE8" w14:textId="77777777">
            <w:pPr>
              <w:spacing w:line="240" w:lineRule="auto"/>
              <w:rPr>
                <w:rFonts w:ascii="Calibri" w:hAnsi="Calibri" w:eastAsia="Times New Roman" w:cs="Calibri"/>
                <w:b/>
                <w:bCs/>
              </w:rPr>
            </w:pPr>
            <w:r w:rsidRPr="00EB6A5B">
              <w:rPr>
                <w:rFonts w:ascii="Calibri" w:hAnsi="Calibri" w:eastAsia="Times New Roman" w:cs="Calibri"/>
                <w:b/>
                <w:bCs/>
              </w:rPr>
              <w:t>Aantal</w:t>
            </w:r>
          </w:p>
        </w:tc>
        <w:tc>
          <w:tcPr>
            <w:tcW w:w="1352"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350EC328" w14:textId="77777777">
            <w:pPr>
              <w:spacing w:line="240" w:lineRule="auto"/>
              <w:rPr>
                <w:rFonts w:ascii="Calibri" w:hAnsi="Calibri" w:eastAsia="Times New Roman" w:cs="Calibri"/>
                <w:b/>
                <w:bCs/>
              </w:rPr>
            </w:pPr>
            <w:r w:rsidRPr="00EB6A5B">
              <w:rPr>
                <w:rFonts w:ascii="Calibri" w:hAnsi="Calibri" w:eastAsia="Times New Roman" w:cs="Calibri"/>
                <w:b/>
                <w:bCs/>
              </w:rPr>
              <w:t>Aantal</w:t>
            </w:r>
          </w:p>
        </w:tc>
        <w:tc>
          <w:tcPr>
            <w:tcW w:w="3402"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1261A123" w14:textId="77777777">
            <w:pPr>
              <w:spacing w:line="240" w:lineRule="auto"/>
              <w:rPr>
                <w:rFonts w:ascii="Calibri" w:hAnsi="Calibri" w:eastAsia="Times New Roman" w:cs="Calibri"/>
                <w:b/>
                <w:bCs/>
              </w:rPr>
            </w:pPr>
            <w:r w:rsidRPr="00EB6A5B">
              <w:rPr>
                <w:rFonts w:ascii="Calibri" w:hAnsi="Calibri" w:eastAsia="Times New Roman" w:cs="Calibri"/>
                <w:b/>
                <w:bCs/>
              </w:rPr>
              <w:t xml:space="preserve">Naam gemeenten </w:t>
            </w:r>
          </w:p>
        </w:tc>
      </w:tr>
      <w:tr w:rsidRPr="00EB6A5B" w:rsidR="004303CE" w:rsidTr="00B56528" w14:paraId="4CCEBB2D" w14:textId="77777777">
        <w:trPr>
          <w:trHeight w:val="255"/>
        </w:trPr>
        <w:tc>
          <w:tcPr>
            <w:tcW w:w="1460" w:type="dxa"/>
            <w:tcBorders>
              <w:top w:val="nil"/>
              <w:left w:val="single" w:color="auto" w:sz="4" w:space="0"/>
              <w:bottom w:val="single" w:color="auto" w:sz="4" w:space="0"/>
              <w:right w:val="single" w:color="auto" w:sz="4" w:space="0"/>
            </w:tcBorders>
            <w:shd w:val="clear" w:color="000000" w:fill="D9D9D9"/>
            <w:noWrap/>
            <w:vAlign w:val="bottom"/>
            <w:hideMark/>
          </w:tcPr>
          <w:p w:rsidRPr="00EB6A5B" w:rsidR="004303CE" w:rsidP="00B56528" w:rsidRDefault="004303CE" w14:paraId="3D9ECA3D" w14:textId="77777777">
            <w:pPr>
              <w:spacing w:line="240" w:lineRule="auto"/>
              <w:rPr>
                <w:rFonts w:ascii="Calibri" w:hAnsi="Calibri" w:eastAsia="Times New Roman" w:cs="Calibri"/>
                <w:b/>
                <w:bCs/>
              </w:rPr>
            </w:pPr>
            <w:r w:rsidRPr="00EB6A5B">
              <w:rPr>
                <w:rFonts w:ascii="Calibri" w:hAnsi="Calibri" w:eastAsia="Times New Roman" w:cs="Calibri"/>
                <w:b/>
                <w:bCs/>
              </w:rPr>
              <w:t> </w:t>
            </w:r>
          </w:p>
        </w:tc>
        <w:tc>
          <w:tcPr>
            <w:tcW w:w="1294"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0FC159EF" w14:textId="77777777">
            <w:pPr>
              <w:spacing w:line="240" w:lineRule="auto"/>
              <w:jc w:val="both"/>
              <w:rPr>
                <w:rFonts w:ascii="Calibri" w:hAnsi="Calibri" w:eastAsia="Times New Roman" w:cs="Calibri"/>
                <w:b/>
                <w:bCs/>
              </w:rPr>
            </w:pPr>
            <w:r w:rsidRPr="00EB6A5B">
              <w:rPr>
                <w:rFonts w:ascii="Calibri" w:hAnsi="Calibri" w:eastAsia="Times New Roman" w:cs="Calibri"/>
                <w:b/>
                <w:bCs/>
              </w:rPr>
              <w:t>Gemeenten</w:t>
            </w:r>
          </w:p>
        </w:tc>
        <w:tc>
          <w:tcPr>
            <w:tcW w:w="1352"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07A3DC27" w14:textId="77777777">
            <w:pPr>
              <w:spacing w:line="240" w:lineRule="auto"/>
              <w:rPr>
                <w:rFonts w:ascii="Calibri" w:hAnsi="Calibri" w:eastAsia="Times New Roman" w:cs="Calibri"/>
                <w:b/>
                <w:bCs/>
              </w:rPr>
            </w:pPr>
            <w:r w:rsidRPr="00EB6A5B">
              <w:rPr>
                <w:rFonts w:ascii="Calibri" w:hAnsi="Calibri" w:eastAsia="Times New Roman" w:cs="Calibri"/>
                <w:b/>
                <w:bCs/>
              </w:rPr>
              <w:t>Inzet Surplus AR</w:t>
            </w:r>
          </w:p>
        </w:tc>
        <w:tc>
          <w:tcPr>
            <w:tcW w:w="3402"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34416BBB" w14:textId="77777777">
            <w:pPr>
              <w:spacing w:line="240" w:lineRule="auto"/>
              <w:rPr>
                <w:rFonts w:ascii="Calibri" w:hAnsi="Calibri" w:eastAsia="Times New Roman" w:cs="Calibri"/>
                <w:b/>
                <w:bCs/>
              </w:rPr>
            </w:pPr>
            <w:r w:rsidRPr="00EB6A5B">
              <w:rPr>
                <w:rFonts w:ascii="Calibri" w:hAnsi="Calibri" w:eastAsia="Times New Roman" w:cs="Calibri"/>
                <w:b/>
                <w:bCs/>
              </w:rPr>
              <w:t>Inzet surplus AR</w:t>
            </w:r>
          </w:p>
        </w:tc>
      </w:tr>
      <w:tr w:rsidRPr="00EB6A5B" w:rsidR="004303CE" w:rsidTr="00B56528" w14:paraId="2A436ECD"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31EF89CF" w14:textId="77777777">
            <w:pPr>
              <w:spacing w:line="240" w:lineRule="auto"/>
              <w:rPr>
                <w:rFonts w:ascii="Calibri" w:hAnsi="Calibri" w:eastAsia="Times New Roman" w:cs="Calibri"/>
              </w:rPr>
            </w:pPr>
            <w:r w:rsidRPr="00EB6A5B">
              <w:rPr>
                <w:rFonts w:ascii="Calibri" w:hAnsi="Calibri" w:eastAsia="Times New Roman" w:cs="Calibri"/>
              </w:rPr>
              <w:t>Groningen</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4D86A995" w14:textId="77777777">
            <w:pPr>
              <w:spacing w:line="240" w:lineRule="auto"/>
              <w:jc w:val="center"/>
              <w:rPr>
                <w:rFonts w:ascii="Calibri" w:hAnsi="Calibri" w:eastAsia="Times New Roman" w:cs="Calibri"/>
              </w:rPr>
            </w:pPr>
            <w:r w:rsidRPr="00EB6A5B">
              <w:rPr>
                <w:rFonts w:ascii="Calibri" w:hAnsi="Calibri" w:eastAsia="Times New Roman" w:cs="Calibri"/>
              </w:rPr>
              <w:t>10</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42249BBC"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340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17756A3" w14:textId="77777777">
            <w:pPr>
              <w:spacing w:line="240" w:lineRule="auto"/>
              <w:rPr>
                <w:rFonts w:ascii="Calibri" w:hAnsi="Calibri" w:eastAsia="Times New Roman" w:cs="Calibri"/>
              </w:rPr>
            </w:pPr>
            <w:r w:rsidRPr="00EB6A5B">
              <w:rPr>
                <w:rFonts w:ascii="Calibri" w:hAnsi="Calibri" w:eastAsia="Times New Roman" w:cs="Calibri"/>
              </w:rPr>
              <w:t> </w:t>
            </w:r>
          </w:p>
        </w:tc>
      </w:tr>
      <w:tr w:rsidRPr="00EB6A5B" w:rsidR="004303CE" w:rsidTr="00B56528" w14:paraId="1277ABA0"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77FE822A" w14:textId="77777777">
            <w:pPr>
              <w:spacing w:line="240" w:lineRule="auto"/>
              <w:rPr>
                <w:rFonts w:ascii="Calibri" w:hAnsi="Calibri" w:eastAsia="Times New Roman" w:cs="Calibri"/>
              </w:rPr>
            </w:pPr>
            <w:r w:rsidRPr="00EB6A5B">
              <w:rPr>
                <w:rFonts w:ascii="Calibri" w:hAnsi="Calibri" w:eastAsia="Times New Roman" w:cs="Calibri"/>
              </w:rPr>
              <w:t>Fryslân</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9D48156" w14:textId="77777777">
            <w:pPr>
              <w:spacing w:line="240" w:lineRule="auto"/>
              <w:jc w:val="center"/>
              <w:rPr>
                <w:rFonts w:ascii="Calibri" w:hAnsi="Calibri" w:eastAsia="Times New Roman" w:cs="Calibri"/>
              </w:rPr>
            </w:pPr>
            <w:r w:rsidRPr="00EB6A5B">
              <w:rPr>
                <w:rFonts w:ascii="Calibri" w:hAnsi="Calibri" w:eastAsia="Times New Roman" w:cs="Calibri"/>
              </w:rPr>
              <w:t>18</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872B8A6" w14:textId="77777777">
            <w:pPr>
              <w:spacing w:line="240" w:lineRule="auto"/>
              <w:jc w:val="center"/>
              <w:rPr>
                <w:rFonts w:ascii="Calibri" w:hAnsi="Calibri" w:eastAsia="Times New Roman" w:cs="Calibri"/>
              </w:rPr>
            </w:pPr>
            <w:r w:rsidRPr="00EB6A5B">
              <w:rPr>
                <w:rFonts w:ascii="Calibri" w:hAnsi="Calibri" w:eastAsia="Times New Roman" w:cs="Calibri"/>
              </w:rPr>
              <w:t>1</w:t>
            </w:r>
          </w:p>
        </w:tc>
        <w:tc>
          <w:tcPr>
            <w:tcW w:w="340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422B49D" w14:textId="77777777">
            <w:pPr>
              <w:spacing w:line="240" w:lineRule="auto"/>
              <w:rPr>
                <w:rFonts w:ascii="Calibri" w:hAnsi="Calibri" w:eastAsia="Times New Roman" w:cs="Calibri"/>
              </w:rPr>
            </w:pPr>
            <w:r w:rsidRPr="00EB6A5B">
              <w:rPr>
                <w:rFonts w:ascii="Calibri" w:hAnsi="Calibri" w:eastAsia="Times New Roman" w:cs="Calibri"/>
              </w:rPr>
              <w:t xml:space="preserve">De </w:t>
            </w:r>
            <w:proofErr w:type="spellStart"/>
            <w:r w:rsidRPr="00EB6A5B">
              <w:rPr>
                <w:rFonts w:ascii="Calibri" w:hAnsi="Calibri" w:eastAsia="Times New Roman" w:cs="Calibri"/>
              </w:rPr>
              <w:t>Fryske</w:t>
            </w:r>
            <w:proofErr w:type="spellEnd"/>
            <w:r w:rsidRPr="00EB6A5B">
              <w:rPr>
                <w:rFonts w:ascii="Calibri" w:hAnsi="Calibri" w:eastAsia="Times New Roman" w:cs="Calibri"/>
              </w:rPr>
              <w:t xml:space="preserve"> Marren</w:t>
            </w:r>
          </w:p>
        </w:tc>
      </w:tr>
      <w:tr w:rsidRPr="00EB6A5B" w:rsidR="004303CE" w:rsidTr="00B56528" w14:paraId="4C73A4E9"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13FFE2A2" w14:textId="77777777">
            <w:pPr>
              <w:spacing w:line="240" w:lineRule="auto"/>
              <w:rPr>
                <w:rFonts w:ascii="Calibri" w:hAnsi="Calibri" w:eastAsia="Times New Roman" w:cs="Calibri"/>
              </w:rPr>
            </w:pPr>
            <w:r w:rsidRPr="00EB6A5B">
              <w:rPr>
                <w:rFonts w:ascii="Calibri" w:hAnsi="Calibri" w:eastAsia="Times New Roman" w:cs="Calibri"/>
              </w:rPr>
              <w:t>Drenthe</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AA61B98" w14:textId="77777777">
            <w:pPr>
              <w:spacing w:line="240" w:lineRule="auto"/>
              <w:jc w:val="center"/>
              <w:rPr>
                <w:rFonts w:ascii="Calibri" w:hAnsi="Calibri" w:eastAsia="Times New Roman" w:cs="Calibri"/>
              </w:rPr>
            </w:pPr>
            <w:r w:rsidRPr="00EB6A5B">
              <w:rPr>
                <w:rFonts w:ascii="Calibri" w:hAnsi="Calibri" w:eastAsia="Times New Roman" w:cs="Calibri"/>
              </w:rPr>
              <w:t>12</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17D7FA5" w14:textId="77777777">
            <w:pPr>
              <w:spacing w:line="240" w:lineRule="auto"/>
              <w:jc w:val="center"/>
              <w:rPr>
                <w:rFonts w:ascii="Calibri" w:hAnsi="Calibri" w:eastAsia="Times New Roman" w:cs="Calibri"/>
              </w:rPr>
            </w:pPr>
            <w:r w:rsidRPr="00EB6A5B">
              <w:rPr>
                <w:rFonts w:ascii="Calibri" w:hAnsi="Calibri" w:eastAsia="Times New Roman" w:cs="Calibri"/>
              </w:rPr>
              <w:t>1</w:t>
            </w:r>
          </w:p>
        </w:tc>
        <w:tc>
          <w:tcPr>
            <w:tcW w:w="340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696A639" w14:textId="77777777">
            <w:pPr>
              <w:spacing w:line="240" w:lineRule="auto"/>
              <w:rPr>
                <w:rFonts w:ascii="Calibri" w:hAnsi="Calibri" w:eastAsia="Times New Roman" w:cs="Calibri"/>
              </w:rPr>
            </w:pPr>
            <w:r w:rsidRPr="00EB6A5B">
              <w:rPr>
                <w:rFonts w:ascii="Calibri" w:hAnsi="Calibri" w:eastAsia="Times New Roman" w:cs="Calibri"/>
              </w:rPr>
              <w:t>Midden-Drenthe</w:t>
            </w:r>
          </w:p>
        </w:tc>
      </w:tr>
      <w:tr w:rsidRPr="00EB6A5B" w:rsidR="004303CE" w:rsidTr="00B56528" w14:paraId="0A0B7FA5"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0B8A4E12" w14:textId="77777777">
            <w:pPr>
              <w:spacing w:line="240" w:lineRule="auto"/>
              <w:rPr>
                <w:rFonts w:ascii="Calibri" w:hAnsi="Calibri" w:eastAsia="Times New Roman" w:cs="Calibri"/>
              </w:rPr>
            </w:pPr>
            <w:r w:rsidRPr="00EB6A5B">
              <w:rPr>
                <w:rFonts w:ascii="Calibri" w:hAnsi="Calibri" w:eastAsia="Times New Roman" w:cs="Calibri"/>
              </w:rPr>
              <w:t>Overijssel</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3E1D0B2" w14:textId="77777777">
            <w:pPr>
              <w:spacing w:line="240" w:lineRule="auto"/>
              <w:jc w:val="center"/>
              <w:rPr>
                <w:rFonts w:ascii="Calibri" w:hAnsi="Calibri" w:eastAsia="Times New Roman" w:cs="Calibri"/>
              </w:rPr>
            </w:pPr>
            <w:r w:rsidRPr="00EB6A5B">
              <w:rPr>
                <w:rFonts w:ascii="Calibri" w:hAnsi="Calibri" w:eastAsia="Times New Roman" w:cs="Calibri"/>
              </w:rPr>
              <w:t>25</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910136F" w14:textId="77777777">
            <w:pPr>
              <w:spacing w:line="240" w:lineRule="auto"/>
              <w:jc w:val="center"/>
              <w:rPr>
                <w:rFonts w:ascii="Calibri" w:hAnsi="Calibri" w:eastAsia="Times New Roman" w:cs="Calibri"/>
              </w:rPr>
            </w:pPr>
            <w:r w:rsidRPr="00EB6A5B">
              <w:rPr>
                <w:rFonts w:ascii="Calibri" w:hAnsi="Calibri" w:eastAsia="Times New Roman" w:cs="Calibri"/>
              </w:rPr>
              <w:t>4</w:t>
            </w:r>
          </w:p>
        </w:tc>
        <w:tc>
          <w:tcPr>
            <w:tcW w:w="340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8C649D7" w14:textId="77777777">
            <w:pPr>
              <w:spacing w:line="240" w:lineRule="auto"/>
              <w:rPr>
                <w:rFonts w:ascii="Calibri" w:hAnsi="Calibri" w:eastAsia="Times New Roman" w:cs="Calibri"/>
              </w:rPr>
            </w:pPr>
            <w:r w:rsidRPr="00EB6A5B">
              <w:rPr>
                <w:rFonts w:ascii="Calibri" w:hAnsi="Calibri" w:eastAsia="Times New Roman" w:cs="Calibri"/>
              </w:rPr>
              <w:t>Almelo, Hardenberg, Enschede, Wierden</w:t>
            </w:r>
          </w:p>
        </w:tc>
      </w:tr>
      <w:tr w:rsidRPr="00EB6A5B" w:rsidR="004303CE" w:rsidTr="00B56528" w14:paraId="1FBDF6ED" w14:textId="77777777">
        <w:trPr>
          <w:trHeight w:val="51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762C9BCE" w14:textId="77777777">
            <w:pPr>
              <w:spacing w:line="240" w:lineRule="auto"/>
              <w:rPr>
                <w:rFonts w:ascii="Calibri" w:hAnsi="Calibri" w:eastAsia="Times New Roman" w:cs="Calibri"/>
              </w:rPr>
            </w:pPr>
            <w:r w:rsidRPr="00EB6A5B">
              <w:rPr>
                <w:rFonts w:ascii="Calibri" w:hAnsi="Calibri" w:eastAsia="Times New Roman" w:cs="Calibri"/>
              </w:rPr>
              <w:t>Gelderland</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86216E3" w14:textId="77777777">
            <w:pPr>
              <w:spacing w:line="240" w:lineRule="auto"/>
              <w:jc w:val="center"/>
              <w:rPr>
                <w:rFonts w:ascii="Calibri" w:hAnsi="Calibri" w:eastAsia="Times New Roman" w:cs="Calibri"/>
              </w:rPr>
            </w:pPr>
            <w:r w:rsidRPr="00EB6A5B">
              <w:rPr>
                <w:rFonts w:ascii="Calibri" w:hAnsi="Calibri" w:eastAsia="Times New Roman" w:cs="Calibri"/>
              </w:rPr>
              <w:t>51</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614CF6A" w14:textId="77777777">
            <w:pPr>
              <w:spacing w:line="240" w:lineRule="auto"/>
              <w:jc w:val="center"/>
              <w:rPr>
                <w:rFonts w:ascii="Calibri" w:hAnsi="Calibri" w:eastAsia="Times New Roman" w:cs="Calibri"/>
              </w:rPr>
            </w:pPr>
            <w:r w:rsidRPr="00EB6A5B">
              <w:rPr>
                <w:rFonts w:ascii="Calibri" w:hAnsi="Calibri" w:eastAsia="Times New Roman" w:cs="Calibri"/>
              </w:rPr>
              <w:t>7</w:t>
            </w:r>
          </w:p>
        </w:tc>
        <w:tc>
          <w:tcPr>
            <w:tcW w:w="3402"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77660440" w14:textId="77777777">
            <w:pPr>
              <w:spacing w:line="240" w:lineRule="auto"/>
              <w:rPr>
                <w:rFonts w:ascii="Calibri" w:hAnsi="Calibri" w:eastAsia="Times New Roman" w:cs="Calibri"/>
              </w:rPr>
            </w:pPr>
            <w:r w:rsidRPr="00EB6A5B">
              <w:rPr>
                <w:rFonts w:ascii="Calibri" w:hAnsi="Calibri" w:eastAsia="Times New Roman" w:cs="Calibri"/>
              </w:rPr>
              <w:t>Duiven, Elburg, Montferland, Lingewaard, Lochem, Nijkerk, Wijchen</w:t>
            </w:r>
          </w:p>
        </w:tc>
      </w:tr>
      <w:tr w:rsidRPr="00EB6A5B" w:rsidR="004303CE" w:rsidTr="00B56528" w14:paraId="16BAFA67"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55B69652" w14:textId="77777777">
            <w:pPr>
              <w:spacing w:line="240" w:lineRule="auto"/>
              <w:rPr>
                <w:rFonts w:ascii="Calibri" w:hAnsi="Calibri" w:eastAsia="Times New Roman" w:cs="Calibri"/>
              </w:rPr>
            </w:pPr>
            <w:r w:rsidRPr="00EB6A5B">
              <w:rPr>
                <w:rFonts w:ascii="Calibri" w:hAnsi="Calibri" w:eastAsia="Times New Roman" w:cs="Calibri"/>
              </w:rPr>
              <w:t>Utrecht</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8B1B8C8" w14:textId="77777777">
            <w:pPr>
              <w:spacing w:line="240" w:lineRule="auto"/>
              <w:jc w:val="center"/>
              <w:rPr>
                <w:rFonts w:ascii="Calibri" w:hAnsi="Calibri" w:eastAsia="Times New Roman" w:cs="Calibri"/>
              </w:rPr>
            </w:pPr>
            <w:r w:rsidRPr="00EB6A5B">
              <w:rPr>
                <w:rFonts w:ascii="Calibri" w:hAnsi="Calibri" w:eastAsia="Times New Roman" w:cs="Calibri"/>
              </w:rPr>
              <w:t>26</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50AA733" w14:textId="77777777">
            <w:pPr>
              <w:spacing w:line="240" w:lineRule="auto"/>
              <w:jc w:val="center"/>
              <w:rPr>
                <w:rFonts w:ascii="Calibri" w:hAnsi="Calibri" w:eastAsia="Times New Roman" w:cs="Calibri"/>
              </w:rPr>
            </w:pPr>
            <w:r w:rsidRPr="00EB6A5B">
              <w:rPr>
                <w:rFonts w:ascii="Calibri" w:hAnsi="Calibri" w:eastAsia="Times New Roman" w:cs="Calibri"/>
              </w:rPr>
              <w:t>3</w:t>
            </w:r>
          </w:p>
        </w:tc>
        <w:tc>
          <w:tcPr>
            <w:tcW w:w="340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4BD217F" w14:textId="77777777">
            <w:pPr>
              <w:spacing w:line="240" w:lineRule="auto"/>
              <w:rPr>
                <w:rFonts w:ascii="Calibri" w:hAnsi="Calibri" w:eastAsia="Times New Roman" w:cs="Calibri"/>
              </w:rPr>
            </w:pPr>
            <w:r w:rsidRPr="00EB6A5B">
              <w:rPr>
                <w:rFonts w:ascii="Calibri" w:hAnsi="Calibri" w:eastAsia="Times New Roman" w:cs="Calibri"/>
              </w:rPr>
              <w:t>Houten, Lopik, Zeist</w:t>
            </w:r>
          </w:p>
        </w:tc>
      </w:tr>
      <w:tr w:rsidRPr="00EB6A5B" w:rsidR="004303CE" w:rsidTr="00B56528" w14:paraId="34DC79BA"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1E24FF3C" w14:textId="77777777">
            <w:pPr>
              <w:spacing w:line="240" w:lineRule="auto"/>
              <w:rPr>
                <w:rFonts w:ascii="Calibri" w:hAnsi="Calibri" w:eastAsia="Times New Roman" w:cs="Calibri"/>
              </w:rPr>
            </w:pPr>
            <w:r w:rsidRPr="00EB6A5B">
              <w:rPr>
                <w:rFonts w:ascii="Calibri" w:hAnsi="Calibri" w:eastAsia="Times New Roman" w:cs="Calibri"/>
              </w:rPr>
              <w:t>Flevoland</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C607505" w14:textId="77777777">
            <w:pPr>
              <w:spacing w:line="240" w:lineRule="auto"/>
              <w:jc w:val="center"/>
              <w:rPr>
                <w:rFonts w:ascii="Calibri" w:hAnsi="Calibri" w:eastAsia="Times New Roman" w:cs="Calibri"/>
              </w:rPr>
            </w:pPr>
            <w:r w:rsidRPr="00EB6A5B">
              <w:rPr>
                <w:rFonts w:ascii="Calibri" w:hAnsi="Calibri" w:eastAsia="Times New Roman" w:cs="Calibri"/>
              </w:rPr>
              <w:t>6</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B75FA95"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340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81B280E" w14:textId="77777777">
            <w:pPr>
              <w:spacing w:line="240" w:lineRule="auto"/>
              <w:rPr>
                <w:rFonts w:ascii="Calibri" w:hAnsi="Calibri" w:eastAsia="Times New Roman" w:cs="Calibri"/>
              </w:rPr>
            </w:pPr>
            <w:r w:rsidRPr="00EB6A5B">
              <w:rPr>
                <w:rFonts w:ascii="Calibri" w:hAnsi="Calibri" w:eastAsia="Times New Roman" w:cs="Calibri"/>
              </w:rPr>
              <w:t> </w:t>
            </w:r>
          </w:p>
        </w:tc>
      </w:tr>
      <w:tr w:rsidRPr="00EB6A5B" w:rsidR="004303CE" w:rsidTr="00B56528" w14:paraId="6B719FE9" w14:textId="77777777">
        <w:trPr>
          <w:trHeight w:val="76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0936A9D8" w14:textId="77777777">
            <w:pPr>
              <w:spacing w:line="240" w:lineRule="auto"/>
              <w:rPr>
                <w:rFonts w:ascii="Calibri" w:hAnsi="Calibri" w:eastAsia="Times New Roman" w:cs="Calibri"/>
              </w:rPr>
            </w:pPr>
            <w:r w:rsidRPr="00EB6A5B">
              <w:rPr>
                <w:rFonts w:ascii="Calibri" w:hAnsi="Calibri" w:eastAsia="Times New Roman" w:cs="Calibri"/>
              </w:rPr>
              <w:t>Noord-Holland</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11E6BB5" w14:textId="77777777">
            <w:pPr>
              <w:spacing w:line="240" w:lineRule="auto"/>
              <w:jc w:val="center"/>
              <w:rPr>
                <w:rFonts w:ascii="Calibri" w:hAnsi="Calibri" w:eastAsia="Times New Roman" w:cs="Calibri"/>
              </w:rPr>
            </w:pPr>
            <w:r w:rsidRPr="00EB6A5B">
              <w:rPr>
                <w:rFonts w:ascii="Calibri" w:hAnsi="Calibri" w:eastAsia="Times New Roman" w:cs="Calibri"/>
              </w:rPr>
              <w:t>44</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716C6FC" w14:textId="77777777">
            <w:pPr>
              <w:spacing w:line="240" w:lineRule="auto"/>
              <w:jc w:val="center"/>
              <w:rPr>
                <w:rFonts w:ascii="Calibri" w:hAnsi="Calibri" w:eastAsia="Times New Roman" w:cs="Calibri"/>
              </w:rPr>
            </w:pPr>
            <w:r w:rsidRPr="00EB6A5B">
              <w:rPr>
                <w:rFonts w:ascii="Calibri" w:hAnsi="Calibri" w:eastAsia="Times New Roman" w:cs="Calibri"/>
              </w:rPr>
              <w:t>8</w:t>
            </w:r>
          </w:p>
        </w:tc>
        <w:tc>
          <w:tcPr>
            <w:tcW w:w="3402" w:type="dxa"/>
            <w:tcBorders>
              <w:top w:val="nil"/>
              <w:left w:val="nil"/>
              <w:bottom w:val="single" w:color="auto" w:sz="4" w:space="0"/>
              <w:right w:val="single" w:color="auto" w:sz="4" w:space="0"/>
            </w:tcBorders>
            <w:shd w:val="clear" w:color="auto" w:fill="auto"/>
            <w:hideMark/>
          </w:tcPr>
          <w:p w:rsidRPr="00EB6A5B" w:rsidR="004303CE" w:rsidP="00B56528" w:rsidRDefault="004303CE" w14:paraId="1FDC8F49" w14:textId="77777777">
            <w:pPr>
              <w:spacing w:line="240" w:lineRule="auto"/>
              <w:rPr>
                <w:rFonts w:ascii="Calibri" w:hAnsi="Calibri" w:eastAsia="Times New Roman" w:cs="Calibri"/>
              </w:rPr>
            </w:pPr>
            <w:r w:rsidRPr="00EB6A5B">
              <w:rPr>
                <w:rFonts w:ascii="Calibri" w:hAnsi="Calibri" w:eastAsia="Times New Roman" w:cs="Calibri"/>
              </w:rPr>
              <w:t>Beverwijk, Castricum, Dijk en Waard, Heiloo, Hollands Kroon, Oostzaan, Velsen, Wormerland</w:t>
            </w:r>
          </w:p>
        </w:tc>
      </w:tr>
      <w:tr w:rsidRPr="00EB6A5B" w:rsidR="004303CE" w:rsidTr="00B56528" w14:paraId="4D4A193B" w14:textId="77777777">
        <w:trPr>
          <w:trHeight w:val="102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011096EC" w14:textId="77777777">
            <w:pPr>
              <w:spacing w:line="240" w:lineRule="auto"/>
              <w:rPr>
                <w:rFonts w:ascii="Calibri" w:hAnsi="Calibri" w:eastAsia="Times New Roman" w:cs="Calibri"/>
              </w:rPr>
            </w:pPr>
            <w:r w:rsidRPr="00EB6A5B">
              <w:rPr>
                <w:rFonts w:ascii="Calibri" w:hAnsi="Calibri" w:eastAsia="Times New Roman" w:cs="Calibri"/>
              </w:rPr>
              <w:t>Zuid-Holland</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47A9726" w14:textId="77777777">
            <w:pPr>
              <w:spacing w:line="240" w:lineRule="auto"/>
              <w:jc w:val="center"/>
              <w:rPr>
                <w:rFonts w:ascii="Calibri" w:hAnsi="Calibri" w:eastAsia="Times New Roman" w:cs="Calibri"/>
              </w:rPr>
            </w:pPr>
            <w:r w:rsidRPr="00EB6A5B">
              <w:rPr>
                <w:rFonts w:ascii="Calibri" w:hAnsi="Calibri" w:eastAsia="Times New Roman" w:cs="Calibri"/>
              </w:rPr>
              <w:t>50</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E058E96" w14:textId="77777777">
            <w:pPr>
              <w:spacing w:line="240" w:lineRule="auto"/>
              <w:jc w:val="center"/>
              <w:rPr>
                <w:rFonts w:ascii="Calibri" w:hAnsi="Calibri" w:eastAsia="Times New Roman" w:cs="Calibri"/>
              </w:rPr>
            </w:pPr>
            <w:r w:rsidRPr="00EB6A5B">
              <w:rPr>
                <w:rFonts w:ascii="Calibri" w:hAnsi="Calibri" w:eastAsia="Times New Roman" w:cs="Calibri"/>
              </w:rPr>
              <w:t>10</w:t>
            </w:r>
          </w:p>
        </w:tc>
        <w:tc>
          <w:tcPr>
            <w:tcW w:w="3402" w:type="dxa"/>
            <w:tcBorders>
              <w:top w:val="nil"/>
              <w:left w:val="nil"/>
              <w:bottom w:val="single" w:color="auto" w:sz="4" w:space="0"/>
              <w:right w:val="single" w:color="auto" w:sz="4" w:space="0"/>
            </w:tcBorders>
            <w:shd w:val="clear" w:color="auto" w:fill="auto"/>
            <w:hideMark/>
          </w:tcPr>
          <w:p w:rsidRPr="00EB6A5B" w:rsidR="004303CE" w:rsidP="00B56528" w:rsidRDefault="004303CE" w14:paraId="563BC038" w14:textId="77777777">
            <w:pPr>
              <w:spacing w:line="240" w:lineRule="auto"/>
              <w:rPr>
                <w:rFonts w:ascii="Calibri" w:hAnsi="Calibri" w:eastAsia="Times New Roman" w:cs="Calibri"/>
              </w:rPr>
            </w:pPr>
            <w:r w:rsidRPr="00EB6A5B">
              <w:rPr>
                <w:rFonts w:ascii="Calibri" w:hAnsi="Calibri" w:eastAsia="Times New Roman" w:cs="Calibri"/>
              </w:rPr>
              <w:t xml:space="preserve">Hoeksche Waard, Lansingerland, Nissewaard, Voorne aan Zee, Molenlanden, Capelle aan den IJssel, Krimpenerwaard, Zoetermeer, Leiderdorp, Zwijndrecht </w:t>
            </w:r>
          </w:p>
        </w:tc>
      </w:tr>
      <w:tr w:rsidRPr="00EB6A5B" w:rsidR="004303CE" w:rsidTr="00B56528" w14:paraId="0CAD23BF" w14:textId="77777777">
        <w:trPr>
          <w:trHeight w:val="255"/>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2EB6D410" w14:textId="77777777">
            <w:pPr>
              <w:spacing w:line="240" w:lineRule="auto"/>
              <w:rPr>
                <w:rFonts w:ascii="Calibri" w:hAnsi="Calibri" w:eastAsia="Times New Roman" w:cs="Calibri"/>
              </w:rPr>
            </w:pPr>
            <w:r w:rsidRPr="00EB6A5B">
              <w:rPr>
                <w:rFonts w:ascii="Calibri" w:hAnsi="Calibri" w:eastAsia="Times New Roman" w:cs="Calibri"/>
              </w:rPr>
              <w:t>Zeeland</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6F2254E" w14:textId="77777777">
            <w:pPr>
              <w:spacing w:line="240" w:lineRule="auto"/>
              <w:jc w:val="center"/>
              <w:rPr>
                <w:rFonts w:ascii="Calibri" w:hAnsi="Calibri" w:eastAsia="Times New Roman" w:cs="Calibri"/>
              </w:rPr>
            </w:pPr>
            <w:r w:rsidRPr="00EB6A5B">
              <w:rPr>
                <w:rFonts w:ascii="Calibri" w:hAnsi="Calibri" w:eastAsia="Times New Roman" w:cs="Calibri"/>
              </w:rPr>
              <w:t>13</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28E03B9"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340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D317047" w14:textId="77777777">
            <w:pPr>
              <w:spacing w:line="240" w:lineRule="auto"/>
              <w:rPr>
                <w:rFonts w:ascii="Calibri" w:hAnsi="Calibri" w:eastAsia="Times New Roman" w:cs="Calibri"/>
              </w:rPr>
            </w:pPr>
            <w:r w:rsidRPr="00EB6A5B">
              <w:rPr>
                <w:rFonts w:ascii="Calibri" w:hAnsi="Calibri" w:eastAsia="Times New Roman" w:cs="Calibri"/>
              </w:rPr>
              <w:t> </w:t>
            </w:r>
          </w:p>
        </w:tc>
      </w:tr>
      <w:tr w:rsidRPr="00EB6A5B" w:rsidR="004303CE" w:rsidTr="00B56528" w14:paraId="0B75FE1E" w14:textId="77777777">
        <w:trPr>
          <w:trHeight w:val="570"/>
        </w:trPr>
        <w:tc>
          <w:tcPr>
            <w:tcW w:w="1460"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69411998" w14:textId="77777777">
            <w:pPr>
              <w:spacing w:line="240" w:lineRule="auto"/>
              <w:rPr>
                <w:rFonts w:ascii="Calibri" w:hAnsi="Calibri" w:eastAsia="Times New Roman" w:cs="Calibri"/>
              </w:rPr>
            </w:pPr>
            <w:r w:rsidRPr="00EB6A5B">
              <w:rPr>
                <w:rFonts w:ascii="Calibri" w:hAnsi="Calibri" w:eastAsia="Times New Roman" w:cs="Calibri"/>
              </w:rPr>
              <w:t>Noord-Brabant</w:t>
            </w:r>
          </w:p>
        </w:tc>
        <w:tc>
          <w:tcPr>
            <w:tcW w:w="1294"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17FD9CD" w14:textId="77777777">
            <w:pPr>
              <w:spacing w:line="240" w:lineRule="auto"/>
              <w:jc w:val="center"/>
              <w:rPr>
                <w:rFonts w:ascii="Calibri" w:hAnsi="Calibri" w:eastAsia="Times New Roman" w:cs="Calibri"/>
              </w:rPr>
            </w:pPr>
            <w:r w:rsidRPr="00EB6A5B">
              <w:rPr>
                <w:rFonts w:ascii="Calibri" w:hAnsi="Calibri" w:eastAsia="Times New Roman" w:cs="Calibri"/>
              </w:rPr>
              <w:t>56</w:t>
            </w:r>
          </w:p>
        </w:tc>
        <w:tc>
          <w:tcPr>
            <w:tcW w:w="1352"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0D3516F" w14:textId="77777777">
            <w:pPr>
              <w:spacing w:line="240" w:lineRule="auto"/>
              <w:jc w:val="center"/>
              <w:rPr>
                <w:rFonts w:ascii="Calibri" w:hAnsi="Calibri" w:eastAsia="Times New Roman" w:cs="Calibri"/>
              </w:rPr>
            </w:pPr>
            <w:r w:rsidRPr="00EB6A5B">
              <w:rPr>
                <w:rFonts w:ascii="Calibri" w:hAnsi="Calibri" w:eastAsia="Times New Roman" w:cs="Calibri"/>
              </w:rPr>
              <w:t>7</w:t>
            </w:r>
          </w:p>
        </w:tc>
        <w:tc>
          <w:tcPr>
            <w:tcW w:w="3402"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65E7DF7F" w14:textId="77777777">
            <w:pPr>
              <w:spacing w:line="240" w:lineRule="auto"/>
              <w:rPr>
                <w:rFonts w:ascii="Calibri" w:hAnsi="Calibri" w:eastAsia="Times New Roman" w:cs="Calibri"/>
              </w:rPr>
            </w:pPr>
            <w:r w:rsidRPr="00EB6A5B">
              <w:rPr>
                <w:rFonts w:ascii="Calibri" w:hAnsi="Calibri" w:eastAsia="Times New Roman" w:cs="Calibri"/>
              </w:rPr>
              <w:t>Asten, Cranendonck, Land van Cuijk, Loon op Zand, Maashorst, Oirschot, Reusel-De Mierden</w:t>
            </w:r>
          </w:p>
        </w:tc>
      </w:tr>
      <w:tr w:rsidRPr="00EB6A5B" w:rsidR="004303CE" w:rsidTr="00B56528" w14:paraId="0EE9A340" w14:textId="77777777">
        <w:trPr>
          <w:trHeight w:val="255"/>
        </w:trPr>
        <w:tc>
          <w:tcPr>
            <w:tcW w:w="1460" w:type="dxa"/>
            <w:tcBorders>
              <w:top w:val="nil"/>
              <w:left w:val="single" w:color="auto" w:sz="4" w:space="0"/>
              <w:bottom w:val="nil"/>
              <w:right w:val="single" w:color="auto" w:sz="4" w:space="0"/>
            </w:tcBorders>
            <w:shd w:val="clear" w:color="auto" w:fill="auto"/>
            <w:noWrap/>
            <w:vAlign w:val="bottom"/>
            <w:hideMark/>
          </w:tcPr>
          <w:p w:rsidRPr="00EB6A5B" w:rsidR="004303CE" w:rsidP="00B56528" w:rsidRDefault="004303CE" w14:paraId="48A28124" w14:textId="77777777">
            <w:pPr>
              <w:spacing w:line="240" w:lineRule="auto"/>
              <w:rPr>
                <w:rFonts w:ascii="Calibri" w:hAnsi="Calibri" w:eastAsia="Times New Roman" w:cs="Calibri"/>
              </w:rPr>
            </w:pPr>
            <w:r w:rsidRPr="00EB6A5B">
              <w:rPr>
                <w:rFonts w:ascii="Calibri" w:hAnsi="Calibri" w:eastAsia="Times New Roman" w:cs="Calibri"/>
              </w:rPr>
              <w:t>Limburg</w:t>
            </w:r>
          </w:p>
        </w:tc>
        <w:tc>
          <w:tcPr>
            <w:tcW w:w="1294" w:type="dxa"/>
            <w:tcBorders>
              <w:top w:val="nil"/>
              <w:left w:val="nil"/>
              <w:bottom w:val="nil"/>
              <w:right w:val="single" w:color="auto" w:sz="4" w:space="0"/>
            </w:tcBorders>
            <w:shd w:val="clear" w:color="auto" w:fill="auto"/>
            <w:noWrap/>
            <w:hideMark/>
          </w:tcPr>
          <w:p w:rsidRPr="00EB6A5B" w:rsidR="004303CE" w:rsidP="00B56528" w:rsidRDefault="004303CE" w14:paraId="1D411D6B" w14:textId="77777777">
            <w:pPr>
              <w:spacing w:line="240" w:lineRule="auto"/>
              <w:jc w:val="center"/>
              <w:rPr>
                <w:rFonts w:ascii="Calibri" w:hAnsi="Calibri" w:eastAsia="Times New Roman" w:cs="Calibri"/>
              </w:rPr>
            </w:pPr>
            <w:r w:rsidRPr="00EB6A5B">
              <w:rPr>
                <w:rFonts w:ascii="Calibri" w:hAnsi="Calibri" w:eastAsia="Times New Roman" w:cs="Calibri"/>
              </w:rPr>
              <w:t>31</w:t>
            </w:r>
          </w:p>
        </w:tc>
        <w:tc>
          <w:tcPr>
            <w:tcW w:w="1352" w:type="dxa"/>
            <w:tcBorders>
              <w:top w:val="nil"/>
              <w:left w:val="nil"/>
              <w:bottom w:val="nil"/>
              <w:right w:val="single" w:color="auto" w:sz="4" w:space="0"/>
            </w:tcBorders>
            <w:shd w:val="clear" w:color="auto" w:fill="auto"/>
            <w:noWrap/>
            <w:hideMark/>
          </w:tcPr>
          <w:p w:rsidRPr="00EB6A5B" w:rsidR="004303CE" w:rsidP="00B56528" w:rsidRDefault="004303CE" w14:paraId="66125574" w14:textId="77777777">
            <w:pPr>
              <w:spacing w:line="240" w:lineRule="auto"/>
              <w:jc w:val="center"/>
              <w:rPr>
                <w:rFonts w:ascii="Calibri" w:hAnsi="Calibri" w:eastAsia="Times New Roman" w:cs="Calibri"/>
              </w:rPr>
            </w:pPr>
            <w:r w:rsidRPr="00EB6A5B">
              <w:rPr>
                <w:rFonts w:ascii="Calibri" w:hAnsi="Calibri" w:eastAsia="Times New Roman" w:cs="Calibri"/>
              </w:rPr>
              <w:t>5</w:t>
            </w:r>
          </w:p>
        </w:tc>
        <w:tc>
          <w:tcPr>
            <w:tcW w:w="3402" w:type="dxa"/>
            <w:tcBorders>
              <w:top w:val="nil"/>
              <w:left w:val="nil"/>
              <w:bottom w:val="nil"/>
              <w:right w:val="single" w:color="auto" w:sz="4" w:space="0"/>
            </w:tcBorders>
            <w:shd w:val="clear" w:color="auto" w:fill="auto"/>
            <w:noWrap/>
            <w:hideMark/>
          </w:tcPr>
          <w:p w:rsidRPr="00EB6A5B" w:rsidR="004303CE" w:rsidP="00B56528" w:rsidRDefault="004303CE" w14:paraId="68653D32" w14:textId="77777777">
            <w:pPr>
              <w:spacing w:line="240" w:lineRule="auto"/>
              <w:rPr>
                <w:rFonts w:ascii="Calibri" w:hAnsi="Calibri" w:eastAsia="Times New Roman" w:cs="Calibri"/>
              </w:rPr>
            </w:pPr>
            <w:r w:rsidRPr="00EB6A5B">
              <w:rPr>
                <w:rFonts w:ascii="Calibri" w:hAnsi="Calibri" w:eastAsia="Times New Roman" w:cs="Calibri"/>
              </w:rPr>
              <w:t xml:space="preserve">Beek, </w:t>
            </w:r>
            <w:proofErr w:type="spellStart"/>
            <w:r w:rsidRPr="00EB6A5B">
              <w:rPr>
                <w:rFonts w:ascii="Calibri" w:hAnsi="Calibri" w:eastAsia="Times New Roman" w:cs="Calibri"/>
              </w:rPr>
              <w:t>Beekdaelen</w:t>
            </w:r>
            <w:proofErr w:type="spellEnd"/>
            <w:r w:rsidRPr="00EB6A5B">
              <w:rPr>
                <w:rFonts w:ascii="Calibri" w:hAnsi="Calibri" w:eastAsia="Times New Roman" w:cs="Calibri"/>
              </w:rPr>
              <w:t>, Beesel, Landgraaf, Simpelveld</w:t>
            </w:r>
          </w:p>
        </w:tc>
      </w:tr>
      <w:tr w:rsidRPr="00EB6A5B" w:rsidR="004303CE" w:rsidTr="00B56528" w14:paraId="54808F2C" w14:textId="77777777">
        <w:trPr>
          <w:trHeight w:val="319"/>
        </w:trPr>
        <w:tc>
          <w:tcPr>
            <w:tcW w:w="146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EB6A5B" w:rsidR="004303CE" w:rsidP="00B56528" w:rsidRDefault="004303CE" w14:paraId="342879EF" w14:textId="77777777">
            <w:pPr>
              <w:spacing w:line="240" w:lineRule="auto"/>
              <w:rPr>
                <w:rFonts w:ascii="Calibri" w:hAnsi="Calibri" w:eastAsia="Times New Roman" w:cs="Calibri"/>
                <w:b/>
                <w:bCs/>
              </w:rPr>
            </w:pPr>
            <w:r w:rsidRPr="00EB6A5B">
              <w:rPr>
                <w:rFonts w:ascii="Calibri" w:hAnsi="Calibri" w:eastAsia="Times New Roman" w:cs="Calibri"/>
                <w:b/>
                <w:bCs/>
              </w:rPr>
              <w:t>Totaal</w:t>
            </w:r>
          </w:p>
        </w:tc>
        <w:tc>
          <w:tcPr>
            <w:tcW w:w="1294"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0FDA9BB2" w14:textId="77777777">
            <w:pPr>
              <w:spacing w:line="240" w:lineRule="auto"/>
              <w:jc w:val="center"/>
              <w:rPr>
                <w:rFonts w:ascii="Calibri" w:hAnsi="Calibri" w:eastAsia="Times New Roman" w:cs="Calibri"/>
                <w:b/>
                <w:bCs/>
              </w:rPr>
            </w:pPr>
            <w:r w:rsidRPr="00EB6A5B">
              <w:rPr>
                <w:rFonts w:ascii="Calibri" w:hAnsi="Calibri" w:eastAsia="Times New Roman" w:cs="Calibri"/>
                <w:b/>
                <w:bCs/>
              </w:rPr>
              <w:t>342</w:t>
            </w:r>
          </w:p>
        </w:tc>
        <w:tc>
          <w:tcPr>
            <w:tcW w:w="1352"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5093B549" w14:textId="77777777">
            <w:pPr>
              <w:spacing w:line="240" w:lineRule="auto"/>
              <w:jc w:val="center"/>
              <w:rPr>
                <w:rFonts w:ascii="Calibri" w:hAnsi="Calibri" w:eastAsia="Times New Roman" w:cs="Calibri"/>
                <w:b/>
                <w:bCs/>
              </w:rPr>
            </w:pPr>
            <w:r w:rsidRPr="00EB6A5B">
              <w:rPr>
                <w:rFonts w:ascii="Calibri" w:hAnsi="Calibri" w:eastAsia="Times New Roman" w:cs="Calibri"/>
                <w:b/>
                <w:bCs/>
              </w:rPr>
              <w:t>46</w:t>
            </w:r>
          </w:p>
        </w:tc>
        <w:tc>
          <w:tcPr>
            <w:tcW w:w="3402"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4D9E7F25" w14:textId="77777777">
            <w:pPr>
              <w:spacing w:line="240" w:lineRule="auto"/>
              <w:jc w:val="center"/>
              <w:rPr>
                <w:rFonts w:ascii="Calibri" w:hAnsi="Calibri" w:eastAsia="Times New Roman" w:cs="Calibri"/>
                <w:b/>
                <w:bCs/>
              </w:rPr>
            </w:pPr>
            <w:r w:rsidRPr="00EB6A5B">
              <w:rPr>
                <w:rFonts w:ascii="Calibri" w:hAnsi="Calibri" w:eastAsia="Times New Roman" w:cs="Calibri"/>
                <w:b/>
                <w:bCs/>
              </w:rPr>
              <w:t> </w:t>
            </w:r>
          </w:p>
        </w:tc>
      </w:tr>
    </w:tbl>
    <w:p w:rsidRPr="00EB6A5B" w:rsidR="004303CE" w:rsidP="004303CE" w:rsidRDefault="004303CE" w14:paraId="630177EE" w14:textId="77777777">
      <w:pPr>
        <w:spacing w:line="240" w:lineRule="auto"/>
        <w:rPr>
          <w:rFonts w:ascii="Calibri" w:hAnsi="Calibri" w:cs="Calibri"/>
        </w:rPr>
      </w:pPr>
    </w:p>
    <w:p w:rsidRPr="00EB6A5B" w:rsidR="004303CE" w:rsidP="004303CE" w:rsidRDefault="004303CE" w14:paraId="4A62C359" w14:textId="77777777">
      <w:pPr>
        <w:spacing w:line="240" w:lineRule="auto"/>
        <w:rPr>
          <w:rFonts w:ascii="Calibri" w:hAnsi="Calibri" w:cs="Calibri"/>
        </w:rPr>
      </w:pPr>
    </w:p>
    <w:p w:rsidR="00EB6A5B" w:rsidRDefault="00EB6A5B" w14:paraId="0A114793" w14:textId="77777777">
      <w:pPr>
        <w:rPr>
          <w:rFonts w:ascii="Calibri" w:hAnsi="Calibri" w:cs="Calibri"/>
        </w:rPr>
      </w:pPr>
      <w:r>
        <w:rPr>
          <w:rFonts w:ascii="Calibri" w:hAnsi="Calibri" w:cs="Calibri"/>
        </w:rPr>
        <w:br w:type="page"/>
      </w:r>
    </w:p>
    <w:p w:rsidRPr="00EB6A5B" w:rsidR="004303CE" w:rsidP="004303CE" w:rsidRDefault="004303CE" w14:paraId="5660B77A" w14:textId="09A7EBE4">
      <w:pPr>
        <w:spacing w:line="240" w:lineRule="auto"/>
        <w:rPr>
          <w:rFonts w:ascii="Calibri" w:hAnsi="Calibri" w:cs="Calibri"/>
        </w:rPr>
      </w:pPr>
      <w:r w:rsidRPr="00EB6A5B">
        <w:rPr>
          <w:rFonts w:ascii="Calibri" w:hAnsi="Calibri" w:cs="Calibri"/>
        </w:rPr>
        <w:lastRenderedPageBreak/>
        <w:t>Bijlage 2: Overzicht preventieve gemeenten</w:t>
      </w:r>
    </w:p>
    <w:p w:rsidRPr="00EB6A5B" w:rsidR="004303CE" w:rsidP="004303CE" w:rsidRDefault="004303CE" w14:paraId="576B9A50" w14:textId="77777777">
      <w:pPr>
        <w:spacing w:line="240" w:lineRule="auto"/>
        <w:rPr>
          <w:rFonts w:ascii="Calibri" w:hAnsi="Calibri" w:cs="Calibri"/>
        </w:rPr>
      </w:pPr>
    </w:p>
    <w:p w:rsidRPr="00EB6A5B" w:rsidR="004303CE" w:rsidP="004303CE" w:rsidRDefault="004303CE" w14:paraId="560BC47B" w14:textId="77777777">
      <w:pPr>
        <w:spacing w:line="240" w:lineRule="auto"/>
        <w:rPr>
          <w:rFonts w:ascii="Calibri" w:hAnsi="Calibri" w:cs="Calibri"/>
        </w:rPr>
      </w:pPr>
    </w:p>
    <w:p w:rsidRPr="00EB6A5B" w:rsidR="004303CE" w:rsidP="004303CE" w:rsidRDefault="004303CE" w14:paraId="1C7D7F39" w14:textId="77777777">
      <w:pPr>
        <w:spacing w:line="240" w:lineRule="auto"/>
        <w:rPr>
          <w:rFonts w:ascii="Calibri" w:hAnsi="Calibri" w:cs="Calibri"/>
        </w:rPr>
      </w:pPr>
    </w:p>
    <w:p w:rsidRPr="00EB6A5B" w:rsidR="004303CE" w:rsidP="004303CE" w:rsidRDefault="004303CE" w14:paraId="15866DB3" w14:textId="77777777">
      <w:pPr>
        <w:rPr>
          <w:rFonts w:ascii="Calibri" w:hAnsi="Calibri" w:cs="Calibri"/>
        </w:rPr>
      </w:pPr>
    </w:p>
    <w:tbl>
      <w:tblPr>
        <w:tblpPr w:leftFromText="141" w:rightFromText="141" w:vertAnchor="page" w:horzAnchor="page" w:tblpX="451" w:tblpY="5161"/>
        <w:tblW w:w="10826" w:type="dxa"/>
        <w:tblCellMar>
          <w:left w:w="70" w:type="dxa"/>
          <w:right w:w="70" w:type="dxa"/>
        </w:tblCellMar>
        <w:tblLook w:val="04A0" w:firstRow="1" w:lastRow="0" w:firstColumn="1" w:lastColumn="0" w:noHBand="0" w:noVBand="1"/>
      </w:tblPr>
      <w:tblGrid>
        <w:gridCol w:w="1128"/>
        <w:gridCol w:w="1230"/>
        <w:gridCol w:w="1108"/>
        <w:gridCol w:w="1330"/>
        <w:gridCol w:w="1108"/>
        <w:gridCol w:w="1330"/>
        <w:gridCol w:w="1108"/>
        <w:gridCol w:w="1330"/>
        <w:gridCol w:w="1163"/>
      </w:tblGrid>
      <w:tr w:rsidRPr="00EB6A5B" w:rsidR="004303CE" w:rsidTr="00B56528" w14:paraId="1E67D424" w14:textId="77777777">
        <w:trPr>
          <w:trHeight w:val="265"/>
        </w:trPr>
        <w:tc>
          <w:tcPr>
            <w:tcW w:w="1119" w:type="dxa"/>
            <w:tcBorders>
              <w:top w:val="single" w:color="auto" w:sz="4" w:space="0"/>
              <w:left w:val="single" w:color="auto" w:sz="4" w:space="0"/>
              <w:bottom w:val="nil"/>
              <w:right w:val="single" w:color="auto" w:sz="4" w:space="0"/>
            </w:tcBorders>
            <w:shd w:val="clear" w:color="000000" w:fill="D9D9D9"/>
            <w:noWrap/>
            <w:vAlign w:val="bottom"/>
            <w:hideMark/>
          </w:tcPr>
          <w:p w:rsidRPr="00EB6A5B" w:rsidR="004303CE" w:rsidP="00B56528" w:rsidRDefault="004303CE" w14:paraId="612B2426" w14:textId="77777777">
            <w:pPr>
              <w:spacing w:line="240" w:lineRule="auto"/>
              <w:rPr>
                <w:rFonts w:ascii="Calibri" w:hAnsi="Calibri" w:eastAsia="Times New Roman" w:cs="Calibri"/>
                <w:b/>
                <w:bCs/>
              </w:rPr>
            </w:pPr>
            <w:r w:rsidRPr="00EB6A5B">
              <w:rPr>
                <w:rFonts w:ascii="Calibri" w:hAnsi="Calibri" w:eastAsia="Times New Roman" w:cs="Calibri"/>
                <w:b/>
                <w:bCs/>
              </w:rPr>
              <w:t>Provincie</w:t>
            </w:r>
          </w:p>
        </w:tc>
        <w:tc>
          <w:tcPr>
            <w:tcW w:w="1230"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4F16A184" w14:textId="77777777">
            <w:pPr>
              <w:spacing w:line="240" w:lineRule="auto"/>
              <w:rPr>
                <w:rFonts w:ascii="Calibri" w:hAnsi="Calibri" w:eastAsia="Times New Roman" w:cs="Calibri"/>
                <w:b/>
                <w:bCs/>
              </w:rPr>
            </w:pPr>
            <w:r w:rsidRPr="00EB6A5B">
              <w:rPr>
                <w:rFonts w:ascii="Calibri" w:hAnsi="Calibri" w:eastAsia="Times New Roman" w:cs="Calibri"/>
                <w:b/>
                <w:bCs/>
              </w:rPr>
              <w:t>Aantal</w:t>
            </w:r>
          </w:p>
        </w:tc>
        <w:tc>
          <w:tcPr>
            <w:tcW w:w="1108"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323F2B62" w14:textId="77777777">
            <w:pPr>
              <w:spacing w:line="240" w:lineRule="auto"/>
              <w:rPr>
                <w:rFonts w:ascii="Calibri" w:hAnsi="Calibri" w:eastAsia="Times New Roman" w:cs="Calibri"/>
                <w:b/>
                <w:bCs/>
              </w:rPr>
            </w:pPr>
            <w:r w:rsidRPr="00EB6A5B">
              <w:rPr>
                <w:rFonts w:ascii="Calibri" w:hAnsi="Calibri" w:eastAsia="Times New Roman" w:cs="Calibri"/>
                <w:b/>
                <w:bCs/>
              </w:rPr>
              <w:t>Preventief</w:t>
            </w:r>
          </w:p>
        </w:tc>
        <w:tc>
          <w:tcPr>
            <w:tcW w:w="1330"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3C700DB1" w14:textId="77777777">
            <w:pPr>
              <w:spacing w:line="240" w:lineRule="auto"/>
              <w:rPr>
                <w:rFonts w:ascii="Calibri" w:hAnsi="Calibri" w:eastAsia="Times New Roman" w:cs="Calibri"/>
                <w:b/>
                <w:bCs/>
              </w:rPr>
            </w:pPr>
            <w:r w:rsidRPr="00EB6A5B">
              <w:rPr>
                <w:rFonts w:ascii="Calibri" w:hAnsi="Calibri" w:eastAsia="Times New Roman" w:cs="Calibri"/>
                <w:b/>
                <w:bCs/>
              </w:rPr>
              <w:t>Welke</w:t>
            </w:r>
          </w:p>
        </w:tc>
        <w:tc>
          <w:tcPr>
            <w:tcW w:w="1108"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31CA16E5" w14:textId="77777777">
            <w:pPr>
              <w:spacing w:line="240" w:lineRule="auto"/>
              <w:rPr>
                <w:rFonts w:ascii="Calibri" w:hAnsi="Calibri" w:eastAsia="Times New Roman" w:cs="Calibri"/>
                <w:b/>
                <w:bCs/>
              </w:rPr>
            </w:pPr>
            <w:r w:rsidRPr="00EB6A5B">
              <w:rPr>
                <w:rFonts w:ascii="Calibri" w:hAnsi="Calibri" w:eastAsia="Times New Roman" w:cs="Calibri"/>
                <w:b/>
                <w:bCs/>
              </w:rPr>
              <w:t>Preventief</w:t>
            </w:r>
          </w:p>
        </w:tc>
        <w:tc>
          <w:tcPr>
            <w:tcW w:w="1330"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30DD0FA2" w14:textId="77777777">
            <w:pPr>
              <w:spacing w:line="240" w:lineRule="auto"/>
              <w:rPr>
                <w:rFonts w:ascii="Calibri" w:hAnsi="Calibri" w:eastAsia="Times New Roman" w:cs="Calibri"/>
                <w:b/>
                <w:bCs/>
              </w:rPr>
            </w:pPr>
            <w:r w:rsidRPr="00EB6A5B">
              <w:rPr>
                <w:rFonts w:ascii="Calibri" w:hAnsi="Calibri" w:eastAsia="Times New Roman" w:cs="Calibri"/>
                <w:b/>
                <w:bCs/>
              </w:rPr>
              <w:t>Welke</w:t>
            </w:r>
          </w:p>
        </w:tc>
        <w:tc>
          <w:tcPr>
            <w:tcW w:w="1108"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2BAD756C" w14:textId="77777777">
            <w:pPr>
              <w:spacing w:line="240" w:lineRule="auto"/>
              <w:rPr>
                <w:rFonts w:ascii="Calibri" w:hAnsi="Calibri" w:eastAsia="Times New Roman" w:cs="Calibri"/>
                <w:b/>
                <w:bCs/>
              </w:rPr>
            </w:pPr>
            <w:r w:rsidRPr="00EB6A5B">
              <w:rPr>
                <w:rFonts w:ascii="Calibri" w:hAnsi="Calibri" w:eastAsia="Times New Roman" w:cs="Calibri"/>
                <w:b/>
                <w:bCs/>
              </w:rPr>
              <w:t>Preventief</w:t>
            </w:r>
          </w:p>
        </w:tc>
        <w:tc>
          <w:tcPr>
            <w:tcW w:w="1330"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387E7339" w14:textId="77777777">
            <w:pPr>
              <w:spacing w:line="240" w:lineRule="auto"/>
              <w:rPr>
                <w:rFonts w:ascii="Calibri" w:hAnsi="Calibri" w:eastAsia="Times New Roman" w:cs="Calibri"/>
                <w:b/>
                <w:bCs/>
              </w:rPr>
            </w:pPr>
            <w:r w:rsidRPr="00EB6A5B">
              <w:rPr>
                <w:rFonts w:ascii="Calibri" w:hAnsi="Calibri" w:eastAsia="Times New Roman" w:cs="Calibri"/>
                <w:b/>
                <w:bCs/>
              </w:rPr>
              <w:t>Welke</w:t>
            </w:r>
          </w:p>
        </w:tc>
        <w:tc>
          <w:tcPr>
            <w:tcW w:w="1163" w:type="dxa"/>
            <w:tcBorders>
              <w:top w:val="single" w:color="auto" w:sz="4" w:space="0"/>
              <w:left w:val="nil"/>
              <w:bottom w:val="nil"/>
              <w:right w:val="single" w:color="auto" w:sz="4" w:space="0"/>
            </w:tcBorders>
            <w:shd w:val="clear" w:color="000000" w:fill="D9D9D9"/>
            <w:noWrap/>
            <w:vAlign w:val="bottom"/>
            <w:hideMark/>
          </w:tcPr>
          <w:p w:rsidRPr="00EB6A5B" w:rsidR="004303CE" w:rsidP="00B56528" w:rsidRDefault="004303CE" w14:paraId="66171404" w14:textId="77777777">
            <w:pPr>
              <w:spacing w:line="240" w:lineRule="auto"/>
              <w:rPr>
                <w:rFonts w:ascii="Calibri" w:hAnsi="Calibri" w:eastAsia="Times New Roman" w:cs="Calibri"/>
                <w:b/>
                <w:bCs/>
              </w:rPr>
            </w:pPr>
            <w:r w:rsidRPr="00EB6A5B">
              <w:rPr>
                <w:rFonts w:ascii="Calibri" w:hAnsi="Calibri" w:eastAsia="Times New Roman" w:cs="Calibri"/>
                <w:b/>
                <w:bCs/>
              </w:rPr>
              <w:t>Aantal</w:t>
            </w:r>
          </w:p>
        </w:tc>
      </w:tr>
      <w:tr w:rsidRPr="00EB6A5B" w:rsidR="004303CE" w:rsidTr="00B56528" w14:paraId="22849776" w14:textId="77777777">
        <w:trPr>
          <w:trHeight w:val="265"/>
        </w:trPr>
        <w:tc>
          <w:tcPr>
            <w:tcW w:w="1119" w:type="dxa"/>
            <w:tcBorders>
              <w:top w:val="nil"/>
              <w:left w:val="single" w:color="auto" w:sz="4" w:space="0"/>
              <w:bottom w:val="single" w:color="auto" w:sz="4" w:space="0"/>
              <w:right w:val="single" w:color="auto" w:sz="4" w:space="0"/>
            </w:tcBorders>
            <w:shd w:val="clear" w:color="000000" w:fill="D9D9D9"/>
            <w:noWrap/>
            <w:vAlign w:val="bottom"/>
            <w:hideMark/>
          </w:tcPr>
          <w:p w:rsidRPr="00EB6A5B" w:rsidR="004303CE" w:rsidP="00B56528" w:rsidRDefault="004303CE" w14:paraId="10423821" w14:textId="77777777">
            <w:pPr>
              <w:spacing w:line="240" w:lineRule="auto"/>
              <w:rPr>
                <w:rFonts w:ascii="Calibri" w:hAnsi="Calibri" w:eastAsia="Times New Roman" w:cs="Calibri"/>
                <w:b/>
                <w:bCs/>
              </w:rPr>
            </w:pPr>
            <w:r w:rsidRPr="00EB6A5B">
              <w:rPr>
                <w:rFonts w:ascii="Calibri" w:hAnsi="Calibri" w:eastAsia="Times New Roman" w:cs="Calibri"/>
                <w:b/>
                <w:bCs/>
              </w:rPr>
              <w:t> </w:t>
            </w:r>
          </w:p>
        </w:tc>
        <w:tc>
          <w:tcPr>
            <w:tcW w:w="1230"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577015AA" w14:textId="77777777">
            <w:pPr>
              <w:spacing w:line="240" w:lineRule="auto"/>
              <w:rPr>
                <w:rFonts w:ascii="Calibri" w:hAnsi="Calibri" w:eastAsia="Times New Roman" w:cs="Calibri"/>
                <w:b/>
                <w:bCs/>
              </w:rPr>
            </w:pPr>
            <w:r w:rsidRPr="00EB6A5B">
              <w:rPr>
                <w:rFonts w:ascii="Calibri" w:hAnsi="Calibri" w:eastAsia="Times New Roman" w:cs="Calibri"/>
                <w:b/>
                <w:bCs/>
              </w:rPr>
              <w:t>Gemeenten</w:t>
            </w:r>
          </w:p>
        </w:tc>
        <w:tc>
          <w:tcPr>
            <w:tcW w:w="1108"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01FC0622" w14:textId="77777777">
            <w:pPr>
              <w:spacing w:line="240" w:lineRule="auto"/>
              <w:rPr>
                <w:rFonts w:ascii="Calibri" w:hAnsi="Calibri" w:eastAsia="Times New Roman" w:cs="Calibri"/>
                <w:b/>
                <w:bCs/>
              </w:rPr>
            </w:pPr>
            <w:r w:rsidRPr="00EB6A5B">
              <w:rPr>
                <w:rFonts w:ascii="Calibri" w:hAnsi="Calibri" w:eastAsia="Times New Roman" w:cs="Calibri"/>
                <w:b/>
                <w:bCs/>
              </w:rPr>
              <w:t>Financiën</w:t>
            </w:r>
          </w:p>
        </w:tc>
        <w:tc>
          <w:tcPr>
            <w:tcW w:w="1330"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3C8404FE" w14:textId="77777777">
            <w:pPr>
              <w:spacing w:line="240" w:lineRule="auto"/>
              <w:rPr>
                <w:rFonts w:ascii="Calibri" w:hAnsi="Calibri" w:eastAsia="Times New Roman" w:cs="Calibri"/>
                <w:b/>
                <w:bCs/>
              </w:rPr>
            </w:pPr>
            <w:r w:rsidRPr="00EB6A5B">
              <w:rPr>
                <w:rFonts w:ascii="Calibri" w:hAnsi="Calibri" w:eastAsia="Times New Roman" w:cs="Calibri"/>
                <w:b/>
                <w:bCs/>
              </w:rPr>
              <w:t>gemeente(n)</w:t>
            </w:r>
          </w:p>
        </w:tc>
        <w:tc>
          <w:tcPr>
            <w:tcW w:w="1108"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2FC0586C" w14:textId="77777777">
            <w:pPr>
              <w:spacing w:line="240" w:lineRule="auto"/>
              <w:rPr>
                <w:rFonts w:ascii="Calibri" w:hAnsi="Calibri" w:eastAsia="Times New Roman" w:cs="Calibri"/>
                <w:b/>
                <w:bCs/>
              </w:rPr>
            </w:pPr>
            <w:r w:rsidRPr="00EB6A5B">
              <w:rPr>
                <w:rFonts w:ascii="Calibri" w:hAnsi="Calibri" w:eastAsia="Times New Roman" w:cs="Calibri"/>
                <w:b/>
                <w:bCs/>
              </w:rPr>
              <w:t>Termijn</w:t>
            </w:r>
          </w:p>
        </w:tc>
        <w:tc>
          <w:tcPr>
            <w:tcW w:w="1330"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010CF10B" w14:textId="77777777">
            <w:pPr>
              <w:spacing w:line="240" w:lineRule="auto"/>
              <w:rPr>
                <w:rFonts w:ascii="Calibri" w:hAnsi="Calibri" w:eastAsia="Times New Roman" w:cs="Calibri"/>
                <w:b/>
                <w:bCs/>
              </w:rPr>
            </w:pPr>
            <w:r w:rsidRPr="00EB6A5B">
              <w:rPr>
                <w:rFonts w:ascii="Calibri" w:hAnsi="Calibri" w:eastAsia="Times New Roman" w:cs="Calibri"/>
                <w:b/>
                <w:bCs/>
              </w:rPr>
              <w:t>gemeente(n)</w:t>
            </w:r>
          </w:p>
        </w:tc>
        <w:tc>
          <w:tcPr>
            <w:tcW w:w="1108"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6887E33F" w14:textId="77777777">
            <w:pPr>
              <w:spacing w:line="240" w:lineRule="auto"/>
              <w:rPr>
                <w:rFonts w:ascii="Calibri" w:hAnsi="Calibri" w:eastAsia="Times New Roman" w:cs="Calibri"/>
                <w:b/>
                <w:bCs/>
              </w:rPr>
            </w:pPr>
            <w:proofErr w:type="spellStart"/>
            <w:r w:rsidRPr="00EB6A5B">
              <w:rPr>
                <w:rFonts w:ascii="Calibri" w:hAnsi="Calibri" w:eastAsia="Times New Roman" w:cs="Calibri"/>
                <w:b/>
                <w:bCs/>
              </w:rPr>
              <w:t>Arhi</w:t>
            </w:r>
            <w:proofErr w:type="spellEnd"/>
          </w:p>
        </w:tc>
        <w:tc>
          <w:tcPr>
            <w:tcW w:w="1330"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4025E731" w14:textId="77777777">
            <w:pPr>
              <w:spacing w:line="240" w:lineRule="auto"/>
              <w:rPr>
                <w:rFonts w:ascii="Calibri" w:hAnsi="Calibri" w:eastAsia="Times New Roman" w:cs="Calibri"/>
                <w:b/>
                <w:bCs/>
              </w:rPr>
            </w:pPr>
            <w:r w:rsidRPr="00EB6A5B">
              <w:rPr>
                <w:rFonts w:ascii="Calibri" w:hAnsi="Calibri" w:eastAsia="Times New Roman" w:cs="Calibri"/>
                <w:b/>
                <w:bCs/>
              </w:rPr>
              <w:t>gemeente(n)</w:t>
            </w:r>
          </w:p>
        </w:tc>
        <w:tc>
          <w:tcPr>
            <w:tcW w:w="1163" w:type="dxa"/>
            <w:tcBorders>
              <w:top w:val="nil"/>
              <w:left w:val="nil"/>
              <w:bottom w:val="single" w:color="auto" w:sz="4" w:space="0"/>
              <w:right w:val="single" w:color="auto" w:sz="4" w:space="0"/>
            </w:tcBorders>
            <w:shd w:val="clear" w:color="000000" w:fill="D9D9D9"/>
            <w:noWrap/>
            <w:vAlign w:val="bottom"/>
            <w:hideMark/>
          </w:tcPr>
          <w:p w:rsidRPr="00EB6A5B" w:rsidR="004303CE" w:rsidP="00B56528" w:rsidRDefault="004303CE" w14:paraId="0923190C" w14:textId="77777777">
            <w:pPr>
              <w:spacing w:line="240" w:lineRule="auto"/>
              <w:rPr>
                <w:rFonts w:ascii="Calibri" w:hAnsi="Calibri" w:eastAsia="Times New Roman" w:cs="Calibri"/>
                <w:b/>
                <w:bCs/>
              </w:rPr>
            </w:pPr>
            <w:r w:rsidRPr="00EB6A5B">
              <w:rPr>
                <w:rFonts w:ascii="Calibri" w:hAnsi="Calibri" w:eastAsia="Times New Roman" w:cs="Calibri"/>
                <w:b/>
                <w:bCs/>
              </w:rPr>
              <w:t>Repressief</w:t>
            </w:r>
          </w:p>
        </w:tc>
      </w:tr>
      <w:tr w:rsidRPr="00EB6A5B" w:rsidR="004303CE" w:rsidTr="00B56528" w14:paraId="01A70DDF"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53B342E3" w14:textId="77777777">
            <w:pPr>
              <w:spacing w:line="240" w:lineRule="auto"/>
              <w:rPr>
                <w:rFonts w:ascii="Calibri" w:hAnsi="Calibri" w:eastAsia="Times New Roman" w:cs="Calibri"/>
              </w:rPr>
            </w:pPr>
            <w:r w:rsidRPr="00EB6A5B">
              <w:rPr>
                <w:rFonts w:ascii="Calibri" w:hAnsi="Calibri" w:eastAsia="Times New Roman" w:cs="Calibri"/>
              </w:rPr>
              <w:t>Groningen</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F19E113" w14:textId="77777777">
            <w:pPr>
              <w:spacing w:line="240" w:lineRule="auto"/>
              <w:jc w:val="center"/>
              <w:rPr>
                <w:rFonts w:ascii="Calibri" w:hAnsi="Calibri" w:eastAsia="Times New Roman" w:cs="Calibri"/>
              </w:rPr>
            </w:pPr>
            <w:r w:rsidRPr="00EB6A5B">
              <w:rPr>
                <w:rFonts w:ascii="Calibri" w:hAnsi="Calibri" w:eastAsia="Times New Roman" w:cs="Calibri"/>
              </w:rPr>
              <w:t>10</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EDC4AE1"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24315D53"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4D60CDA"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center"/>
            <w:hideMark/>
          </w:tcPr>
          <w:p w:rsidRPr="00EB6A5B" w:rsidR="004303CE" w:rsidP="00B56528" w:rsidRDefault="004303CE" w14:paraId="72B7B68C" w14:textId="77777777">
            <w:pPr>
              <w:spacing w:line="240" w:lineRule="auto"/>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CE31146"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7E1A5A01" w14:textId="77777777">
            <w:pPr>
              <w:spacing w:line="240" w:lineRule="auto"/>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3FBE5AD" w14:textId="77777777">
            <w:pPr>
              <w:spacing w:line="240" w:lineRule="auto"/>
              <w:jc w:val="center"/>
              <w:rPr>
                <w:rFonts w:ascii="Calibri" w:hAnsi="Calibri" w:eastAsia="Times New Roman" w:cs="Calibri"/>
              </w:rPr>
            </w:pPr>
            <w:r w:rsidRPr="00EB6A5B">
              <w:rPr>
                <w:rFonts w:ascii="Calibri" w:hAnsi="Calibri" w:eastAsia="Times New Roman" w:cs="Calibri"/>
              </w:rPr>
              <w:t>10</w:t>
            </w:r>
          </w:p>
        </w:tc>
      </w:tr>
      <w:tr w:rsidRPr="00EB6A5B" w:rsidR="004303CE" w:rsidTr="00B56528" w14:paraId="21777405"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00CBC655" w14:textId="77777777">
            <w:pPr>
              <w:spacing w:line="240" w:lineRule="auto"/>
              <w:rPr>
                <w:rFonts w:ascii="Calibri" w:hAnsi="Calibri" w:eastAsia="Times New Roman" w:cs="Calibri"/>
              </w:rPr>
            </w:pPr>
            <w:r w:rsidRPr="00EB6A5B">
              <w:rPr>
                <w:rFonts w:ascii="Calibri" w:hAnsi="Calibri" w:eastAsia="Times New Roman" w:cs="Calibri"/>
              </w:rPr>
              <w:t>Fryslân</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48465B3" w14:textId="77777777">
            <w:pPr>
              <w:spacing w:line="240" w:lineRule="auto"/>
              <w:jc w:val="center"/>
              <w:rPr>
                <w:rFonts w:ascii="Calibri" w:hAnsi="Calibri" w:eastAsia="Times New Roman" w:cs="Calibri"/>
              </w:rPr>
            </w:pPr>
            <w:r w:rsidRPr="00EB6A5B">
              <w:rPr>
                <w:rFonts w:ascii="Calibri" w:hAnsi="Calibri" w:eastAsia="Times New Roman" w:cs="Calibri"/>
              </w:rPr>
              <w:t>18</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63E598F"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0FE7FC1"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E77E52B"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389F80D8"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A1EB4EF"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7102630"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195F8D2" w14:textId="77777777">
            <w:pPr>
              <w:spacing w:line="240" w:lineRule="auto"/>
              <w:jc w:val="center"/>
              <w:rPr>
                <w:rFonts w:ascii="Calibri" w:hAnsi="Calibri" w:eastAsia="Times New Roman" w:cs="Calibri"/>
              </w:rPr>
            </w:pPr>
            <w:r w:rsidRPr="00EB6A5B">
              <w:rPr>
                <w:rFonts w:ascii="Calibri" w:hAnsi="Calibri" w:eastAsia="Times New Roman" w:cs="Calibri"/>
              </w:rPr>
              <w:t>18</w:t>
            </w:r>
          </w:p>
        </w:tc>
      </w:tr>
      <w:tr w:rsidRPr="00EB6A5B" w:rsidR="004303CE" w:rsidTr="00B56528" w14:paraId="3EE33391"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7EAAB4A9" w14:textId="77777777">
            <w:pPr>
              <w:spacing w:line="240" w:lineRule="auto"/>
              <w:rPr>
                <w:rFonts w:ascii="Calibri" w:hAnsi="Calibri" w:eastAsia="Times New Roman" w:cs="Calibri"/>
              </w:rPr>
            </w:pPr>
            <w:r w:rsidRPr="00EB6A5B">
              <w:rPr>
                <w:rFonts w:ascii="Calibri" w:hAnsi="Calibri" w:eastAsia="Times New Roman" w:cs="Calibri"/>
              </w:rPr>
              <w:t>Drenthe</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5E1B738" w14:textId="77777777">
            <w:pPr>
              <w:spacing w:line="240" w:lineRule="auto"/>
              <w:jc w:val="center"/>
              <w:rPr>
                <w:rFonts w:ascii="Calibri" w:hAnsi="Calibri" w:eastAsia="Times New Roman" w:cs="Calibri"/>
              </w:rPr>
            </w:pPr>
            <w:r w:rsidRPr="00EB6A5B">
              <w:rPr>
                <w:rFonts w:ascii="Calibri" w:hAnsi="Calibri" w:eastAsia="Times New Roman" w:cs="Calibri"/>
              </w:rPr>
              <w:t>12</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F3EDB0C"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5966575D"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46327C4D"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19D776EF"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9FA63F2"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15D932CD"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487EADED" w14:textId="77777777">
            <w:pPr>
              <w:spacing w:line="240" w:lineRule="auto"/>
              <w:jc w:val="center"/>
              <w:rPr>
                <w:rFonts w:ascii="Calibri" w:hAnsi="Calibri" w:eastAsia="Times New Roman" w:cs="Calibri"/>
              </w:rPr>
            </w:pPr>
            <w:r w:rsidRPr="00EB6A5B">
              <w:rPr>
                <w:rFonts w:ascii="Calibri" w:hAnsi="Calibri" w:eastAsia="Times New Roman" w:cs="Calibri"/>
              </w:rPr>
              <w:t>12</w:t>
            </w:r>
          </w:p>
        </w:tc>
      </w:tr>
      <w:tr w:rsidRPr="00EB6A5B" w:rsidR="004303CE" w:rsidTr="00B56528" w14:paraId="1F73FE00"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2D3E0CAE" w14:textId="77777777">
            <w:pPr>
              <w:spacing w:line="240" w:lineRule="auto"/>
              <w:rPr>
                <w:rFonts w:ascii="Calibri" w:hAnsi="Calibri" w:eastAsia="Times New Roman" w:cs="Calibri"/>
              </w:rPr>
            </w:pPr>
            <w:r w:rsidRPr="00EB6A5B">
              <w:rPr>
                <w:rFonts w:ascii="Calibri" w:hAnsi="Calibri" w:eastAsia="Times New Roman" w:cs="Calibri"/>
              </w:rPr>
              <w:t>Overijssel</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4079423B" w14:textId="77777777">
            <w:pPr>
              <w:spacing w:line="240" w:lineRule="auto"/>
              <w:jc w:val="center"/>
              <w:rPr>
                <w:rFonts w:ascii="Calibri" w:hAnsi="Calibri" w:eastAsia="Times New Roman" w:cs="Calibri"/>
              </w:rPr>
            </w:pPr>
            <w:r w:rsidRPr="00EB6A5B">
              <w:rPr>
                <w:rFonts w:ascii="Calibri" w:hAnsi="Calibri" w:eastAsia="Times New Roman" w:cs="Calibri"/>
              </w:rPr>
              <w:t>25</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6EEB52B"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0EA8DD09"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F344E66"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14B09EBC"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6C6598D"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12666C76"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E5BB677" w14:textId="77777777">
            <w:pPr>
              <w:spacing w:line="240" w:lineRule="auto"/>
              <w:jc w:val="center"/>
              <w:rPr>
                <w:rFonts w:ascii="Calibri" w:hAnsi="Calibri" w:eastAsia="Times New Roman" w:cs="Calibri"/>
              </w:rPr>
            </w:pPr>
            <w:r w:rsidRPr="00EB6A5B">
              <w:rPr>
                <w:rFonts w:ascii="Calibri" w:hAnsi="Calibri" w:eastAsia="Times New Roman" w:cs="Calibri"/>
              </w:rPr>
              <w:t>25</w:t>
            </w:r>
          </w:p>
        </w:tc>
      </w:tr>
      <w:tr w:rsidRPr="00EB6A5B" w:rsidR="004303CE" w:rsidTr="00B56528" w14:paraId="4D74863B" w14:textId="77777777">
        <w:trPr>
          <w:trHeight w:val="337"/>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3FE408C3" w14:textId="77777777">
            <w:pPr>
              <w:spacing w:line="240" w:lineRule="auto"/>
              <w:rPr>
                <w:rFonts w:ascii="Calibri" w:hAnsi="Calibri" w:eastAsia="Times New Roman" w:cs="Calibri"/>
              </w:rPr>
            </w:pPr>
            <w:r w:rsidRPr="00EB6A5B">
              <w:rPr>
                <w:rFonts w:ascii="Calibri" w:hAnsi="Calibri" w:eastAsia="Times New Roman" w:cs="Calibri"/>
              </w:rPr>
              <w:t>Gelderland</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A30F49D" w14:textId="77777777">
            <w:pPr>
              <w:spacing w:line="240" w:lineRule="auto"/>
              <w:jc w:val="center"/>
              <w:rPr>
                <w:rFonts w:ascii="Calibri" w:hAnsi="Calibri" w:eastAsia="Times New Roman" w:cs="Calibri"/>
              </w:rPr>
            </w:pPr>
            <w:r w:rsidRPr="00EB6A5B">
              <w:rPr>
                <w:rFonts w:ascii="Calibri" w:hAnsi="Calibri" w:eastAsia="Times New Roman" w:cs="Calibri"/>
              </w:rPr>
              <w:t>51</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324E15C"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28E65459"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73EB094"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2B08D3DE"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CB4A4AC"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091E16BB"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25AB8E8" w14:textId="77777777">
            <w:pPr>
              <w:spacing w:line="240" w:lineRule="auto"/>
              <w:jc w:val="center"/>
              <w:rPr>
                <w:rFonts w:ascii="Calibri" w:hAnsi="Calibri" w:eastAsia="Times New Roman" w:cs="Calibri"/>
              </w:rPr>
            </w:pPr>
            <w:r w:rsidRPr="00EB6A5B">
              <w:rPr>
                <w:rFonts w:ascii="Calibri" w:hAnsi="Calibri" w:eastAsia="Times New Roman" w:cs="Calibri"/>
              </w:rPr>
              <w:t>51</w:t>
            </w:r>
          </w:p>
        </w:tc>
      </w:tr>
      <w:tr w:rsidRPr="00EB6A5B" w:rsidR="004303CE" w:rsidTr="00B56528" w14:paraId="6023AB06"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0A4E5922" w14:textId="77777777">
            <w:pPr>
              <w:spacing w:line="240" w:lineRule="auto"/>
              <w:rPr>
                <w:rFonts w:ascii="Calibri" w:hAnsi="Calibri" w:eastAsia="Times New Roman" w:cs="Calibri"/>
              </w:rPr>
            </w:pPr>
            <w:r w:rsidRPr="00EB6A5B">
              <w:rPr>
                <w:rFonts w:ascii="Calibri" w:hAnsi="Calibri" w:eastAsia="Times New Roman" w:cs="Calibri"/>
              </w:rPr>
              <w:t>Utrecht</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ABE1CB4" w14:textId="77777777">
            <w:pPr>
              <w:spacing w:line="240" w:lineRule="auto"/>
              <w:jc w:val="center"/>
              <w:rPr>
                <w:rFonts w:ascii="Calibri" w:hAnsi="Calibri" w:eastAsia="Times New Roman" w:cs="Calibri"/>
              </w:rPr>
            </w:pPr>
            <w:r w:rsidRPr="00EB6A5B">
              <w:rPr>
                <w:rFonts w:ascii="Calibri" w:hAnsi="Calibri" w:eastAsia="Times New Roman" w:cs="Calibri"/>
              </w:rPr>
              <w:t>26</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A601DCC"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0464176B"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EE32476"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3AFA8C5F"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8E7F99F"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36600BD3"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DB266EF" w14:textId="77777777">
            <w:pPr>
              <w:spacing w:line="240" w:lineRule="auto"/>
              <w:jc w:val="center"/>
              <w:rPr>
                <w:rFonts w:ascii="Calibri" w:hAnsi="Calibri" w:eastAsia="Times New Roman" w:cs="Calibri"/>
              </w:rPr>
            </w:pPr>
            <w:r w:rsidRPr="00EB6A5B">
              <w:rPr>
                <w:rFonts w:ascii="Calibri" w:hAnsi="Calibri" w:eastAsia="Times New Roman" w:cs="Calibri"/>
              </w:rPr>
              <w:t>26</w:t>
            </w:r>
          </w:p>
        </w:tc>
      </w:tr>
      <w:tr w:rsidRPr="00EB6A5B" w:rsidR="004303CE" w:rsidTr="00B56528" w14:paraId="36AECC3F"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5364FAF7" w14:textId="77777777">
            <w:pPr>
              <w:spacing w:line="240" w:lineRule="auto"/>
              <w:rPr>
                <w:rFonts w:ascii="Calibri" w:hAnsi="Calibri" w:eastAsia="Times New Roman" w:cs="Calibri"/>
              </w:rPr>
            </w:pPr>
            <w:r w:rsidRPr="00EB6A5B">
              <w:rPr>
                <w:rFonts w:ascii="Calibri" w:hAnsi="Calibri" w:eastAsia="Times New Roman" w:cs="Calibri"/>
              </w:rPr>
              <w:t>Flevoland</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3FCC43F" w14:textId="77777777">
            <w:pPr>
              <w:spacing w:line="240" w:lineRule="auto"/>
              <w:jc w:val="center"/>
              <w:rPr>
                <w:rFonts w:ascii="Calibri" w:hAnsi="Calibri" w:eastAsia="Times New Roman" w:cs="Calibri"/>
              </w:rPr>
            </w:pPr>
            <w:r w:rsidRPr="00EB6A5B">
              <w:rPr>
                <w:rFonts w:ascii="Calibri" w:hAnsi="Calibri" w:eastAsia="Times New Roman" w:cs="Calibri"/>
              </w:rPr>
              <w:t>6</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301A204"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20B15A55"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4EE3317D"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7CEE749A"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2FC433C"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02AC486A"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662C867" w14:textId="77777777">
            <w:pPr>
              <w:spacing w:line="240" w:lineRule="auto"/>
              <w:jc w:val="center"/>
              <w:rPr>
                <w:rFonts w:ascii="Calibri" w:hAnsi="Calibri" w:eastAsia="Times New Roman" w:cs="Calibri"/>
              </w:rPr>
            </w:pPr>
            <w:r w:rsidRPr="00EB6A5B">
              <w:rPr>
                <w:rFonts w:ascii="Calibri" w:hAnsi="Calibri" w:eastAsia="Times New Roman" w:cs="Calibri"/>
              </w:rPr>
              <w:t>6</w:t>
            </w:r>
          </w:p>
        </w:tc>
      </w:tr>
      <w:tr w:rsidRPr="00EB6A5B" w:rsidR="004303CE" w:rsidTr="00B56528" w14:paraId="334A73D3" w14:textId="77777777">
        <w:trPr>
          <w:trHeight w:val="531"/>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6ADE5989" w14:textId="77777777">
            <w:pPr>
              <w:spacing w:line="240" w:lineRule="auto"/>
              <w:rPr>
                <w:rFonts w:ascii="Calibri" w:hAnsi="Calibri" w:eastAsia="Times New Roman" w:cs="Calibri"/>
              </w:rPr>
            </w:pPr>
            <w:r w:rsidRPr="00EB6A5B">
              <w:rPr>
                <w:rFonts w:ascii="Calibri" w:hAnsi="Calibri" w:eastAsia="Times New Roman" w:cs="Calibri"/>
              </w:rPr>
              <w:t>Noord-Holland</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F1DD600" w14:textId="77777777">
            <w:pPr>
              <w:spacing w:line="240" w:lineRule="auto"/>
              <w:jc w:val="center"/>
              <w:rPr>
                <w:rFonts w:ascii="Calibri" w:hAnsi="Calibri" w:eastAsia="Times New Roman" w:cs="Calibri"/>
              </w:rPr>
            </w:pPr>
            <w:r w:rsidRPr="00EB6A5B">
              <w:rPr>
                <w:rFonts w:ascii="Calibri" w:hAnsi="Calibri" w:eastAsia="Times New Roman" w:cs="Calibri"/>
              </w:rPr>
              <w:t>44</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6A7BA4E"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4BA3295D"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4D76A542"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center"/>
            <w:hideMark/>
          </w:tcPr>
          <w:p w:rsidRPr="00EB6A5B" w:rsidR="004303CE" w:rsidP="00B56528" w:rsidRDefault="004303CE" w14:paraId="5BAEB1F6" w14:textId="77777777">
            <w:pPr>
              <w:spacing w:line="240" w:lineRule="auto"/>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7EE142A" w14:textId="77777777">
            <w:pPr>
              <w:spacing w:line="240" w:lineRule="auto"/>
              <w:jc w:val="center"/>
              <w:rPr>
                <w:rFonts w:ascii="Calibri" w:hAnsi="Calibri" w:eastAsia="Times New Roman" w:cs="Calibri"/>
              </w:rPr>
            </w:pPr>
            <w:r w:rsidRPr="00EB6A5B">
              <w:rPr>
                <w:rFonts w:ascii="Calibri" w:hAnsi="Calibri" w:eastAsia="Times New Roman" w:cs="Calibri"/>
              </w:rPr>
              <w:t>1</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63887B61" w14:textId="77777777">
            <w:pPr>
              <w:spacing w:line="240" w:lineRule="auto"/>
              <w:rPr>
                <w:rFonts w:ascii="Calibri" w:hAnsi="Calibri" w:eastAsia="Times New Roman" w:cs="Calibri"/>
              </w:rPr>
            </w:pPr>
            <w:r w:rsidRPr="00EB6A5B">
              <w:rPr>
                <w:rFonts w:ascii="Calibri" w:hAnsi="Calibri" w:eastAsia="Times New Roman" w:cs="Calibri"/>
              </w:rPr>
              <w:t>Wijdemeren</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5F21634" w14:textId="77777777">
            <w:pPr>
              <w:spacing w:line="240" w:lineRule="auto"/>
              <w:jc w:val="center"/>
              <w:rPr>
                <w:rFonts w:ascii="Calibri" w:hAnsi="Calibri" w:eastAsia="Times New Roman" w:cs="Calibri"/>
              </w:rPr>
            </w:pPr>
            <w:r w:rsidRPr="00EB6A5B">
              <w:rPr>
                <w:rFonts w:ascii="Calibri" w:hAnsi="Calibri" w:eastAsia="Times New Roman" w:cs="Calibri"/>
              </w:rPr>
              <w:t>43</w:t>
            </w:r>
          </w:p>
        </w:tc>
      </w:tr>
      <w:tr w:rsidRPr="00EB6A5B" w:rsidR="004303CE" w:rsidTr="00B56528" w14:paraId="77962798" w14:textId="77777777">
        <w:trPr>
          <w:trHeight w:val="54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4A4A4290" w14:textId="77777777">
            <w:pPr>
              <w:spacing w:line="240" w:lineRule="auto"/>
              <w:rPr>
                <w:rFonts w:ascii="Calibri" w:hAnsi="Calibri" w:eastAsia="Times New Roman" w:cs="Calibri"/>
              </w:rPr>
            </w:pPr>
            <w:r w:rsidRPr="00EB6A5B">
              <w:rPr>
                <w:rFonts w:ascii="Calibri" w:hAnsi="Calibri" w:eastAsia="Times New Roman" w:cs="Calibri"/>
              </w:rPr>
              <w:t>Zuid-Holland</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DE87125" w14:textId="77777777">
            <w:pPr>
              <w:spacing w:line="240" w:lineRule="auto"/>
              <w:jc w:val="center"/>
              <w:rPr>
                <w:rFonts w:ascii="Calibri" w:hAnsi="Calibri" w:eastAsia="Times New Roman" w:cs="Calibri"/>
              </w:rPr>
            </w:pPr>
            <w:r w:rsidRPr="00EB6A5B">
              <w:rPr>
                <w:rFonts w:ascii="Calibri" w:hAnsi="Calibri" w:eastAsia="Times New Roman" w:cs="Calibri"/>
              </w:rPr>
              <w:t>50</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79496251"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0F4DC161"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50054C5"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68C0DBB0"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49B8CBC6"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516E46CB"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0E9EA7C0" w14:textId="77777777">
            <w:pPr>
              <w:spacing w:line="240" w:lineRule="auto"/>
              <w:jc w:val="center"/>
              <w:rPr>
                <w:rFonts w:ascii="Calibri" w:hAnsi="Calibri" w:eastAsia="Times New Roman" w:cs="Calibri"/>
              </w:rPr>
            </w:pPr>
            <w:r w:rsidRPr="00EB6A5B">
              <w:rPr>
                <w:rFonts w:ascii="Calibri" w:hAnsi="Calibri" w:eastAsia="Times New Roman" w:cs="Calibri"/>
              </w:rPr>
              <w:t>50</w:t>
            </w:r>
          </w:p>
        </w:tc>
      </w:tr>
      <w:tr w:rsidRPr="00EB6A5B" w:rsidR="004303CE" w:rsidTr="00B56528" w14:paraId="65BB0FE7" w14:textId="77777777">
        <w:trPr>
          <w:trHeight w:val="265"/>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5679F0EC" w14:textId="77777777">
            <w:pPr>
              <w:spacing w:line="240" w:lineRule="auto"/>
              <w:rPr>
                <w:rFonts w:ascii="Calibri" w:hAnsi="Calibri" w:eastAsia="Times New Roman" w:cs="Calibri"/>
              </w:rPr>
            </w:pPr>
            <w:r w:rsidRPr="00EB6A5B">
              <w:rPr>
                <w:rFonts w:ascii="Calibri" w:hAnsi="Calibri" w:eastAsia="Times New Roman" w:cs="Calibri"/>
              </w:rPr>
              <w:t>Zeeland</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1F1C6D92" w14:textId="77777777">
            <w:pPr>
              <w:spacing w:line="240" w:lineRule="auto"/>
              <w:jc w:val="center"/>
              <w:rPr>
                <w:rFonts w:ascii="Calibri" w:hAnsi="Calibri" w:eastAsia="Times New Roman" w:cs="Calibri"/>
              </w:rPr>
            </w:pPr>
            <w:r w:rsidRPr="00EB6A5B">
              <w:rPr>
                <w:rFonts w:ascii="Calibri" w:hAnsi="Calibri" w:eastAsia="Times New Roman" w:cs="Calibri"/>
              </w:rPr>
              <w:t>13</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20A439BB" w14:textId="77777777">
            <w:pPr>
              <w:spacing w:line="240" w:lineRule="auto"/>
              <w:jc w:val="center"/>
              <w:rPr>
                <w:rFonts w:ascii="Calibri" w:hAnsi="Calibri" w:eastAsia="Times New Roman" w:cs="Calibri"/>
              </w:rPr>
            </w:pPr>
            <w:r w:rsidRPr="00EB6A5B">
              <w:rPr>
                <w:rFonts w:ascii="Calibri" w:hAnsi="Calibri" w:eastAsia="Times New Roman" w:cs="Calibri"/>
              </w:rPr>
              <w:t>1</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57477D8B" w14:textId="77777777">
            <w:pPr>
              <w:spacing w:line="240" w:lineRule="auto"/>
              <w:rPr>
                <w:rFonts w:ascii="Calibri" w:hAnsi="Calibri" w:eastAsia="Times New Roman" w:cs="Calibri"/>
              </w:rPr>
            </w:pPr>
            <w:r w:rsidRPr="00EB6A5B">
              <w:rPr>
                <w:rFonts w:ascii="Calibri" w:hAnsi="Calibri" w:eastAsia="Times New Roman" w:cs="Calibri"/>
              </w:rPr>
              <w:t>Vlissingen</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CA829B1"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0A54503C"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F96B4AF"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339E81D4"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2E77D34" w14:textId="77777777">
            <w:pPr>
              <w:spacing w:line="240" w:lineRule="auto"/>
              <w:jc w:val="center"/>
              <w:rPr>
                <w:rFonts w:ascii="Calibri" w:hAnsi="Calibri" w:eastAsia="Times New Roman" w:cs="Calibri"/>
              </w:rPr>
            </w:pPr>
            <w:r w:rsidRPr="00EB6A5B">
              <w:rPr>
                <w:rFonts w:ascii="Calibri" w:hAnsi="Calibri" w:eastAsia="Times New Roman" w:cs="Calibri"/>
              </w:rPr>
              <w:t>12</w:t>
            </w:r>
          </w:p>
        </w:tc>
      </w:tr>
      <w:tr w:rsidRPr="00EB6A5B" w:rsidR="004303CE" w:rsidTr="00B56528" w14:paraId="6FD6231E" w14:textId="77777777">
        <w:trPr>
          <w:trHeight w:val="593"/>
        </w:trPr>
        <w:tc>
          <w:tcPr>
            <w:tcW w:w="1119" w:type="dxa"/>
            <w:tcBorders>
              <w:top w:val="nil"/>
              <w:left w:val="single" w:color="auto" w:sz="4" w:space="0"/>
              <w:bottom w:val="single" w:color="auto" w:sz="4" w:space="0"/>
              <w:right w:val="single" w:color="auto" w:sz="4" w:space="0"/>
            </w:tcBorders>
            <w:shd w:val="clear" w:color="auto" w:fill="auto"/>
            <w:noWrap/>
            <w:vAlign w:val="bottom"/>
            <w:hideMark/>
          </w:tcPr>
          <w:p w:rsidRPr="00EB6A5B" w:rsidR="004303CE" w:rsidP="00B56528" w:rsidRDefault="004303CE" w14:paraId="545DECDB" w14:textId="77777777">
            <w:pPr>
              <w:spacing w:line="240" w:lineRule="auto"/>
              <w:rPr>
                <w:rFonts w:ascii="Calibri" w:hAnsi="Calibri" w:eastAsia="Times New Roman" w:cs="Calibri"/>
              </w:rPr>
            </w:pPr>
            <w:r w:rsidRPr="00EB6A5B">
              <w:rPr>
                <w:rFonts w:ascii="Calibri" w:hAnsi="Calibri" w:eastAsia="Times New Roman" w:cs="Calibri"/>
              </w:rPr>
              <w:t>Noord-Brabant</w:t>
            </w:r>
          </w:p>
        </w:tc>
        <w:tc>
          <w:tcPr>
            <w:tcW w:w="1230"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2546287" w14:textId="77777777">
            <w:pPr>
              <w:spacing w:line="240" w:lineRule="auto"/>
              <w:jc w:val="center"/>
              <w:rPr>
                <w:rFonts w:ascii="Calibri" w:hAnsi="Calibri" w:eastAsia="Times New Roman" w:cs="Calibri"/>
              </w:rPr>
            </w:pPr>
            <w:r w:rsidRPr="00EB6A5B">
              <w:rPr>
                <w:rFonts w:ascii="Calibri" w:hAnsi="Calibri" w:eastAsia="Times New Roman" w:cs="Calibri"/>
              </w:rPr>
              <w:t>56</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A54AE21"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4DA92711"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6D4C9369"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2DC013FD"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3CCB99AB"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single" w:color="auto" w:sz="4" w:space="0"/>
              <w:right w:val="single" w:color="auto" w:sz="4" w:space="0"/>
            </w:tcBorders>
            <w:shd w:val="clear" w:color="auto" w:fill="auto"/>
            <w:vAlign w:val="bottom"/>
            <w:hideMark/>
          </w:tcPr>
          <w:p w:rsidRPr="00EB6A5B" w:rsidR="004303CE" w:rsidP="00B56528" w:rsidRDefault="004303CE" w14:paraId="69D2F6E8"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single" w:color="auto" w:sz="4" w:space="0"/>
              <w:right w:val="single" w:color="auto" w:sz="4" w:space="0"/>
            </w:tcBorders>
            <w:shd w:val="clear" w:color="auto" w:fill="auto"/>
            <w:noWrap/>
            <w:vAlign w:val="bottom"/>
            <w:hideMark/>
          </w:tcPr>
          <w:p w:rsidRPr="00EB6A5B" w:rsidR="004303CE" w:rsidP="00B56528" w:rsidRDefault="004303CE" w14:paraId="5D570E8D" w14:textId="77777777">
            <w:pPr>
              <w:spacing w:line="240" w:lineRule="auto"/>
              <w:jc w:val="center"/>
              <w:rPr>
                <w:rFonts w:ascii="Calibri" w:hAnsi="Calibri" w:eastAsia="Times New Roman" w:cs="Calibri"/>
              </w:rPr>
            </w:pPr>
            <w:r w:rsidRPr="00EB6A5B">
              <w:rPr>
                <w:rFonts w:ascii="Calibri" w:hAnsi="Calibri" w:eastAsia="Times New Roman" w:cs="Calibri"/>
              </w:rPr>
              <w:t>56</w:t>
            </w:r>
          </w:p>
        </w:tc>
      </w:tr>
      <w:tr w:rsidRPr="00EB6A5B" w:rsidR="004303CE" w:rsidTr="00B56528" w14:paraId="02227AE2" w14:textId="77777777">
        <w:trPr>
          <w:trHeight w:val="265"/>
        </w:trPr>
        <w:tc>
          <w:tcPr>
            <w:tcW w:w="1119" w:type="dxa"/>
            <w:tcBorders>
              <w:top w:val="nil"/>
              <w:left w:val="single" w:color="auto" w:sz="4" w:space="0"/>
              <w:bottom w:val="nil"/>
              <w:right w:val="single" w:color="auto" w:sz="4" w:space="0"/>
            </w:tcBorders>
            <w:shd w:val="clear" w:color="auto" w:fill="auto"/>
            <w:noWrap/>
            <w:vAlign w:val="bottom"/>
            <w:hideMark/>
          </w:tcPr>
          <w:p w:rsidRPr="00EB6A5B" w:rsidR="004303CE" w:rsidP="00B56528" w:rsidRDefault="004303CE" w14:paraId="050E2552" w14:textId="77777777">
            <w:pPr>
              <w:spacing w:line="240" w:lineRule="auto"/>
              <w:rPr>
                <w:rFonts w:ascii="Calibri" w:hAnsi="Calibri" w:eastAsia="Times New Roman" w:cs="Calibri"/>
              </w:rPr>
            </w:pPr>
            <w:r w:rsidRPr="00EB6A5B">
              <w:rPr>
                <w:rFonts w:ascii="Calibri" w:hAnsi="Calibri" w:eastAsia="Times New Roman" w:cs="Calibri"/>
              </w:rPr>
              <w:t>Limburg</w:t>
            </w:r>
          </w:p>
        </w:tc>
        <w:tc>
          <w:tcPr>
            <w:tcW w:w="1230" w:type="dxa"/>
            <w:tcBorders>
              <w:top w:val="nil"/>
              <w:left w:val="nil"/>
              <w:bottom w:val="nil"/>
              <w:right w:val="single" w:color="auto" w:sz="4" w:space="0"/>
            </w:tcBorders>
            <w:shd w:val="clear" w:color="auto" w:fill="auto"/>
            <w:noWrap/>
            <w:hideMark/>
          </w:tcPr>
          <w:p w:rsidRPr="00EB6A5B" w:rsidR="004303CE" w:rsidP="00B56528" w:rsidRDefault="004303CE" w14:paraId="0ABA722A" w14:textId="77777777">
            <w:pPr>
              <w:spacing w:line="240" w:lineRule="auto"/>
              <w:jc w:val="center"/>
              <w:rPr>
                <w:rFonts w:ascii="Calibri" w:hAnsi="Calibri" w:eastAsia="Times New Roman" w:cs="Calibri"/>
              </w:rPr>
            </w:pPr>
            <w:r w:rsidRPr="00EB6A5B">
              <w:rPr>
                <w:rFonts w:ascii="Calibri" w:hAnsi="Calibri" w:eastAsia="Times New Roman" w:cs="Calibri"/>
              </w:rPr>
              <w:t>31</w:t>
            </w:r>
          </w:p>
        </w:tc>
        <w:tc>
          <w:tcPr>
            <w:tcW w:w="1108" w:type="dxa"/>
            <w:tcBorders>
              <w:top w:val="nil"/>
              <w:left w:val="nil"/>
              <w:bottom w:val="nil"/>
              <w:right w:val="single" w:color="auto" w:sz="4" w:space="0"/>
            </w:tcBorders>
            <w:shd w:val="clear" w:color="auto" w:fill="auto"/>
            <w:noWrap/>
            <w:hideMark/>
          </w:tcPr>
          <w:p w:rsidRPr="00EB6A5B" w:rsidR="004303CE" w:rsidP="00B56528" w:rsidRDefault="004303CE" w14:paraId="2DBA71A7"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nil"/>
              <w:right w:val="single" w:color="auto" w:sz="4" w:space="0"/>
            </w:tcBorders>
            <w:shd w:val="clear" w:color="auto" w:fill="auto"/>
            <w:hideMark/>
          </w:tcPr>
          <w:p w:rsidRPr="00EB6A5B" w:rsidR="004303CE" w:rsidP="00B56528" w:rsidRDefault="004303CE" w14:paraId="64A6D694"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nil"/>
              <w:right w:val="single" w:color="auto" w:sz="4" w:space="0"/>
            </w:tcBorders>
            <w:shd w:val="clear" w:color="auto" w:fill="auto"/>
            <w:noWrap/>
            <w:hideMark/>
          </w:tcPr>
          <w:p w:rsidRPr="00EB6A5B" w:rsidR="004303CE" w:rsidP="00B56528" w:rsidRDefault="004303CE" w14:paraId="6F82CD78"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nil"/>
              <w:right w:val="single" w:color="auto" w:sz="4" w:space="0"/>
            </w:tcBorders>
            <w:shd w:val="clear" w:color="auto" w:fill="auto"/>
            <w:hideMark/>
          </w:tcPr>
          <w:p w:rsidRPr="00EB6A5B" w:rsidR="004303CE" w:rsidP="00B56528" w:rsidRDefault="004303CE" w14:paraId="08116F68" w14:textId="77777777">
            <w:pPr>
              <w:spacing w:line="240" w:lineRule="auto"/>
              <w:rPr>
                <w:rFonts w:ascii="Calibri" w:hAnsi="Calibri" w:eastAsia="Times New Roman" w:cs="Calibri"/>
              </w:rPr>
            </w:pPr>
            <w:r w:rsidRPr="00EB6A5B">
              <w:rPr>
                <w:rFonts w:ascii="Calibri" w:hAnsi="Calibri" w:eastAsia="Times New Roman" w:cs="Calibri"/>
              </w:rPr>
              <w:t> </w:t>
            </w:r>
          </w:p>
        </w:tc>
        <w:tc>
          <w:tcPr>
            <w:tcW w:w="1108" w:type="dxa"/>
            <w:tcBorders>
              <w:top w:val="nil"/>
              <w:left w:val="nil"/>
              <w:bottom w:val="nil"/>
              <w:right w:val="single" w:color="auto" w:sz="4" w:space="0"/>
            </w:tcBorders>
            <w:shd w:val="clear" w:color="auto" w:fill="auto"/>
            <w:noWrap/>
            <w:hideMark/>
          </w:tcPr>
          <w:p w:rsidRPr="00EB6A5B" w:rsidR="004303CE" w:rsidP="00B56528" w:rsidRDefault="004303CE" w14:paraId="1FEB912B" w14:textId="77777777">
            <w:pPr>
              <w:spacing w:line="240" w:lineRule="auto"/>
              <w:jc w:val="center"/>
              <w:rPr>
                <w:rFonts w:ascii="Calibri" w:hAnsi="Calibri" w:eastAsia="Times New Roman" w:cs="Calibri"/>
              </w:rPr>
            </w:pPr>
            <w:r w:rsidRPr="00EB6A5B">
              <w:rPr>
                <w:rFonts w:ascii="Calibri" w:hAnsi="Calibri" w:eastAsia="Times New Roman" w:cs="Calibri"/>
              </w:rPr>
              <w:t>0</w:t>
            </w:r>
          </w:p>
        </w:tc>
        <w:tc>
          <w:tcPr>
            <w:tcW w:w="1330" w:type="dxa"/>
            <w:tcBorders>
              <w:top w:val="nil"/>
              <w:left w:val="nil"/>
              <w:bottom w:val="nil"/>
              <w:right w:val="single" w:color="auto" w:sz="4" w:space="0"/>
            </w:tcBorders>
            <w:shd w:val="clear" w:color="auto" w:fill="auto"/>
            <w:hideMark/>
          </w:tcPr>
          <w:p w:rsidRPr="00EB6A5B" w:rsidR="004303CE" w:rsidP="00B56528" w:rsidRDefault="004303CE" w14:paraId="2B2CF4CA" w14:textId="77777777">
            <w:pPr>
              <w:spacing w:line="240" w:lineRule="auto"/>
              <w:jc w:val="center"/>
              <w:rPr>
                <w:rFonts w:ascii="Calibri" w:hAnsi="Calibri" w:eastAsia="Times New Roman" w:cs="Calibri"/>
              </w:rPr>
            </w:pPr>
            <w:r w:rsidRPr="00EB6A5B">
              <w:rPr>
                <w:rFonts w:ascii="Calibri" w:hAnsi="Calibri" w:eastAsia="Times New Roman" w:cs="Calibri"/>
              </w:rPr>
              <w:t> </w:t>
            </w:r>
          </w:p>
        </w:tc>
        <w:tc>
          <w:tcPr>
            <w:tcW w:w="1163" w:type="dxa"/>
            <w:tcBorders>
              <w:top w:val="nil"/>
              <w:left w:val="nil"/>
              <w:bottom w:val="nil"/>
              <w:right w:val="single" w:color="auto" w:sz="4" w:space="0"/>
            </w:tcBorders>
            <w:shd w:val="clear" w:color="auto" w:fill="auto"/>
            <w:noWrap/>
            <w:hideMark/>
          </w:tcPr>
          <w:p w:rsidRPr="00EB6A5B" w:rsidR="004303CE" w:rsidP="00B56528" w:rsidRDefault="004303CE" w14:paraId="76B7BEDF" w14:textId="77777777">
            <w:pPr>
              <w:spacing w:line="240" w:lineRule="auto"/>
              <w:jc w:val="center"/>
              <w:rPr>
                <w:rFonts w:ascii="Calibri" w:hAnsi="Calibri" w:eastAsia="Times New Roman" w:cs="Calibri"/>
              </w:rPr>
            </w:pPr>
            <w:r w:rsidRPr="00EB6A5B">
              <w:rPr>
                <w:rFonts w:ascii="Calibri" w:hAnsi="Calibri" w:eastAsia="Times New Roman" w:cs="Calibri"/>
              </w:rPr>
              <w:t>31</w:t>
            </w:r>
          </w:p>
        </w:tc>
      </w:tr>
      <w:tr w:rsidRPr="00EB6A5B" w:rsidR="004303CE" w:rsidTr="00B56528" w14:paraId="105374F3" w14:textId="77777777">
        <w:trPr>
          <w:trHeight w:val="331"/>
        </w:trPr>
        <w:tc>
          <w:tcPr>
            <w:tcW w:w="1119"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EB6A5B" w:rsidR="004303CE" w:rsidP="00B56528" w:rsidRDefault="004303CE" w14:paraId="7FD0EBF7" w14:textId="77777777">
            <w:pPr>
              <w:spacing w:line="240" w:lineRule="auto"/>
              <w:rPr>
                <w:rFonts w:ascii="Calibri" w:hAnsi="Calibri" w:eastAsia="Times New Roman" w:cs="Calibri"/>
                <w:b/>
                <w:bCs/>
              </w:rPr>
            </w:pPr>
            <w:r w:rsidRPr="00EB6A5B">
              <w:rPr>
                <w:rFonts w:ascii="Calibri" w:hAnsi="Calibri" w:eastAsia="Times New Roman" w:cs="Calibri"/>
                <w:b/>
                <w:bCs/>
              </w:rPr>
              <w:t>Totaal</w:t>
            </w:r>
          </w:p>
        </w:tc>
        <w:tc>
          <w:tcPr>
            <w:tcW w:w="1230"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0CF967F5" w14:textId="77777777">
            <w:pPr>
              <w:spacing w:line="240" w:lineRule="auto"/>
              <w:jc w:val="center"/>
              <w:rPr>
                <w:rFonts w:ascii="Calibri" w:hAnsi="Calibri" w:eastAsia="Times New Roman" w:cs="Calibri"/>
                <w:b/>
                <w:bCs/>
              </w:rPr>
            </w:pPr>
            <w:r w:rsidRPr="00EB6A5B">
              <w:rPr>
                <w:rFonts w:ascii="Calibri" w:hAnsi="Calibri" w:eastAsia="Times New Roman" w:cs="Calibri"/>
                <w:b/>
                <w:bCs/>
              </w:rPr>
              <w:t>342</w:t>
            </w:r>
          </w:p>
        </w:tc>
        <w:tc>
          <w:tcPr>
            <w:tcW w:w="1108"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5715EAE8" w14:textId="77777777">
            <w:pPr>
              <w:spacing w:line="240" w:lineRule="auto"/>
              <w:jc w:val="center"/>
              <w:rPr>
                <w:rFonts w:ascii="Calibri" w:hAnsi="Calibri" w:eastAsia="Times New Roman" w:cs="Calibri"/>
                <w:b/>
                <w:bCs/>
              </w:rPr>
            </w:pPr>
            <w:r w:rsidRPr="00EB6A5B">
              <w:rPr>
                <w:rFonts w:ascii="Calibri" w:hAnsi="Calibri" w:eastAsia="Times New Roman" w:cs="Calibri"/>
                <w:b/>
                <w:bCs/>
              </w:rPr>
              <w:t>1</w:t>
            </w:r>
          </w:p>
        </w:tc>
        <w:tc>
          <w:tcPr>
            <w:tcW w:w="1330" w:type="dxa"/>
            <w:tcBorders>
              <w:top w:val="single" w:color="auto" w:sz="4" w:space="0"/>
              <w:left w:val="nil"/>
              <w:bottom w:val="single" w:color="auto" w:sz="4" w:space="0"/>
              <w:right w:val="single" w:color="auto" w:sz="4" w:space="0"/>
            </w:tcBorders>
            <w:shd w:val="clear" w:color="000000" w:fill="D9D9D9"/>
            <w:vAlign w:val="bottom"/>
            <w:hideMark/>
          </w:tcPr>
          <w:p w:rsidRPr="00EB6A5B" w:rsidR="004303CE" w:rsidP="00B56528" w:rsidRDefault="004303CE" w14:paraId="7EE1BC5D" w14:textId="77777777">
            <w:pPr>
              <w:spacing w:line="240" w:lineRule="auto"/>
              <w:jc w:val="center"/>
              <w:rPr>
                <w:rFonts w:ascii="Calibri" w:hAnsi="Calibri" w:eastAsia="Times New Roman" w:cs="Calibri"/>
                <w:b/>
                <w:bCs/>
              </w:rPr>
            </w:pPr>
            <w:r w:rsidRPr="00EB6A5B">
              <w:rPr>
                <w:rFonts w:ascii="Calibri" w:hAnsi="Calibri" w:eastAsia="Times New Roman" w:cs="Calibri"/>
                <w:b/>
                <w:bCs/>
              </w:rPr>
              <w:t> </w:t>
            </w:r>
          </w:p>
        </w:tc>
        <w:tc>
          <w:tcPr>
            <w:tcW w:w="1108"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3504462E" w14:textId="77777777">
            <w:pPr>
              <w:spacing w:line="240" w:lineRule="auto"/>
              <w:jc w:val="center"/>
              <w:rPr>
                <w:rFonts w:ascii="Calibri" w:hAnsi="Calibri" w:eastAsia="Times New Roman" w:cs="Calibri"/>
                <w:b/>
                <w:bCs/>
              </w:rPr>
            </w:pPr>
            <w:r w:rsidRPr="00EB6A5B">
              <w:rPr>
                <w:rFonts w:ascii="Calibri" w:hAnsi="Calibri" w:eastAsia="Times New Roman" w:cs="Calibri"/>
                <w:b/>
                <w:bCs/>
              </w:rPr>
              <w:t>0</w:t>
            </w:r>
          </w:p>
        </w:tc>
        <w:tc>
          <w:tcPr>
            <w:tcW w:w="1330"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00051913" w14:textId="77777777">
            <w:pPr>
              <w:spacing w:line="240" w:lineRule="auto"/>
              <w:jc w:val="center"/>
              <w:rPr>
                <w:rFonts w:ascii="Calibri" w:hAnsi="Calibri" w:eastAsia="Times New Roman" w:cs="Calibri"/>
                <w:b/>
                <w:bCs/>
              </w:rPr>
            </w:pPr>
            <w:r w:rsidRPr="00EB6A5B">
              <w:rPr>
                <w:rFonts w:ascii="Calibri" w:hAnsi="Calibri" w:eastAsia="Times New Roman" w:cs="Calibri"/>
                <w:b/>
                <w:bCs/>
              </w:rPr>
              <w:t> </w:t>
            </w:r>
          </w:p>
        </w:tc>
        <w:tc>
          <w:tcPr>
            <w:tcW w:w="1108"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5E9F9085" w14:textId="77777777">
            <w:pPr>
              <w:spacing w:line="240" w:lineRule="auto"/>
              <w:jc w:val="center"/>
              <w:rPr>
                <w:rFonts w:ascii="Calibri" w:hAnsi="Calibri" w:eastAsia="Times New Roman" w:cs="Calibri"/>
                <w:b/>
                <w:bCs/>
              </w:rPr>
            </w:pPr>
            <w:r w:rsidRPr="00EB6A5B">
              <w:rPr>
                <w:rFonts w:ascii="Calibri" w:hAnsi="Calibri" w:eastAsia="Times New Roman" w:cs="Calibri"/>
                <w:b/>
                <w:bCs/>
              </w:rPr>
              <w:t>1</w:t>
            </w:r>
          </w:p>
        </w:tc>
        <w:tc>
          <w:tcPr>
            <w:tcW w:w="1330"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2A781503" w14:textId="77777777">
            <w:pPr>
              <w:spacing w:line="240" w:lineRule="auto"/>
              <w:jc w:val="center"/>
              <w:rPr>
                <w:rFonts w:ascii="Calibri" w:hAnsi="Calibri" w:eastAsia="Times New Roman" w:cs="Calibri"/>
                <w:b/>
                <w:bCs/>
              </w:rPr>
            </w:pPr>
            <w:r w:rsidRPr="00EB6A5B">
              <w:rPr>
                <w:rFonts w:ascii="Calibri" w:hAnsi="Calibri" w:eastAsia="Times New Roman" w:cs="Calibri"/>
                <w:b/>
                <w:bCs/>
              </w:rPr>
              <w:t> </w:t>
            </w:r>
          </w:p>
        </w:tc>
        <w:tc>
          <w:tcPr>
            <w:tcW w:w="1163" w:type="dxa"/>
            <w:tcBorders>
              <w:top w:val="single" w:color="auto" w:sz="4" w:space="0"/>
              <w:left w:val="nil"/>
              <w:bottom w:val="single" w:color="auto" w:sz="4" w:space="0"/>
              <w:right w:val="single" w:color="auto" w:sz="4" w:space="0"/>
            </w:tcBorders>
            <w:shd w:val="clear" w:color="000000" w:fill="D9D9D9"/>
            <w:noWrap/>
            <w:vAlign w:val="bottom"/>
            <w:hideMark/>
          </w:tcPr>
          <w:p w:rsidRPr="00EB6A5B" w:rsidR="004303CE" w:rsidP="00B56528" w:rsidRDefault="004303CE" w14:paraId="5BCADB7F" w14:textId="77777777">
            <w:pPr>
              <w:spacing w:line="240" w:lineRule="auto"/>
              <w:jc w:val="center"/>
              <w:rPr>
                <w:rFonts w:ascii="Calibri" w:hAnsi="Calibri" w:eastAsia="Times New Roman" w:cs="Calibri"/>
                <w:b/>
                <w:bCs/>
              </w:rPr>
            </w:pPr>
            <w:r w:rsidRPr="00EB6A5B">
              <w:rPr>
                <w:rFonts w:ascii="Calibri" w:hAnsi="Calibri" w:eastAsia="Times New Roman" w:cs="Calibri"/>
                <w:b/>
                <w:bCs/>
              </w:rPr>
              <w:t>340</w:t>
            </w:r>
          </w:p>
        </w:tc>
      </w:tr>
    </w:tbl>
    <w:p w:rsidRPr="00EB6A5B" w:rsidR="004303CE" w:rsidP="004303CE" w:rsidRDefault="004303CE" w14:paraId="6CBA51A3" w14:textId="77777777">
      <w:pPr>
        <w:rPr>
          <w:rFonts w:ascii="Calibri" w:hAnsi="Calibri" w:cs="Calibri"/>
        </w:rPr>
      </w:pPr>
    </w:p>
    <w:p w:rsidRPr="00EB6A5B" w:rsidR="00E6311E" w:rsidRDefault="00E6311E" w14:paraId="42DABF5E" w14:textId="77777777">
      <w:pPr>
        <w:rPr>
          <w:rFonts w:ascii="Calibri" w:hAnsi="Calibri" w:cs="Calibri"/>
        </w:rPr>
      </w:pPr>
    </w:p>
    <w:sectPr w:rsidRPr="00EB6A5B" w:rsidR="00E6311E" w:rsidSect="004303C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C834" w14:textId="77777777" w:rsidR="004303CE" w:rsidRDefault="004303CE" w:rsidP="004303CE">
      <w:pPr>
        <w:spacing w:after="0" w:line="240" w:lineRule="auto"/>
      </w:pPr>
      <w:r>
        <w:separator/>
      </w:r>
    </w:p>
  </w:endnote>
  <w:endnote w:type="continuationSeparator" w:id="0">
    <w:p w14:paraId="4CDB1B70" w14:textId="77777777" w:rsidR="004303CE" w:rsidRDefault="004303CE" w:rsidP="0043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216E" w14:textId="77777777" w:rsidR="004303CE" w:rsidRPr="004303CE" w:rsidRDefault="004303CE" w:rsidP="004303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D18F" w14:textId="77777777" w:rsidR="004303CE" w:rsidRPr="004303CE" w:rsidRDefault="004303CE" w:rsidP="004303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62EC" w14:textId="77777777" w:rsidR="004303CE" w:rsidRPr="004303CE" w:rsidRDefault="004303CE" w:rsidP="004303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4508" w14:textId="77777777" w:rsidR="004303CE" w:rsidRDefault="004303CE" w:rsidP="004303CE">
      <w:pPr>
        <w:spacing w:after="0" w:line="240" w:lineRule="auto"/>
      </w:pPr>
      <w:r>
        <w:separator/>
      </w:r>
    </w:p>
  </w:footnote>
  <w:footnote w:type="continuationSeparator" w:id="0">
    <w:p w14:paraId="3B596194" w14:textId="77777777" w:rsidR="004303CE" w:rsidRDefault="004303CE" w:rsidP="004303CE">
      <w:pPr>
        <w:spacing w:after="0" w:line="240" w:lineRule="auto"/>
      </w:pPr>
      <w:r>
        <w:continuationSeparator/>
      </w:r>
    </w:p>
  </w:footnote>
  <w:footnote w:id="1">
    <w:p w14:paraId="08CDDA63" w14:textId="03814953" w:rsidR="004303CE" w:rsidRPr="00EB6A5B" w:rsidRDefault="004303CE" w:rsidP="004303CE">
      <w:pPr>
        <w:pStyle w:val="Voetnoottekst"/>
        <w:rPr>
          <w:rFonts w:ascii="Calibri" w:hAnsi="Calibri" w:cs="Calibri"/>
        </w:rPr>
      </w:pPr>
      <w:r w:rsidRPr="00EB6A5B">
        <w:rPr>
          <w:rStyle w:val="Voetnootmarkering"/>
          <w:rFonts w:ascii="Calibri" w:hAnsi="Calibri" w:cs="Calibri"/>
        </w:rPr>
        <w:footnoteRef/>
      </w:r>
      <w:r w:rsidRPr="00EB6A5B">
        <w:rPr>
          <w:rFonts w:ascii="Calibri" w:hAnsi="Calibri" w:cs="Calibri"/>
        </w:rPr>
        <w:t xml:space="preserve"> Noot bij Handelingen II 2024/25, nr. 12, item 10, p. 12.</w:t>
      </w:r>
    </w:p>
  </w:footnote>
  <w:footnote w:id="2">
    <w:p w14:paraId="5C3FCC73" w14:textId="77777777" w:rsidR="004303CE" w:rsidRPr="00EB6A5B" w:rsidRDefault="004303CE" w:rsidP="004303CE">
      <w:pPr>
        <w:pStyle w:val="Voetnoottekst"/>
        <w:rPr>
          <w:rFonts w:ascii="Calibri" w:hAnsi="Calibri" w:cs="Calibri"/>
        </w:rPr>
      </w:pPr>
      <w:r w:rsidRPr="00EB6A5B">
        <w:rPr>
          <w:rStyle w:val="Voetnootmarkering"/>
          <w:rFonts w:ascii="Calibri" w:hAnsi="Calibri" w:cs="Calibri"/>
        </w:rPr>
        <w:footnoteRef/>
      </w:r>
      <w:r w:rsidRPr="00EB6A5B">
        <w:rPr>
          <w:rFonts w:ascii="Calibri" w:hAnsi="Calibri" w:cs="Calibri"/>
        </w:rPr>
        <w:t xml:space="preserve"> Zowel BZK als toezichthouder op de provincies en gemeenschappelijke regelingen als de provincies als toezichthouder op de gemeenten en gemeenschappelijke regelingen.</w:t>
      </w:r>
    </w:p>
  </w:footnote>
  <w:footnote w:id="3">
    <w:p w14:paraId="1693325E" w14:textId="1B34508C" w:rsidR="004303CE" w:rsidRPr="00EB6A5B" w:rsidRDefault="004303CE" w:rsidP="004303CE">
      <w:pPr>
        <w:pStyle w:val="Voetnoottekst"/>
        <w:rPr>
          <w:rFonts w:ascii="Calibri" w:hAnsi="Calibri" w:cs="Calibri"/>
        </w:rPr>
      </w:pPr>
      <w:r w:rsidRPr="00EB6A5B">
        <w:rPr>
          <w:rStyle w:val="Voetnootmarkering"/>
          <w:rFonts w:ascii="Calibri" w:hAnsi="Calibri" w:cs="Calibri"/>
        </w:rPr>
        <w:footnoteRef/>
      </w:r>
      <w:r w:rsidRPr="00EB6A5B">
        <w:rPr>
          <w:rFonts w:ascii="Calibri" w:hAnsi="Calibri" w:cs="Calibri"/>
        </w:rPr>
        <w:t xml:space="preserve"> Kamerstuk 36 600 B, nr. 9</w:t>
      </w:r>
    </w:p>
  </w:footnote>
  <w:footnote w:id="4">
    <w:p w14:paraId="28000AC7" w14:textId="05D992F6" w:rsidR="004303CE" w:rsidRPr="00EB6A5B" w:rsidRDefault="004303CE" w:rsidP="004303CE">
      <w:pPr>
        <w:pStyle w:val="Voetnoottekst"/>
        <w:rPr>
          <w:rFonts w:ascii="Calibri" w:hAnsi="Calibri" w:cs="Calibri"/>
        </w:rPr>
      </w:pPr>
      <w:r w:rsidRPr="00EB6A5B">
        <w:rPr>
          <w:rStyle w:val="Voetnootmarkering"/>
          <w:rFonts w:ascii="Calibri" w:hAnsi="Calibri" w:cs="Calibri"/>
        </w:rPr>
        <w:footnoteRef/>
      </w:r>
      <w:r w:rsidRPr="00EB6A5B">
        <w:rPr>
          <w:rFonts w:ascii="Calibri" w:hAnsi="Calibri" w:cs="Calibri"/>
        </w:rPr>
        <w:t xml:space="preserve"> Kamerstuk 36 600 B, nr. 22.</w:t>
      </w:r>
    </w:p>
    <w:p w14:paraId="24AA4AD6" w14:textId="77777777" w:rsidR="004303CE" w:rsidRPr="00EB6A5B" w:rsidRDefault="004303CE" w:rsidP="004303CE">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54CE" w14:textId="77777777" w:rsidR="004303CE" w:rsidRPr="004303CE" w:rsidRDefault="004303CE" w:rsidP="004303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D2F2" w14:textId="77777777" w:rsidR="004303CE" w:rsidRPr="004303CE" w:rsidRDefault="004303CE" w:rsidP="004303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45A9" w14:textId="77777777" w:rsidR="004303CE" w:rsidRPr="004303CE" w:rsidRDefault="004303CE" w:rsidP="004303C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CE"/>
    <w:rsid w:val="000D72ED"/>
    <w:rsid w:val="0025703A"/>
    <w:rsid w:val="004303CE"/>
    <w:rsid w:val="006802EF"/>
    <w:rsid w:val="00C57495"/>
    <w:rsid w:val="00E6311E"/>
    <w:rsid w:val="00EB6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7F79"/>
  <w15:chartTrackingRefBased/>
  <w15:docId w15:val="{595CAC5F-8A9E-42B4-85D0-D36F9807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0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0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03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03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03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03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03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03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03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03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03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03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03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03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03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03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03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03CE"/>
    <w:rPr>
      <w:rFonts w:eastAsiaTheme="majorEastAsia" w:cstheme="majorBidi"/>
      <w:color w:val="272727" w:themeColor="text1" w:themeTint="D8"/>
    </w:rPr>
  </w:style>
  <w:style w:type="paragraph" w:styleId="Titel">
    <w:name w:val="Title"/>
    <w:basedOn w:val="Standaard"/>
    <w:next w:val="Standaard"/>
    <w:link w:val="TitelChar"/>
    <w:uiPriority w:val="10"/>
    <w:qFormat/>
    <w:rsid w:val="00430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03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03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03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03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03CE"/>
    <w:rPr>
      <w:i/>
      <w:iCs/>
      <w:color w:val="404040" w:themeColor="text1" w:themeTint="BF"/>
    </w:rPr>
  </w:style>
  <w:style w:type="paragraph" w:styleId="Lijstalinea">
    <w:name w:val="List Paragraph"/>
    <w:basedOn w:val="Standaard"/>
    <w:uiPriority w:val="34"/>
    <w:qFormat/>
    <w:rsid w:val="004303CE"/>
    <w:pPr>
      <w:ind w:left="720"/>
      <w:contextualSpacing/>
    </w:pPr>
  </w:style>
  <w:style w:type="character" w:styleId="Intensievebenadrukking">
    <w:name w:val="Intense Emphasis"/>
    <w:basedOn w:val="Standaardalinea-lettertype"/>
    <w:uiPriority w:val="21"/>
    <w:qFormat/>
    <w:rsid w:val="004303CE"/>
    <w:rPr>
      <w:i/>
      <w:iCs/>
      <w:color w:val="0F4761" w:themeColor="accent1" w:themeShade="BF"/>
    </w:rPr>
  </w:style>
  <w:style w:type="paragraph" w:styleId="Duidelijkcitaat">
    <w:name w:val="Intense Quote"/>
    <w:basedOn w:val="Standaard"/>
    <w:next w:val="Standaard"/>
    <w:link w:val="DuidelijkcitaatChar"/>
    <w:uiPriority w:val="30"/>
    <w:qFormat/>
    <w:rsid w:val="00430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03CE"/>
    <w:rPr>
      <w:i/>
      <w:iCs/>
      <w:color w:val="0F4761" w:themeColor="accent1" w:themeShade="BF"/>
    </w:rPr>
  </w:style>
  <w:style w:type="character" w:styleId="Intensieveverwijzing">
    <w:name w:val="Intense Reference"/>
    <w:basedOn w:val="Standaardalinea-lettertype"/>
    <w:uiPriority w:val="32"/>
    <w:qFormat/>
    <w:rsid w:val="004303CE"/>
    <w:rPr>
      <w:b/>
      <w:bCs/>
      <w:smallCaps/>
      <w:color w:val="0F4761" w:themeColor="accent1" w:themeShade="BF"/>
      <w:spacing w:val="5"/>
    </w:rPr>
  </w:style>
  <w:style w:type="paragraph" w:customStyle="1" w:styleId="Referentiegegevens">
    <w:name w:val="Referentiegegevens"/>
    <w:basedOn w:val="Standaard"/>
    <w:next w:val="Standaard"/>
    <w:rsid w:val="004303C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303C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4303C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4303C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4303C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303CE"/>
    <w:rPr>
      <w:kern w:val="0"/>
      <w:sz w:val="20"/>
      <w:szCs w:val="20"/>
      <w14:ligatures w14:val="none"/>
    </w:rPr>
  </w:style>
  <w:style w:type="character" w:styleId="Voetnootmarkering">
    <w:name w:val="footnote reference"/>
    <w:basedOn w:val="Standaardalinea-lettertype"/>
    <w:uiPriority w:val="99"/>
    <w:semiHidden/>
    <w:unhideWhenUsed/>
    <w:rsid w:val="004303CE"/>
    <w:rPr>
      <w:vertAlign w:val="superscript"/>
    </w:rPr>
  </w:style>
  <w:style w:type="paragraph" w:styleId="Koptekst">
    <w:name w:val="header"/>
    <w:basedOn w:val="Standaard"/>
    <w:link w:val="KoptekstChar"/>
    <w:uiPriority w:val="99"/>
    <w:unhideWhenUsed/>
    <w:rsid w:val="004303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03CE"/>
  </w:style>
  <w:style w:type="paragraph" w:styleId="Voettekst">
    <w:name w:val="footer"/>
    <w:basedOn w:val="Standaard"/>
    <w:link w:val="VoettekstChar"/>
    <w:uiPriority w:val="99"/>
    <w:unhideWhenUsed/>
    <w:rsid w:val="004303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03CE"/>
  </w:style>
  <w:style w:type="paragraph" w:styleId="Geenafstand">
    <w:name w:val="No Spacing"/>
    <w:uiPriority w:val="1"/>
    <w:qFormat/>
    <w:rsid w:val="00EB6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1015</ap:Words>
  <ap:Characters>5587</ap:Characters>
  <ap:DocSecurity>0</ap:DocSecurity>
  <ap:Lines>46</ap:Lines>
  <ap:Paragraphs>13</ap:Paragraphs>
  <ap:ScaleCrop>false</ap:ScaleCrop>
  <ap:LinksUpToDate>false</ap:LinksUpToDate>
  <ap:CharactersWithSpaces>6589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2025-03-04T11:42:00.0000000Z</dcterms:created>
  <dcterms:modified xsi:type="dcterms:W3CDTF">2025-03-04T11:42:00.0000000Z</dcterms:modified>
  <version/>
  <category/>
</coreProperties>
</file>