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BAA" w:rsidP="00276BAA" w:rsidRDefault="00276BAA" w14:paraId="49AFD612" w14:textId="77777777">
      <w:pPr>
        <w:rPr>
          <w:szCs w:val="18"/>
        </w:rPr>
      </w:pPr>
      <w:r>
        <w:rPr>
          <w:szCs w:val="18"/>
        </w:rPr>
        <w:t>AH 1465</w:t>
      </w:r>
    </w:p>
    <w:p w:rsidR="00276BAA" w:rsidP="00276BAA" w:rsidRDefault="00276BAA" w14:paraId="13FBA62E" w14:textId="77777777">
      <w:pPr>
        <w:rPr>
          <w:szCs w:val="18"/>
        </w:rPr>
      </w:pPr>
      <w:r>
        <w:rPr>
          <w:szCs w:val="18"/>
        </w:rPr>
        <w:t>2025Z00080</w:t>
      </w:r>
    </w:p>
    <w:p w:rsidR="00276BAA" w:rsidP="00276BAA" w:rsidRDefault="00276BAA" w14:paraId="64F50930" w14:textId="77777777">
      <w:pPr>
        <w:rPr>
          <w:sz w:val="24"/>
          <w:szCs w:val="24"/>
        </w:rPr>
      </w:pPr>
      <w:r w:rsidRPr="00276BAA">
        <w:rPr>
          <w:sz w:val="24"/>
          <w:szCs w:val="24"/>
        </w:rPr>
        <w:t>Antwoord van minister Beljaarts (Economische Zaken) (ontvangen</w:t>
      </w:r>
      <w:r>
        <w:rPr>
          <w:sz w:val="24"/>
          <w:szCs w:val="24"/>
        </w:rPr>
        <w:t xml:space="preserve"> 3 maart 2025)</w:t>
      </w:r>
    </w:p>
    <w:p w:rsidR="00276BAA" w:rsidP="00276BAA" w:rsidRDefault="00276BAA" w14:paraId="600AE65B" w14:textId="6018B0AA">
      <w:pPr>
        <w:rPr>
          <w:sz w:val="24"/>
          <w:szCs w:val="24"/>
        </w:rPr>
      </w:pPr>
      <w:r w:rsidRPr="00276BAA">
        <w:rPr>
          <w:sz w:val="24"/>
          <w:szCs w:val="24"/>
        </w:rPr>
        <w:t>Zie ook Aanhangsel Handelingen, vergaderjaar 2024-2025, nr.</w:t>
      </w:r>
      <w:r>
        <w:rPr>
          <w:sz w:val="24"/>
          <w:szCs w:val="24"/>
        </w:rPr>
        <w:t xml:space="preserve"> 1168</w:t>
      </w:r>
    </w:p>
    <w:p w:rsidR="00276BAA" w:rsidP="00276BAA" w:rsidRDefault="00276BAA" w14:paraId="2A0104B9" w14:textId="77777777">
      <w:pPr>
        <w:rPr>
          <w:sz w:val="24"/>
          <w:szCs w:val="24"/>
        </w:rPr>
      </w:pPr>
    </w:p>
    <w:p w:rsidRPr="00676FFF" w:rsidR="00276BAA" w:rsidP="00276BAA" w:rsidRDefault="00276BAA" w14:paraId="35CECF3E" w14:textId="276E51ED">
      <w:pPr>
        <w:rPr>
          <w:szCs w:val="18"/>
        </w:rPr>
      </w:pPr>
      <w:r w:rsidRPr="00676FFF">
        <w:rPr>
          <w:szCs w:val="18"/>
        </w:rPr>
        <w:t>1</w:t>
      </w:r>
    </w:p>
    <w:p w:rsidRPr="00676FFF" w:rsidR="00276BAA" w:rsidP="00276BAA" w:rsidRDefault="00276BAA" w14:paraId="59F14B13" w14:textId="77777777">
      <w:pPr>
        <w:rPr>
          <w:szCs w:val="18"/>
        </w:rPr>
      </w:pPr>
      <w:r w:rsidRPr="00676FFF">
        <w:rPr>
          <w:szCs w:val="18"/>
        </w:rPr>
        <w:t xml:space="preserve">Bent u bekend met de Bijzonder Beheer Barometer van </w:t>
      </w:r>
      <w:proofErr w:type="spellStart"/>
      <w:r w:rsidRPr="00676FFF">
        <w:rPr>
          <w:szCs w:val="18"/>
        </w:rPr>
        <w:t>PwC</w:t>
      </w:r>
      <w:proofErr w:type="spellEnd"/>
      <w:r w:rsidRPr="00676FFF">
        <w:rPr>
          <w:szCs w:val="18"/>
        </w:rPr>
        <w:t>?</w:t>
      </w:r>
    </w:p>
    <w:p w:rsidRPr="00676FFF" w:rsidR="00276BAA" w:rsidP="00276BAA" w:rsidRDefault="00276BAA" w14:paraId="18D9F1AB" w14:textId="77777777">
      <w:pPr>
        <w:rPr>
          <w:szCs w:val="18"/>
        </w:rPr>
      </w:pPr>
    </w:p>
    <w:p w:rsidRPr="00676FFF" w:rsidR="00276BAA" w:rsidP="00276BAA" w:rsidRDefault="00276BAA" w14:paraId="7C18F7D2" w14:textId="77777777">
      <w:pPr>
        <w:rPr>
          <w:szCs w:val="18"/>
        </w:rPr>
      </w:pPr>
      <w:r w:rsidRPr="00676FFF">
        <w:rPr>
          <w:szCs w:val="18"/>
        </w:rPr>
        <w:t>Antwoord</w:t>
      </w:r>
    </w:p>
    <w:p w:rsidRPr="00676FFF" w:rsidR="00276BAA" w:rsidP="00276BAA" w:rsidRDefault="00276BAA" w14:paraId="64E83729" w14:textId="77777777">
      <w:pPr>
        <w:rPr>
          <w:szCs w:val="18"/>
        </w:rPr>
      </w:pPr>
      <w:r w:rsidRPr="00676FFF">
        <w:rPr>
          <w:szCs w:val="18"/>
        </w:rPr>
        <w:t>Ja.</w:t>
      </w:r>
    </w:p>
    <w:p w:rsidRPr="00676FFF" w:rsidR="00276BAA" w:rsidP="00276BAA" w:rsidRDefault="00276BAA" w14:paraId="3B99141C" w14:textId="77777777">
      <w:pPr>
        <w:rPr>
          <w:szCs w:val="18"/>
        </w:rPr>
      </w:pPr>
    </w:p>
    <w:p w:rsidRPr="00676FFF" w:rsidR="00276BAA" w:rsidP="00276BAA" w:rsidRDefault="00276BAA" w14:paraId="7AA54571" w14:textId="77777777">
      <w:pPr>
        <w:rPr>
          <w:szCs w:val="18"/>
        </w:rPr>
      </w:pPr>
      <w:r w:rsidRPr="00676FFF">
        <w:rPr>
          <w:szCs w:val="18"/>
        </w:rPr>
        <w:t>2</w:t>
      </w:r>
    </w:p>
    <w:p w:rsidRPr="00676FFF" w:rsidR="00276BAA" w:rsidP="00276BAA" w:rsidRDefault="00276BAA" w14:paraId="316606FF" w14:textId="77777777">
      <w:pPr>
        <w:rPr>
          <w:szCs w:val="18"/>
        </w:rPr>
      </w:pPr>
      <w:r w:rsidRPr="00676FFF">
        <w:rPr>
          <w:szCs w:val="18"/>
        </w:rPr>
        <w:t>Hoe gaat u ervoor zorgen dat winkelstraten levendig blijven, terwijl er een gezonde prikkel behouden blijft voor bedrijven om in te spelen op veranderingen?</w:t>
      </w:r>
    </w:p>
    <w:p w:rsidRPr="00676FFF" w:rsidR="00276BAA" w:rsidP="00276BAA" w:rsidRDefault="00276BAA" w14:paraId="322743B9" w14:textId="77777777">
      <w:pPr>
        <w:rPr>
          <w:szCs w:val="18"/>
        </w:rPr>
      </w:pPr>
    </w:p>
    <w:p w:rsidRPr="00676FFF" w:rsidR="00276BAA" w:rsidP="00276BAA" w:rsidRDefault="00276BAA" w14:paraId="275DD6F1" w14:textId="77777777">
      <w:pPr>
        <w:rPr>
          <w:szCs w:val="18"/>
        </w:rPr>
      </w:pPr>
      <w:r w:rsidRPr="00676FFF">
        <w:rPr>
          <w:szCs w:val="18"/>
        </w:rPr>
        <w:t>Antwoord</w:t>
      </w:r>
    </w:p>
    <w:p w:rsidRPr="00676FFF" w:rsidR="00276BAA" w:rsidP="00276BAA" w:rsidRDefault="00276BAA" w14:paraId="560BA102" w14:textId="77777777">
      <w:pPr>
        <w:rPr>
          <w:szCs w:val="18"/>
        </w:rPr>
      </w:pPr>
      <w:r w:rsidRPr="00676FFF">
        <w:rPr>
          <w:szCs w:val="18"/>
        </w:rPr>
        <w:t xml:space="preserve">De verantwoordelijkheid voor het levendig houden van de winkelstraten ligt in de eerste plaats </w:t>
      </w:r>
      <w:r w:rsidRPr="00176E3F">
        <w:rPr>
          <w:szCs w:val="18"/>
        </w:rPr>
        <w:t>bij de bedrijven en</w:t>
      </w:r>
      <w:r>
        <w:rPr>
          <w:szCs w:val="18"/>
        </w:rPr>
        <w:t xml:space="preserve"> </w:t>
      </w:r>
      <w:r w:rsidRPr="00676FFF">
        <w:rPr>
          <w:szCs w:val="18"/>
        </w:rPr>
        <w:t xml:space="preserve">bij de lokale overheid. De aantrekkelijkheid van winkelstraten staat niet op zichzelf, maar maakt deel uit van een toekomstbestendige binnenstad waarin ruimte is voor wonen, werken en vrijetijdsbesteding, evenals voor functies zoals cultuur, maatschappelijke voorzieningen en zorg. </w:t>
      </w:r>
      <w:bookmarkStart w:name="_Hlk191539144" w:id="0"/>
      <w:r w:rsidRPr="00676FFF">
        <w:rPr>
          <w:szCs w:val="18"/>
        </w:rPr>
        <w:t>Gemeenten hebben hierin een regierol, maar het is van belang dat alle betrokken partijen samenwerken om binnensteden levendig te houden.</w:t>
      </w:r>
    </w:p>
    <w:bookmarkEnd w:id="0"/>
    <w:p w:rsidRPr="00676FFF" w:rsidR="00276BAA" w:rsidP="00276BAA" w:rsidRDefault="00276BAA" w14:paraId="172CB22E" w14:textId="77777777">
      <w:pPr>
        <w:rPr>
          <w:szCs w:val="18"/>
        </w:rPr>
      </w:pPr>
    </w:p>
    <w:p w:rsidRPr="00676FFF" w:rsidR="00276BAA" w:rsidP="00276BAA" w:rsidRDefault="00276BAA" w14:paraId="28BC4A21" w14:textId="77777777">
      <w:pPr>
        <w:rPr>
          <w:szCs w:val="18"/>
        </w:rPr>
      </w:pPr>
      <w:r w:rsidRPr="00676FFF">
        <w:rPr>
          <w:szCs w:val="18"/>
        </w:rPr>
        <w:t xml:space="preserve">Naast de lokale stakeholders zijn er ook landelijk georganiseerde partijen die ondersteuning bieden door verbindingen te leggen, kennis en ervaring te ontwikkelen en te delen, en lokale obstakels aan te pakken en waar mogelijk op te lossen. Mijn ministerie speelt hierbij op verschillende manieren een rol. Zo steun ik het platform Retailagenda en de </w:t>
      </w:r>
      <w:proofErr w:type="spellStart"/>
      <w:r w:rsidRPr="00676FFF">
        <w:rPr>
          <w:szCs w:val="18"/>
        </w:rPr>
        <w:t>CityDeal</w:t>
      </w:r>
      <w:proofErr w:type="spellEnd"/>
      <w:r w:rsidRPr="00676FFF">
        <w:rPr>
          <w:szCs w:val="18"/>
        </w:rPr>
        <w:t xml:space="preserve"> Dynamische Binnensteden met procesfinanciering en menskracht. De Retailagenda biedt een bestuurlijk platform waarin brancheorganisaties, kennisinstellingen en overheden samenkomen om kennis te ontwikkelen en uit te wisselen. In de </w:t>
      </w:r>
      <w:proofErr w:type="spellStart"/>
      <w:r w:rsidRPr="00676FFF">
        <w:rPr>
          <w:szCs w:val="18"/>
        </w:rPr>
        <w:t>CityDeal</w:t>
      </w:r>
      <w:proofErr w:type="spellEnd"/>
      <w:r w:rsidRPr="00676FFF">
        <w:rPr>
          <w:szCs w:val="18"/>
        </w:rPr>
        <w:t xml:space="preserve"> Dynamische Binnensteden werken grote steden samen aan nieuwe instrumenten en leren ze van elkaar om </w:t>
      </w:r>
      <w:r w:rsidRPr="00676FFF">
        <w:rPr>
          <w:szCs w:val="18"/>
        </w:rPr>
        <w:lastRenderedPageBreak/>
        <w:t>barrières weg te nemen. Hieraan nemen ook andere departementen, maatschappelijke organisaties en kennisinstellingen deel.</w:t>
      </w:r>
    </w:p>
    <w:p w:rsidRPr="00676FFF" w:rsidR="00276BAA" w:rsidP="00276BAA" w:rsidRDefault="00276BAA" w14:paraId="5A74AF66" w14:textId="77777777">
      <w:pPr>
        <w:rPr>
          <w:szCs w:val="18"/>
        </w:rPr>
      </w:pPr>
    </w:p>
    <w:p w:rsidRPr="00676FFF" w:rsidR="00276BAA" w:rsidP="00276BAA" w:rsidRDefault="00276BAA" w14:paraId="4979CCF9" w14:textId="77777777">
      <w:pPr>
        <w:rPr>
          <w:szCs w:val="18"/>
        </w:rPr>
      </w:pPr>
      <w:r w:rsidRPr="00676FFF">
        <w:rPr>
          <w:szCs w:val="18"/>
        </w:rPr>
        <w:t xml:space="preserve">Daarnaast biedt de BIZ-wet (Bedrijfsinvesteringszone) een effectief instrument om ondernemers en vastgoedeigenaren samen te laten werken. Hiermee kunnen gezamenlijke projectplannen worden gefinancierd, waarbij de gemeente een ondersteunende rol vervult. Tenslotte is er de Impulsaanpak Winkelgebieden, waarmee gemeenten en private investeerders via subsidies kunnen werken aan de herinrichting en transformatie van binnenstedelijke winkelgebieden. </w:t>
      </w:r>
    </w:p>
    <w:p w:rsidRPr="00676FFF" w:rsidR="00276BAA" w:rsidP="00276BAA" w:rsidRDefault="00276BAA" w14:paraId="60B93C07" w14:textId="77777777">
      <w:pPr>
        <w:rPr>
          <w:szCs w:val="18"/>
        </w:rPr>
      </w:pPr>
    </w:p>
    <w:p w:rsidRPr="00676FFF" w:rsidR="00276BAA" w:rsidP="00276BAA" w:rsidRDefault="00276BAA" w14:paraId="3D40D500" w14:textId="77777777">
      <w:pPr>
        <w:rPr>
          <w:szCs w:val="18"/>
        </w:rPr>
      </w:pPr>
      <w:r w:rsidRPr="00676FFF">
        <w:rPr>
          <w:szCs w:val="18"/>
        </w:rPr>
        <w:t>3</w:t>
      </w:r>
    </w:p>
    <w:p w:rsidRPr="00676FFF" w:rsidR="00276BAA" w:rsidP="00276BAA" w:rsidRDefault="00276BAA" w14:paraId="7B382F86" w14:textId="77777777">
      <w:pPr>
        <w:rPr>
          <w:szCs w:val="18"/>
        </w:rPr>
      </w:pPr>
      <w:r w:rsidRPr="00676FFF">
        <w:rPr>
          <w:szCs w:val="18"/>
        </w:rPr>
        <w:t>Deelt u de mening dat in dit kader een voortzetting van de Impulsaanpak Winkelgebieden zou helpen? Zo ja, hoe gaat u er dan voor zorgen dat deze regeling behouden blijft?</w:t>
      </w:r>
    </w:p>
    <w:p w:rsidRPr="00676FFF" w:rsidR="00276BAA" w:rsidP="00276BAA" w:rsidRDefault="00276BAA" w14:paraId="35840F4E" w14:textId="77777777">
      <w:pPr>
        <w:rPr>
          <w:szCs w:val="18"/>
        </w:rPr>
      </w:pPr>
    </w:p>
    <w:p w:rsidRPr="00676FFF" w:rsidR="00276BAA" w:rsidP="00276BAA" w:rsidRDefault="00276BAA" w14:paraId="264C0545" w14:textId="77777777">
      <w:pPr>
        <w:rPr>
          <w:szCs w:val="18"/>
        </w:rPr>
      </w:pPr>
      <w:r w:rsidRPr="00676FFF">
        <w:rPr>
          <w:szCs w:val="18"/>
        </w:rPr>
        <w:t>Antwoord</w:t>
      </w:r>
    </w:p>
    <w:p w:rsidR="00276BAA" w:rsidP="00276BAA" w:rsidRDefault="00276BAA" w14:paraId="4D72EB0D" w14:textId="77777777">
      <w:pPr>
        <w:rPr>
          <w:szCs w:val="18"/>
        </w:rPr>
      </w:pPr>
      <w:r w:rsidRPr="00676FFF">
        <w:rPr>
          <w:szCs w:val="18"/>
        </w:rPr>
        <w:t xml:space="preserve">De grote belangstelling voor de Impulsaanpak Winkelgebieden laat zien dat de regeling werkt en een belangrijke bijdrage levert aan zowel het </w:t>
      </w:r>
      <w:proofErr w:type="spellStart"/>
      <w:r w:rsidRPr="00676FFF">
        <w:rPr>
          <w:szCs w:val="18"/>
        </w:rPr>
        <w:t>sociaal-economisch</w:t>
      </w:r>
      <w:proofErr w:type="spellEnd"/>
      <w:r w:rsidRPr="00676FFF">
        <w:rPr>
          <w:szCs w:val="18"/>
        </w:rPr>
        <w:t xml:space="preserve"> versterken van binnensteden, als het realiseren van de binnenstedelijk woningbouwopgave. Het maakt tastbaar dat er veel meer gebieden in Nederlandse binnensteden zijn, die vragen om een integrale, gezamenlijke, gebiedsgerichte aanpak door gemeenten en hun private partners. </w:t>
      </w:r>
      <w:r w:rsidRPr="00A84131">
        <w:rPr>
          <w:szCs w:val="18"/>
        </w:rPr>
        <w:t xml:space="preserve">Deze grote belangstelling laat zien </w:t>
      </w:r>
      <w:r w:rsidRPr="00676FFF">
        <w:rPr>
          <w:szCs w:val="18"/>
        </w:rPr>
        <w:t>dat de Impulsaanpak Winkelgebieden voorziet in een grote behoefte.</w:t>
      </w:r>
    </w:p>
    <w:p w:rsidRPr="00676FFF" w:rsidR="00276BAA" w:rsidP="00276BAA" w:rsidRDefault="00276BAA" w14:paraId="4CB03A66" w14:textId="77777777">
      <w:pPr>
        <w:rPr>
          <w:szCs w:val="18"/>
        </w:rPr>
      </w:pPr>
    </w:p>
    <w:p w:rsidRPr="00676FFF" w:rsidR="00276BAA" w:rsidP="00276BAA" w:rsidRDefault="00276BAA" w14:paraId="1FBD2B61" w14:textId="77777777">
      <w:pPr>
        <w:rPr>
          <w:szCs w:val="18"/>
        </w:rPr>
      </w:pPr>
      <w:r w:rsidRPr="00676FFF">
        <w:rPr>
          <w:szCs w:val="18"/>
        </w:rPr>
        <w:t>De 4</w:t>
      </w:r>
      <w:r w:rsidRPr="00676FFF">
        <w:rPr>
          <w:szCs w:val="18"/>
          <w:vertAlign w:val="superscript"/>
        </w:rPr>
        <w:t>e</w:t>
      </w:r>
      <w:r w:rsidRPr="00676FFF">
        <w:rPr>
          <w:szCs w:val="18"/>
        </w:rPr>
        <w:t xml:space="preserve"> tranche van de Impulsaanpak winkelgebieden is vooralsnog de laatste tranche. De enorme vraag naar deze subsidie heeft geleid tot een oproep vanuit gemeenten en maatschappelijke organisaties om de Impulsaanpak te verlengen. Tijdens de behandeling van de EZ-begroting heeft </w:t>
      </w:r>
      <w:r>
        <w:rPr>
          <w:szCs w:val="18"/>
        </w:rPr>
        <w:t>u</w:t>
      </w:r>
      <w:r w:rsidRPr="00676FFF">
        <w:rPr>
          <w:szCs w:val="18"/>
        </w:rPr>
        <w:t xml:space="preserve">w Kamer gevraagd om snel geïnformeerd te worden over het functioneren van de regeling, als basis voor een gesprek over de mogelijke verlenging van de Impulsaanpak. Ik zet er op in deze informatie in maart aan </w:t>
      </w:r>
      <w:r>
        <w:rPr>
          <w:szCs w:val="18"/>
        </w:rPr>
        <w:t>u</w:t>
      </w:r>
      <w:r w:rsidRPr="00676FFF">
        <w:rPr>
          <w:szCs w:val="18"/>
        </w:rPr>
        <w:t>w Kamer aan te bieden. Voor een mogelijke verlenging is momenteel geen budget beschikbaar.</w:t>
      </w:r>
    </w:p>
    <w:p w:rsidRPr="00676FFF" w:rsidR="00276BAA" w:rsidP="00276BAA" w:rsidRDefault="00276BAA" w14:paraId="3735F74A" w14:textId="77777777">
      <w:pPr>
        <w:rPr>
          <w:szCs w:val="18"/>
        </w:rPr>
      </w:pPr>
    </w:p>
    <w:p w:rsidRPr="00676FFF" w:rsidR="00276BAA" w:rsidP="00276BAA" w:rsidRDefault="00276BAA" w14:paraId="2C5C9D90" w14:textId="77777777">
      <w:pPr>
        <w:rPr>
          <w:szCs w:val="18"/>
        </w:rPr>
      </w:pPr>
      <w:r w:rsidRPr="00676FFF">
        <w:rPr>
          <w:szCs w:val="18"/>
        </w:rPr>
        <w:t xml:space="preserve">4 </w:t>
      </w:r>
    </w:p>
    <w:p w:rsidRPr="00676FFF" w:rsidR="00276BAA" w:rsidP="00276BAA" w:rsidRDefault="00276BAA" w14:paraId="78156252" w14:textId="77777777">
      <w:pPr>
        <w:rPr>
          <w:szCs w:val="18"/>
        </w:rPr>
      </w:pPr>
      <w:r w:rsidRPr="00676FFF">
        <w:rPr>
          <w:szCs w:val="18"/>
        </w:rPr>
        <w:t xml:space="preserve">Deelt u de constatering in de </w:t>
      </w:r>
      <w:proofErr w:type="spellStart"/>
      <w:r w:rsidRPr="00676FFF">
        <w:rPr>
          <w:szCs w:val="18"/>
        </w:rPr>
        <w:t>PwC</w:t>
      </w:r>
      <w:proofErr w:type="spellEnd"/>
      <w:r w:rsidRPr="00676FFF">
        <w:rPr>
          <w:szCs w:val="18"/>
        </w:rPr>
        <w:t xml:space="preserve"> barometer dat deze laatste eis voor grote bedrijven vaak niet uitvoerbaar is, omdat grote bedrijven dan vaak tot overeenstemming moeten komen met soms wel honderden schuldeisers? </w:t>
      </w:r>
    </w:p>
    <w:p w:rsidRPr="00676FFF" w:rsidR="00276BAA" w:rsidP="00276BAA" w:rsidRDefault="00276BAA" w14:paraId="6769C8CA" w14:textId="77777777">
      <w:pPr>
        <w:rPr>
          <w:szCs w:val="18"/>
        </w:rPr>
      </w:pPr>
    </w:p>
    <w:p w:rsidRPr="00676FFF" w:rsidR="00276BAA" w:rsidP="00276BAA" w:rsidRDefault="00276BAA" w14:paraId="6048E7E4" w14:textId="77777777">
      <w:pPr>
        <w:rPr>
          <w:szCs w:val="18"/>
        </w:rPr>
      </w:pPr>
      <w:r w:rsidRPr="00676FFF">
        <w:rPr>
          <w:szCs w:val="18"/>
        </w:rPr>
        <w:t>Antwoord</w:t>
      </w:r>
    </w:p>
    <w:p w:rsidRPr="00676FFF" w:rsidR="00276BAA" w:rsidP="00276BAA" w:rsidRDefault="00276BAA" w14:paraId="67F4EEFE" w14:textId="77777777">
      <w:pPr>
        <w:rPr>
          <w:szCs w:val="18"/>
        </w:rPr>
      </w:pPr>
      <w:r w:rsidRPr="00676FFF">
        <w:rPr>
          <w:szCs w:val="18"/>
        </w:rPr>
        <w:t xml:space="preserve">De ontvanger voert ten aanzien van ondernemers in beginsel een stringent uitstel- en kwijtscheldingsbeleid. Een belangrijke reden hiervoor is het risico op concurrentieverstoring. Door het stellen van (strikte) voorwaarden wordt getracht het risico op concurrentieverstoring zo veel mogelijk te beperken. Eén van de voorwaarden waarmee wordt getracht het risico op concurrentieverstoring te beperken ziet op het betrekken van alle crediteuren in een saneringsakkoord. </w:t>
      </w:r>
    </w:p>
    <w:p w:rsidRPr="00676FFF" w:rsidR="00276BAA" w:rsidP="00276BAA" w:rsidRDefault="00276BAA" w14:paraId="3A8165F5" w14:textId="77777777">
      <w:pPr>
        <w:rPr>
          <w:szCs w:val="18"/>
        </w:rPr>
      </w:pPr>
    </w:p>
    <w:p w:rsidRPr="00676FFF" w:rsidR="00276BAA" w:rsidP="00276BAA" w:rsidRDefault="00276BAA" w14:paraId="1131401F" w14:textId="77777777">
      <w:pPr>
        <w:rPr>
          <w:szCs w:val="18"/>
        </w:rPr>
      </w:pPr>
      <w:r w:rsidRPr="00676FFF">
        <w:rPr>
          <w:szCs w:val="18"/>
        </w:rPr>
        <w:t xml:space="preserve">Uit artikel 21 van de Uitvoeringsregeling Invorderingswet 1990 (URIW 1990) volgt de voorwaarde dat kwijtschelding voor rijksbelastingen in de zakelijke sfeer uitsluitend plaatsvindt als onder meer alle crediteuren van de betreffende belastingschuldige in het saneringsakkoord worden betrokken. Naast dat met de hiervoor genoemde voorwaarde het risico op concurrentieverstoring kan worden beperkt, doet het ook recht aan de positie van de ontvanger en het belang van een succesvolle inning van belastinggelden. </w:t>
      </w:r>
    </w:p>
    <w:p w:rsidRPr="00676FFF" w:rsidR="00276BAA" w:rsidP="00276BAA" w:rsidRDefault="00276BAA" w14:paraId="2975B01E" w14:textId="77777777">
      <w:pPr>
        <w:rPr>
          <w:szCs w:val="18"/>
        </w:rPr>
      </w:pPr>
    </w:p>
    <w:p w:rsidRPr="00676FFF" w:rsidR="00276BAA" w:rsidP="00276BAA" w:rsidRDefault="00276BAA" w14:paraId="22F233FC" w14:textId="77777777">
      <w:pPr>
        <w:rPr>
          <w:szCs w:val="18"/>
        </w:rPr>
      </w:pPr>
      <w:r w:rsidRPr="00676FFF">
        <w:rPr>
          <w:szCs w:val="18"/>
        </w:rPr>
        <w:t xml:space="preserve">Zonder de eerdergenoemde voorwaarde zou een belastingschuldige ervoor kunnen kiezen zijn andere crediteuren buiten het saneringsakkoord te laten en hun vordering (later) volledig te voldoen, terwijl de ontvanger een (groot) deel van zijn fiscale vordering prijsgeeft en het risico bestaat op een eenzijdige sanering. In 2023 is het risico op eenzijdige saneringen al benoemd </w:t>
      </w:r>
      <w:r w:rsidRPr="00676FFF">
        <w:t xml:space="preserve">door de toenmalige </w:t>
      </w:r>
      <w:r>
        <w:t>s</w:t>
      </w:r>
      <w:r w:rsidRPr="00676FFF">
        <w:t>taatssecretaris van Financiën – Fiscaliteit en Belastingdienst</w:t>
      </w:r>
      <w:r w:rsidRPr="00676FFF">
        <w:rPr>
          <w:szCs w:val="18"/>
        </w:rPr>
        <w:t>.</w:t>
      </w:r>
      <w:r w:rsidRPr="00676FFF">
        <w:rPr>
          <w:szCs w:val="18"/>
          <w:vertAlign w:val="superscript"/>
        </w:rPr>
        <w:footnoteReference w:id="1"/>
      </w:r>
    </w:p>
    <w:p w:rsidRPr="00676FFF" w:rsidR="00276BAA" w:rsidP="00276BAA" w:rsidRDefault="00276BAA" w14:paraId="40C11028" w14:textId="77777777">
      <w:pPr>
        <w:rPr>
          <w:szCs w:val="18"/>
        </w:rPr>
      </w:pPr>
    </w:p>
    <w:p w:rsidRPr="00676FFF" w:rsidR="00276BAA" w:rsidP="00276BAA" w:rsidRDefault="00276BAA" w14:paraId="49959E8E" w14:textId="77777777">
      <w:pPr>
        <w:rPr>
          <w:szCs w:val="18"/>
        </w:rPr>
      </w:pPr>
      <w:r w:rsidRPr="00676FFF">
        <w:rPr>
          <w:szCs w:val="18"/>
        </w:rPr>
        <w:t xml:space="preserve">De </w:t>
      </w:r>
      <w:r>
        <w:rPr>
          <w:szCs w:val="18"/>
        </w:rPr>
        <w:t>s</w:t>
      </w:r>
      <w:r w:rsidRPr="00676FFF">
        <w:rPr>
          <w:szCs w:val="18"/>
        </w:rPr>
        <w:t>taatssecretaris van Financiën is op de hoogte van het aanschrijven van alle crediteuren in het kader van een algeheel saneringsakkoord bezwaarlijk kan zijn voor de belastingschuldige, bijvoorbeeld vanwege de hoeveelheid crediteuren die in het akkoord moeten worden betrokken. In dat kader wordt u gewezen op hetgeen de Belastingdienst in zijn beleid heeft vastgelegd omtrent de onderhavige voorwaarde. In de Leidraad Invordering 2008 (LI 2008) is opgenomen dat een aantal crediteuren van de belastingschuldige vanwege hun onderscheidende positie niet hoeft te worden betrokken in het saneringsakkoord.</w:t>
      </w:r>
      <w:r w:rsidRPr="00676FFF">
        <w:rPr>
          <w:szCs w:val="18"/>
          <w:vertAlign w:val="superscript"/>
        </w:rPr>
        <w:footnoteReference w:id="2"/>
      </w:r>
      <w:r w:rsidRPr="00676FFF">
        <w:rPr>
          <w:szCs w:val="18"/>
        </w:rPr>
        <w:t xml:space="preserve"> Het gaat hierbij onder meer om pandhouders en zogenaamde dwangcrediteuren. Bij een dwangcrediteur kan worden gedacht aan een leverancier die niet wenst mee te werken aan een saneringsakkoord, terwijl die leverancier wel noodzakelijk is voor de continuïteit van de onderneming. De ontvanger heeft derhalve ruimte om bij de onderhavige voorwaarde maatwerk te bieden, waarmee in voorkomend geval tegemoet wordt </w:t>
      </w:r>
      <w:r w:rsidRPr="00676FFF">
        <w:rPr>
          <w:szCs w:val="18"/>
        </w:rPr>
        <w:lastRenderedPageBreak/>
        <w:t>gekomen aan bezwaren van de belastingschuldige bij het aanbieden van een akkoord.</w:t>
      </w:r>
    </w:p>
    <w:p w:rsidRPr="00676FFF" w:rsidR="00276BAA" w:rsidP="00276BAA" w:rsidRDefault="00276BAA" w14:paraId="0BF08721" w14:textId="77777777">
      <w:pPr>
        <w:rPr>
          <w:szCs w:val="18"/>
        </w:rPr>
      </w:pPr>
    </w:p>
    <w:p w:rsidRPr="00676FFF" w:rsidR="00276BAA" w:rsidP="00276BAA" w:rsidRDefault="00276BAA" w14:paraId="257CB2CA" w14:textId="77777777">
      <w:pPr>
        <w:rPr>
          <w:szCs w:val="18"/>
        </w:rPr>
      </w:pPr>
      <w:r w:rsidRPr="00676FFF">
        <w:rPr>
          <w:szCs w:val="18"/>
        </w:rPr>
        <w:t xml:space="preserve">Door de </w:t>
      </w:r>
      <w:r w:rsidRPr="00676FFF">
        <w:t>Wet homologatie onderhands akkoord (</w:t>
      </w:r>
      <w:r w:rsidRPr="00676FFF">
        <w:rPr>
          <w:szCs w:val="18"/>
        </w:rPr>
        <w:t>WHOA) is er voor ondernemers met financiële problemen een extra mogelijkheid – naast de bestaande mogelijkheid om buiten faillissement of surseance van betaling door een schuldeisersakkoord tot afspraken met crediteuren te kunnen komen − ontstaan om tot een oplossing te komen voor deze financiële problemen. Hierbij heeft de wetgever bewust gekeken naar het verbeteren van de positie van concurrente crediteuren. Daarnaast heeft de wetgever een regeling willen creëren die niet alleen bruikbaar is voor grote bedrijven, maar ook voor het midden- en kleinbedrijf.</w:t>
      </w:r>
      <w:r w:rsidRPr="00676FFF">
        <w:rPr>
          <w:szCs w:val="18"/>
          <w:vertAlign w:val="superscript"/>
        </w:rPr>
        <w:footnoteReference w:id="3"/>
      </w:r>
      <w:r w:rsidRPr="00676FFF">
        <w:rPr>
          <w:szCs w:val="18"/>
        </w:rPr>
        <w:t xml:space="preserve"> </w:t>
      </w:r>
    </w:p>
    <w:p w:rsidRPr="00676FFF" w:rsidR="00276BAA" w:rsidP="00276BAA" w:rsidRDefault="00276BAA" w14:paraId="3BE3B2E5" w14:textId="77777777">
      <w:pPr>
        <w:rPr>
          <w:szCs w:val="18"/>
        </w:rPr>
      </w:pPr>
    </w:p>
    <w:p w:rsidRPr="00676FFF" w:rsidR="00276BAA" w:rsidP="00276BAA" w:rsidRDefault="00276BAA" w14:paraId="2952C7EB" w14:textId="77777777">
      <w:pPr>
        <w:rPr>
          <w:szCs w:val="18"/>
        </w:rPr>
      </w:pPr>
      <w:r w:rsidRPr="00676FFF">
        <w:rPr>
          <w:szCs w:val="18"/>
        </w:rPr>
        <w:t xml:space="preserve">In de Bijzonder Beheer Barometer van </w:t>
      </w:r>
      <w:proofErr w:type="spellStart"/>
      <w:r w:rsidRPr="00676FFF">
        <w:rPr>
          <w:szCs w:val="18"/>
        </w:rPr>
        <w:t>PwC</w:t>
      </w:r>
      <w:proofErr w:type="spellEnd"/>
      <w:r w:rsidRPr="00676FFF">
        <w:rPr>
          <w:szCs w:val="18"/>
        </w:rPr>
        <w:t xml:space="preserve"> wordt opgemerkt dat de WHOA juist wél ruimte zou bieden om operationele crediteuren (zoals leveranciers) buiten een herstructurering te houden. Hierbij moet worden benadrukt dat die ruimte beperkt is. Een van de uitgangspunten van de WHOA is dat de reorganisatiewaarde die met het akkoord wordt bereikt wordt verdeeld overeenkomstig de wettelijke rangorde van schuldeisers</w:t>
      </w:r>
      <w:r w:rsidRPr="00676FFF">
        <w:rPr>
          <w:rStyle w:val="Voetnootmarkering"/>
          <w:szCs w:val="18"/>
        </w:rPr>
        <w:footnoteReference w:id="4"/>
      </w:r>
      <w:r w:rsidRPr="00676FFF">
        <w:rPr>
          <w:szCs w:val="18"/>
        </w:rPr>
        <w:t xml:space="preserve">. Die rangorde wordt geschonden indien de concurrente vorderingen van de leveranciers integraal worden betaald terwijl de preferente belastingschulden (partieel) worden kwijtgescholden. </w:t>
      </w:r>
    </w:p>
    <w:p w:rsidRPr="00676FFF" w:rsidR="00276BAA" w:rsidP="00276BAA" w:rsidRDefault="00276BAA" w14:paraId="67CC5C35" w14:textId="77777777">
      <w:pPr>
        <w:rPr>
          <w:szCs w:val="18"/>
        </w:rPr>
      </w:pPr>
    </w:p>
    <w:p w:rsidRPr="00676FFF" w:rsidR="00276BAA" w:rsidP="00276BAA" w:rsidRDefault="00276BAA" w14:paraId="25FA554A" w14:textId="77777777">
      <w:pPr>
        <w:rPr>
          <w:szCs w:val="18"/>
        </w:rPr>
      </w:pPr>
      <w:r w:rsidRPr="00676FFF">
        <w:rPr>
          <w:szCs w:val="18"/>
        </w:rPr>
        <w:t>De WHOA regels bieden dus geen vrijbrief om handelscrediteuren zoals leveranciers categorisch buiten een aan de Belastingdienst aangeboden akkoord te houden. Wel is het zo, dat een uitzondering mogelijk is indien daartoe een “redelijke grond” bestaat. Dit biedt soms enige ruimte om bijvoorbeeld kleinere handelsvorderingen buiten het akkoord te laten. Een akkoord in het kader van de WHOA is overigens niet een-op-een te vergelijken met een buitengerechtelijk saneringsakkoord. Beide trajecten hebben hun eigen voorwaarden en eigen achtergrond. Op meerdere punten wijkt een akkoord in het kader van de WHOA af van een buitengerechtelijk akkoord. Bij het buitengerechtelijk akkoord wordt bijvoorbeeld niet gewerkt met klassen en geldt ook niet de zogenaamde 20%-regel</w:t>
      </w:r>
      <w:r w:rsidRPr="00676FFF">
        <w:rPr>
          <w:szCs w:val="18"/>
          <w:vertAlign w:val="superscript"/>
        </w:rPr>
        <w:footnoteReference w:id="5"/>
      </w:r>
      <w:r w:rsidRPr="00676FFF">
        <w:rPr>
          <w:szCs w:val="18"/>
        </w:rPr>
        <w:t xml:space="preserve">.  </w:t>
      </w:r>
    </w:p>
    <w:p w:rsidRPr="00676FFF" w:rsidR="00276BAA" w:rsidP="00276BAA" w:rsidRDefault="00276BAA" w14:paraId="0FA6D147" w14:textId="77777777">
      <w:pPr>
        <w:rPr>
          <w:szCs w:val="18"/>
        </w:rPr>
      </w:pPr>
    </w:p>
    <w:p w:rsidRPr="00676FFF" w:rsidR="00276BAA" w:rsidP="00276BAA" w:rsidRDefault="00276BAA" w14:paraId="0DB738A9" w14:textId="77777777">
      <w:pPr>
        <w:rPr>
          <w:szCs w:val="18"/>
        </w:rPr>
      </w:pPr>
      <w:r w:rsidRPr="00676FFF">
        <w:rPr>
          <w:szCs w:val="18"/>
        </w:rPr>
        <w:t xml:space="preserve">Tot slot is in dit kader relevant om op te merken dat binnen het ministerie van Financiën en de Belastingdienst met enige regelmaat wordt onderzocht of het kwijtscheldingsbeleid dient te worden aangepast. De ontvanger voert ten aanzien van ondernemers in beginsel een stringent uitstel- en kwijtscheldingsbeleid. Een </w:t>
      </w:r>
      <w:r w:rsidRPr="00676FFF">
        <w:rPr>
          <w:szCs w:val="18"/>
        </w:rPr>
        <w:lastRenderedPageBreak/>
        <w:t>belangrijke reden hiervoor is het risico op concurrentieverstoring. Door het stellen van (strikte) voorwaarden wordt getracht het risico op concurrentieverstoring zo veel mogelijk te beperken. Eén van de voorwaarden waarmee wordt getracht het risico op concurrentieverstoring te beperken ziet op het betrekken van alle crediteuren in een saneringsakkoord. Uit artikel 21 van de Uitvoeringsregeling Invorderingswet 1990 (URIW 1990) volgt de voorwaarde dat kwijtschelding voor rijksbelastingen in de zakelijke sfeer uitsluitend plaatsvindt als onder meer alle crediteuren van de betreffende belastingschuldige in het saneringsakkoord worden betrokken. Naast dat met de hiervoor genoemde voorwaarde het risico op concurrentieverstoring kan worden beperkt, doet het ook recht aan de positie van de ontvanger en het belang van een succesvolle inning van belastinggelden. Zonder de eerdergenoemde voorwaarde zou een belastingschuldige ervoor kunnen kiezen zijn andere crediteuren buiten het saneringsakkoord te laten en hun vordering (later) volledig te voldoen, terwijl de ontvanger een (groot) deel van zijn vordering prijsgeeft en het risico bestaat op een eenzijdige sanering. Ik heb in 2023 uw Kamer geïnformeerd over het risico op eenzijdige saneringen.</w:t>
      </w:r>
      <w:r w:rsidRPr="00676FFF">
        <w:rPr>
          <w:szCs w:val="18"/>
          <w:vertAlign w:val="superscript"/>
        </w:rPr>
        <w:footnoteReference w:id="6"/>
      </w:r>
    </w:p>
    <w:p w:rsidRPr="00676FFF" w:rsidR="00276BAA" w:rsidP="00276BAA" w:rsidRDefault="00276BAA" w14:paraId="490550C9" w14:textId="77777777">
      <w:pPr>
        <w:rPr>
          <w:szCs w:val="18"/>
        </w:rPr>
      </w:pPr>
    </w:p>
    <w:p w:rsidRPr="00676FFF" w:rsidR="00276BAA" w:rsidP="00276BAA" w:rsidRDefault="00276BAA" w14:paraId="6BF8FAFF" w14:textId="77777777">
      <w:pPr>
        <w:rPr>
          <w:szCs w:val="18"/>
        </w:rPr>
      </w:pPr>
      <w:r w:rsidRPr="00676FFF">
        <w:rPr>
          <w:szCs w:val="18"/>
        </w:rPr>
        <w:t>Ik ben mij ervan bewust dat het aanschrijven van alle crediteuren in het kader van een algeheel saneringsakkoord bezwaarlijk kan zijn voor de belastingschuldige, bijvoorbeeld vanwege de hoeveelheid crediteuren die in het akkoord moeten worden betrokken. In dat kader wijs ik uw Kamer op hetgeen de Belastingdienst in zijn beleid heeft vastgelegd omtrent de onderhavige voorwaarde. In de Leidraad Invordering 2008 (LI 2008) is opgenomen dat een aantal crediteuren van de belastingschuldige vanwege hun onderscheidende positie niet hoeft te worden betrokken in het saneringsakkoord.</w:t>
      </w:r>
      <w:r w:rsidRPr="00676FFF">
        <w:rPr>
          <w:szCs w:val="18"/>
          <w:vertAlign w:val="superscript"/>
        </w:rPr>
        <w:footnoteReference w:id="7"/>
      </w:r>
      <w:r w:rsidRPr="00676FFF">
        <w:rPr>
          <w:szCs w:val="18"/>
        </w:rPr>
        <w:t xml:space="preserve"> Het gaat hierbij onder meer om pandhouders en zogenaamde dwangcrediteuren. Bij een dwangcrediteur kan worden gedacht aan een leverancier die niet wenst mee te werken aan een saneringsakkoord, terwijl die leverancier wel noodzakelijk is voor de continuïteit van de onderneming. De ontvanger heeft derhalve ruimte om bij de onderhavige voorwaarde maatwerk te bieden, waarmee in voorkomend geval tegemoet wordt gekomen aan bezwaren van de belastingschuldige bij het aanbieden van een akkoord.</w:t>
      </w:r>
    </w:p>
    <w:p w:rsidRPr="00676FFF" w:rsidR="00276BAA" w:rsidP="00276BAA" w:rsidRDefault="00276BAA" w14:paraId="49C1E985" w14:textId="77777777">
      <w:pPr>
        <w:rPr>
          <w:szCs w:val="18"/>
        </w:rPr>
      </w:pPr>
    </w:p>
    <w:p w:rsidRPr="00676FFF" w:rsidR="00276BAA" w:rsidP="00276BAA" w:rsidRDefault="00276BAA" w14:paraId="2F2867E9" w14:textId="77777777">
      <w:pPr>
        <w:rPr>
          <w:szCs w:val="18"/>
        </w:rPr>
      </w:pPr>
      <w:r w:rsidRPr="00676FFF">
        <w:rPr>
          <w:szCs w:val="18"/>
        </w:rPr>
        <w:t xml:space="preserve">Door de Wet homologatie onderhands akkoord (WHOA) is er voor ondernemers met financiële problemen een extra mogelijkheid – naast de bestaande mogelijkheid om buiten faillissement of surseance van betaling door een schuldeisersakkoord tot afspraken met crediteuren te kunnen komen − ontstaan om tot een oplossing te komen voor deze financiële problemen. Hierbij hebben wij bewust gekeken naar het verbeteren van de positie van concurrente crediteuren. Daarnaast hebben wij een regeling willen creëren die niet alleen bruikbaar is voor grote bedrijven, maar ook voor het midden- en kleinbedrijf. In de Bijzonder Beheer Barometer van </w:t>
      </w:r>
      <w:proofErr w:type="spellStart"/>
      <w:r w:rsidRPr="00676FFF">
        <w:rPr>
          <w:szCs w:val="18"/>
        </w:rPr>
        <w:t>PwC</w:t>
      </w:r>
      <w:proofErr w:type="spellEnd"/>
      <w:r w:rsidRPr="00676FFF">
        <w:rPr>
          <w:szCs w:val="18"/>
        </w:rPr>
        <w:t xml:space="preserve"> wordt </w:t>
      </w:r>
      <w:r w:rsidRPr="00676FFF">
        <w:rPr>
          <w:szCs w:val="18"/>
        </w:rPr>
        <w:lastRenderedPageBreak/>
        <w:t>opgemerkt dat de WHOA juist wél ruimte biedt om operationele crediteuren buiten een herstructurering te houden. In het kader van een WHOA-akkoord is beleidsmatig vastgelegd dat de ontvanger kan afwijken van de voorwaarde dat alle schuldeisers dienen mee te werken aan het saneringsakkoord. Een akkoord in het kader van de WHOA is niet een-op-een te vergelijken met een buitengerechtelijk saneringsakkoord. Beide trajecten hebben hun eigen voorwaarden en eigen achtergrond. Op meerdere punten wijkt een akkoord in het kader van de WHOA af van een buitengerechtelijk akkoord. Bij het buitengerechtelijk akkoord wordt bijvoorbeeld niet gewerkt met klassen en geldt ook niet de zogenaamde 20%-regel</w:t>
      </w:r>
      <w:r w:rsidRPr="00676FFF">
        <w:rPr>
          <w:szCs w:val="18"/>
          <w:vertAlign w:val="superscript"/>
        </w:rPr>
        <w:footnoteReference w:id="8"/>
      </w:r>
      <w:r w:rsidRPr="00676FFF">
        <w:rPr>
          <w:szCs w:val="18"/>
        </w:rPr>
        <w:t xml:space="preserve">.  </w:t>
      </w:r>
    </w:p>
    <w:p w:rsidRPr="00676FFF" w:rsidR="00276BAA" w:rsidP="00276BAA" w:rsidRDefault="00276BAA" w14:paraId="3C273242" w14:textId="77777777">
      <w:pPr>
        <w:rPr>
          <w:szCs w:val="18"/>
        </w:rPr>
      </w:pPr>
    </w:p>
    <w:p w:rsidRPr="00676FFF" w:rsidR="00276BAA" w:rsidP="00276BAA" w:rsidRDefault="00276BAA" w14:paraId="46BFD4EF" w14:textId="77777777">
      <w:pPr>
        <w:rPr>
          <w:szCs w:val="18"/>
        </w:rPr>
      </w:pPr>
      <w:r w:rsidRPr="00676FFF">
        <w:rPr>
          <w:szCs w:val="18"/>
        </w:rPr>
        <w:t xml:space="preserve">Tot slot is in dit kader relevant om op te merken dat binnen het ministerie van Financiën en de Belastingdienst met enige regelmaat wordt onderzocht of het kwijtscheldingsbeleid dient te worden aangepast. Op dit moment wordt door het ministerie van Financiën en de Belastingdienst actief bekeken of het kwijtscheldingsbeleid dat heeft te gelden bij rijksbelastingen in de zakelijke sfeer verandering behoeft en zo ja op welke manier. Het voorgaande omvat mede de in de URIW 1990 opgenomen voorwaarde dat de belastingschuldige al zijn crediteuren bij het saneringsakkoord dient te betrekken om in aanmerking te kunnen komen voor kwijtschelding van rijksbelastingen in de zakelijke sfeer. Mocht blijken dat aanpassing van deze voorwaarde − of een andere voorwaarde die heeft te gelden − noodzakelijk en wenselijk is en duidelijk is op welke wijze het kwijtscheldingsbeleid vervolgens dient te worden aangepast, zal ik de noodzakelijke en wenselijke wijziging in de URIW 1990 of LI 2008 doorvoeren. </w:t>
      </w:r>
    </w:p>
    <w:p w:rsidRPr="00676FFF" w:rsidR="00276BAA" w:rsidP="00276BAA" w:rsidRDefault="00276BAA" w14:paraId="4858AF30" w14:textId="77777777">
      <w:r w:rsidRPr="00676FFF">
        <w:t xml:space="preserve">Uiteraard worden hiervoor signalen uit de praktijk nauwlettend gemonitord. </w:t>
      </w:r>
    </w:p>
    <w:p w:rsidRPr="00676FFF" w:rsidR="00276BAA" w:rsidP="00276BAA" w:rsidRDefault="00276BAA" w14:paraId="0D45A087" w14:textId="77777777">
      <w:pPr>
        <w:rPr>
          <w:szCs w:val="18"/>
        </w:rPr>
      </w:pPr>
    </w:p>
    <w:p w:rsidRPr="00676FFF" w:rsidR="00276BAA" w:rsidP="00276BAA" w:rsidRDefault="00276BAA" w14:paraId="432C1796" w14:textId="77777777">
      <w:pPr>
        <w:rPr>
          <w:szCs w:val="18"/>
        </w:rPr>
      </w:pPr>
      <w:r w:rsidRPr="00676FFF">
        <w:rPr>
          <w:szCs w:val="18"/>
        </w:rPr>
        <w:t>5</w:t>
      </w:r>
    </w:p>
    <w:p w:rsidRPr="00676FFF" w:rsidR="00276BAA" w:rsidP="00276BAA" w:rsidRDefault="00276BAA" w14:paraId="0D91A658" w14:textId="77777777">
      <w:pPr>
        <w:rPr>
          <w:szCs w:val="18"/>
        </w:rPr>
      </w:pPr>
      <w:r w:rsidRPr="00676FFF">
        <w:rPr>
          <w:szCs w:val="18"/>
        </w:rPr>
        <w:t xml:space="preserve">Deelt u de mening dat deze eis van de Belastingdienst temeer onuitvoerbaar is voor bedrijven omdat het informeren van vele schuldeisers de onrust onder schuldeisers kan aanwakkeren en daarom de financiële situatie van het anders levensvatbare bedrijf verder kan doen laten verslechteren? </w:t>
      </w:r>
    </w:p>
    <w:p w:rsidRPr="00676FFF" w:rsidR="00276BAA" w:rsidP="00276BAA" w:rsidRDefault="00276BAA" w14:paraId="27A73112" w14:textId="77777777">
      <w:pPr>
        <w:rPr>
          <w:szCs w:val="18"/>
        </w:rPr>
      </w:pPr>
    </w:p>
    <w:p w:rsidRPr="00676FFF" w:rsidR="00276BAA" w:rsidP="00276BAA" w:rsidRDefault="00276BAA" w14:paraId="541254BB" w14:textId="77777777">
      <w:pPr>
        <w:rPr>
          <w:szCs w:val="18"/>
        </w:rPr>
      </w:pPr>
      <w:r w:rsidRPr="00676FFF">
        <w:rPr>
          <w:szCs w:val="18"/>
        </w:rPr>
        <w:t>Antwoord</w:t>
      </w:r>
    </w:p>
    <w:p w:rsidRPr="00676FFF" w:rsidR="00276BAA" w:rsidP="00276BAA" w:rsidRDefault="00276BAA" w14:paraId="5E4977ED" w14:textId="77777777">
      <w:pPr>
        <w:rPr>
          <w:szCs w:val="18"/>
        </w:rPr>
      </w:pPr>
      <w:r w:rsidRPr="00676FFF">
        <w:rPr>
          <w:szCs w:val="18"/>
        </w:rPr>
        <w:t>Zie het antwoord op vraag 4.</w:t>
      </w:r>
    </w:p>
    <w:p w:rsidRPr="00676FFF" w:rsidR="00276BAA" w:rsidP="00276BAA" w:rsidRDefault="00276BAA" w14:paraId="438AB1D0" w14:textId="77777777">
      <w:pPr>
        <w:rPr>
          <w:szCs w:val="18"/>
        </w:rPr>
      </w:pPr>
    </w:p>
    <w:p w:rsidRPr="00676FFF" w:rsidR="00276BAA" w:rsidP="00276BAA" w:rsidRDefault="00276BAA" w14:paraId="3AD455EC" w14:textId="77777777">
      <w:pPr>
        <w:rPr>
          <w:szCs w:val="18"/>
        </w:rPr>
      </w:pPr>
      <w:r w:rsidRPr="00676FFF">
        <w:rPr>
          <w:szCs w:val="18"/>
        </w:rPr>
        <w:t xml:space="preserve">6 </w:t>
      </w:r>
    </w:p>
    <w:p w:rsidRPr="00676FFF" w:rsidR="00276BAA" w:rsidP="00276BAA" w:rsidRDefault="00276BAA" w14:paraId="7EF12502" w14:textId="77777777">
      <w:pPr>
        <w:rPr>
          <w:szCs w:val="18"/>
        </w:rPr>
      </w:pPr>
      <w:r w:rsidRPr="00676FFF">
        <w:rPr>
          <w:szCs w:val="18"/>
        </w:rPr>
        <w:lastRenderedPageBreak/>
        <w:t xml:space="preserve">Indien bevestigend beantwoord bij vraag 3 en 4, ziet u reden tot aanpassing van de Wet Homologatie Onderhands Akkoord (WHOA), waarin deze eis van de Belastingdienst wordt geregeld. </w:t>
      </w:r>
    </w:p>
    <w:p w:rsidRPr="00676FFF" w:rsidR="00276BAA" w:rsidP="00276BAA" w:rsidRDefault="00276BAA" w14:paraId="0425BB9C" w14:textId="77777777">
      <w:pPr>
        <w:rPr>
          <w:szCs w:val="18"/>
        </w:rPr>
      </w:pPr>
    </w:p>
    <w:p w:rsidRPr="00676FFF" w:rsidR="00276BAA" w:rsidP="00276BAA" w:rsidRDefault="00276BAA" w14:paraId="369B0925" w14:textId="77777777">
      <w:pPr>
        <w:rPr>
          <w:szCs w:val="18"/>
        </w:rPr>
      </w:pPr>
      <w:r w:rsidRPr="00676FFF">
        <w:rPr>
          <w:szCs w:val="18"/>
        </w:rPr>
        <w:t>Antwoord</w:t>
      </w:r>
    </w:p>
    <w:p w:rsidRPr="00676FFF" w:rsidR="00276BAA" w:rsidP="00276BAA" w:rsidRDefault="00276BAA" w14:paraId="74BA9021" w14:textId="77777777">
      <w:pPr>
        <w:rPr>
          <w:szCs w:val="18"/>
        </w:rPr>
      </w:pPr>
      <w:r w:rsidRPr="00676FFF">
        <w:rPr>
          <w:szCs w:val="18"/>
        </w:rPr>
        <w:t>Zie het antwoord op vraag 4.</w:t>
      </w:r>
    </w:p>
    <w:p w:rsidRPr="00676FFF" w:rsidR="00276BAA" w:rsidP="00276BAA" w:rsidRDefault="00276BAA" w14:paraId="34382AF7" w14:textId="77777777">
      <w:pPr>
        <w:rPr>
          <w:szCs w:val="18"/>
        </w:rPr>
      </w:pPr>
    </w:p>
    <w:p w:rsidRPr="00676FFF" w:rsidR="00276BAA" w:rsidP="00276BAA" w:rsidRDefault="00276BAA" w14:paraId="69D50BA3" w14:textId="77777777">
      <w:pPr>
        <w:rPr>
          <w:szCs w:val="18"/>
        </w:rPr>
      </w:pPr>
      <w:r w:rsidRPr="00676FFF">
        <w:rPr>
          <w:szCs w:val="18"/>
        </w:rPr>
        <w:t xml:space="preserve">7 </w:t>
      </w:r>
    </w:p>
    <w:p w:rsidRPr="00676FFF" w:rsidR="00276BAA" w:rsidP="00276BAA" w:rsidRDefault="00276BAA" w14:paraId="2D2C581D" w14:textId="77777777">
      <w:pPr>
        <w:rPr>
          <w:szCs w:val="18"/>
        </w:rPr>
      </w:pPr>
      <w:r w:rsidRPr="00676FFF">
        <w:rPr>
          <w:szCs w:val="18"/>
        </w:rPr>
        <w:t xml:space="preserve">Deelt u de constatering uit de </w:t>
      </w:r>
      <w:proofErr w:type="spellStart"/>
      <w:r w:rsidRPr="00676FFF">
        <w:rPr>
          <w:szCs w:val="18"/>
        </w:rPr>
        <w:t>PwC</w:t>
      </w:r>
      <w:proofErr w:type="spellEnd"/>
      <w:r w:rsidRPr="00676FFF">
        <w:rPr>
          <w:szCs w:val="18"/>
        </w:rPr>
        <w:t xml:space="preserve"> barometer dat deze eis al snel resulteert in een hogere betalingsverplichting over die twaalf maanden dan zonder sanering, waardoor deze eis van de Belastingdienst eveneens onuitvoerbaar is voor veel bedrijven? Zo ja, ziet u reden tot aanpassing van deze voorwaarde van de Belastingdienst?</w:t>
      </w:r>
    </w:p>
    <w:p w:rsidRPr="00676FFF" w:rsidR="00276BAA" w:rsidP="00276BAA" w:rsidRDefault="00276BAA" w14:paraId="193D1998" w14:textId="77777777">
      <w:pPr>
        <w:rPr>
          <w:szCs w:val="18"/>
        </w:rPr>
      </w:pPr>
    </w:p>
    <w:p w:rsidRPr="00676FFF" w:rsidR="00276BAA" w:rsidP="00276BAA" w:rsidRDefault="00276BAA" w14:paraId="580B9384" w14:textId="77777777">
      <w:pPr>
        <w:rPr>
          <w:szCs w:val="18"/>
        </w:rPr>
      </w:pPr>
      <w:r w:rsidRPr="00676FFF">
        <w:rPr>
          <w:szCs w:val="18"/>
        </w:rPr>
        <w:t>Antwoord</w:t>
      </w:r>
    </w:p>
    <w:p w:rsidRPr="00676FFF" w:rsidR="00276BAA" w:rsidP="00276BAA" w:rsidRDefault="00276BAA" w14:paraId="4F270ABD" w14:textId="77777777">
      <w:pPr>
        <w:rPr>
          <w:szCs w:val="18"/>
        </w:rPr>
      </w:pPr>
      <w:r w:rsidRPr="00676FFF">
        <w:rPr>
          <w:szCs w:val="18"/>
        </w:rPr>
        <w:t xml:space="preserve">Het saneringsbeleid van de Belastingdienst voorziet erin dat een afgesproken saneringsbedrag ook daadwerkelijk door middel van een betalingsregeling kan worden voldaan. Daaraan worden diverse voorwaarden gesteld. Zo bedraagt de maximale duur in beginsel twaalf maanden. </w:t>
      </w:r>
    </w:p>
    <w:p w:rsidRPr="00676FFF" w:rsidR="00276BAA" w:rsidP="00276BAA" w:rsidRDefault="00276BAA" w14:paraId="27D3E20F" w14:textId="77777777">
      <w:pPr>
        <w:rPr>
          <w:szCs w:val="18"/>
        </w:rPr>
      </w:pPr>
    </w:p>
    <w:p w:rsidRPr="00676FFF" w:rsidR="00276BAA" w:rsidP="00276BAA" w:rsidRDefault="00276BAA" w14:paraId="0694146C" w14:textId="77777777">
      <w:pPr>
        <w:rPr>
          <w:szCs w:val="18"/>
        </w:rPr>
      </w:pPr>
      <w:r w:rsidRPr="00676FFF">
        <w:rPr>
          <w:szCs w:val="18"/>
        </w:rPr>
        <w:t xml:space="preserve">Uit de </w:t>
      </w:r>
      <w:proofErr w:type="spellStart"/>
      <w:r w:rsidRPr="00676FFF">
        <w:rPr>
          <w:szCs w:val="18"/>
        </w:rPr>
        <w:t>PwC</w:t>
      </w:r>
      <w:proofErr w:type="spellEnd"/>
      <w:r w:rsidRPr="00676FFF">
        <w:rPr>
          <w:szCs w:val="18"/>
        </w:rPr>
        <w:t xml:space="preserve"> barometer valt af te leiden dat </w:t>
      </w:r>
      <w:proofErr w:type="spellStart"/>
      <w:r w:rsidRPr="00676FFF">
        <w:rPr>
          <w:szCs w:val="18"/>
        </w:rPr>
        <w:t>PwC</w:t>
      </w:r>
      <w:proofErr w:type="spellEnd"/>
      <w:r w:rsidRPr="00676FFF">
        <w:rPr>
          <w:szCs w:val="18"/>
        </w:rPr>
        <w:t xml:space="preserve"> van mening is dat het goed zou zijn om de eerdergenoemde maximale aflossingstermijn te verlengen naar 5 tot 7</w:t>
      </w:r>
      <w:r>
        <w:rPr>
          <w:szCs w:val="18"/>
        </w:rPr>
        <w:t> </w:t>
      </w:r>
      <w:r w:rsidRPr="00676FFF">
        <w:rPr>
          <w:szCs w:val="18"/>
        </w:rPr>
        <w:t xml:space="preserve">jaar. Het is echter heel lastig om voor een zodanig lange periode aannemelijk te maken dat aan de aflossingsverplichtingen en nieuw opkomende fiscale verplichtingen kan worden voldaan. Uit gesprekken met betrokken partijen blijkt dat een prognose </w:t>
      </w:r>
      <w:r w:rsidRPr="00676FFF">
        <w:rPr>
          <w:rFonts w:cstheme="minorHAnsi"/>
          <w:color w:val="000000"/>
        </w:rPr>
        <w:t>over zo’n lange periode in de regel</w:t>
      </w:r>
      <w:r w:rsidRPr="00676FFF" w:rsidDel="00B93084">
        <w:rPr>
          <w:szCs w:val="18"/>
        </w:rPr>
        <w:t xml:space="preserve"> </w:t>
      </w:r>
      <w:r w:rsidRPr="00676FFF">
        <w:rPr>
          <w:szCs w:val="18"/>
        </w:rPr>
        <w:t xml:space="preserve">nauwelijks betrouwbaar is. Als de Belastingdienst akkoord zou gaan in dergelijke gevallen, moet hij dus een akkoord aanvaarden zonder dat geborgd is dat alle voorwaarden door de belastingschuldige kunnen worden nagekomen. Voor de betrokken belastingschuldige en diens andere schuldeisers blijft gedurende de gehele periode onzeker of de fiscale kwijtschelding een feit is. Dat is immers pas zeker na voldoening van de laatste termijn. Het voorstel van </w:t>
      </w:r>
      <w:proofErr w:type="spellStart"/>
      <w:r w:rsidRPr="00676FFF">
        <w:rPr>
          <w:szCs w:val="18"/>
        </w:rPr>
        <w:t>PwC</w:t>
      </w:r>
      <w:proofErr w:type="spellEnd"/>
      <w:r w:rsidRPr="00676FFF">
        <w:rPr>
          <w:szCs w:val="18"/>
        </w:rPr>
        <w:t xml:space="preserve"> wordt daarom niet onderschreven. </w:t>
      </w:r>
    </w:p>
    <w:p w:rsidRPr="00676FFF" w:rsidR="00276BAA" w:rsidP="00276BAA" w:rsidRDefault="00276BAA" w14:paraId="79E024D5" w14:textId="77777777">
      <w:pPr>
        <w:rPr>
          <w:szCs w:val="18"/>
        </w:rPr>
      </w:pPr>
    </w:p>
    <w:p w:rsidRPr="00676FFF" w:rsidR="00276BAA" w:rsidP="00276BAA" w:rsidRDefault="00276BAA" w14:paraId="26F20906" w14:textId="77777777">
      <w:pPr>
        <w:rPr>
          <w:szCs w:val="18"/>
        </w:rPr>
      </w:pPr>
      <w:r w:rsidRPr="00676FFF">
        <w:rPr>
          <w:szCs w:val="18"/>
        </w:rPr>
        <w:t xml:space="preserve">Het is echter niet op voorhand uitgesloten dat in individuele uitzonderlijke gevallen de Belastingdienst akkoord gaat met een aflossingsperiode van langer dan twaalf maanden. Wel zal de nakoming van het akkoord voldoende gewaarborgd moeten </w:t>
      </w:r>
      <w:r w:rsidRPr="00676FFF">
        <w:rPr>
          <w:szCs w:val="18"/>
        </w:rPr>
        <w:lastRenderedPageBreak/>
        <w:t>kunnen worden.</w:t>
      </w:r>
      <w:r w:rsidRPr="00676FFF">
        <w:rPr>
          <w:rStyle w:val="Voetnootmarkering"/>
          <w:szCs w:val="18"/>
        </w:rPr>
        <w:footnoteReference w:id="9"/>
      </w:r>
      <w:r w:rsidRPr="00676FFF">
        <w:rPr>
          <w:szCs w:val="18"/>
        </w:rPr>
        <w:t xml:space="preserve"> Elementen die daarbij een rol kunnen spelen zijn onder meer de door of namens de aanvrager verstrekte prognoses en onderbouwing daarvan en het onderbouwde oordeel van de eigen waarderingsdeskundige van de Belastingdienst daarover. </w:t>
      </w:r>
    </w:p>
    <w:p w:rsidRPr="00676FFF" w:rsidR="00276BAA" w:rsidP="00276BAA" w:rsidRDefault="00276BAA" w14:paraId="2E50F895" w14:textId="77777777">
      <w:pPr>
        <w:rPr>
          <w:szCs w:val="18"/>
        </w:rPr>
      </w:pPr>
    </w:p>
    <w:p w:rsidRPr="00676FFF" w:rsidR="00276BAA" w:rsidP="00276BAA" w:rsidRDefault="00276BAA" w14:paraId="735D37F4" w14:textId="77777777">
      <w:pPr>
        <w:rPr>
          <w:szCs w:val="18"/>
        </w:rPr>
      </w:pPr>
      <w:r w:rsidRPr="00676FFF">
        <w:rPr>
          <w:szCs w:val="18"/>
        </w:rPr>
        <w:t>8</w:t>
      </w:r>
    </w:p>
    <w:p w:rsidRPr="00676FFF" w:rsidR="00276BAA" w:rsidP="00276BAA" w:rsidRDefault="00276BAA" w14:paraId="5A3884F3" w14:textId="77777777">
      <w:pPr>
        <w:rPr>
          <w:szCs w:val="18"/>
        </w:rPr>
      </w:pPr>
      <w:r w:rsidRPr="00676FFF">
        <w:rPr>
          <w:szCs w:val="18"/>
        </w:rPr>
        <w:t>Kunt u deze vragen beantwoorden vóór 20 februari 2025, zodat de beantwoording kan worden betrokken bij het commissiedebat Belastingdienst?</w:t>
      </w:r>
    </w:p>
    <w:p w:rsidRPr="00676FFF" w:rsidR="00276BAA" w:rsidP="00276BAA" w:rsidRDefault="00276BAA" w14:paraId="45513B1D" w14:textId="77777777">
      <w:pPr>
        <w:rPr>
          <w:szCs w:val="18"/>
        </w:rPr>
      </w:pPr>
    </w:p>
    <w:p w:rsidRPr="00676FFF" w:rsidR="00276BAA" w:rsidP="00276BAA" w:rsidRDefault="00276BAA" w14:paraId="5855A365" w14:textId="77777777">
      <w:pPr>
        <w:rPr>
          <w:szCs w:val="18"/>
        </w:rPr>
      </w:pPr>
      <w:r w:rsidRPr="00676FFF">
        <w:rPr>
          <w:szCs w:val="18"/>
        </w:rPr>
        <w:t>Antwoord</w:t>
      </w:r>
    </w:p>
    <w:p w:rsidRPr="00676FFF" w:rsidR="00276BAA" w:rsidP="00276BAA" w:rsidRDefault="00276BAA" w14:paraId="686A4E0E" w14:textId="77777777">
      <w:r w:rsidRPr="00676FFF">
        <w:rPr>
          <w:szCs w:val="18"/>
        </w:rPr>
        <w:t xml:space="preserve">Nee, de beantwoording heeft door afstemming helaas langer geduurd. </w:t>
      </w:r>
    </w:p>
    <w:p w:rsidRPr="00676FFF" w:rsidR="00276BAA" w:rsidP="00276BAA" w:rsidRDefault="00276BAA" w14:paraId="51414C4C" w14:textId="77777777"/>
    <w:p w:rsidR="00A55AA3" w:rsidRDefault="00A55AA3" w14:paraId="5118D7F3" w14:textId="77777777"/>
    <w:sectPr w:rsidR="00A55AA3" w:rsidSect="00276BA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68A8" w14:textId="77777777" w:rsidR="00276BAA" w:rsidRDefault="00276BAA" w:rsidP="00276BAA">
      <w:pPr>
        <w:spacing w:after="0" w:line="240" w:lineRule="auto"/>
      </w:pPr>
      <w:r>
        <w:separator/>
      </w:r>
    </w:p>
  </w:endnote>
  <w:endnote w:type="continuationSeparator" w:id="0">
    <w:p w14:paraId="60761B12" w14:textId="77777777" w:rsidR="00276BAA" w:rsidRDefault="00276BAA" w:rsidP="0027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6BA3" w14:textId="77777777" w:rsidR="00276BAA" w:rsidRPr="00276BAA" w:rsidRDefault="00276BAA" w:rsidP="00276B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33FD" w14:textId="77777777" w:rsidR="00276BAA" w:rsidRPr="00276BAA" w:rsidRDefault="00276BAA" w:rsidP="00276B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2EB5" w14:textId="77777777" w:rsidR="00276BAA" w:rsidRPr="00276BAA" w:rsidRDefault="00276BAA" w:rsidP="00276B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F8EB" w14:textId="77777777" w:rsidR="00276BAA" w:rsidRDefault="00276BAA" w:rsidP="00276BAA">
      <w:pPr>
        <w:spacing w:after="0" w:line="240" w:lineRule="auto"/>
      </w:pPr>
      <w:r>
        <w:separator/>
      </w:r>
    </w:p>
  </w:footnote>
  <w:footnote w:type="continuationSeparator" w:id="0">
    <w:p w14:paraId="11EB84B9" w14:textId="77777777" w:rsidR="00276BAA" w:rsidRDefault="00276BAA" w:rsidP="00276BAA">
      <w:pPr>
        <w:spacing w:after="0" w:line="240" w:lineRule="auto"/>
      </w:pPr>
      <w:r>
        <w:continuationSeparator/>
      </w:r>
    </w:p>
  </w:footnote>
  <w:footnote w:id="1">
    <w:p w14:paraId="035910A0" w14:textId="77777777" w:rsidR="00276BAA" w:rsidRPr="00676FFF" w:rsidRDefault="00276BAA" w:rsidP="00276BAA">
      <w:pPr>
        <w:pStyle w:val="Voetnoottekst"/>
        <w:rPr>
          <w:rFonts w:asciiTheme="minorHAnsi" w:hAnsiTheme="minorHAnsi"/>
          <w:szCs w:val="13"/>
        </w:rPr>
      </w:pPr>
      <w:r w:rsidRPr="00676FFF">
        <w:rPr>
          <w:rStyle w:val="Voetnootmarkering"/>
          <w:rFonts w:eastAsiaTheme="majorEastAsia"/>
          <w:szCs w:val="13"/>
        </w:rPr>
        <w:footnoteRef/>
      </w:r>
      <w:r w:rsidRPr="00676FFF">
        <w:rPr>
          <w:szCs w:val="13"/>
        </w:rPr>
        <w:t xml:space="preserve"> Kamerstukken II, 2023/24, 31 066 nr. 1300.</w:t>
      </w:r>
    </w:p>
  </w:footnote>
  <w:footnote w:id="2">
    <w:p w14:paraId="0ADF7822" w14:textId="77777777" w:rsidR="00276BAA" w:rsidRPr="00676FFF" w:rsidRDefault="00276BAA" w:rsidP="00276BAA">
      <w:pPr>
        <w:pStyle w:val="Voetnoottekst"/>
        <w:rPr>
          <w:szCs w:val="13"/>
        </w:rPr>
      </w:pPr>
      <w:r w:rsidRPr="00676FFF">
        <w:rPr>
          <w:rStyle w:val="Voetnootmarkering"/>
          <w:rFonts w:eastAsiaTheme="majorEastAsia"/>
          <w:szCs w:val="13"/>
        </w:rPr>
        <w:footnoteRef/>
      </w:r>
      <w:r w:rsidRPr="00676FFF">
        <w:rPr>
          <w:szCs w:val="13"/>
        </w:rPr>
        <w:t xml:space="preserve"> Zie artikel 26.3.8. van de Leidraad Invordering 2008.</w:t>
      </w:r>
    </w:p>
  </w:footnote>
  <w:footnote w:id="3">
    <w:p w14:paraId="3A10780F" w14:textId="77777777" w:rsidR="00276BAA" w:rsidRPr="00676FFF" w:rsidRDefault="00276BAA" w:rsidP="00276BAA">
      <w:pPr>
        <w:pStyle w:val="Voetnoottekst"/>
        <w:rPr>
          <w:szCs w:val="13"/>
        </w:rPr>
      </w:pPr>
      <w:r w:rsidRPr="00676FFF">
        <w:rPr>
          <w:rStyle w:val="Voetnootmarkering"/>
          <w:rFonts w:eastAsiaTheme="majorEastAsia"/>
          <w:szCs w:val="13"/>
        </w:rPr>
        <w:footnoteRef/>
      </w:r>
      <w:r w:rsidRPr="00676FFF">
        <w:rPr>
          <w:szCs w:val="13"/>
        </w:rPr>
        <w:t xml:space="preserve"> Kamerstukken II 2018/19, 35 249, nr. 3.</w:t>
      </w:r>
    </w:p>
  </w:footnote>
  <w:footnote w:id="4">
    <w:p w14:paraId="24DAAAC5" w14:textId="77777777" w:rsidR="00276BAA" w:rsidRPr="00676FFF" w:rsidRDefault="00276BAA" w:rsidP="00276BAA">
      <w:pPr>
        <w:pStyle w:val="Voetnoottekst"/>
        <w:rPr>
          <w:szCs w:val="13"/>
        </w:rPr>
      </w:pPr>
      <w:r w:rsidRPr="00676FFF">
        <w:rPr>
          <w:rStyle w:val="Voetnootmarkering"/>
          <w:szCs w:val="13"/>
        </w:rPr>
        <w:footnoteRef/>
      </w:r>
      <w:r w:rsidRPr="00676FFF">
        <w:rPr>
          <w:szCs w:val="13"/>
        </w:rPr>
        <w:t xml:space="preserve"> Artikel 384 lid 4 sub b </w:t>
      </w:r>
      <w:proofErr w:type="spellStart"/>
      <w:r w:rsidRPr="00676FFF">
        <w:rPr>
          <w:szCs w:val="13"/>
        </w:rPr>
        <w:t>Fw</w:t>
      </w:r>
      <w:proofErr w:type="spellEnd"/>
      <w:r w:rsidRPr="00676FFF">
        <w:rPr>
          <w:szCs w:val="13"/>
        </w:rPr>
        <w:t>.</w:t>
      </w:r>
    </w:p>
  </w:footnote>
  <w:footnote w:id="5">
    <w:p w14:paraId="73D620CE" w14:textId="77777777" w:rsidR="00276BAA" w:rsidRPr="00676FFF" w:rsidRDefault="00276BAA" w:rsidP="00276BAA">
      <w:pPr>
        <w:pStyle w:val="Voetnoottekst"/>
        <w:rPr>
          <w:szCs w:val="13"/>
        </w:rPr>
      </w:pPr>
      <w:r w:rsidRPr="00676FFF">
        <w:rPr>
          <w:rStyle w:val="Voetnootmarkering"/>
          <w:rFonts w:eastAsiaTheme="majorEastAsia"/>
          <w:szCs w:val="13"/>
        </w:rPr>
        <w:footnoteRef/>
      </w:r>
      <w:r w:rsidRPr="00676FFF">
        <w:rPr>
          <w:szCs w:val="13"/>
        </w:rPr>
        <w:t xml:space="preserve"> De 20%-regel houdt in dat (kleine) concurrente crediteuren in beginsel minimaal 20% van hun openstaande schuld bij een akkoord betaald dienen te krijgen, met als gevolg dat de positie van concurrente crediteuren bij een akkoord wordt verbeterd.</w:t>
      </w:r>
    </w:p>
  </w:footnote>
  <w:footnote w:id="6">
    <w:p w14:paraId="78B5657C" w14:textId="77777777" w:rsidR="00276BAA" w:rsidRPr="00676FFF" w:rsidRDefault="00276BAA" w:rsidP="00276BAA">
      <w:pPr>
        <w:pStyle w:val="Voetnoottekst"/>
        <w:rPr>
          <w:rFonts w:asciiTheme="minorHAnsi" w:hAnsiTheme="minorHAnsi"/>
          <w:szCs w:val="13"/>
        </w:rPr>
      </w:pPr>
      <w:r w:rsidRPr="00676FFF">
        <w:rPr>
          <w:rStyle w:val="Voetnootmarkering"/>
          <w:rFonts w:eastAsiaTheme="majorEastAsia"/>
          <w:szCs w:val="13"/>
        </w:rPr>
        <w:footnoteRef/>
      </w:r>
      <w:r w:rsidRPr="00676FFF">
        <w:rPr>
          <w:szCs w:val="13"/>
        </w:rPr>
        <w:t xml:space="preserve"> Kamerstukken II, 2023/24, 31 066 nr. 1300.</w:t>
      </w:r>
    </w:p>
  </w:footnote>
  <w:footnote w:id="7">
    <w:p w14:paraId="6203408E" w14:textId="77777777" w:rsidR="00276BAA" w:rsidRPr="00676FFF" w:rsidRDefault="00276BAA" w:rsidP="00276BAA">
      <w:pPr>
        <w:pStyle w:val="Voetnoottekst"/>
        <w:rPr>
          <w:szCs w:val="13"/>
        </w:rPr>
      </w:pPr>
      <w:r w:rsidRPr="00676FFF">
        <w:rPr>
          <w:rStyle w:val="Voetnootmarkering"/>
          <w:rFonts w:eastAsiaTheme="majorEastAsia"/>
          <w:szCs w:val="13"/>
        </w:rPr>
        <w:footnoteRef/>
      </w:r>
      <w:r w:rsidRPr="00676FFF">
        <w:rPr>
          <w:szCs w:val="13"/>
        </w:rPr>
        <w:t xml:space="preserve"> Zie artikel 26.3.8. van de Leidraad Invordering 2008.</w:t>
      </w:r>
    </w:p>
  </w:footnote>
  <w:footnote w:id="8">
    <w:p w14:paraId="31D060D4" w14:textId="77777777" w:rsidR="00276BAA" w:rsidRPr="00676FFF" w:rsidRDefault="00276BAA" w:rsidP="00276BAA">
      <w:pPr>
        <w:pStyle w:val="Voetnoottekst"/>
        <w:rPr>
          <w:szCs w:val="13"/>
        </w:rPr>
      </w:pPr>
      <w:r w:rsidRPr="00676FFF">
        <w:rPr>
          <w:rStyle w:val="Voetnootmarkering"/>
          <w:rFonts w:eastAsiaTheme="majorEastAsia"/>
          <w:szCs w:val="13"/>
        </w:rPr>
        <w:footnoteRef/>
      </w:r>
      <w:r w:rsidRPr="00676FFF">
        <w:rPr>
          <w:szCs w:val="13"/>
        </w:rPr>
        <w:t xml:space="preserve"> De 20%-regel houdt in dat (kleine) concurrente crediteuren in beginsel minimaal 20% van hun openstaande schuld bij een akkoord betaald dienen te krijgen, met als gevolg dat de positie van concurrente crediteuren bij een akkoord wordt verbeterd.</w:t>
      </w:r>
    </w:p>
  </w:footnote>
  <w:footnote w:id="9">
    <w:p w14:paraId="221F654E" w14:textId="77777777" w:rsidR="00276BAA" w:rsidRPr="00676FFF" w:rsidRDefault="00276BAA" w:rsidP="00276BAA">
      <w:pPr>
        <w:pStyle w:val="Voetnoottekst"/>
        <w:rPr>
          <w:szCs w:val="13"/>
        </w:rPr>
      </w:pPr>
      <w:r w:rsidRPr="00676FFF">
        <w:rPr>
          <w:rStyle w:val="Voetnootmarkering"/>
          <w:szCs w:val="13"/>
        </w:rPr>
        <w:footnoteRef/>
      </w:r>
      <w:r w:rsidRPr="00676FFF">
        <w:rPr>
          <w:szCs w:val="13"/>
        </w:rPr>
        <w:t xml:space="preserve"> Dat komt overeen met de norm die onder de WHOA wordt gesteld, zie artikel 384 lid 2 sub e </w:t>
      </w:r>
      <w:proofErr w:type="spellStart"/>
      <w:r w:rsidRPr="00676FFF">
        <w:rPr>
          <w:szCs w:val="13"/>
        </w:rPr>
        <w:t>Fw</w:t>
      </w:r>
      <w:proofErr w:type="spellEnd"/>
      <w:r w:rsidRPr="00676FFF">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3525" w14:textId="77777777" w:rsidR="00276BAA" w:rsidRPr="00276BAA" w:rsidRDefault="00276BAA" w:rsidP="00276B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9F3A" w14:textId="77777777" w:rsidR="00276BAA" w:rsidRPr="00276BAA" w:rsidRDefault="00276BAA" w:rsidP="00276B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6D14" w14:textId="77777777" w:rsidR="00276BAA" w:rsidRPr="00276BAA" w:rsidRDefault="00276BAA" w:rsidP="00276B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AA"/>
    <w:rsid w:val="00276BAA"/>
    <w:rsid w:val="00A55AA3"/>
    <w:rsid w:val="00C85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C2AE"/>
  <w15:chartTrackingRefBased/>
  <w15:docId w15:val="{E16170D2-6781-415D-9A08-3490D575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B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6B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6BA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6BA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6BA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6B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B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B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B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B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6B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6BA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6BA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6BA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6B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B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B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BAA"/>
    <w:rPr>
      <w:rFonts w:eastAsiaTheme="majorEastAsia" w:cstheme="majorBidi"/>
      <w:color w:val="272727" w:themeColor="text1" w:themeTint="D8"/>
    </w:rPr>
  </w:style>
  <w:style w:type="paragraph" w:styleId="Titel">
    <w:name w:val="Title"/>
    <w:basedOn w:val="Standaard"/>
    <w:next w:val="Standaard"/>
    <w:link w:val="TitelChar"/>
    <w:uiPriority w:val="10"/>
    <w:qFormat/>
    <w:rsid w:val="00276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B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B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B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B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BAA"/>
    <w:rPr>
      <w:i/>
      <w:iCs/>
      <w:color w:val="404040" w:themeColor="text1" w:themeTint="BF"/>
    </w:rPr>
  </w:style>
  <w:style w:type="paragraph" w:styleId="Lijstalinea">
    <w:name w:val="List Paragraph"/>
    <w:basedOn w:val="Standaard"/>
    <w:uiPriority w:val="34"/>
    <w:qFormat/>
    <w:rsid w:val="00276BAA"/>
    <w:pPr>
      <w:ind w:left="720"/>
      <w:contextualSpacing/>
    </w:pPr>
  </w:style>
  <w:style w:type="character" w:styleId="Intensievebenadrukking">
    <w:name w:val="Intense Emphasis"/>
    <w:basedOn w:val="Standaardalinea-lettertype"/>
    <w:uiPriority w:val="21"/>
    <w:qFormat/>
    <w:rsid w:val="00276BAA"/>
    <w:rPr>
      <w:i/>
      <w:iCs/>
      <w:color w:val="2F5496" w:themeColor="accent1" w:themeShade="BF"/>
    </w:rPr>
  </w:style>
  <w:style w:type="paragraph" w:styleId="Duidelijkcitaat">
    <w:name w:val="Intense Quote"/>
    <w:basedOn w:val="Standaard"/>
    <w:next w:val="Standaard"/>
    <w:link w:val="DuidelijkcitaatChar"/>
    <w:uiPriority w:val="30"/>
    <w:qFormat/>
    <w:rsid w:val="00276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6BAA"/>
    <w:rPr>
      <w:i/>
      <w:iCs/>
      <w:color w:val="2F5496" w:themeColor="accent1" w:themeShade="BF"/>
    </w:rPr>
  </w:style>
  <w:style w:type="character" w:styleId="Intensieveverwijzing">
    <w:name w:val="Intense Reference"/>
    <w:basedOn w:val="Standaardalinea-lettertype"/>
    <w:uiPriority w:val="32"/>
    <w:qFormat/>
    <w:rsid w:val="00276BAA"/>
    <w:rPr>
      <w:b/>
      <w:bCs/>
      <w:smallCaps/>
      <w:color w:val="2F5496" w:themeColor="accent1" w:themeShade="BF"/>
      <w:spacing w:val="5"/>
    </w:rPr>
  </w:style>
  <w:style w:type="paragraph" w:styleId="Koptekst">
    <w:name w:val="header"/>
    <w:basedOn w:val="Standaard"/>
    <w:link w:val="KoptekstChar"/>
    <w:rsid w:val="00276B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76B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76B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76B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76B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76BAA"/>
    <w:rPr>
      <w:rFonts w:ascii="Verdana" w:hAnsi="Verdana"/>
      <w:noProof/>
      <w:sz w:val="13"/>
      <w:szCs w:val="24"/>
      <w:lang w:eastAsia="nl-NL"/>
    </w:rPr>
  </w:style>
  <w:style w:type="paragraph" w:customStyle="1" w:styleId="Huisstijl-Gegeven">
    <w:name w:val="Huisstijl-Gegeven"/>
    <w:basedOn w:val="Standaard"/>
    <w:link w:val="Huisstijl-GegevenCharChar"/>
    <w:rsid w:val="00276B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76B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76BA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76BA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76BAA"/>
    <w:pPr>
      <w:spacing w:after="0"/>
    </w:pPr>
    <w:rPr>
      <w:b/>
    </w:rPr>
  </w:style>
  <w:style w:type="paragraph" w:customStyle="1" w:styleId="Huisstijl-Paginanummering">
    <w:name w:val="Huisstijl-Paginanummering"/>
    <w:basedOn w:val="Standaard"/>
    <w:rsid w:val="00276BA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76BA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76BA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76BA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76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2482</ap:Words>
  <ap:Characters>13655</ap:Characters>
  <ap:DocSecurity>0</ap:DocSecurity>
  <ap:Lines>113</ap:Lines>
  <ap:Paragraphs>32</ap:Paragraphs>
  <ap:ScaleCrop>false</ap:ScaleCrop>
  <ap:LinksUpToDate>false</ap:LinksUpToDate>
  <ap:CharactersWithSpaces>16105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2025-03-03T12:15:00.0000000Z</dcterms:created>
  <dcterms:modified xsi:type="dcterms:W3CDTF">2025-03-03T12:16:00.0000000Z</dcterms:modified>
  <version/>
  <category/>
</coreProperties>
</file>