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E1C" w:rsidRDefault="005B2E1C" w14:paraId="2F0FCDC3" w14:textId="77777777">
      <w:bookmarkStart w:name="_GoBack" w:id="0"/>
      <w:bookmarkEnd w:id="0"/>
    </w:p>
    <w:p w:rsidR="00E13C47" w:rsidRDefault="00E13C47" w14:paraId="0D66F721" w14:textId="77777777"/>
    <w:p w:rsidR="00E13C47" w:rsidRDefault="00E13C47" w14:paraId="6374B8AD" w14:textId="77777777"/>
    <w:p w:rsidRPr="00827E6D" w:rsidR="00817FF2" w:rsidP="00E13C47" w:rsidRDefault="00E13C47" w14:paraId="3B0ED4AB" w14:textId="77777777">
      <w:r w:rsidRPr="00827E6D">
        <w:t xml:space="preserve">In antwoord op uw brief van 4 februari 2025 deel ik u </w:t>
      </w:r>
      <w:r w:rsidRPr="00827E6D" w:rsidR="00C71600">
        <w:t xml:space="preserve">hierbij </w:t>
      </w:r>
      <w:r w:rsidRPr="00827E6D">
        <w:t>mee dat de schriftelijke vragen van het lid Van Nispen (SP),</w:t>
      </w:r>
      <w:r w:rsidRPr="00827E6D" w:rsidR="00611024">
        <w:rPr>
          <w:rStyle w:val="Voetnootmarkering"/>
        </w:rPr>
        <w:footnoteReference w:id="1"/>
      </w:r>
      <w:r w:rsidRPr="00827E6D">
        <w:t xml:space="preserve"> inzake de oproep van het Openbaar Ministerie om de wetgeving tegen corruptie te verbeteren, worden beantwoord in de bijlage bij deze brief.</w:t>
      </w:r>
      <w:r w:rsidRPr="00827E6D" w:rsidR="00C71600">
        <w:t xml:space="preserve"> </w:t>
      </w:r>
    </w:p>
    <w:p w:rsidRPr="00827E6D" w:rsidR="00817FF2" w:rsidP="00E13C47" w:rsidRDefault="00817FF2" w14:paraId="2A082686" w14:textId="77777777"/>
    <w:p w:rsidRPr="00827E6D" w:rsidR="00E13C47" w:rsidP="00E13C47" w:rsidRDefault="00C71600" w14:paraId="7D70E16B" w14:textId="43017591">
      <w:r w:rsidRPr="00827E6D">
        <w:t xml:space="preserve">Hiermee wordt ook </w:t>
      </w:r>
      <w:r w:rsidRPr="00827E6D" w:rsidR="00142C2F">
        <w:t xml:space="preserve">uitvoering </w:t>
      </w:r>
      <w:r w:rsidRPr="00827E6D">
        <w:t xml:space="preserve">gegeven aan </w:t>
      </w:r>
      <w:r w:rsidRPr="00827E6D" w:rsidR="00142C2F">
        <w:t>de toezegging aan het</w:t>
      </w:r>
      <w:r w:rsidRPr="00827E6D">
        <w:t xml:space="preserve"> lid Sneller tijdens het plenaire debat van 4 februari jl. om een reactie op dit signaal van het Openbaar Ministerie te geven.</w:t>
      </w:r>
    </w:p>
    <w:p w:rsidRPr="00827E6D" w:rsidR="00E13C47" w:rsidP="00E13C47" w:rsidRDefault="00E13C47" w14:paraId="6E84C386" w14:textId="77777777"/>
    <w:p w:rsidRPr="00827E6D" w:rsidR="00E13C47" w:rsidP="00E13C47" w:rsidRDefault="00E13C47" w14:paraId="764DDD0B" w14:textId="77777777"/>
    <w:p w:rsidRPr="00827E6D" w:rsidR="00E13C47" w:rsidP="00E13C47" w:rsidRDefault="00E13C47" w14:paraId="2425E875" w14:textId="326F5282">
      <w:r w:rsidRPr="00827E6D">
        <w:t xml:space="preserve">De </w:t>
      </w:r>
      <w:r w:rsidRPr="00827E6D" w:rsidR="00827E6D">
        <w:t>M</w:t>
      </w:r>
      <w:r w:rsidRPr="00827E6D">
        <w:t>inister van Justitie en Veiligheid,</w:t>
      </w:r>
    </w:p>
    <w:p w:rsidRPr="00827E6D" w:rsidR="00E13C47" w:rsidP="00E13C47" w:rsidRDefault="00E13C47" w14:paraId="5D5394E9" w14:textId="77777777"/>
    <w:p w:rsidRPr="00827E6D" w:rsidR="00E13C47" w:rsidP="00E13C47" w:rsidRDefault="00E13C47" w14:paraId="6A84A8A0" w14:textId="77777777"/>
    <w:p w:rsidRPr="00827E6D" w:rsidR="00E13C47" w:rsidP="00E13C47" w:rsidRDefault="00E13C47" w14:paraId="7E45F73C" w14:textId="77777777"/>
    <w:p w:rsidRPr="00827E6D" w:rsidR="00E13C47" w:rsidP="00E13C47" w:rsidRDefault="00E13C47" w14:paraId="5D2AB554" w14:textId="77777777"/>
    <w:p w:rsidRPr="00827E6D" w:rsidR="00E13C47" w:rsidP="00E13C47" w:rsidRDefault="00E13C47" w14:paraId="4A7B2D29" w14:textId="77777777">
      <w:r w:rsidRPr="00827E6D">
        <w:t>D.M. van Weel</w:t>
      </w:r>
    </w:p>
    <w:p w:rsidRPr="00827E6D" w:rsidR="00E13C47" w:rsidP="00E13C47" w:rsidRDefault="00E13C47" w14:paraId="0CE5AFCD" w14:textId="77777777"/>
    <w:p w:rsidRPr="00827E6D" w:rsidR="00E13C47" w:rsidP="00E13C47" w:rsidRDefault="00E13C47" w14:paraId="2E0F5136" w14:textId="77777777"/>
    <w:p w:rsidRPr="00827E6D" w:rsidR="00E13C47" w:rsidP="00E13C47" w:rsidRDefault="00E13C47" w14:paraId="7365166B" w14:textId="77777777"/>
    <w:p w:rsidRPr="00827E6D" w:rsidR="00E13C47" w:rsidP="00E13C47" w:rsidRDefault="00E13C47" w14:paraId="667A9915" w14:textId="77777777"/>
    <w:p w:rsidRPr="00827E6D" w:rsidR="00E13C47" w:rsidP="00E13C47" w:rsidRDefault="00E13C47" w14:paraId="7377C94D" w14:textId="77777777"/>
    <w:p w:rsidRPr="00827E6D" w:rsidR="00E13C47" w:rsidP="00E13C47" w:rsidRDefault="00E13C47" w14:paraId="25BDB0C0" w14:textId="77777777"/>
    <w:p w:rsidRPr="00827E6D" w:rsidR="00E13C47" w:rsidP="00E13C47" w:rsidRDefault="00E13C47" w14:paraId="219C1DF9" w14:textId="77777777"/>
    <w:p w:rsidRPr="00827E6D" w:rsidR="00E13C47" w:rsidP="00E13C47" w:rsidRDefault="00E13C47" w14:paraId="3278AB19" w14:textId="77777777"/>
    <w:p w:rsidRPr="00827E6D" w:rsidR="00E13C47" w:rsidP="00E13C47" w:rsidRDefault="00E13C47" w14:paraId="320CB2AF" w14:textId="77777777"/>
    <w:p w:rsidRPr="00827E6D" w:rsidR="00E13C47" w:rsidP="00E13C47" w:rsidRDefault="00E13C47" w14:paraId="3DB9263C" w14:textId="77777777"/>
    <w:p w:rsidRPr="00827E6D" w:rsidR="00E13C47" w:rsidP="00E13C47" w:rsidRDefault="00E13C47" w14:paraId="2E96D07A" w14:textId="77777777"/>
    <w:p w:rsidRPr="00827E6D" w:rsidR="00E13C47" w:rsidP="00E13C47" w:rsidRDefault="00E13C47" w14:paraId="30BDF3B1" w14:textId="77777777"/>
    <w:p w:rsidRPr="00827E6D" w:rsidR="00E13C47" w:rsidP="00E13C47" w:rsidRDefault="00E13C47" w14:paraId="1C7900CA" w14:textId="77777777"/>
    <w:p w:rsidRPr="00827E6D" w:rsidR="00E13C47" w:rsidP="00E13C47" w:rsidRDefault="00E13C47" w14:paraId="0F0785A5" w14:textId="77777777"/>
    <w:p w:rsidRPr="00827E6D" w:rsidR="00E13C47" w:rsidP="00E13C47" w:rsidRDefault="00E13C47" w14:paraId="221EA3F1" w14:textId="77777777"/>
    <w:p w:rsidRPr="00827E6D" w:rsidR="00E13C47" w:rsidP="00E13C47" w:rsidRDefault="00E13C47" w14:paraId="45030EDD" w14:textId="77777777"/>
    <w:p w:rsidRPr="00827E6D" w:rsidR="00E13C47" w:rsidP="00E13C47" w:rsidRDefault="00E13C47" w14:paraId="3061F286" w14:textId="77777777"/>
    <w:p w:rsidRPr="00827E6D" w:rsidR="00E13C47" w:rsidP="00E13C47" w:rsidRDefault="00E13C47" w14:paraId="30366371" w14:textId="77777777"/>
    <w:p w:rsidR="00824B7F" w:rsidP="00E13C47" w:rsidRDefault="00817FF2" w14:paraId="600A2F78" w14:textId="77777777">
      <w:pPr>
        <w:rPr>
          <w:b/>
          <w:bCs/>
        </w:rPr>
      </w:pPr>
      <w:r w:rsidRPr="00827E6D">
        <w:rPr>
          <w:b/>
          <w:bCs/>
        </w:rPr>
        <w:lastRenderedPageBreak/>
        <w:t>Vragen van het lid Van Nispen (SP) aan de minister van Justitie en Veiligheid over de oproep van het Openbaar Ministerie om de wetgeving tegen corruptie te verbeteren</w:t>
      </w:r>
    </w:p>
    <w:p w:rsidRPr="00827E6D" w:rsidR="00E13C47" w:rsidP="00824B7F" w:rsidRDefault="00817FF2" w14:paraId="60416BDC" w14:textId="7EB89A7B">
      <w:pPr>
        <w:pBdr>
          <w:bottom w:val="single" w:color="auto" w:sz="4" w:space="1"/>
        </w:pBdr>
        <w:rPr>
          <w:b/>
          <w:bCs/>
        </w:rPr>
      </w:pPr>
      <w:r w:rsidRPr="00827E6D">
        <w:rPr>
          <w:b/>
          <w:bCs/>
        </w:rPr>
        <w:t>(</w:t>
      </w:r>
      <w:r w:rsidRPr="00827E6D" w:rsidR="00E13C47">
        <w:rPr>
          <w:b/>
          <w:bCs/>
        </w:rPr>
        <w:t>ingezonden 4 februari 2025</w:t>
      </w:r>
      <w:r w:rsidR="00824B7F">
        <w:rPr>
          <w:b/>
          <w:bCs/>
        </w:rPr>
        <w:t xml:space="preserve">, </w:t>
      </w:r>
      <w:r w:rsidRPr="00827E6D" w:rsidR="00824B7F">
        <w:rPr>
          <w:b/>
          <w:bCs/>
        </w:rPr>
        <w:t>2025Z01900</w:t>
      </w:r>
      <w:r w:rsidRPr="00827E6D" w:rsidR="00E13C47">
        <w:rPr>
          <w:b/>
          <w:bCs/>
        </w:rPr>
        <w:t>)</w:t>
      </w:r>
    </w:p>
    <w:p w:rsidRPr="00827E6D" w:rsidR="00E13C47" w:rsidP="00E13C47" w:rsidRDefault="00E13C47" w14:paraId="084BB234" w14:textId="7D5EAA7E"/>
    <w:p w:rsidR="00824B7F" w:rsidP="00E13C47" w:rsidRDefault="00824B7F" w14:paraId="4CB66BA0" w14:textId="77777777">
      <w:pPr>
        <w:rPr>
          <w:b/>
          <w:bCs/>
        </w:rPr>
      </w:pPr>
    </w:p>
    <w:p w:rsidRPr="00827E6D" w:rsidR="00E13C47" w:rsidP="00E13C47" w:rsidRDefault="00817FF2" w14:paraId="31052537" w14:textId="0B0B5487">
      <w:pPr>
        <w:rPr>
          <w:b/>
          <w:bCs/>
        </w:rPr>
      </w:pPr>
      <w:r w:rsidRPr="00827E6D">
        <w:rPr>
          <w:b/>
          <w:bCs/>
        </w:rPr>
        <w:t>Vraag 1</w:t>
      </w:r>
    </w:p>
    <w:p w:rsidRPr="00827E6D" w:rsidR="00E13C47" w:rsidP="00E13C47" w:rsidRDefault="00E13C47" w14:paraId="2D718FB7" w14:textId="77777777">
      <w:pPr>
        <w:rPr>
          <w:b/>
          <w:bCs/>
        </w:rPr>
      </w:pPr>
      <w:r w:rsidRPr="00827E6D">
        <w:rPr>
          <w:b/>
          <w:bCs/>
        </w:rPr>
        <w:t>Wat is uw reactie op de oproep en de waarschuwing van het Openbaar Ministerie en de Rijksrecherche dat de Nederlandse wet te weinig mogelijkheden biedt om ambtenaren te vervolgen wegens beweerde corruptie? 1)</w:t>
      </w:r>
    </w:p>
    <w:p w:rsidRPr="00827E6D" w:rsidR="00817FF2" w:rsidP="00E13C47" w:rsidRDefault="00817FF2" w14:paraId="399417D7" w14:textId="77777777">
      <w:pPr>
        <w:rPr>
          <w:b/>
          <w:bCs/>
        </w:rPr>
      </w:pPr>
    </w:p>
    <w:p w:rsidRPr="00827E6D" w:rsidR="00817FF2" w:rsidP="00E13C47" w:rsidRDefault="00817FF2" w14:paraId="5B3B1568" w14:textId="250EC9B0">
      <w:pPr>
        <w:rPr>
          <w:b/>
          <w:bCs/>
        </w:rPr>
      </w:pPr>
      <w:r w:rsidRPr="00827E6D">
        <w:rPr>
          <w:b/>
          <w:bCs/>
        </w:rPr>
        <w:t>Antwoord op vraag 1</w:t>
      </w:r>
    </w:p>
    <w:p w:rsidRPr="00827E6D" w:rsidR="00132A19" w:rsidP="00132A19" w:rsidRDefault="00132A19" w14:paraId="2C44D6AD" w14:textId="47ABA116">
      <w:r w:rsidRPr="00827E6D">
        <w:t xml:space="preserve">Het strafrechtelijk kader </w:t>
      </w:r>
      <w:r w:rsidRPr="00827E6D" w:rsidR="00611024">
        <w:t>voor</w:t>
      </w:r>
      <w:r w:rsidRPr="00827E6D">
        <w:t xml:space="preserve"> de aanpak van corruptie wordt regelmatig door Nederland </w:t>
      </w:r>
      <w:r w:rsidRPr="00827E6D" w:rsidR="00611024">
        <w:t>en</w:t>
      </w:r>
      <w:r w:rsidRPr="00827E6D">
        <w:t xml:space="preserve"> internationale anti-corruptiegremia geëvalueerd. Uit het rechtsstaatrapport 2024 van de Europese Commissie volgt bijvoorbeeld dat Nederland in algemene zin over een robuust strafrechtelijk kader voor het bestrijden van corruptiedelicten beschikt</w:t>
      </w:r>
      <w:r w:rsidRPr="00827E6D" w:rsidR="00611024">
        <w:t>.</w:t>
      </w:r>
      <w:r w:rsidRPr="00827E6D" w:rsidR="000F33F6">
        <w:rPr>
          <w:rStyle w:val="Voetnootmarkering"/>
        </w:rPr>
        <w:footnoteReference w:id="2"/>
      </w:r>
      <w:r w:rsidRPr="00827E6D">
        <w:t xml:space="preserve"> </w:t>
      </w:r>
      <w:r w:rsidRPr="00827E6D" w:rsidR="00611024">
        <w:t>O</w:t>
      </w:r>
      <w:r w:rsidRPr="00827E6D">
        <w:t>ok de OESO Working Group on Bribery (WGB) en de Group of States Against Corruption van de Raad van Europa (GRECO) zijn van mening dat de strafbaarstellingen die Nederland</w:t>
      </w:r>
      <w:r w:rsidRPr="00827E6D" w:rsidR="00611024">
        <w:t xml:space="preserve"> voor corruptie</w:t>
      </w:r>
      <w:r w:rsidRPr="00827E6D">
        <w:t xml:space="preserve"> hanteert naar behoren werken.</w:t>
      </w:r>
      <w:r w:rsidRPr="00827E6D" w:rsidR="000F33F6">
        <w:rPr>
          <w:rStyle w:val="Voetnootmarkering"/>
        </w:rPr>
        <w:footnoteReference w:id="3"/>
      </w:r>
      <w:r w:rsidRPr="00827E6D">
        <w:t xml:space="preserve"> </w:t>
      </w:r>
    </w:p>
    <w:p w:rsidRPr="00827E6D" w:rsidR="00132A19" w:rsidP="00132A19" w:rsidRDefault="00132A19" w14:paraId="67EC6271" w14:textId="77777777"/>
    <w:p w:rsidRPr="00827E6D" w:rsidR="00132A19" w:rsidP="00E13C47" w:rsidRDefault="00132A19" w14:paraId="6489420B" w14:textId="21455D81">
      <w:r w:rsidRPr="00827E6D">
        <w:t xml:space="preserve">Buiten dergelijke </w:t>
      </w:r>
      <w:r w:rsidRPr="00827E6D" w:rsidR="00611024">
        <w:t xml:space="preserve">gremia </w:t>
      </w:r>
      <w:r w:rsidRPr="00827E6D">
        <w:t>om overlegt mijn ministerie regelmatig met het O</w:t>
      </w:r>
      <w:r w:rsidRPr="00827E6D" w:rsidR="00611024">
        <w:t xml:space="preserve">penbaar </w:t>
      </w:r>
      <w:r w:rsidRPr="00827E6D">
        <w:t>M</w:t>
      </w:r>
      <w:r w:rsidRPr="00827E6D" w:rsidR="00611024">
        <w:t>inisterie (OM)</w:t>
      </w:r>
      <w:r w:rsidRPr="00827E6D">
        <w:t xml:space="preserve"> en de Rijksrecherche, onder andere over de </w:t>
      </w:r>
      <w:r w:rsidRPr="00827E6D" w:rsidR="00C21542">
        <w:t>huidige anti-corruptie</w:t>
      </w:r>
      <w:r w:rsidRPr="00827E6D">
        <w:t xml:space="preserve">wetgeving. </w:t>
      </w:r>
      <w:r w:rsidRPr="00827E6D" w:rsidR="000F22E8">
        <w:t>Ik heb</w:t>
      </w:r>
      <w:r w:rsidRPr="00827E6D" w:rsidR="00B438DC">
        <w:t xml:space="preserve"> vanuit het </w:t>
      </w:r>
      <w:r w:rsidRPr="00827E6D" w:rsidR="00F95A5A">
        <w:t>OM</w:t>
      </w:r>
      <w:r w:rsidRPr="00827E6D" w:rsidR="00B438DC">
        <w:t xml:space="preserve"> en de Rijksrecherche geen bestuurlijk signaal ontvangen, zoals genoemd in het nieuwsbericht</w:t>
      </w:r>
      <w:r w:rsidRPr="00827E6D" w:rsidR="00841D9B">
        <w:t xml:space="preserve">. </w:t>
      </w:r>
      <w:r w:rsidRPr="00827E6D" w:rsidR="00B73D64">
        <w:t xml:space="preserve">Het OM kijkt intern wel naar de huidige </w:t>
      </w:r>
      <w:r w:rsidRPr="00827E6D" w:rsidR="00D8579B">
        <w:t>wet- en regelgeving</w:t>
      </w:r>
      <w:r w:rsidRPr="00827E6D" w:rsidR="00B73D64">
        <w:t xml:space="preserve"> en </w:t>
      </w:r>
      <w:r w:rsidRPr="00827E6D" w:rsidR="00F95A5A">
        <w:t xml:space="preserve">de vraag </w:t>
      </w:r>
      <w:r w:rsidRPr="00827E6D" w:rsidR="00B73D64">
        <w:t>of die volstaan</w:t>
      </w:r>
      <w:r w:rsidRPr="00827E6D" w:rsidR="000F22E8">
        <w:t>. Mocht ik</w:t>
      </w:r>
      <w:r w:rsidRPr="00827E6D" w:rsidR="0045689C">
        <w:t xml:space="preserve"> op</w:t>
      </w:r>
      <w:r w:rsidRPr="00827E6D" w:rsidR="000F22E8">
        <w:t xml:space="preserve"> basis </w:t>
      </w:r>
      <w:r w:rsidRPr="00827E6D" w:rsidR="00F95A5A">
        <w:t>hiervan</w:t>
      </w:r>
      <w:r w:rsidRPr="00827E6D" w:rsidR="000F22E8">
        <w:t xml:space="preserve"> een advies van het OM krijgen dan ga ik dat te zijner tijd beoordelen. </w:t>
      </w:r>
      <w:r w:rsidRPr="00827E6D" w:rsidR="00AB7867">
        <w:t xml:space="preserve">Ik </w:t>
      </w:r>
      <w:r w:rsidRPr="00827E6D" w:rsidR="00B73D64">
        <w:t xml:space="preserve">heb dus op dit moment </w:t>
      </w:r>
      <w:r w:rsidRPr="00827E6D" w:rsidR="00AB7867">
        <w:t xml:space="preserve">niet het beeld dat de huidige wetgeving onvoldoende mogelijkheden biedt om ambtenaren te vervolgen voor corruptie. </w:t>
      </w:r>
    </w:p>
    <w:p w:rsidRPr="00827E6D" w:rsidR="00E13C47" w:rsidP="00E13C47" w:rsidRDefault="00E13C47" w14:paraId="38CBCA6F" w14:textId="56601E64">
      <w:pPr>
        <w:rPr>
          <w:b/>
          <w:bCs/>
        </w:rPr>
      </w:pPr>
    </w:p>
    <w:p w:rsidRPr="00827E6D" w:rsidR="00E13C47" w:rsidP="00E13C47" w:rsidRDefault="00817FF2" w14:paraId="13B44CB4" w14:textId="77A9800C">
      <w:pPr>
        <w:rPr>
          <w:b/>
          <w:bCs/>
        </w:rPr>
      </w:pPr>
      <w:r w:rsidRPr="00827E6D">
        <w:rPr>
          <w:b/>
          <w:bCs/>
        </w:rPr>
        <w:t>Vraag 2</w:t>
      </w:r>
    </w:p>
    <w:p w:rsidRPr="00827E6D" w:rsidR="00E13C47" w:rsidP="00E13C47" w:rsidRDefault="00E13C47" w14:paraId="06EF633F" w14:textId="77777777">
      <w:pPr>
        <w:rPr>
          <w:b/>
          <w:bCs/>
        </w:rPr>
      </w:pPr>
      <w:r w:rsidRPr="00827E6D">
        <w:rPr>
          <w:b/>
          <w:bCs/>
        </w:rPr>
        <w:t>Ziet u het ook als een lacune dat het OM nu niet kan vervolgen als er onvoldoende bewijs te leveren is dat in ruil voor een gift directe en concrete tegenprestaties zijn geleverd, waardoor het te moeilijk is om corruptie te bewijzen?</w:t>
      </w:r>
    </w:p>
    <w:p w:rsidRPr="00827E6D" w:rsidR="00132A19" w:rsidP="00E13C47" w:rsidRDefault="00132A19" w14:paraId="49816B77" w14:textId="77777777"/>
    <w:p w:rsidRPr="00827E6D" w:rsidR="00817FF2" w:rsidP="00E13C47" w:rsidRDefault="00817FF2" w14:paraId="39C49D9C" w14:textId="3CF36AC8">
      <w:pPr>
        <w:rPr>
          <w:b/>
          <w:bCs/>
        </w:rPr>
      </w:pPr>
      <w:r w:rsidRPr="00827E6D">
        <w:rPr>
          <w:b/>
          <w:bCs/>
        </w:rPr>
        <w:t>Antwoord op vraag 2</w:t>
      </w:r>
    </w:p>
    <w:p w:rsidRPr="00827E6D" w:rsidR="00132A19" w:rsidP="00E13C47" w:rsidRDefault="00C21542" w14:paraId="4D9DD6C8" w14:textId="6357CDCF">
      <w:r w:rsidRPr="00827E6D">
        <w:t>Volgens vaste jurisprudentie van de Hoge Raad is niet vereist dat er een direct verband bestaat tussen de aangenomen gift enerzijds en een concrete tegenprestatie anderzijds. Van omkoping kan ook sprake zijn als het doel van de giften is om een voorkeursbehandeling te krijgen</w:t>
      </w:r>
      <w:r w:rsidRPr="00827E6D" w:rsidR="00AB7867">
        <w:t>, zonder dat deze reeds is ontvangen</w:t>
      </w:r>
      <w:r w:rsidRPr="00827E6D" w:rsidR="00134A32">
        <w:t xml:space="preserve"> (HR 27 september 2005, ECLI:NL:HR:2005:AT8318; HR 20 juni 2006, </w:t>
      </w:r>
      <w:r w:rsidRPr="00827E6D" w:rsidR="00134A32">
        <w:rPr>
          <w:i/>
          <w:iCs/>
        </w:rPr>
        <w:t>NJ</w:t>
      </w:r>
      <w:r w:rsidRPr="00827E6D" w:rsidR="00134A32">
        <w:t xml:space="preserve"> 2006, 380)</w:t>
      </w:r>
      <w:r w:rsidRPr="00827E6D">
        <w:t>. Verder zijn ook</w:t>
      </w:r>
      <w:r w:rsidRPr="00827E6D" w:rsidR="00132A19">
        <w:t xml:space="preserve"> omkoping van een tussenpersoon en poging tot omkoping</w:t>
      </w:r>
      <w:r w:rsidRPr="00827E6D">
        <w:t xml:space="preserve"> strafbaar gesteld</w:t>
      </w:r>
      <w:r w:rsidRPr="00827E6D" w:rsidR="00132A19">
        <w:t>. Het is aan de rechter om te beoordelen of in een individuele zaak (poging tot) omkoping bewezen kan worden verklaard.</w:t>
      </w:r>
    </w:p>
    <w:p w:rsidRPr="00827E6D" w:rsidR="00AB7867" w:rsidP="00E13C47" w:rsidRDefault="00AB7867" w14:paraId="334FABA0" w14:textId="06EDE3A8">
      <w:r w:rsidRPr="00827E6D">
        <w:t xml:space="preserve">Ik </w:t>
      </w:r>
      <w:r w:rsidRPr="00827E6D" w:rsidR="007C212E">
        <w:t xml:space="preserve">zie </w:t>
      </w:r>
      <w:r w:rsidRPr="00827E6D">
        <w:t xml:space="preserve">die lacune dus niet. </w:t>
      </w:r>
    </w:p>
    <w:p w:rsidRPr="00827E6D" w:rsidR="00E13C47" w:rsidP="00E13C47" w:rsidRDefault="00E13C47" w14:paraId="69AF5F4F" w14:textId="56247389">
      <w:pPr>
        <w:rPr>
          <w:b/>
          <w:bCs/>
        </w:rPr>
      </w:pPr>
    </w:p>
    <w:p w:rsidRPr="00827E6D" w:rsidR="00817FF2" w:rsidP="00E13C47" w:rsidRDefault="00817FF2" w14:paraId="66AAFAC8" w14:textId="77777777">
      <w:pPr>
        <w:rPr>
          <w:b/>
          <w:bCs/>
        </w:rPr>
      </w:pPr>
    </w:p>
    <w:p w:rsidRPr="00827E6D" w:rsidR="00ED2734" w:rsidP="00E13C47" w:rsidRDefault="00ED2734" w14:paraId="6605A326" w14:textId="77777777">
      <w:pPr>
        <w:rPr>
          <w:b/>
          <w:bCs/>
        </w:rPr>
      </w:pPr>
    </w:p>
    <w:p w:rsidRPr="00827E6D" w:rsidR="00E13C47" w:rsidP="00E13C47" w:rsidRDefault="00817FF2" w14:paraId="73E57198" w14:textId="791FC422">
      <w:pPr>
        <w:rPr>
          <w:b/>
          <w:bCs/>
        </w:rPr>
      </w:pPr>
      <w:r w:rsidRPr="00827E6D">
        <w:rPr>
          <w:b/>
          <w:bCs/>
        </w:rPr>
        <w:t>Vraag 3</w:t>
      </w:r>
    </w:p>
    <w:p w:rsidRPr="00827E6D" w:rsidR="00E13C47" w:rsidP="00E13C47" w:rsidRDefault="00E13C47" w14:paraId="4443BC4B" w14:textId="77777777">
      <w:r w:rsidRPr="00827E6D">
        <w:rPr>
          <w:b/>
          <w:bCs/>
        </w:rPr>
        <w:t>Wat is uw reactie op de opmerkingen van lector weerbare democratie Willeke Slingerland dat het nu onduidelijk is wanneer corruptie strafbaar is, omdat het bewijs van een tastbare, directe tegenprestatie en kwade opzet een te klassieke benadering van corruptie is, maar in de praktijk giften zelden direct verzilverd worden, omdat het veel meer gaat om een kluwen aan ‘loyaliteiten en voorkeursbehandelingen binnen een netwerk op de lange termijn'?</w:t>
      </w:r>
    </w:p>
    <w:p w:rsidRPr="00827E6D" w:rsidR="00132A19" w:rsidP="00E13C47" w:rsidRDefault="00132A19" w14:paraId="0ED2473B" w14:textId="77777777"/>
    <w:p w:rsidRPr="00827E6D" w:rsidR="00817FF2" w:rsidP="00E13C47" w:rsidRDefault="00817FF2" w14:paraId="79992FC1" w14:textId="036E142E">
      <w:pPr>
        <w:rPr>
          <w:b/>
          <w:bCs/>
        </w:rPr>
      </w:pPr>
      <w:r w:rsidRPr="00827E6D">
        <w:rPr>
          <w:b/>
          <w:bCs/>
        </w:rPr>
        <w:t>Antwoord op vraag 3</w:t>
      </w:r>
    </w:p>
    <w:p w:rsidRPr="00827E6D" w:rsidR="00C21542" w:rsidP="00E13C47" w:rsidRDefault="00C21542" w14:paraId="18D8C540" w14:textId="392F8A5B">
      <w:r w:rsidRPr="00827E6D">
        <w:t>Zoals in het antwoord op vraag 2 is aangegeven, is</w:t>
      </w:r>
      <w:r w:rsidRPr="00827E6D" w:rsidR="00AB7867">
        <w:t xml:space="preserve"> strafrechtelijk </w:t>
      </w:r>
      <w:r w:rsidRPr="00827E6D">
        <w:t xml:space="preserve">geen direct verband </w:t>
      </w:r>
      <w:r w:rsidRPr="00827E6D" w:rsidR="0007600D">
        <w:t xml:space="preserve">vereist </w:t>
      </w:r>
      <w:r w:rsidRPr="00827E6D">
        <w:t xml:space="preserve">tussen de aangenomen gift en een tegenprestatie. </w:t>
      </w:r>
      <w:r w:rsidRPr="00827E6D" w:rsidR="00D82CB5">
        <w:t>Verder geldt dat het geen vereiste is dat een gift daadwerkelijk wordt verzilverd: het beloven</w:t>
      </w:r>
      <w:r w:rsidRPr="00827E6D" w:rsidR="00BC2648">
        <w:t xml:space="preserve"> of toezeggen</w:t>
      </w:r>
      <w:r w:rsidRPr="00827E6D" w:rsidR="00D82CB5">
        <w:t xml:space="preserve"> van een gift</w:t>
      </w:r>
      <w:r w:rsidRPr="00827E6D" w:rsidR="00183173">
        <w:t xml:space="preserve"> met het oogmerk om de ambtenaar te bewegen in zijn bediening iets te doen of na te laten</w:t>
      </w:r>
      <w:r w:rsidRPr="00827E6D" w:rsidR="00D82CB5">
        <w:t xml:space="preserve"> is al strafbaar.</w:t>
      </w:r>
      <w:r w:rsidRPr="00827E6D" w:rsidR="00BC2648">
        <w:t xml:space="preserve"> Dit betekent dat het toezeggen van een gift om een voorkeursbehandeling te verkrijgen onder de strafbaarstelling van omkoping valt. Ook omkoping via één of meer tussenpersonen (binnen een netwerk) valt binnen </w:t>
      </w:r>
      <w:r w:rsidRPr="00827E6D" w:rsidR="00183173">
        <w:t xml:space="preserve">het bereik van </w:t>
      </w:r>
      <w:r w:rsidRPr="00827E6D" w:rsidR="00BC2648">
        <w:t>de strafbaarstelling.</w:t>
      </w:r>
      <w:r w:rsidRPr="00827E6D" w:rsidR="00735539">
        <w:t xml:space="preserve"> Daarmee is de strafbaarstelling mijns inziens voldoende duidelijk. </w:t>
      </w:r>
    </w:p>
    <w:p w:rsidRPr="00827E6D" w:rsidR="00F631C6" w:rsidP="00E13C47" w:rsidRDefault="00F631C6" w14:paraId="60D9821D" w14:textId="77777777"/>
    <w:p w:rsidRPr="00827E6D" w:rsidR="00132A19" w:rsidP="00BF6B28" w:rsidRDefault="00F631C6" w14:paraId="012B847D" w14:textId="442F9387">
      <w:r w:rsidRPr="00827E6D">
        <w:t xml:space="preserve">Het klopt </w:t>
      </w:r>
      <w:r w:rsidRPr="00827E6D" w:rsidR="00735539">
        <w:t xml:space="preserve">wel </w:t>
      </w:r>
      <w:r w:rsidRPr="00827E6D">
        <w:t xml:space="preserve">dat het in de praktijk lastig kan zijn om omkoping te bewijzen. </w:t>
      </w:r>
      <w:r w:rsidRPr="00827E6D" w:rsidR="00BF6B28">
        <w:t xml:space="preserve">Betrokkenen hebben er belang bij hun handelingen heimelijk te verrichten. Hierdoor </w:t>
      </w:r>
      <w:r w:rsidRPr="00827E6D" w:rsidR="00AB7867">
        <w:t xml:space="preserve">kan </w:t>
      </w:r>
      <w:r w:rsidRPr="00827E6D" w:rsidR="00BF6B28">
        <w:t xml:space="preserve">het lastig zijn om aan te tonen dat een gift is toegezegd met het doel om een ander iets te laten doen (actieve omkoping) of dat de ander moest vermoeden dat een belofte werd gedaan met het doel om hem tot een bepaalde tegenprestatie te bewegen (passieve omkoping). </w:t>
      </w:r>
      <w:r w:rsidRPr="00827E6D" w:rsidR="00545CC8">
        <w:t xml:space="preserve">Deze complexe bewijskwesties zijn onlosmakelijk verbonden met de aard van het omkopingsdelict. </w:t>
      </w:r>
      <w:r w:rsidRPr="00827E6D" w:rsidR="00132A19">
        <w:t xml:space="preserve">Of </w:t>
      </w:r>
      <w:r w:rsidRPr="00827E6D" w:rsidR="00545CC8">
        <w:t xml:space="preserve">er </w:t>
      </w:r>
      <w:r w:rsidRPr="00827E6D" w:rsidR="00132A19">
        <w:t xml:space="preserve">in een concreet geval </w:t>
      </w:r>
      <w:r w:rsidRPr="00827E6D" w:rsidR="00545CC8">
        <w:t>voldoende wettig bewijs voor omkoping is</w:t>
      </w:r>
      <w:r w:rsidRPr="00827E6D" w:rsidR="000D7204">
        <w:t>,</w:t>
      </w:r>
      <w:r w:rsidRPr="00827E6D" w:rsidR="00132A19">
        <w:t xml:space="preserve"> staat ter beoordeling van de rechter.</w:t>
      </w:r>
    </w:p>
    <w:p w:rsidRPr="00827E6D" w:rsidR="00E13C47" w:rsidP="00E13C47" w:rsidRDefault="00E13C47" w14:paraId="16C24A50" w14:textId="60011A8E">
      <w:pPr>
        <w:rPr>
          <w:b/>
          <w:bCs/>
        </w:rPr>
      </w:pPr>
    </w:p>
    <w:p w:rsidRPr="00827E6D" w:rsidR="00E13C47" w:rsidP="00E13C47" w:rsidRDefault="00817FF2" w14:paraId="238F9C7C" w14:textId="1FB05FEB">
      <w:pPr>
        <w:rPr>
          <w:b/>
          <w:bCs/>
        </w:rPr>
      </w:pPr>
      <w:r w:rsidRPr="00827E6D">
        <w:rPr>
          <w:b/>
          <w:bCs/>
        </w:rPr>
        <w:t>Vraag 4</w:t>
      </w:r>
    </w:p>
    <w:p w:rsidRPr="00827E6D" w:rsidR="00E13C47" w:rsidP="00E13C47" w:rsidRDefault="00E13C47" w14:paraId="577317F6" w14:textId="77777777">
      <w:pPr>
        <w:rPr>
          <w:b/>
          <w:bCs/>
        </w:rPr>
      </w:pPr>
      <w:r w:rsidRPr="00827E6D">
        <w:rPr>
          <w:b/>
          <w:bCs/>
        </w:rPr>
        <w:t>Klopt het dat Nederland het enige Europese land is waar 'handel in invloed', onrechtmatig voordeel via netwerken, niet strafbaar is?</w:t>
      </w:r>
    </w:p>
    <w:p w:rsidRPr="00827E6D" w:rsidR="00132A19" w:rsidP="00E13C47" w:rsidRDefault="00132A19" w14:paraId="77E3DE63" w14:textId="77777777">
      <w:pPr>
        <w:rPr>
          <w:b/>
          <w:bCs/>
        </w:rPr>
      </w:pPr>
    </w:p>
    <w:p w:rsidRPr="00827E6D" w:rsidR="00817FF2" w:rsidP="00E13C47" w:rsidRDefault="00817FF2" w14:paraId="39676C78" w14:textId="6A35B9AE">
      <w:pPr>
        <w:rPr>
          <w:b/>
          <w:bCs/>
        </w:rPr>
      </w:pPr>
      <w:r w:rsidRPr="00827E6D">
        <w:rPr>
          <w:b/>
          <w:bCs/>
        </w:rPr>
        <w:t>Antwoord op vraag 4</w:t>
      </w:r>
    </w:p>
    <w:p w:rsidRPr="00827E6D" w:rsidR="00132A19" w:rsidP="00132A19" w:rsidRDefault="007C212E" w14:paraId="768EC9CB" w14:textId="31BD45F2">
      <w:r w:rsidRPr="00827E6D">
        <w:t xml:space="preserve">Diverse media hebben bericht dat Nederland het enige Europese land </w:t>
      </w:r>
      <w:r w:rsidRPr="00827E6D" w:rsidR="000D7204">
        <w:t>is</w:t>
      </w:r>
      <w:r w:rsidRPr="00827E6D">
        <w:t xml:space="preserve"> dat ongeoorloofde beïnvloeding niet strafbaar </w:t>
      </w:r>
      <w:r w:rsidRPr="00827E6D" w:rsidR="000D7204">
        <w:t xml:space="preserve">zou hebben </w:t>
      </w:r>
      <w:r w:rsidRPr="00827E6D">
        <w:t xml:space="preserve">gesteld. Dit moet worden genuanceerd. </w:t>
      </w:r>
      <w:r w:rsidRPr="00827E6D" w:rsidR="00735539">
        <w:t>Ik ben</w:t>
      </w:r>
      <w:r w:rsidRPr="00827E6D" w:rsidR="00F72BD9">
        <w:t xml:space="preserve"> bekend met de uitspraak van</w:t>
      </w:r>
      <w:r w:rsidRPr="00827E6D" w:rsidR="00545CC8">
        <w:t xml:space="preserve"> de Europese Commissie</w:t>
      </w:r>
      <w:r w:rsidRPr="00827E6D" w:rsidR="00F72BD9">
        <w:t xml:space="preserve"> dat</w:t>
      </w:r>
      <w:r w:rsidRPr="00827E6D" w:rsidR="00545CC8">
        <w:t xml:space="preserve"> 23 van de 25 </w:t>
      </w:r>
      <w:r w:rsidRPr="00827E6D" w:rsidR="00F72BD9">
        <w:t xml:space="preserve">Europese </w:t>
      </w:r>
      <w:r w:rsidRPr="00827E6D" w:rsidR="00545CC8">
        <w:t xml:space="preserve">lidstaten </w:t>
      </w:r>
      <w:r w:rsidRPr="00827E6D" w:rsidR="00F72BD9">
        <w:t>in mei 2023</w:t>
      </w:r>
      <w:r w:rsidRPr="00827E6D" w:rsidR="00F8245C">
        <w:t xml:space="preserve"> </w:t>
      </w:r>
      <w:r w:rsidRPr="00827E6D" w:rsidR="00545CC8">
        <w:t>ongeoorloofde beïnvloeding</w:t>
      </w:r>
      <w:r w:rsidRPr="00827E6D" w:rsidR="00900330">
        <w:t xml:space="preserve"> (of: handel in invloed)</w:t>
      </w:r>
      <w:r w:rsidRPr="00827E6D" w:rsidR="00545CC8">
        <w:t xml:space="preserve"> </w:t>
      </w:r>
      <w:r w:rsidRPr="00827E6D">
        <w:t>separaat</w:t>
      </w:r>
      <w:r w:rsidRPr="00827E6D" w:rsidR="00606923">
        <w:t xml:space="preserve"> </w:t>
      </w:r>
      <w:r w:rsidRPr="00827E6D" w:rsidR="00545CC8">
        <w:t xml:space="preserve">strafbaar </w:t>
      </w:r>
      <w:r w:rsidRPr="00827E6D" w:rsidR="00BC1EE4">
        <w:t xml:space="preserve">hebben </w:t>
      </w:r>
      <w:r w:rsidRPr="00827E6D" w:rsidR="00545CC8">
        <w:t>gesteld. De Europese Commissie maakte hierbij echter de belangrijke kanttekening dat de definities van deze strafbaarstelling</w:t>
      </w:r>
      <w:r w:rsidRPr="00827E6D" w:rsidR="002777C8">
        <w:t xml:space="preserve"> soms sterk afwijken van de definitie zoals gehanteerd in artikel 18 van het Verdrag van de Verenigde Naties tegen Corruptie en dat sommige lidstaten de strafbaarstelling slechts gedeeltelijk </w:t>
      </w:r>
      <w:r w:rsidRPr="00827E6D" w:rsidR="000D7204">
        <w:t>hebben</w:t>
      </w:r>
      <w:r w:rsidRPr="00827E6D" w:rsidR="002777C8">
        <w:t xml:space="preserve"> overgenomen in hun nationale wetgeving.</w:t>
      </w:r>
      <w:r w:rsidRPr="00827E6D" w:rsidR="002777C8">
        <w:rPr>
          <w:rStyle w:val="Voetnootmarkering"/>
        </w:rPr>
        <w:footnoteReference w:id="4"/>
      </w:r>
      <w:r w:rsidRPr="00827E6D" w:rsidR="002777C8">
        <w:t xml:space="preserve"> </w:t>
      </w:r>
      <w:r w:rsidRPr="00827E6D" w:rsidDel="00606923" w:rsidR="00132A19">
        <w:t xml:space="preserve">Wat de huidige Nederlandse wetgeving </w:t>
      </w:r>
      <w:r w:rsidRPr="00827E6D" w:rsidDel="00606923" w:rsidR="000D7204">
        <w:t>betreft</w:t>
      </w:r>
      <w:r w:rsidRPr="00827E6D" w:rsidR="000D7204">
        <w:t>,</w:t>
      </w:r>
      <w:r w:rsidRPr="00827E6D" w:rsidDel="00606923" w:rsidR="000D7204">
        <w:t xml:space="preserve"> </w:t>
      </w:r>
      <w:r w:rsidRPr="00827E6D" w:rsidDel="00606923" w:rsidR="00132A19">
        <w:t xml:space="preserve">is juist dat </w:t>
      </w:r>
      <w:r w:rsidRPr="00827E6D" w:rsidR="000D7204">
        <w:t xml:space="preserve">er </w:t>
      </w:r>
      <w:r w:rsidRPr="00827E6D" w:rsidDel="00606923" w:rsidR="00132A19">
        <w:t xml:space="preserve">geen </w:t>
      </w:r>
      <w:r w:rsidRPr="00827E6D" w:rsidDel="00606923" w:rsidR="00313E9C">
        <w:t xml:space="preserve">afzonderlijke bepaling </w:t>
      </w:r>
      <w:r w:rsidRPr="00827E6D" w:rsidDel="00606923" w:rsidR="00132A19">
        <w:t xml:space="preserve">bestaat waarin specifiek </w:t>
      </w:r>
      <w:r w:rsidRPr="00827E6D" w:rsidDel="00606923" w:rsidR="00900330">
        <w:t>ongeoorloofde beïnvloeding</w:t>
      </w:r>
      <w:r w:rsidRPr="00827E6D" w:rsidDel="00606923" w:rsidR="00132A19">
        <w:t xml:space="preserve"> strafbaar is gesteld. Dat wil echter niet zeggen dat het onrechtmatig </w:t>
      </w:r>
      <w:r w:rsidRPr="00827E6D" w:rsidDel="00606923" w:rsidR="001D4A51">
        <w:t>bevoordelen</w:t>
      </w:r>
      <w:r w:rsidRPr="00827E6D" w:rsidDel="00606923" w:rsidR="00132A19">
        <w:t xml:space="preserve"> van </w:t>
      </w:r>
      <w:r w:rsidRPr="00827E6D" w:rsidDel="00606923" w:rsidR="001D4A51">
        <w:t>partijen</w:t>
      </w:r>
      <w:r w:rsidRPr="00827E6D" w:rsidDel="00606923" w:rsidR="00132A19">
        <w:t xml:space="preserve"> niet bestraft kan worden</w:t>
      </w:r>
      <w:r w:rsidRPr="00827E6D" w:rsidDel="00606923" w:rsidR="002777C8">
        <w:t>, gelet op de ruime omkopingsbepalingen die het Nederlandse strafrecht kent</w:t>
      </w:r>
      <w:r w:rsidRPr="00827E6D" w:rsidDel="00606923" w:rsidR="00132A19">
        <w:t>.</w:t>
      </w:r>
      <w:r w:rsidRPr="00827E6D" w:rsidDel="00606923" w:rsidR="001D4A51">
        <w:t xml:space="preserve"> Zie daarvoor ook mijn antwoorden</w:t>
      </w:r>
      <w:r w:rsidRPr="00827E6D" w:rsidDel="00606923" w:rsidR="002777C8">
        <w:t xml:space="preserve"> op vragen 2 en 3</w:t>
      </w:r>
      <w:r w:rsidRPr="00827E6D" w:rsidDel="00606923" w:rsidR="001D4A51">
        <w:t>.</w:t>
      </w:r>
    </w:p>
    <w:p w:rsidRPr="00827E6D" w:rsidR="00E13C47" w:rsidP="00E13C47" w:rsidRDefault="00E13C47" w14:paraId="44E6E247" w14:textId="236D9285">
      <w:pPr>
        <w:rPr>
          <w:b/>
          <w:bCs/>
        </w:rPr>
      </w:pPr>
    </w:p>
    <w:p w:rsidRPr="00827E6D" w:rsidR="00E13C47" w:rsidP="00E13C47" w:rsidRDefault="00817FF2" w14:paraId="18ED2F97" w14:textId="0734E4ED">
      <w:pPr>
        <w:rPr>
          <w:b/>
          <w:bCs/>
        </w:rPr>
      </w:pPr>
      <w:r w:rsidRPr="00827E6D">
        <w:rPr>
          <w:b/>
          <w:bCs/>
        </w:rPr>
        <w:t>Vraag 5</w:t>
      </w:r>
    </w:p>
    <w:p w:rsidRPr="00827E6D" w:rsidR="00E13C47" w:rsidP="00E13C47" w:rsidRDefault="00E13C47" w14:paraId="5E4772CB" w14:textId="62749288">
      <w:pPr>
        <w:rPr>
          <w:b/>
          <w:bCs/>
        </w:rPr>
      </w:pPr>
      <w:r w:rsidRPr="00827E6D">
        <w:rPr>
          <w:b/>
          <w:bCs/>
        </w:rPr>
        <w:t>Wat is de status van de EU-richtlijn hierover, waar aan gewerkt zou worden? Hoe lang duurt het naar verwachting nog voor deze richtlijn tot stand zal zijn gekomen en gereed is voor implementatie? Welke standpunt neemt Nederland op dit onderwerp in in de Europese onderhandelingen hierover?</w:t>
      </w:r>
    </w:p>
    <w:p w:rsidRPr="00827E6D" w:rsidR="00132A19" w:rsidP="00E13C47" w:rsidRDefault="00132A19" w14:paraId="22C1B65C" w14:textId="77777777">
      <w:pPr>
        <w:rPr>
          <w:b/>
          <w:bCs/>
        </w:rPr>
      </w:pPr>
    </w:p>
    <w:p w:rsidRPr="00827E6D" w:rsidR="00817FF2" w:rsidP="00E13C47" w:rsidRDefault="00817FF2" w14:paraId="54B997AB" w14:textId="59A59E2C">
      <w:pPr>
        <w:rPr>
          <w:b/>
          <w:bCs/>
        </w:rPr>
      </w:pPr>
      <w:r w:rsidRPr="00827E6D">
        <w:rPr>
          <w:b/>
          <w:bCs/>
        </w:rPr>
        <w:t>Antwoord op vraag 5</w:t>
      </w:r>
    </w:p>
    <w:p w:rsidRPr="00827E6D" w:rsidR="00132A19" w:rsidP="00E13C47" w:rsidRDefault="00132A19" w14:paraId="7D01F4D0" w14:textId="3BDA9B71">
      <w:r w:rsidRPr="00827E6D">
        <w:t xml:space="preserve">Op dit moment wordt in triloog-vorm </w:t>
      </w:r>
      <w:r w:rsidRPr="00827E6D" w:rsidR="002777C8">
        <w:t xml:space="preserve">tussen de Europese Commissie, </w:t>
      </w:r>
      <w:r w:rsidRPr="00827E6D">
        <w:t xml:space="preserve">het Europees Parlement </w:t>
      </w:r>
      <w:r w:rsidRPr="00827E6D" w:rsidR="002777C8">
        <w:t xml:space="preserve">en de lidstaten (Raad van Ministers) overlegd </w:t>
      </w:r>
      <w:r w:rsidRPr="00827E6D">
        <w:t xml:space="preserve">over een </w:t>
      </w:r>
      <w:r w:rsidRPr="00827E6D" w:rsidR="003A5A10">
        <w:t>herziening van de EU-</w:t>
      </w:r>
      <w:r w:rsidRPr="00827E6D">
        <w:t xml:space="preserve">Richtlijn </w:t>
      </w:r>
      <w:r w:rsidRPr="00827E6D" w:rsidR="003A5A10">
        <w:t>over</w:t>
      </w:r>
      <w:r w:rsidRPr="00827E6D">
        <w:t xml:space="preserve"> de bestrijding van corruptie. </w:t>
      </w:r>
      <w:r w:rsidRPr="00827E6D" w:rsidR="00900330">
        <w:t xml:space="preserve">De trilogen zijn op 28 januari jl. van start gegaan. Het is nog niet mogelijk om te zeggen wanneer de trilogen zullen zijn afgerond en het nationale implementatietraject kan starten. </w:t>
      </w:r>
      <w:r w:rsidRPr="00827E6D" w:rsidR="0085455E">
        <w:t xml:space="preserve">Nederland heeft met de raadspositie over de Richtlijn ingestemd. </w:t>
      </w:r>
      <w:r w:rsidRPr="00827E6D">
        <w:t xml:space="preserve">In de </w:t>
      </w:r>
      <w:r w:rsidRPr="00827E6D" w:rsidR="002777C8">
        <w:t xml:space="preserve">raadspositie </w:t>
      </w:r>
      <w:r w:rsidRPr="00827E6D">
        <w:t xml:space="preserve">is een strafbaarstelling </w:t>
      </w:r>
      <w:r w:rsidRPr="00827E6D" w:rsidR="00900330">
        <w:t xml:space="preserve">van ongeoorloofde beïnvloeding </w:t>
      </w:r>
      <w:r w:rsidRPr="00827E6D">
        <w:t>opgenomen.</w:t>
      </w:r>
      <w:r w:rsidRPr="00827E6D" w:rsidR="0085455E">
        <w:t xml:space="preserve"> </w:t>
      </w:r>
      <w:r w:rsidRPr="00827E6D" w:rsidR="00900330">
        <w:t xml:space="preserve">Deze raadspositie vormt voor de lidstaten het uitgangspunt bij aanvang van de trilogen. </w:t>
      </w:r>
      <w:r w:rsidRPr="00827E6D" w:rsidR="0085455E">
        <w:t xml:space="preserve">Voor de inzet van Nederland </w:t>
      </w:r>
      <w:r w:rsidRPr="00827E6D" w:rsidR="00900330">
        <w:t>in de Raad</w:t>
      </w:r>
      <w:r w:rsidRPr="00827E6D" w:rsidR="0085455E">
        <w:t xml:space="preserve"> verwijs ik </w:t>
      </w:r>
      <w:r w:rsidRPr="00827E6D" w:rsidR="000D7204">
        <w:t>u</w:t>
      </w:r>
      <w:r w:rsidRPr="00827E6D" w:rsidR="0085455E">
        <w:t xml:space="preserve"> naar het BNC-fiche en de reactie op de op basis hiervan door </w:t>
      </w:r>
      <w:r w:rsidRPr="00827E6D" w:rsidR="000D7204">
        <w:t>uw</w:t>
      </w:r>
      <w:r w:rsidRPr="00827E6D" w:rsidR="0085455E">
        <w:t xml:space="preserve"> Kamer gestelde vragen.</w:t>
      </w:r>
      <w:r w:rsidRPr="00827E6D" w:rsidR="0085455E">
        <w:rPr>
          <w:rStyle w:val="Voetnootmarkering"/>
        </w:rPr>
        <w:footnoteReference w:id="5"/>
      </w:r>
    </w:p>
    <w:p w:rsidRPr="00827E6D" w:rsidR="00E13C47" w:rsidP="00E13C47" w:rsidRDefault="00E13C47" w14:paraId="15F79770" w14:textId="1058D732">
      <w:pPr>
        <w:rPr>
          <w:b/>
          <w:bCs/>
        </w:rPr>
      </w:pPr>
    </w:p>
    <w:p w:rsidRPr="00827E6D" w:rsidR="00E13C47" w:rsidP="00E13C47" w:rsidRDefault="00817FF2" w14:paraId="07C9DB2B" w14:textId="507C72CF">
      <w:pPr>
        <w:rPr>
          <w:b/>
          <w:bCs/>
        </w:rPr>
      </w:pPr>
      <w:r w:rsidRPr="00827E6D">
        <w:rPr>
          <w:b/>
          <w:bCs/>
        </w:rPr>
        <w:t>Vraag 6</w:t>
      </w:r>
    </w:p>
    <w:p w:rsidRPr="00827E6D" w:rsidR="00E13C47" w:rsidP="00E13C47" w:rsidRDefault="00E13C47" w14:paraId="65E9A795" w14:textId="77777777">
      <w:r w:rsidRPr="00827E6D">
        <w:rPr>
          <w:b/>
          <w:bCs/>
        </w:rPr>
        <w:t>Heeft het overleg hierover tussen uw ministerie en het OM reeds plaatsgevonden? Bent u bereid de Kamer daarover op hoofdlijnen een terugkoppeling te geven?</w:t>
      </w:r>
    </w:p>
    <w:p w:rsidRPr="00827E6D" w:rsidR="00132A19" w:rsidP="00E13C47" w:rsidRDefault="00132A19" w14:paraId="703BA862" w14:textId="77777777"/>
    <w:p w:rsidRPr="00827E6D" w:rsidR="00817FF2" w:rsidP="00E13C47" w:rsidRDefault="00817FF2" w14:paraId="62D91B79" w14:textId="31B66ABB">
      <w:pPr>
        <w:rPr>
          <w:b/>
          <w:bCs/>
        </w:rPr>
      </w:pPr>
      <w:r w:rsidRPr="00827E6D">
        <w:rPr>
          <w:b/>
          <w:bCs/>
        </w:rPr>
        <w:t>Antwoord op vraag 6</w:t>
      </w:r>
    </w:p>
    <w:p w:rsidRPr="00827E6D" w:rsidR="00F72BD9" w:rsidP="00F72BD9" w:rsidRDefault="00F72BD9" w14:paraId="0A34B6A9" w14:textId="3D8E85F7">
      <w:r w:rsidRPr="00827E6D">
        <w:t xml:space="preserve">Mijn ministerie heeft naar aanleiding van de berichtgeving in onder meer het Financieel Dagblad contact gehad met het </w:t>
      </w:r>
      <w:r w:rsidRPr="00827E6D" w:rsidR="00B438DC">
        <w:t>Openbaar Ministerie</w:t>
      </w:r>
      <w:r w:rsidRPr="00827E6D">
        <w:t xml:space="preserve">. </w:t>
      </w:r>
      <w:r w:rsidRPr="00827E6D" w:rsidR="00B438DC">
        <w:t>Er is vanuit het Openbaar Ministerie en de Rijksrecherche geen bestuurlijk signaal afgegeven</w:t>
      </w:r>
      <w:r w:rsidRPr="00827E6D" w:rsidR="006D0C1D">
        <w:t xml:space="preserve">. </w:t>
      </w:r>
      <w:r w:rsidRPr="00827E6D" w:rsidR="00BA6E52">
        <w:t>Zie ook mijn antwoord op vraag 1.</w:t>
      </w:r>
    </w:p>
    <w:p w:rsidRPr="00827E6D" w:rsidR="00E13C47" w:rsidP="00E13C47" w:rsidRDefault="00E13C47" w14:paraId="5E43F63A" w14:textId="3603DA0C">
      <w:pPr>
        <w:rPr>
          <w:b/>
          <w:bCs/>
        </w:rPr>
      </w:pPr>
    </w:p>
    <w:p w:rsidRPr="00827E6D" w:rsidR="00E13C47" w:rsidP="00E13C47" w:rsidRDefault="00817FF2" w14:paraId="5E4266C6" w14:textId="54A964BB">
      <w:pPr>
        <w:rPr>
          <w:b/>
          <w:bCs/>
        </w:rPr>
      </w:pPr>
      <w:r w:rsidRPr="00827E6D">
        <w:rPr>
          <w:b/>
          <w:bCs/>
        </w:rPr>
        <w:t>Vraag 7</w:t>
      </w:r>
    </w:p>
    <w:p w:rsidRPr="00827E6D" w:rsidR="00E13C47" w:rsidP="00E13C47" w:rsidRDefault="00E13C47" w14:paraId="346D94F8" w14:textId="77777777">
      <w:pPr>
        <w:rPr>
          <w:b/>
          <w:bCs/>
        </w:rPr>
      </w:pPr>
      <w:r w:rsidRPr="00827E6D">
        <w:rPr>
          <w:b/>
          <w:bCs/>
        </w:rPr>
        <w:t>Bent u van plan de anti-corruptiewetgeving op dit punt te bezien en met voorstellen te komen om de lacune te dichten zodat corruptie beter aangepakt kan worden?</w:t>
      </w:r>
    </w:p>
    <w:p w:rsidRPr="00827E6D" w:rsidR="00132A19" w:rsidP="00E13C47" w:rsidRDefault="00132A19" w14:paraId="006CBFEC" w14:textId="77777777">
      <w:pPr>
        <w:rPr>
          <w:b/>
          <w:bCs/>
        </w:rPr>
      </w:pPr>
    </w:p>
    <w:p w:rsidRPr="00827E6D" w:rsidR="00817FF2" w:rsidP="00E13C47" w:rsidRDefault="00817FF2" w14:paraId="5048EC43" w14:textId="6EA8853C">
      <w:pPr>
        <w:rPr>
          <w:b/>
          <w:bCs/>
        </w:rPr>
      </w:pPr>
      <w:r w:rsidRPr="00827E6D">
        <w:rPr>
          <w:b/>
          <w:bCs/>
        </w:rPr>
        <w:t>Antwoord op vraag 7</w:t>
      </w:r>
    </w:p>
    <w:p w:rsidRPr="00827E6D" w:rsidR="00132A19" w:rsidP="00E13C47" w:rsidRDefault="00132A19" w14:paraId="3D50AEF9" w14:textId="598D46D6">
      <w:pPr>
        <w:rPr>
          <w:b/>
          <w:bCs/>
        </w:rPr>
      </w:pPr>
      <w:r w:rsidRPr="00827E6D">
        <w:t xml:space="preserve">De aanpak van corruptie is een prioriteit van het </w:t>
      </w:r>
      <w:r w:rsidRPr="00827E6D" w:rsidR="00900330">
        <w:t>k</w:t>
      </w:r>
      <w:r w:rsidRPr="00827E6D">
        <w:t xml:space="preserve">abinet. Het adequaat bestraffen van corruptie vormt hier onderdeel van. </w:t>
      </w:r>
      <w:r w:rsidRPr="00827E6D" w:rsidR="002C0481">
        <w:t xml:space="preserve">De Europese anti-corruptierichtlijn is hierin een belangrijke ontwikkeling en bevat diverse preventieve verplichtingen voor lidstaten en diverse strafbepalingen, waaronder ongeoorloofde beïnvloeding. </w:t>
      </w:r>
      <w:r w:rsidRPr="00827E6D">
        <w:t xml:space="preserve">Na afronding van de </w:t>
      </w:r>
      <w:r w:rsidRPr="00827E6D" w:rsidR="00900330">
        <w:t xml:space="preserve">trilogen </w:t>
      </w:r>
      <w:r w:rsidRPr="00827E6D">
        <w:t>zal</w:t>
      </w:r>
      <w:r w:rsidRPr="00827E6D" w:rsidR="002C0481">
        <w:t xml:space="preserve"> </w:t>
      </w:r>
      <w:r w:rsidRPr="00827E6D" w:rsidR="003A5A10">
        <w:t>worden bekeken of ter implementatie van de vastgestelde richtlijn wijzigingen van</w:t>
      </w:r>
      <w:r w:rsidRPr="00827E6D" w:rsidR="002C0481">
        <w:t xml:space="preserve"> de nationale strafwetgeving</w:t>
      </w:r>
      <w:r w:rsidRPr="00827E6D" w:rsidR="003A5A10">
        <w:t xml:space="preserve"> noodzakelijk zijn en zal</w:t>
      </w:r>
      <w:r w:rsidRPr="00827E6D" w:rsidR="00313E9C">
        <w:t>, als dat het geval is, daartoe</w:t>
      </w:r>
      <w:r w:rsidRPr="00827E6D" w:rsidR="003A5A10">
        <w:t xml:space="preserve"> een wetsvoorstel </w:t>
      </w:r>
      <w:r w:rsidRPr="00827E6D" w:rsidR="00313E9C">
        <w:t>in procedure worden gebracht</w:t>
      </w:r>
      <w:r w:rsidRPr="00827E6D" w:rsidR="002C0481">
        <w:t xml:space="preserve">. </w:t>
      </w:r>
    </w:p>
    <w:p w:rsidRPr="00827E6D" w:rsidR="00132A19" w:rsidP="00E13C47" w:rsidRDefault="00132A19" w14:paraId="6F55900F" w14:textId="77777777">
      <w:pPr>
        <w:rPr>
          <w:b/>
          <w:bCs/>
        </w:rPr>
      </w:pPr>
    </w:p>
    <w:p w:rsidR="00E13C47" w:rsidP="00E13C47" w:rsidRDefault="00E13C47" w14:paraId="4887D928" w14:textId="77777777">
      <w:r w:rsidRPr="00827E6D">
        <w:t>1) Het Financieele Dagblad, 4 februari 2025, ‘OM waarschuwt: omkoping valt nu nauwelijks te bewijzen’. Trouw: ‘Justitie stopt onderzoek naar Neelie Kroes en wil betere wetgeving’.</w:t>
      </w:r>
    </w:p>
    <w:p w:rsidR="00E13C47" w:rsidP="00E13C47" w:rsidRDefault="00E13C47" w14:paraId="1EA2BDB5" w14:textId="77777777"/>
    <w:p w:rsidR="00E13C47" w:rsidP="00E13C47" w:rsidRDefault="00E13C47" w14:paraId="64548AFD" w14:textId="77777777">
      <w:r>
        <w:t xml:space="preserve"> </w:t>
      </w:r>
    </w:p>
    <w:p w:rsidR="00E13C47" w:rsidP="00E13C47" w:rsidRDefault="00E13C47" w14:paraId="1A64FBA1" w14:textId="77777777"/>
    <w:p w:rsidR="00E13C47" w:rsidP="00E13C47" w:rsidRDefault="00E13C47" w14:paraId="2F1622A9" w14:textId="77777777">
      <w:r>
        <w:t xml:space="preserve"> </w:t>
      </w:r>
    </w:p>
    <w:p w:rsidR="00E13C47" w:rsidP="00E13C47" w:rsidRDefault="00E13C47" w14:paraId="7F3C78B2" w14:textId="77777777"/>
    <w:p w:rsidR="00E13C47" w:rsidP="00E13C47" w:rsidRDefault="00E13C47" w14:paraId="360D5F85" w14:textId="77777777"/>
    <w:p w:rsidR="00E13C47" w:rsidP="00E13C47" w:rsidRDefault="00E13C47" w14:paraId="04A44B54" w14:textId="77777777"/>
    <w:p w:rsidR="00E13C47" w:rsidRDefault="00E13C47" w14:paraId="451A8C3B" w14:textId="77777777"/>
    <w:p w:rsidR="005B2E1C" w:rsidRDefault="005B2E1C" w14:paraId="0C5585C3" w14:textId="77777777"/>
    <w:p w:rsidR="005B2E1C" w:rsidRDefault="005B2E1C" w14:paraId="47F94E19" w14:textId="77777777"/>
    <w:p w:rsidR="005B2E1C" w:rsidRDefault="005B2E1C" w14:paraId="42360121" w14:textId="77777777"/>
    <w:p w:rsidR="005B2E1C" w:rsidRDefault="005B2E1C" w14:paraId="2CD625FB" w14:textId="77777777"/>
    <w:p w:rsidR="005B2E1C" w:rsidRDefault="005B2E1C" w14:paraId="2E7BE39A" w14:textId="77777777"/>
    <w:p w:rsidR="005B2E1C" w:rsidRDefault="005B2E1C" w14:paraId="61D7677B" w14:textId="77777777"/>
    <w:p w:rsidR="005B2E1C" w:rsidRDefault="005B2E1C" w14:paraId="1FA9C00A" w14:textId="77777777"/>
    <w:p w:rsidR="005B2E1C" w:rsidRDefault="005B2E1C" w14:paraId="4E38F7C1" w14:textId="77777777"/>
    <w:p w:rsidR="005B2E1C" w:rsidRDefault="005B2E1C" w14:paraId="7A8582D2" w14:textId="77777777"/>
    <w:p w:rsidR="005B2E1C" w:rsidRDefault="005B2E1C" w14:paraId="6EF8BF14" w14:textId="77777777"/>
    <w:sectPr w:rsidR="005B2E1C" w:rsidSect="00817FF2">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C8FB4" w14:textId="77777777" w:rsidR="00D967B2" w:rsidRDefault="00D967B2">
      <w:pPr>
        <w:spacing w:line="240" w:lineRule="auto"/>
      </w:pPr>
      <w:r>
        <w:separator/>
      </w:r>
    </w:p>
  </w:endnote>
  <w:endnote w:type="continuationSeparator" w:id="0">
    <w:p w14:paraId="27B41AC9" w14:textId="77777777" w:rsidR="00D967B2" w:rsidRDefault="00D96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DEA55" w14:textId="77777777" w:rsidR="00824B7F" w:rsidRDefault="00824B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3907" w14:textId="77777777" w:rsidR="00824B7F" w:rsidRDefault="00824B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64C8A" w14:textId="77777777" w:rsidR="00824B7F" w:rsidRDefault="00824B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02472" w14:textId="77777777" w:rsidR="00D967B2" w:rsidRDefault="00D967B2">
      <w:pPr>
        <w:spacing w:line="240" w:lineRule="auto"/>
      </w:pPr>
      <w:r>
        <w:separator/>
      </w:r>
    </w:p>
  </w:footnote>
  <w:footnote w:type="continuationSeparator" w:id="0">
    <w:p w14:paraId="6AD38001" w14:textId="77777777" w:rsidR="00D967B2" w:rsidRDefault="00D967B2">
      <w:pPr>
        <w:spacing w:line="240" w:lineRule="auto"/>
      </w:pPr>
      <w:r>
        <w:continuationSeparator/>
      </w:r>
    </w:p>
  </w:footnote>
  <w:footnote w:id="1">
    <w:p w14:paraId="3B018775" w14:textId="615EB9EE" w:rsidR="00611024" w:rsidRPr="00BA6E52" w:rsidRDefault="00611024">
      <w:pPr>
        <w:pStyle w:val="Voetnoottekst"/>
        <w:rPr>
          <w:sz w:val="16"/>
          <w:szCs w:val="16"/>
        </w:rPr>
      </w:pPr>
      <w:r w:rsidRPr="00F8245C">
        <w:rPr>
          <w:rStyle w:val="Voetnootmarkering"/>
          <w:sz w:val="16"/>
          <w:szCs w:val="16"/>
        </w:rPr>
        <w:footnoteRef/>
      </w:r>
      <w:r w:rsidRPr="00F8245C">
        <w:rPr>
          <w:sz w:val="16"/>
          <w:szCs w:val="16"/>
        </w:rPr>
        <w:t xml:space="preserve"> </w:t>
      </w:r>
      <w:r w:rsidRPr="00BA6E52">
        <w:rPr>
          <w:sz w:val="16"/>
          <w:szCs w:val="16"/>
        </w:rPr>
        <w:t>Kamerstukken II</w:t>
      </w:r>
      <w:r w:rsidRPr="00BA6E52">
        <w:rPr>
          <w:i/>
          <w:iCs/>
          <w:sz w:val="16"/>
          <w:szCs w:val="16"/>
        </w:rPr>
        <w:t xml:space="preserve"> </w:t>
      </w:r>
      <w:r w:rsidR="00F8245C" w:rsidRPr="00BA6E52">
        <w:rPr>
          <w:sz w:val="16"/>
          <w:szCs w:val="16"/>
        </w:rPr>
        <w:t>(</w:t>
      </w:r>
      <w:r w:rsidRPr="00BA6E52">
        <w:rPr>
          <w:sz w:val="16"/>
          <w:szCs w:val="16"/>
        </w:rPr>
        <w:t>2024</w:t>
      </w:r>
      <w:r w:rsidR="00F8245C" w:rsidRPr="00BA6E52">
        <w:rPr>
          <w:sz w:val="16"/>
          <w:szCs w:val="16"/>
        </w:rPr>
        <w:t>-</w:t>
      </w:r>
      <w:r w:rsidRPr="00BA6E52">
        <w:rPr>
          <w:sz w:val="16"/>
          <w:szCs w:val="16"/>
        </w:rPr>
        <w:t>25</w:t>
      </w:r>
      <w:r w:rsidR="00F8245C" w:rsidRPr="00BA6E52">
        <w:rPr>
          <w:sz w:val="16"/>
          <w:szCs w:val="16"/>
        </w:rPr>
        <w:t>)</w:t>
      </w:r>
      <w:r w:rsidRPr="00BA6E52">
        <w:rPr>
          <w:sz w:val="16"/>
          <w:szCs w:val="16"/>
        </w:rPr>
        <w:t xml:space="preserve">, 2025Z01900. </w:t>
      </w:r>
    </w:p>
  </w:footnote>
  <w:footnote w:id="2">
    <w:p w14:paraId="2FFA6751" w14:textId="231FDFA5" w:rsidR="000F33F6" w:rsidRPr="000F33F6" w:rsidRDefault="000F33F6">
      <w:pPr>
        <w:pStyle w:val="Voetnoottekst"/>
        <w:rPr>
          <w:sz w:val="16"/>
          <w:szCs w:val="16"/>
        </w:rPr>
      </w:pPr>
      <w:r w:rsidRPr="000F33F6">
        <w:rPr>
          <w:rStyle w:val="Voetnootmarkering"/>
          <w:sz w:val="16"/>
          <w:szCs w:val="16"/>
        </w:rPr>
        <w:footnoteRef/>
      </w:r>
      <w:r w:rsidRPr="000F33F6">
        <w:rPr>
          <w:sz w:val="16"/>
          <w:szCs w:val="16"/>
        </w:rPr>
        <w:t xml:space="preserve"> Kamerstukken II (2024-25), 21501-02, nr. 2953.</w:t>
      </w:r>
    </w:p>
  </w:footnote>
  <w:footnote w:id="3">
    <w:p w14:paraId="1E4FB352" w14:textId="31E9F4FC" w:rsidR="000F33F6" w:rsidRPr="00F8245C" w:rsidRDefault="000F33F6">
      <w:pPr>
        <w:pStyle w:val="Voetnoottekst"/>
        <w:rPr>
          <w:sz w:val="16"/>
          <w:szCs w:val="16"/>
        </w:rPr>
      </w:pPr>
      <w:r w:rsidRPr="00F8245C">
        <w:rPr>
          <w:rStyle w:val="Voetnootmarkering"/>
          <w:sz w:val="16"/>
          <w:szCs w:val="16"/>
        </w:rPr>
        <w:footnoteRef/>
      </w:r>
      <w:r w:rsidRPr="00F8245C">
        <w:rPr>
          <w:sz w:val="16"/>
          <w:szCs w:val="16"/>
        </w:rPr>
        <w:t xml:space="preserve"> </w:t>
      </w:r>
      <w:r w:rsidR="002850AA" w:rsidRPr="00F8245C">
        <w:rPr>
          <w:sz w:val="16"/>
          <w:szCs w:val="16"/>
        </w:rPr>
        <w:t>Zie onder meer Kamerstukken II (2020-21), 29 991, nr. 294;</w:t>
      </w:r>
      <w:r w:rsidRPr="00F8245C">
        <w:rPr>
          <w:sz w:val="16"/>
          <w:szCs w:val="16"/>
        </w:rPr>
        <w:t xml:space="preserve"> Kamerstukken II (2009-10), 32 123 VI, nr. 118</w:t>
      </w:r>
      <w:r w:rsidR="00F8245C" w:rsidRPr="00F8245C">
        <w:rPr>
          <w:sz w:val="16"/>
          <w:szCs w:val="16"/>
        </w:rPr>
        <w:t>; en Kamerstukken II (2013-14), 33 400 VII, nr. 78.</w:t>
      </w:r>
    </w:p>
  </w:footnote>
  <w:footnote w:id="4">
    <w:p w14:paraId="7319B390" w14:textId="54D63977" w:rsidR="002777C8" w:rsidRPr="00BA6E52" w:rsidRDefault="002777C8" w:rsidP="002777C8">
      <w:pPr>
        <w:pStyle w:val="Voetnoottekst"/>
        <w:rPr>
          <w:sz w:val="16"/>
          <w:szCs w:val="16"/>
        </w:rPr>
      </w:pPr>
      <w:r w:rsidRPr="00F8245C">
        <w:rPr>
          <w:rStyle w:val="Voetnootmarkering"/>
          <w:sz w:val="16"/>
          <w:szCs w:val="16"/>
        </w:rPr>
        <w:footnoteRef/>
      </w:r>
      <w:r w:rsidRPr="00F8245C">
        <w:rPr>
          <w:sz w:val="16"/>
          <w:szCs w:val="16"/>
        </w:rPr>
        <w:t xml:space="preserve"> Voorstel voor een RICHTLIJN VAN HET EUROPEES PARLEMENT EN DE RAAD betreffende de bestrijding van corruptie, ter vervanging van Kaderbesluit 2003/568/JBZ van de Raad en van de Overeenkomst ter bestrijding van corruptie waarbij ambtenaren van de Europese Gemeenschappen of van de lidstaten van de Europese Unie betrokken zijn en tot wijziging van Richtlijn (EU) 2017/1371 van het Europees Parlement en de Raad (COM/2023/234 final).</w:t>
      </w:r>
    </w:p>
  </w:footnote>
  <w:footnote w:id="5">
    <w:p w14:paraId="3601714D" w14:textId="60B2A1D1" w:rsidR="0085455E" w:rsidRDefault="0085455E">
      <w:pPr>
        <w:pStyle w:val="Voetnoottekst"/>
      </w:pPr>
      <w:r w:rsidRPr="00424A51">
        <w:rPr>
          <w:rStyle w:val="Voetnootmarkering"/>
          <w:sz w:val="16"/>
          <w:szCs w:val="16"/>
        </w:rPr>
        <w:footnoteRef/>
      </w:r>
      <w:r w:rsidR="00424A51">
        <w:rPr>
          <w:sz w:val="16"/>
          <w:szCs w:val="16"/>
        </w:rPr>
        <w:t xml:space="preserve"> Kamerstukken II </w:t>
      </w:r>
      <w:r w:rsidR="000F33F6">
        <w:rPr>
          <w:sz w:val="16"/>
          <w:szCs w:val="16"/>
        </w:rPr>
        <w:t>(</w:t>
      </w:r>
      <w:r w:rsidR="00424A51">
        <w:rPr>
          <w:sz w:val="16"/>
          <w:szCs w:val="16"/>
        </w:rPr>
        <w:t>2022-23</w:t>
      </w:r>
      <w:r w:rsidR="000F33F6">
        <w:rPr>
          <w:sz w:val="16"/>
          <w:szCs w:val="16"/>
        </w:rPr>
        <w:t>),</w:t>
      </w:r>
      <w:r w:rsidR="00424A51">
        <w:rPr>
          <w:sz w:val="16"/>
          <w:szCs w:val="16"/>
        </w:rPr>
        <w:t xml:space="preserve"> 22 112, nr. 3717: ‘</w:t>
      </w:r>
      <w:r w:rsidR="00424A51" w:rsidRPr="00424A51">
        <w:rPr>
          <w:sz w:val="16"/>
          <w:szCs w:val="16"/>
        </w:rPr>
        <w:t>Fiche: Richtlijn en mededeling ter bestrijding van corruptie binnen de EU</w:t>
      </w:r>
      <w:r w:rsidR="00424A51">
        <w:rPr>
          <w:sz w:val="16"/>
          <w:szCs w:val="16"/>
        </w:rPr>
        <w:t xml:space="preserve">’; en </w:t>
      </w:r>
      <w:r w:rsidR="001E27C4">
        <w:rPr>
          <w:sz w:val="16"/>
          <w:szCs w:val="16"/>
        </w:rPr>
        <w:t xml:space="preserve">Kamerstukken II </w:t>
      </w:r>
      <w:r w:rsidR="000F33F6">
        <w:rPr>
          <w:sz w:val="16"/>
          <w:szCs w:val="16"/>
        </w:rPr>
        <w:t>(</w:t>
      </w:r>
      <w:r w:rsidR="001E27C4">
        <w:rPr>
          <w:sz w:val="16"/>
          <w:szCs w:val="16"/>
        </w:rPr>
        <w:t>2022-23</w:t>
      </w:r>
      <w:r w:rsidR="000F33F6">
        <w:rPr>
          <w:sz w:val="16"/>
          <w:szCs w:val="16"/>
        </w:rPr>
        <w:t>)</w:t>
      </w:r>
      <w:r w:rsidR="001E27C4">
        <w:rPr>
          <w:sz w:val="16"/>
          <w:szCs w:val="16"/>
        </w:rPr>
        <w:t>, 22 112, nr. 3752: ‘</w:t>
      </w:r>
      <w:r w:rsidR="001E27C4" w:rsidRPr="001E27C4">
        <w:rPr>
          <w:sz w:val="16"/>
          <w:szCs w:val="16"/>
        </w:rPr>
        <w:t>Verslag van een schriftelijk overleg over o.a. het Fiche: Richtlijn en mededeling ter bestrijding van corruptie binnen de EU (Kamerstuk 22112-3717</w:t>
      </w:r>
      <w:r w:rsidR="001E27C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D9A5C" w14:textId="77777777" w:rsidR="00824B7F" w:rsidRDefault="00824B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9C57" w14:textId="77777777" w:rsidR="005B2E1C" w:rsidRDefault="00AA736E">
    <w:r>
      <w:rPr>
        <w:noProof/>
      </w:rPr>
      <mc:AlternateContent>
        <mc:Choice Requires="wps">
          <w:drawing>
            <wp:anchor distT="0" distB="0" distL="0" distR="0" simplePos="0" relativeHeight="251652096" behindDoc="0" locked="1" layoutInCell="1" allowOverlap="1" wp14:anchorId="1C953A9A" wp14:editId="23F5EC8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39F9065" w14:textId="77777777" w:rsidR="00CF435D" w:rsidRDefault="00CF435D"/>
                      </w:txbxContent>
                    </wps:txbx>
                    <wps:bodyPr vert="horz" wrap="square" lIns="0" tIns="0" rIns="0" bIns="0" anchor="t" anchorCtr="0"/>
                  </wps:wsp>
                </a:graphicData>
              </a:graphic>
            </wp:anchor>
          </w:drawing>
        </mc:Choice>
        <mc:Fallback>
          <w:pict>
            <v:shapetype w14:anchorId="1C953A9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39F9065" w14:textId="77777777" w:rsidR="00CF435D" w:rsidRDefault="00CF435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7FD4EE" wp14:editId="3F1878C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CE02CF" w14:textId="77777777" w:rsidR="005B2E1C" w:rsidRDefault="00AA736E">
                          <w:pPr>
                            <w:pStyle w:val="Referentiegegevensbold"/>
                          </w:pPr>
                          <w:r>
                            <w:t>Directoraat-Generaal Rechtspleging en Rechtshandhaving</w:t>
                          </w:r>
                        </w:p>
                        <w:p w14:paraId="464E978A" w14:textId="77777777" w:rsidR="005B2E1C" w:rsidRDefault="00AA736E">
                          <w:pPr>
                            <w:pStyle w:val="Referentiegegevens"/>
                          </w:pPr>
                          <w:r>
                            <w:t>Directie Rechtshandhaving en Criminaliteitsbestrijding</w:t>
                          </w:r>
                        </w:p>
                        <w:p w14:paraId="501868E4" w14:textId="77777777" w:rsidR="005B2E1C" w:rsidRDefault="005B2E1C">
                          <w:pPr>
                            <w:pStyle w:val="WitregelW2"/>
                          </w:pPr>
                        </w:p>
                        <w:p w14:paraId="537CD1E9" w14:textId="77777777" w:rsidR="005B2E1C" w:rsidRDefault="00AA736E">
                          <w:pPr>
                            <w:pStyle w:val="Referentiegegevensbold"/>
                          </w:pPr>
                          <w:r>
                            <w:t>Datum</w:t>
                          </w:r>
                        </w:p>
                        <w:p w14:paraId="768DC4BD" w14:textId="05A9B998" w:rsidR="005B2E1C" w:rsidRDefault="001E67F6">
                          <w:pPr>
                            <w:pStyle w:val="Referentiegegevens"/>
                          </w:pPr>
                          <w:sdt>
                            <w:sdtPr>
                              <w:id w:val="527303783"/>
                              <w:date w:fullDate="2025-03-03T00:00:00Z">
                                <w:dateFormat w:val="d MMMM yyyy"/>
                                <w:lid w:val="nl"/>
                                <w:storeMappedDataAs w:val="dateTime"/>
                                <w:calendar w:val="gregorian"/>
                              </w:date>
                            </w:sdtPr>
                            <w:sdtEndPr/>
                            <w:sdtContent>
                              <w:r w:rsidR="00817FF2">
                                <w:t>3 maart</w:t>
                              </w:r>
                              <w:r w:rsidR="00AA736E">
                                <w:t xml:space="preserve"> 2025</w:t>
                              </w:r>
                            </w:sdtContent>
                          </w:sdt>
                        </w:p>
                        <w:p w14:paraId="37C1727C" w14:textId="77777777" w:rsidR="005B2E1C" w:rsidRDefault="005B2E1C">
                          <w:pPr>
                            <w:pStyle w:val="WitregelW1"/>
                          </w:pPr>
                        </w:p>
                        <w:p w14:paraId="1351C136" w14:textId="77777777" w:rsidR="005B2E1C" w:rsidRDefault="00AA736E">
                          <w:pPr>
                            <w:pStyle w:val="Referentiegegevensbold"/>
                          </w:pPr>
                          <w:r>
                            <w:t>Onze referentie</w:t>
                          </w:r>
                        </w:p>
                        <w:p w14:paraId="426DF701" w14:textId="77777777" w:rsidR="005B2E1C" w:rsidRDefault="00AA736E">
                          <w:pPr>
                            <w:pStyle w:val="Referentiegegevens"/>
                          </w:pPr>
                          <w:r>
                            <w:t>6158239</w:t>
                          </w:r>
                        </w:p>
                      </w:txbxContent>
                    </wps:txbx>
                    <wps:bodyPr vert="horz" wrap="square" lIns="0" tIns="0" rIns="0" bIns="0" anchor="t" anchorCtr="0"/>
                  </wps:wsp>
                </a:graphicData>
              </a:graphic>
            </wp:anchor>
          </w:drawing>
        </mc:Choice>
        <mc:Fallback>
          <w:pict>
            <v:shape w14:anchorId="2C7FD4E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CCE02CF" w14:textId="77777777" w:rsidR="005B2E1C" w:rsidRDefault="00AA736E">
                    <w:pPr>
                      <w:pStyle w:val="Referentiegegevensbold"/>
                    </w:pPr>
                    <w:r>
                      <w:t>Directoraat-Generaal Rechtspleging en Rechtshandhaving</w:t>
                    </w:r>
                  </w:p>
                  <w:p w14:paraId="464E978A" w14:textId="77777777" w:rsidR="005B2E1C" w:rsidRDefault="00AA736E">
                    <w:pPr>
                      <w:pStyle w:val="Referentiegegevens"/>
                    </w:pPr>
                    <w:r>
                      <w:t>Directie Rechtshandhaving en Criminaliteitsbestrijding</w:t>
                    </w:r>
                  </w:p>
                  <w:p w14:paraId="501868E4" w14:textId="77777777" w:rsidR="005B2E1C" w:rsidRDefault="005B2E1C">
                    <w:pPr>
                      <w:pStyle w:val="WitregelW2"/>
                    </w:pPr>
                  </w:p>
                  <w:p w14:paraId="537CD1E9" w14:textId="77777777" w:rsidR="005B2E1C" w:rsidRDefault="00AA736E">
                    <w:pPr>
                      <w:pStyle w:val="Referentiegegevensbold"/>
                    </w:pPr>
                    <w:r>
                      <w:t>Datum</w:t>
                    </w:r>
                  </w:p>
                  <w:p w14:paraId="768DC4BD" w14:textId="05A9B998" w:rsidR="005B2E1C" w:rsidRDefault="001E67F6">
                    <w:pPr>
                      <w:pStyle w:val="Referentiegegevens"/>
                    </w:pPr>
                    <w:sdt>
                      <w:sdtPr>
                        <w:id w:val="527303783"/>
                        <w:date w:fullDate="2025-03-03T00:00:00Z">
                          <w:dateFormat w:val="d MMMM yyyy"/>
                          <w:lid w:val="nl"/>
                          <w:storeMappedDataAs w:val="dateTime"/>
                          <w:calendar w:val="gregorian"/>
                        </w:date>
                      </w:sdtPr>
                      <w:sdtEndPr/>
                      <w:sdtContent>
                        <w:r w:rsidR="00817FF2">
                          <w:t>3 maart</w:t>
                        </w:r>
                        <w:r w:rsidR="00AA736E">
                          <w:t xml:space="preserve"> 2025</w:t>
                        </w:r>
                      </w:sdtContent>
                    </w:sdt>
                  </w:p>
                  <w:p w14:paraId="37C1727C" w14:textId="77777777" w:rsidR="005B2E1C" w:rsidRDefault="005B2E1C">
                    <w:pPr>
                      <w:pStyle w:val="WitregelW1"/>
                    </w:pPr>
                  </w:p>
                  <w:p w14:paraId="1351C136" w14:textId="77777777" w:rsidR="005B2E1C" w:rsidRDefault="00AA736E">
                    <w:pPr>
                      <w:pStyle w:val="Referentiegegevensbold"/>
                    </w:pPr>
                    <w:r>
                      <w:t>Onze referentie</w:t>
                    </w:r>
                  </w:p>
                  <w:p w14:paraId="426DF701" w14:textId="77777777" w:rsidR="005B2E1C" w:rsidRDefault="00AA736E">
                    <w:pPr>
                      <w:pStyle w:val="Referentiegegevens"/>
                    </w:pPr>
                    <w:r>
                      <w:t>6158239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8DEBE6B" wp14:editId="043BCAF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1DCFF5" w14:textId="77777777" w:rsidR="00CF435D" w:rsidRDefault="00CF435D"/>
                      </w:txbxContent>
                    </wps:txbx>
                    <wps:bodyPr vert="horz" wrap="square" lIns="0" tIns="0" rIns="0" bIns="0" anchor="t" anchorCtr="0"/>
                  </wps:wsp>
                </a:graphicData>
              </a:graphic>
            </wp:anchor>
          </w:drawing>
        </mc:Choice>
        <mc:Fallback>
          <w:pict>
            <v:shape w14:anchorId="28DEBE6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D1DCFF5" w14:textId="77777777" w:rsidR="00CF435D" w:rsidRDefault="00CF435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4E63323" wp14:editId="0E446B2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77DCCD" w14:textId="2E9ECED4" w:rsidR="005B2E1C" w:rsidRDefault="00AA736E">
                          <w:pPr>
                            <w:pStyle w:val="Referentiegegevens"/>
                          </w:pPr>
                          <w:r>
                            <w:t xml:space="preserve">Pagina </w:t>
                          </w:r>
                          <w:r>
                            <w:fldChar w:fldCharType="begin"/>
                          </w:r>
                          <w:r>
                            <w:instrText>PAGE</w:instrText>
                          </w:r>
                          <w:r>
                            <w:fldChar w:fldCharType="separate"/>
                          </w:r>
                          <w:r w:rsidR="00E13C47">
                            <w:rPr>
                              <w:noProof/>
                            </w:rPr>
                            <w:t>2</w:t>
                          </w:r>
                          <w:r>
                            <w:fldChar w:fldCharType="end"/>
                          </w:r>
                          <w:r>
                            <w:t xml:space="preserve"> van </w:t>
                          </w:r>
                          <w:r>
                            <w:fldChar w:fldCharType="begin"/>
                          </w:r>
                          <w:r>
                            <w:instrText>NUMPAGES</w:instrText>
                          </w:r>
                          <w:r>
                            <w:fldChar w:fldCharType="separate"/>
                          </w:r>
                          <w:r w:rsidR="00E13C47">
                            <w:rPr>
                              <w:noProof/>
                            </w:rPr>
                            <w:t>1</w:t>
                          </w:r>
                          <w:r>
                            <w:fldChar w:fldCharType="end"/>
                          </w:r>
                        </w:p>
                      </w:txbxContent>
                    </wps:txbx>
                    <wps:bodyPr vert="horz" wrap="square" lIns="0" tIns="0" rIns="0" bIns="0" anchor="t" anchorCtr="0"/>
                  </wps:wsp>
                </a:graphicData>
              </a:graphic>
            </wp:anchor>
          </w:drawing>
        </mc:Choice>
        <mc:Fallback>
          <w:pict>
            <v:shape w14:anchorId="04E6332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A77DCCD" w14:textId="2E9ECED4" w:rsidR="005B2E1C" w:rsidRDefault="00AA736E">
                    <w:pPr>
                      <w:pStyle w:val="Referentiegegevens"/>
                    </w:pPr>
                    <w:r>
                      <w:t xml:space="preserve">Pagina </w:t>
                    </w:r>
                    <w:r>
                      <w:fldChar w:fldCharType="begin"/>
                    </w:r>
                    <w:r>
                      <w:instrText>PAGE</w:instrText>
                    </w:r>
                    <w:r>
                      <w:fldChar w:fldCharType="separate"/>
                    </w:r>
                    <w:r w:rsidR="00E13C47">
                      <w:rPr>
                        <w:noProof/>
                      </w:rPr>
                      <w:t>2</w:t>
                    </w:r>
                    <w:r>
                      <w:fldChar w:fldCharType="end"/>
                    </w:r>
                    <w:r>
                      <w:t xml:space="preserve"> van </w:t>
                    </w:r>
                    <w:r>
                      <w:fldChar w:fldCharType="begin"/>
                    </w:r>
                    <w:r>
                      <w:instrText>NUMPAGES</w:instrText>
                    </w:r>
                    <w:r>
                      <w:fldChar w:fldCharType="separate"/>
                    </w:r>
                    <w:r w:rsidR="00E13C4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3853" w14:textId="77777777" w:rsidR="005B2E1C" w:rsidRDefault="00AA736E">
    <w:pPr>
      <w:spacing w:after="6377" w:line="14" w:lineRule="exact"/>
    </w:pPr>
    <w:r>
      <w:rPr>
        <w:noProof/>
      </w:rPr>
      <mc:AlternateContent>
        <mc:Choice Requires="wps">
          <w:drawing>
            <wp:anchor distT="0" distB="0" distL="0" distR="0" simplePos="0" relativeHeight="251656192" behindDoc="0" locked="1" layoutInCell="1" allowOverlap="1" wp14:anchorId="71D096A7" wp14:editId="6A3087C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504DB16" w14:textId="77777777" w:rsidR="005B2E1C" w:rsidRDefault="00AA736E">
                          <w:pPr>
                            <w:spacing w:line="240" w:lineRule="auto"/>
                          </w:pPr>
                          <w:r>
                            <w:rPr>
                              <w:noProof/>
                            </w:rPr>
                            <w:drawing>
                              <wp:inline distT="0" distB="0" distL="0" distR="0" wp14:anchorId="2CBBD6A6" wp14:editId="3D266304">
                                <wp:extent cx="467995" cy="1583865"/>
                                <wp:effectExtent l="0" t="0" r="0" b="0"/>
                                <wp:docPr id="69026005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D096A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504DB16" w14:textId="77777777" w:rsidR="005B2E1C" w:rsidRDefault="00AA736E">
                    <w:pPr>
                      <w:spacing w:line="240" w:lineRule="auto"/>
                    </w:pPr>
                    <w:r>
                      <w:rPr>
                        <w:noProof/>
                      </w:rPr>
                      <w:drawing>
                        <wp:inline distT="0" distB="0" distL="0" distR="0" wp14:anchorId="2CBBD6A6" wp14:editId="3D266304">
                          <wp:extent cx="467995" cy="1583865"/>
                          <wp:effectExtent l="0" t="0" r="0" b="0"/>
                          <wp:docPr id="69026005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2D64BCA" wp14:editId="5226647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79C4DD" w14:textId="77777777" w:rsidR="005B2E1C" w:rsidRDefault="00AA736E">
                          <w:pPr>
                            <w:spacing w:line="240" w:lineRule="auto"/>
                          </w:pPr>
                          <w:r>
                            <w:rPr>
                              <w:noProof/>
                            </w:rPr>
                            <w:drawing>
                              <wp:inline distT="0" distB="0" distL="0" distR="0" wp14:anchorId="04B15996" wp14:editId="22C68DC2">
                                <wp:extent cx="2339975" cy="1582834"/>
                                <wp:effectExtent l="0" t="0" r="0" b="0"/>
                                <wp:docPr id="108699905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D64BC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379C4DD" w14:textId="77777777" w:rsidR="005B2E1C" w:rsidRDefault="00AA736E">
                    <w:pPr>
                      <w:spacing w:line="240" w:lineRule="auto"/>
                    </w:pPr>
                    <w:r>
                      <w:rPr>
                        <w:noProof/>
                      </w:rPr>
                      <w:drawing>
                        <wp:inline distT="0" distB="0" distL="0" distR="0" wp14:anchorId="04B15996" wp14:editId="22C68DC2">
                          <wp:extent cx="2339975" cy="1582834"/>
                          <wp:effectExtent l="0" t="0" r="0" b="0"/>
                          <wp:docPr id="108699905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5E817A6" wp14:editId="53DFF18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AB77F7" w14:textId="77777777" w:rsidR="005B2E1C" w:rsidRDefault="00AA736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5E817A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1AB77F7" w14:textId="77777777" w:rsidR="005B2E1C" w:rsidRDefault="00AA736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429B8B" wp14:editId="0355FDD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61838B" w14:textId="66E2C5DB" w:rsidR="005B2E1C" w:rsidRDefault="00824B7F">
                          <w:r>
                            <w:t>Aan d</w:t>
                          </w:r>
                          <w:r w:rsidR="00AA736E">
                            <w:t>e Voorzitter van de Tweede Kamer</w:t>
                          </w:r>
                        </w:p>
                        <w:p w14:paraId="28003680" w14:textId="77777777" w:rsidR="005B2E1C" w:rsidRDefault="00AA736E">
                          <w:r>
                            <w:t>t.a.v. Staten-Generaal</w:t>
                          </w:r>
                        </w:p>
                        <w:p w14:paraId="2B379F86" w14:textId="77777777" w:rsidR="005B2E1C" w:rsidRDefault="00AA736E">
                          <w:r>
                            <w:t xml:space="preserve">Postbus 20018 </w:t>
                          </w:r>
                        </w:p>
                        <w:p w14:paraId="0FEF950D" w14:textId="77777777" w:rsidR="005B2E1C" w:rsidRDefault="00AA736E">
                          <w:r>
                            <w:t>2500 EA  DEN HAAG</w:t>
                          </w:r>
                        </w:p>
                      </w:txbxContent>
                    </wps:txbx>
                    <wps:bodyPr vert="horz" wrap="square" lIns="0" tIns="0" rIns="0" bIns="0" anchor="t" anchorCtr="0"/>
                  </wps:wsp>
                </a:graphicData>
              </a:graphic>
            </wp:anchor>
          </w:drawing>
        </mc:Choice>
        <mc:Fallback>
          <w:pict>
            <v:shape w14:anchorId="51429B8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061838B" w14:textId="66E2C5DB" w:rsidR="005B2E1C" w:rsidRDefault="00824B7F">
                    <w:r>
                      <w:t>Aan d</w:t>
                    </w:r>
                    <w:r w:rsidR="00AA736E">
                      <w:t>e Voorzitter van de Tweede Kamer</w:t>
                    </w:r>
                  </w:p>
                  <w:p w14:paraId="28003680" w14:textId="77777777" w:rsidR="005B2E1C" w:rsidRDefault="00AA736E">
                    <w:r>
                      <w:t>t.a.v. Staten-Generaal</w:t>
                    </w:r>
                  </w:p>
                  <w:p w14:paraId="2B379F86" w14:textId="77777777" w:rsidR="005B2E1C" w:rsidRDefault="00AA736E">
                    <w:r>
                      <w:t xml:space="preserve">Postbus 20018 </w:t>
                    </w:r>
                  </w:p>
                  <w:p w14:paraId="0FEF950D" w14:textId="77777777" w:rsidR="005B2E1C" w:rsidRDefault="00AA736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F8BD03" wp14:editId="2577D8A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B2E1C" w14:paraId="08821295" w14:textId="77777777">
                            <w:trPr>
                              <w:trHeight w:val="240"/>
                            </w:trPr>
                            <w:tc>
                              <w:tcPr>
                                <w:tcW w:w="1140" w:type="dxa"/>
                              </w:tcPr>
                              <w:p w14:paraId="0FE38E3A" w14:textId="77777777" w:rsidR="005B2E1C" w:rsidRDefault="00AA736E">
                                <w:r>
                                  <w:t>Datum</w:t>
                                </w:r>
                              </w:p>
                            </w:tc>
                            <w:tc>
                              <w:tcPr>
                                <w:tcW w:w="5918" w:type="dxa"/>
                              </w:tcPr>
                              <w:p w14:paraId="27D3EEEF" w14:textId="034C3CD3" w:rsidR="005B2E1C" w:rsidRDefault="001E67F6">
                                <w:sdt>
                                  <w:sdtPr>
                                    <w:id w:val="1099296807"/>
                                    <w:date w:fullDate="2025-03-03T00:00:00Z">
                                      <w:dateFormat w:val="d MMMM yyyy"/>
                                      <w:lid w:val="nl"/>
                                      <w:storeMappedDataAs w:val="dateTime"/>
                                      <w:calendar w:val="gregorian"/>
                                    </w:date>
                                  </w:sdtPr>
                                  <w:sdtEndPr/>
                                  <w:sdtContent>
                                    <w:r w:rsidR="00827E6D">
                                      <w:t>3 maart</w:t>
                                    </w:r>
                                    <w:r w:rsidR="00AA736E">
                                      <w:t xml:space="preserve"> 2025</w:t>
                                    </w:r>
                                  </w:sdtContent>
                                </w:sdt>
                              </w:p>
                            </w:tc>
                          </w:tr>
                          <w:tr w:rsidR="005B2E1C" w14:paraId="224FC8CE" w14:textId="77777777">
                            <w:trPr>
                              <w:trHeight w:val="240"/>
                            </w:trPr>
                            <w:tc>
                              <w:tcPr>
                                <w:tcW w:w="1140" w:type="dxa"/>
                              </w:tcPr>
                              <w:p w14:paraId="010F83BF" w14:textId="77777777" w:rsidR="005B2E1C" w:rsidRDefault="00AA736E">
                                <w:r>
                                  <w:t>Betreft</w:t>
                                </w:r>
                              </w:p>
                            </w:tc>
                            <w:tc>
                              <w:tcPr>
                                <w:tcW w:w="5918" w:type="dxa"/>
                              </w:tcPr>
                              <w:p w14:paraId="4B3DF0E8" w14:textId="671090F2" w:rsidR="005B2E1C" w:rsidRDefault="00824B7F">
                                <w:r>
                                  <w:t xml:space="preserve">Antwoorden </w:t>
                                </w:r>
                                <w:r w:rsidR="00AA736E">
                                  <w:t xml:space="preserve">Kamervragen </w:t>
                                </w:r>
                                <w:r>
                                  <w:t xml:space="preserve">over </w:t>
                                </w:r>
                                <w:r w:rsidR="00AA736E">
                                  <w:t>de oproep van het Openbaar Ministerie om de wetgeving tegen corruptie te verbeteren</w:t>
                                </w:r>
                              </w:p>
                            </w:tc>
                          </w:tr>
                        </w:tbl>
                        <w:p w14:paraId="69D74194" w14:textId="77777777" w:rsidR="00CF435D" w:rsidRDefault="00CF435D"/>
                      </w:txbxContent>
                    </wps:txbx>
                    <wps:bodyPr vert="horz" wrap="square" lIns="0" tIns="0" rIns="0" bIns="0" anchor="t" anchorCtr="0"/>
                  </wps:wsp>
                </a:graphicData>
              </a:graphic>
            </wp:anchor>
          </w:drawing>
        </mc:Choice>
        <mc:Fallback>
          <w:pict>
            <v:shape w14:anchorId="14F8BD0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B2E1C" w14:paraId="08821295" w14:textId="77777777">
                      <w:trPr>
                        <w:trHeight w:val="240"/>
                      </w:trPr>
                      <w:tc>
                        <w:tcPr>
                          <w:tcW w:w="1140" w:type="dxa"/>
                        </w:tcPr>
                        <w:p w14:paraId="0FE38E3A" w14:textId="77777777" w:rsidR="005B2E1C" w:rsidRDefault="00AA736E">
                          <w:r>
                            <w:t>Datum</w:t>
                          </w:r>
                        </w:p>
                      </w:tc>
                      <w:tc>
                        <w:tcPr>
                          <w:tcW w:w="5918" w:type="dxa"/>
                        </w:tcPr>
                        <w:p w14:paraId="27D3EEEF" w14:textId="034C3CD3" w:rsidR="005B2E1C" w:rsidRDefault="001E67F6">
                          <w:sdt>
                            <w:sdtPr>
                              <w:id w:val="1099296807"/>
                              <w:date w:fullDate="2025-03-03T00:00:00Z">
                                <w:dateFormat w:val="d MMMM yyyy"/>
                                <w:lid w:val="nl"/>
                                <w:storeMappedDataAs w:val="dateTime"/>
                                <w:calendar w:val="gregorian"/>
                              </w:date>
                            </w:sdtPr>
                            <w:sdtEndPr/>
                            <w:sdtContent>
                              <w:r w:rsidR="00827E6D">
                                <w:t>3 maart</w:t>
                              </w:r>
                              <w:r w:rsidR="00AA736E">
                                <w:t xml:space="preserve"> 2025</w:t>
                              </w:r>
                            </w:sdtContent>
                          </w:sdt>
                        </w:p>
                      </w:tc>
                    </w:tr>
                    <w:tr w:rsidR="005B2E1C" w14:paraId="224FC8CE" w14:textId="77777777">
                      <w:trPr>
                        <w:trHeight w:val="240"/>
                      </w:trPr>
                      <w:tc>
                        <w:tcPr>
                          <w:tcW w:w="1140" w:type="dxa"/>
                        </w:tcPr>
                        <w:p w14:paraId="010F83BF" w14:textId="77777777" w:rsidR="005B2E1C" w:rsidRDefault="00AA736E">
                          <w:r>
                            <w:t>Betreft</w:t>
                          </w:r>
                        </w:p>
                      </w:tc>
                      <w:tc>
                        <w:tcPr>
                          <w:tcW w:w="5918" w:type="dxa"/>
                        </w:tcPr>
                        <w:p w14:paraId="4B3DF0E8" w14:textId="671090F2" w:rsidR="005B2E1C" w:rsidRDefault="00824B7F">
                          <w:r>
                            <w:t xml:space="preserve">Antwoorden </w:t>
                          </w:r>
                          <w:r w:rsidR="00AA736E">
                            <w:t xml:space="preserve">Kamervragen </w:t>
                          </w:r>
                          <w:r>
                            <w:t xml:space="preserve">over </w:t>
                          </w:r>
                          <w:r w:rsidR="00AA736E">
                            <w:t>de oproep van het Openbaar Ministerie om de wetgeving tegen corruptie te verbeteren</w:t>
                          </w:r>
                        </w:p>
                      </w:tc>
                    </w:tr>
                  </w:tbl>
                  <w:p w14:paraId="69D74194" w14:textId="77777777" w:rsidR="00CF435D" w:rsidRDefault="00CF435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1BE8FB4" wp14:editId="069B9F7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3C8515" w14:textId="77777777" w:rsidR="005B2E1C" w:rsidRDefault="00AA736E">
                          <w:pPr>
                            <w:pStyle w:val="Referentiegegevensbold"/>
                          </w:pPr>
                          <w:r>
                            <w:t>Directoraat-Generaal Rechtspleging en Rechtshandhaving</w:t>
                          </w:r>
                        </w:p>
                        <w:p w14:paraId="1CCA42D6" w14:textId="77777777" w:rsidR="005B2E1C" w:rsidRDefault="00AA736E">
                          <w:pPr>
                            <w:pStyle w:val="Referentiegegevens"/>
                          </w:pPr>
                          <w:r>
                            <w:t>Directie Rechtshandhaving en Criminaliteitsbestrijding</w:t>
                          </w:r>
                        </w:p>
                        <w:p w14:paraId="1672CBCF" w14:textId="77777777" w:rsidR="005B2E1C" w:rsidRDefault="005B2E1C">
                          <w:pPr>
                            <w:pStyle w:val="WitregelW1"/>
                          </w:pPr>
                        </w:p>
                        <w:p w14:paraId="4D01834A" w14:textId="77777777" w:rsidR="005B2E1C" w:rsidRPr="00824B7F" w:rsidRDefault="00AA736E">
                          <w:pPr>
                            <w:pStyle w:val="Referentiegegevens"/>
                            <w:rPr>
                              <w:lang w:val="de-DE"/>
                            </w:rPr>
                          </w:pPr>
                          <w:r w:rsidRPr="00824B7F">
                            <w:rPr>
                              <w:lang w:val="de-DE"/>
                            </w:rPr>
                            <w:t>Turfmarkt 147</w:t>
                          </w:r>
                        </w:p>
                        <w:p w14:paraId="4E168579" w14:textId="77777777" w:rsidR="005B2E1C" w:rsidRPr="00824B7F" w:rsidRDefault="00AA736E">
                          <w:pPr>
                            <w:pStyle w:val="Referentiegegevens"/>
                            <w:rPr>
                              <w:lang w:val="de-DE"/>
                            </w:rPr>
                          </w:pPr>
                          <w:r w:rsidRPr="00824B7F">
                            <w:rPr>
                              <w:lang w:val="de-DE"/>
                            </w:rPr>
                            <w:t>2511 DP   Den Haag</w:t>
                          </w:r>
                        </w:p>
                        <w:p w14:paraId="510B59C2" w14:textId="77777777" w:rsidR="005B2E1C" w:rsidRPr="00824B7F" w:rsidRDefault="00AA736E">
                          <w:pPr>
                            <w:pStyle w:val="Referentiegegevens"/>
                            <w:rPr>
                              <w:lang w:val="de-DE"/>
                            </w:rPr>
                          </w:pPr>
                          <w:r w:rsidRPr="00824B7F">
                            <w:rPr>
                              <w:lang w:val="de-DE"/>
                            </w:rPr>
                            <w:t>Postbus 20301</w:t>
                          </w:r>
                        </w:p>
                        <w:p w14:paraId="3B7F4969" w14:textId="77777777" w:rsidR="005B2E1C" w:rsidRPr="00824B7F" w:rsidRDefault="00AA736E">
                          <w:pPr>
                            <w:pStyle w:val="Referentiegegevens"/>
                            <w:rPr>
                              <w:lang w:val="de-DE"/>
                            </w:rPr>
                          </w:pPr>
                          <w:r w:rsidRPr="00824B7F">
                            <w:rPr>
                              <w:lang w:val="de-DE"/>
                            </w:rPr>
                            <w:t>2500 EH   Den Haag</w:t>
                          </w:r>
                        </w:p>
                        <w:p w14:paraId="1D300422" w14:textId="77777777" w:rsidR="005B2E1C" w:rsidRPr="00824B7F" w:rsidRDefault="00AA736E">
                          <w:pPr>
                            <w:pStyle w:val="Referentiegegevens"/>
                            <w:rPr>
                              <w:lang w:val="de-DE"/>
                            </w:rPr>
                          </w:pPr>
                          <w:r w:rsidRPr="00824B7F">
                            <w:rPr>
                              <w:lang w:val="de-DE"/>
                            </w:rPr>
                            <w:t>www.rijksoverheid.nl/jenv</w:t>
                          </w:r>
                        </w:p>
                        <w:p w14:paraId="561B4EA9" w14:textId="77777777" w:rsidR="005B2E1C" w:rsidRPr="00824B7F" w:rsidRDefault="005B2E1C">
                          <w:pPr>
                            <w:pStyle w:val="WitregelW1"/>
                            <w:rPr>
                              <w:lang w:val="de-DE"/>
                            </w:rPr>
                          </w:pPr>
                        </w:p>
                        <w:p w14:paraId="70A5A014" w14:textId="77777777" w:rsidR="005B2E1C" w:rsidRDefault="00AA736E">
                          <w:pPr>
                            <w:pStyle w:val="Referentiegegevensbold"/>
                          </w:pPr>
                          <w:r>
                            <w:t>Onze referentie</w:t>
                          </w:r>
                        </w:p>
                        <w:p w14:paraId="1CFB14AE" w14:textId="77777777" w:rsidR="005B2E1C" w:rsidRDefault="00AA736E">
                          <w:pPr>
                            <w:pStyle w:val="Referentiegegevens"/>
                          </w:pPr>
                          <w:r>
                            <w:t>6158239</w:t>
                          </w:r>
                        </w:p>
                        <w:p w14:paraId="675522F6" w14:textId="77777777" w:rsidR="005B2E1C" w:rsidRDefault="005B2E1C">
                          <w:pPr>
                            <w:pStyle w:val="WitregelW1"/>
                          </w:pPr>
                        </w:p>
                        <w:p w14:paraId="482B29B5" w14:textId="77777777" w:rsidR="005B2E1C" w:rsidRDefault="00AA736E">
                          <w:pPr>
                            <w:pStyle w:val="Referentiegegevensbold"/>
                          </w:pPr>
                          <w:r>
                            <w:t>Uw referentie</w:t>
                          </w:r>
                        </w:p>
                        <w:p w14:paraId="3AEBE5A3" w14:textId="77777777" w:rsidR="005B2E1C" w:rsidRDefault="001E67F6">
                          <w:pPr>
                            <w:pStyle w:val="Referentiegegevens"/>
                          </w:pPr>
                          <w:sdt>
                            <w:sdtPr>
                              <w:id w:val="1829246883"/>
                              <w:dataBinding w:prefixMappings="xmlns:ns0='docgen-assistant'" w:xpath="/ns0:CustomXml[1]/ns0:Variables[1]/ns0:Variable[1]/ns0:Value[1]" w:storeItemID="{00000000-0000-0000-0000-000000000000}"/>
                              <w:text/>
                            </w:sdtPr>
                            <w:sdtEndPr/>
                            <w:sdtContent>
                              <w:r w:rsidR="0034492C">
                                <w:t>2025Z01900</w:t>
                              </w:r>
                            </w:sdtContent>
                          </w:sdt>
                        </w:p>
                      </w:txbxContent>
                    </wps:txbx>
                    <wps:bodyPr vert="horz" wrap="square" lIns="0" tIns="0" rIns="0" bIns="0" anchor="t" anchorCtr="0"/>
                  </wps:wsp>
                </a:graphicData>
              </a:graphic>
            </wp:anchor>
          </w:drawing>
        </mc:Choice>
        <mc:Fallback>
          <w:pict>
            <v:shape w14:anchorId="01BE8FB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303C8515" w14:textId="77777777" w:rsidR="005B2E1C" w:rsidRDefault="00AA736E">
                    <w:pPr>
                      <w:pStyle w:val="Referentiegegevensbold"/>
                    </w:pPr>
                    <w:r>
                      <w:t>Directoraat-Generaal Rechtspleging en Rechtshandhaving</w:t>
                    </w:r>
                  </w:p>
                  <w:p w14:paraId="1CCA42D6" w14:textId="77777777" w:rsidR="005B2E1C" w:rsidRDefault="00AA736E">
                    <w:pPr>
                      <w:pStyle w:val="Referentiegegevens"/>
                    </w:pPr>
                    <w:r>
                      <w:t>Directie Rechtshandhaving en Criminaliteitsbestrijding</w:t>
                    </w:r>
                  </w:p>
                  <w:p w14:paraId="1672CBCF" w14:textId="77777777" w:rsidR="005B2E1C" w:rsidRDefault="005B2E1C">
                    <w:pPr>
                      <w:pStyle w:val="WitregelW1"/>
                    </w:pPr>
                  </w:p>
                  <w:p w14:paraId="4D01834A" w14:textId="77777777" w:rsidR="005B2E1C" w:rsidRPr="00824B7F" w:rsidRDefault="00AA736E">
                    <w:pPr>
                      <w:pStyle w:val="Referentiegegevens"/>
                      <w:rPr>
                        <w:lang w:val="de-DE"/>
                      </w:rPr>
                    </w:pPr>
                    <w:r w:rsidRPr="00824B7F">
                      <w:rPr>
                        <w:lang w:val="de-DE"/>
                      </w:rPr>
                      <w:t>Turfmarkt 147</w:t>
                    </w:r>
                  </w:p>
                  <w:p w14:paraId="4E168579" w14:textId="77777777" w:rsidR="005B2E1C" w:rsidRPr="00824B7F" w:rsidRDefault="00AA736E">
                    <w:pPr>
                      <w:pStyle w:val="Referentiegegevens"/>
                      <w:rPr>
                        <w:lang w:val="de-DE"/>
                      </w:rPr>
                    </w:pPr>
                    <w:r w:rsidRPr="00824B7F">
                      <w:rPr>
                        <w:lang w:val="de-DE"/>
                      </w:rPr>
                      <w:t>2511 DP   Den Haag</w:t>
                    </w:r>
                  </w:p>
                  <w:p w14:paraId="510B59C2" w14:textId="77777777" w:rsidR="005B2E1C" w:rsidRPr="00824B7F" w:rsidRDefault="00AA736E">
                    <w:pPr>
                      <w:pStyle w:val="Referentiegegevens"/>
                      <w:rPr>
                        <w:lang w:val="de-DE"/>
                      </w:rPr>
                    </w:pPr>
                    <w:r w:rsidRPr="00824B7F">
                      <w:rPr>
                        <w:lang w:val="de-DE"/>
                      </w:rPr>
                      <w:t>Postbus 20301</w:t>
                    </w:r>
                  </w:p>
                  <w:p w14:paraId="3B7F4969" w14:textId="77777777" w:rsidR="005B2E1C" w:rsidRPr="00824B7F" w:rsidRDefault="00AA736E">
                    <w:pPr>
                      <w:pStyle w:val="Referentiegegevens"/>
                      <w:rPr>
                        <w:lang w:val="de-DE"/>
                      </w:rPr>
                    </w:pPr>
                    <w:r w:rsidRPr="00824B7F">
                      <w:rPr>
                        <w:lang w:val="de-DE"/>
                      </w:rPr>
                      <w:t>2500 EH   Den Haag</w:t>
                    </w:r>
                  </w:p>
                  <w:p w14:paraId="1D300422" w14:textId="77777777" w:rsidR="005B2E1C" w:rsidRPr="00824B7F" w:rsidRDefault="00AA736E">
                    <w:pPr>
                      <w:pStyle w:val="Referentiegegevens"/>
                      <w:rPr>
                        <w:lang w:val="de-DE"/>
                      </w:rPr>
                    </w:pPr>
                    <w:r w:rsidRPr="00824B7F">
                      <w:rPr>
                        <w:lang w:val="de-DE"/>
                      </w:rPr>
                      <w:t>www.rijksoverheid.nl/jenv</w:t>
                    </w:r>
                  </w:p>
                  <w:p w14:paraId="561B4EA9" w14:textId="77777777" w:rsidR="005B2E1C" w:rsidRPr="00824B7F" w:rsidRDefault="005B2E1C">
                    <w:pPr>
                      <w:pStyle w:val="WitregelW1"/>
                      <w:rPr>
                        <w:lang w:val="de-DE"/>
                      </w:rPr>
                    </w:pPr>
                  </w:p>
                  <w:p w14:paraId="70A5A014" w14:textId="77777777" w:rsidR="005B2E1C" w:rsidRDefault="00AA736E">
                    <w:pPr>
                      <w:pStyle w:val="Referentiegegevensbold"/>
                    </w:pPr>
                    <w:r>
                      <w:t>Onze referentie</w:t>
                    </w:r>
                  </w:p>
                  <w:p w14:paraId="1CFB14AE" w14:textId="77777777" w:rsidR="005B2E1C" w:rsidRDefault="00AA736E">
                    <w:pPr>
                      <w:pStyle w:val="Referentiegegevens"/>
                    </w:pPr>
                    <w:r>
                      <w:t>6158239</w:t>
                    </w:r>
                  </w:p>
                  <w:p w14:paraId="675522F6" w14:textId="77777777" w:rsidR="005B2E1C" w:rsidRDefault="005B2E1C">
                    <w:pPr>
                      <w:pStyle w:val="WitregelW1"/>
                    </w:pPr>
                  </w:p>
                  <w:p w14:paraId="482B29B5" w14:textId="77777777" w:rsidR="005B2E1C" w:rsidRDefault="00AA736E">
                    <w:pPr>
                      <w:pStyle w:val="Referentiegegevensbold"/>
                    </w:pPr>
                    <w:r>
                      <w:t>Uw referentie</w:t>
                    </w:r>
                  </w:p>
                  <w:p w14:paraId="3AEBE5A3" w14:textId="77777777" w:rsidR="005B2E1C" w:rsidRDefault="001E67F6">
                    <w:pPr>
                      <w:pStyle w:val="Referentiegegevens"/>
                    </w:pPr>
                    <w:sdt>
                      <w:sdtPr>
                        <w:id w:val="1829246883"/>
                        <w:dataBinding w:prefixMappings="xmlns:ns0='docgen-assistant'" w:xpath="/ns0:CustomXml[1]/ns0:Variables[1]/ns0:Variable[1]/ns0:Value[1]" w:storeItemID="{00000000-0000-0000-0000-000000000000}"/>
                        <w:text/>
                      </w:sdtPr>
                      <w:sdtEndPr/>
                      <w:sdtContent>
                        <w:r w:rsidR="0034492C">
                          <w:t>2025Z01900</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B4279F9" wp14:editId="604DFDB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9F6BF1" w14:textId="49787D64" w:rsidR="005B2E1C" w:rsidRDefault="00AA736E">
                          <w:pPr>
                            <w:pStyle w:val="Referentiegegevens"/>
                          </w:pPr>
                          <w:r>
                            <w:t xml:space="preserve">Pagina </w:t>
                          </w:r>
                          <w:r>
                            <w:fldChar w:fldCharType="begin"/>
                          </w:r>
                          <w:r>
                            <w:instrText>PAGE</w:instrText>
                          </w:r>
                          <w:r>
                            <w:fldChar w:fldCharType="separate"/>
                          </w:r>
                          <w:r w:rsidR="001E67F6">
                            <w:rPr>
                              <w:noProof/>
                            </w:rPr>
                            <w:t>1</w:t>
                          </w:r>
                          <w:r>
                            <w:fldChar w:fldCharType="end"/>
                          </w:r>
                          <w:r>
                            <w:t xml:space="preserve"> van </w:t>
                          </w:r>
                          <w:r>
                            <w:fldChar w:fldCharType="begin"/>
                          </w:r>
                          <w:r>
                            <w:instrText>NUMPAGES</w:instrText>
                          </w:r>
                          <w:r>
                            <w:fldChar w:fldCharType="separate"/>
                          </w:r>
                          <w:r w:rsidR="001E67F6">
                            <w:rPr>
                              <w:noProof/>
                            </w:rPr>
                            <w:t>1</w:t>
                          </w:r>
                          <w:r>
                            <w:fldChar w:fldCharType="end"/>
                          </w:r>
                        </w:p>
                      </w:txbxContent>
                    </wps:txbx>
                    <wps:bodyPr vert="horz" wrap="square" lIns="0" tIns="0" rIns="0" bIns="0" anchor="t" anchorCtr="0"/>
                  </wps:wsp>
                </a:graphicData>
              </a:graphic>
            </wp:anchor>
          </w:drawing>
        </mc:Choice>
        <mc:Fallback>
          <w:pict>
            <v:shape w14:anchorId="1B4279F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459F6BF1" w14:textId="49787D64" w:rsidR="005B2E1C" w:rsidRDefault="00AA736E">
                    <w:pPr>
                      <w:pStyle w:val="Referentiegegevens"/>
                    </w:pPr>
                    <w:r>
                      <w:t xml:space="preserve">Pagina </w:t>
                    </w:r>
                    <w:r>
                      <w:fldChar w:fldCharType="begin"/>
                    </w:r>
                    <w:r>
                      <w:instrText>PAGE</w:instrText>
                    </w:r>
                    <w:r>
                      <w:fldChar w:fldCharType="separate"/>
                    </w:r>
                    <w:r w:rsidR="001E67F6">
                      <w:rPr>
                        <w:noProof/>
                      </w:rPr>
                      <w:t>1</w:t>
                    </w:r>
                    <w:r>
                      <w:fldChar w:fldCharType="end"/>
                    </w:r>
                    <w:r>
                      <w:t xml:space="preserve"> van </w:t>
                    </w:r>
                    <w:r>
                      <w:fldChar w:fldCharType="begin"/>
                    </w:r>
                    <w:r>
                      <w:instrText>NUMPAGES</w:instrText>
                    </w:r>
                    <w:r>
                      <w:fldChar w:fldCharType="separate"/>
                    </w:r>
                    <w:r w:rsidR="001E67F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0B563F" wp14:editId="6CF87B5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834579" w14:textId="77777777" w:rsidR="00CF435D" w:rsidRDefault="00CF435D"/>
                      </w:txbxContent>
                    </wps:txbx>
                    <wps:bodyPr vert="horz" wrap="square" lIns="0" tIns="0" rIns="0" bIns="0" anchor="t" anchorCtr="0"/>
                  </wps:wsp>
                </a:graphicData>
              </a:graphic>
            </wp:anchor>
          </w:drawing>
        </mc:Choice>
        <mc:Fallback>
          <w:pict>
            <v:shape w14:anchorId="2B0B563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F834579" w14:textId="77777777" w:rsidR="00CF435D" w:rsidRDefault="00CF435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FD3EDC"/>
    <w:multiLevelType w:val="multilevel"/>
    <w:tmpl w:val="8081171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0773530"/>
    <w:multiLevelType w:val="multilevel"/>
    <w:tmpl w:val="5F670D4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600FEBE"/>
    <w:multiLevelType w:val="multilevel"/>
    <w:tmpl w:val="3EC5C9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8F7087"/>
    <w:multiLevelType w:val="multilevel"/>
    <w:tmpl w:val="844A658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BBB102E"/>
    <w:multiLevelType w:val="multilevel"/>
    <w:tmpl w:val="8B2166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8ECA7E9"/>
    <w:multiLevelType w:val="multilevel"/>
    <w:tmpl w:val="67CD8E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47"/>
    <w:rsid w:val="00007104"/>
    <w:rsid w:val="00035DCC"/>
    <w:rsid w:val="00063CCD"/>
    <w:rsid w:val="0007600D"/>
    <w:rsid w:val="000D7204"/>
    <w:rsid w:val="000E182D"/>
    <w:rsid w:val="000F22E8"/>
    <w:rsid w:val="000F33F6"/>
    <w:rsid w:val="00132A19"/>
    <w:rsid w:val="00134239"/>
    <w:rsid w:val="00134A32"/>
    <w:rsid w:val="00142C2F"/>
    <w:rsid w:val="0017680B"/>
    <w:rsid w:val="00183173"/>
    <w:rsid w:val="00184BFE"/>
    <w:rsid w:val="001A1FC3"/>
    <w:rsid w:val="001A6780"/>
    <w:rsid w:val="001D4A51"/>
    <w:rsid w:val="001E27C4"/>
    <w:rsid w:val="001E67F6"/>
    <w:rsid w:val="002427F2"/>
    <w:rsid w:val="0026063F"/>
    <w:rsid w:val="002777C8"/>
    <w:rsid w:val="002850AA"/>
    <w:rsid w:val="002B6E7E"/>
    <w:rsid w:val="002C0481"/>
    <w:rsid w:val="002C4A27"/>
    <w:rsid w:val="00306942"/>
    <w:rsid w:val="00313E9C"/>
    <w:rsid w:val="0034492C"/>
    <w:rsid w:val="003533ED"/>
    <w:rsid w:val="003A5A10"/>
    <w:rsid w:val="00424A51"/>
    <w:rsid w:val="004412D8"/>
    <w:rsid w:val="0045689C"/>
    <w:rsid w:val="004629CC"/>
    <w:rsid w:val="0046333A"/>
    <w:rsid w:val="00475A1E"/>
    <w:rsid w:val="004B7CCE"/>
    <w:rsid w:val="004E654A"/>
    <w:rsid w:val="005167FA"/>
    <w:rsid w:val="00545CC8"/>
    <w:rsid w:val="005561B2"/>
    <w:rsid w:val="005567B2"/>
    <w:rsid w:val="0057308E"/>
    <w:rsid w:val="00584187"/>
    <w:rsid w:val="005B2E1C"/>
    <w:rsid w:val="005B579F"/>
    <w:rsid w:val="005D6C13"/>
    <w:rsid w:val="00606923"/>
    <w:rsid w:val="00610470"/>
    <w:rsid w:val="00611024"/>
    <w:rsid w:val="0062139C"/>
    <w:rsid w:val="00666F53"/>
    <w:rsid w:val="006C1B91"/>
    <w:rsid w:val="006D0C1D"/>
    <w:rsid w:val="00710A0E"/>
    <w:rsid w:val="00724A08"/>
    <w:rsid w:val="00735539"/>
    <w:rsid w:val="00740DCC"/>
    <w:rsid w:val="00761594"/>
    <w:rsid w:val="00787C63"/>
    <w:rsid w:val="00790AF1"/>
    <w:rsid w:val="007C212E"/>
    <w:rsid w:val="007D32B8"/>
    <w:rsid w:val="007E4D4D"/>
    <w:rsid w:val="00815E10"/>
    <w:rsid w:val="00817FF2"/>
    <w:rsid w:val="0082277D"/>
    <w:rsid w:val="00824B7F"/>
    <w:rsid w:val="00827E6D"/>
    <w:rsid w:val="00841D9B"/>
    <w:rsid w:val="0085455E"/>
    <w:rsid w:val="008710C2"/>
    <w:rsid w:val="00891903"/>
    <w:rsid w:val="00897A3C"/>
    <w:rsid w:val="008F20BD"/>
    <w:rsid w:val="008F2796"/>
    <w:rsid w:val="00900330"/>
    <w:rsid w:val="00943952"/>
    <w:rsid w:val="00957355"/>
    <w:rsid w:val="009A18CE"/>
    <w:rsid w:val="009B2304"/>
    <w:rsid w:val="00A046C9"/>
    <w:rsid w:val="00AA736E"/>
    <w:rsid w:val="00AA75E7"/>
    <w:rsid w:val="00AB7867"/>
    <w:rsid w:val="00AE49E1"/>
    <w:rsid w:val="00B438DC"/>
    <w:rsid w:val="00B57F81"/>
    <w:rsid w:val="00B62E6D"/>
    <w:rsid w:val="00B73D64"/>
    <w:rsid w:val="00B779AF"/>
    <w:rsid w:val="00B9193B"/>
    <w:rsid w:val="00BA2EA7"/>
    <w:rsid w:val="00BA2EAF"/>
    <w:rsid w:val="00BA6E52"/>
    <w:rsid w:val="00BC1EE4"/>
    <w:rsid w:val="00BC2648"/>
    <w:rsid w:val="00BC335D"/>
    <w:rsid w:val="00BC703E"/>
    <w:rsid w:val="00BE07E3"/>
    <w:rsid w:val="00BF6B28"/>
    <w:rsid w:val="00C21542"/>
    <w:rsid w:val="00C22165"/>
    <w:rsid w:val="00C40309"/>
    <w:rsid w:val="00C71600"/>
    <w:rsid w:val="00CA669B"/>
    <w:rsid w:val="00CC7727"/>
    <w:rsid w:val="00CD6E22"/>
    <w:rsid w:val="00CF435D"/>
    <w:rsid w:val="00D51461"/>
    <w:rsid w:val="00D57551"/>
    <w:rsid w:val="00D82CB5"/>
    <w:rsid w:val="00D84108"/>
    <w:rsid w:val="00D8579B"/>
    <w:rsid w:val="00D927A9"/>
    <w:rsid w:val="00D9381D"/>
    <w:rsid w:val="00D967B2"/>
    <w:rsid w:val="00DD79FB"/>
    <w:rsid w:val="00E13C47"/>
    <w:rsid w:val="00E34DB7"/>
    <w:rsid w:val="00EA6604"/>
    <w:rsid w:val="00ED2734"/>
    <w:rsid w:val="00F631C6"/>
    <w:rsid w:val="00F6501D"/>
    <w:rsid w:val="00F72BD9"/>
    <w:rsid w:val="00F8245C"/>
    <w:rsid w:val="00F95A5A"/>
    <w:rsid w:val="00FC2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6">
    <w:name w:val="heading 6"/>
    <w:basedOn w:val="Standaard"/>
    <w:next w:val="Standaard"/>
    <w:link w:val="Kop6Char"/>
    <w:uiPriority w:val="9"/>
    <w:semiHidden/>
    <w:rsid w:val="00BF6B28"/>
    <w:pPr>
      <w:keepNext/>
      <w:keepLines/>
      <w:spacing w:before="40"/>
      <w:outlineLvl w:val="5"/>
    </w:pPr>
    <w:rPr>
      <w:rFonts w:asciiTheme="majorHAnsi" w:eastAsiaTheme="majorEastAsia" w:hAnsiTheme="majorHAnsi" w:cstheme="majorBidi"/>
      <w:color w:val="0A2F4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5455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5455E"/>
    <w:rPr>
      <w:rFonts w:ascii="Verdana" w:hAnsi="Verdana"/>
      <w:color w:val="000000"/>
    </w:rPr>
  </w:style>
  <w:style w:type="character" w:styleId="Voetnootmarkering">
    <w:name w:val="footnote reference"/>
    <w:basedOn w:val="Standaardalinea-lettertype"/>
    <w:uiPriority w:val="99"/>
    <w:semiHidden/>
    <w:unhideWhenUsed/>
    <w:rsid w:val="0085455E"/>
    <w:rPr>
      <w:vertAlign w:val="superscript"/>
    </w:rPr>
  </w:style>
  <w:style w:type="character" w:styleId="Verwijzingopmerking">
    <w:name w:val="annotation reference"/>
    <w:basedOn w:val="Standaardalinea-lettertype"/>
    <w:uiPriority w:val="99"/>
    <w:semiHidden/>
    <w:unhideWhenUsed/>
    <w:rsid w:val="00035DCC"/>
    <w:rPr>
      <w:sz w:val="16"/>
      <w:szCs w:val="16"/>
    </w:rPr>
  </w:style>
  <w:style w:type="paragraph" w:styleId="Tekstopmerking">
    <w:name w:val="annotation text"/>
    <w:basedOn w:val="Standaard"/>
    <w:link w:val="TekstopmerkingChar"/>
    <w:uiPriority w:val="99"/>
    <w:unhideWhenUsed/>
    <w:rsid w:val="00035DCC"/>
    <w:pPr>
      <w:spacing w:line="240" w:lineRule="auto"/>
    </w:pPr>
    <w:rPr>
      <w:sz w:val="20"/>
      <w:szCs w:val="20"/>
    </w:rPr>
  </w:style>
  <w:style w:type="character" w:customStyle="1" w:styleId="TekstopmerkingChar">
    <w:name w:val="Tekst opmerking Char"/>
    <w:basedOn w:val="Standaardalinea-lettertype"/>
    <w:link w:val="Tekstopmerking"/>
    <w:uiPriority w:val="99"/>
    <w:rsid w:val="00035DC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35DCC"/>
    <w:rPr>
      <w:b/>
      <w:bCs/>
    </w:rPr>
  </w:style>
  <w:style w:type="character" w:customStyle="1" w:styleId="OnderwerpvanopmerkingChar">
    <w:name w:val="Onderwerp van opmerking Char"/>
    <w:basedOn w:val="TekstopmerkingChar"/>
    <w:link w:val="Onderwerpvanopmerking"/>
    <w:uiPriority w:val="99"/>
    <w:semiHidden/>
    <w:rsid w:val="00035DCC"/>
    <w:rPr>
      <w:rFonts w:ascii="Verdana" w:hAnsi="Verdana"/>
      <w:b/>
      <w:bCs/>
      <w:color w:val="000000"/>
    </w:rPr>
  </w:style>
  <w:style w:type="paragraph" w:styleId="Revisie">
    <w:name w:val="Revision"/>
    <w:hidden/>
    <w:uiPriority w:val="99"/>
    <w:semiHidden/>
    <w:rsid w:val="00C71600"/>
    <w:pPr>
      <w:autoSpaceDN/>
      <w:textAlignment w:val="auto"/>
    </w:pPr>
    <w:rPr>
      <w:rFonts w:ascii="Verdana" w:hAnsi="Verdana"/>
      <w:color w:val="000000"/>
      <w:sz w:val="18"/>
      <w:szCs w:val="18"/>
    </w:rPr>
  </w:style>
  <w:style w:type="character" w:customStyle="1" w:styleId="Kop6Char">
    <w:name w:val="Kop 6 Char"/>
    <w:basedOn w:val="Standaardalinea-lettertype"/>
    <w:link w:val="Kop6"/>
    <w:uiPriority w:val="9"/>
    <w:semiHidden/>
    <w:rsid w:val="00BF6B28"/>
    <w:rPr>
      <w:rFonts w:asciiTheme="majorHAnsi" w:eastAsiaTheme="majorEastAsia" w:hAnsiTheme="majorHAnsi" w:cstheme="majorBidi"/>
      <w:color w:val="0A2F40" w:themeColor="accent1" w:themeShade="7F"/>
      <w:sz w:val="18"/>
      <w:szCs w:val="18"/>
    </w:rPr>
  </w:style>
  <w:style w:type="character" w:customStyle="1" w:styleId="UnresolvedMention">
    <w:name w:val="Unresolved Mention"/>
    <w:basedOn w:val="Standaardalinea-lettertype"/>
    <w:uiPriority w:val="99"/>
    <w:semiHidden/>
    <w:unhideWhenUsed/>
    <w:rsid w:val="00BF6B28"/>
    <w:rPr>
      <w:color w:val="605E5C"/>
      <w:shd w:val="clear" w:color="auto" w:fill="E1DFDD"/>
    </w:rPr>
  </w:style>
  <w:style w:type="paragraph" w:styleId="Koptekst">
    <w:name w:val="header"/>
    <w:basedOn w:val="Standaard"/>
    <w:link w:val="KoptekstChar"/>
    <w:uiPriority w:val="99"/>
    <w:unhideWhenUsed/>
    <w:rsid w:val="00817F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7FF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27">
      <w:bodyDiv w:val="1"/>
      <w:marLeft w:val="0"/>
      <w:marRight w:val="0"/>
      <w:marTop w:val="0"/>
      <w:marBottom w:val="0"/>
      <w:divBdr>
        <w:top w:val="none" w:sz="0" w:space="0" w:color="auto"/>
        <w:left w:val="none" w:sz="0" w:space="0" w:color="auto"/>
        <w:bottom w:val="none" w:sz="0" w:space="0" w:color="auto"/>
        <w:right w:val="none" w:sz="0" w:space="0" w:color="auto"/>
      </w:divBdr>
      <w:divsChild>
        <w:div w:id="649679188">
          <w:marLeft w:val="0"/>
          <w:marRight w:val="0"/>
          <w:marTop w:val="0"/>
          <w:marBottom w:val="0"/>
          <w:divBdr>
            <w:top w:val="none" w:sz="0" w:space="0" w:color="auto"/>
            <w:left w:val="none" w:sz="0" w:space="0" w:color="auto"/>
            <w:bottom w:val="none" w:sz="0" w:space="0" w:color="auto"/>
            <w:right w:val="none" w:sz="0" w:space="0" w:color="auto"/>
          </w:divBdr>
        </w:div>
        <w:div w:id="1360621245">
          <w:marLeft w:val="0"/>
          <w:marRight w:val="0"/>
          <w:marTop w:val="0"/>
          <w:marBottom w:val="0"/>
          <w:divBdr>
            <w:top w:val="none" w:sz="0" w:space="0" w:color="auto"/>
            <w:left w:val="none" w:sz="0" w:space="0" w:color="auto"/>
            <w:bottom w:val="none" w:sz="0" w:space="0" w:color="auto"/>
            <w:right w:val="none" w:sz="0" w:space="0" w:color="auto"/>
          </w:divBdr>
        </w:div>
      </w:divsChild>
    </w:div>
    <w:div w:id="333842444">
      <w:bodyDiv w:val="1"/>
      <w:marLeft w:val="0"/>
      <w:marRight w:val="0"/>
      <w:marTop w:val="0"/>
      <w:marBottom w:val="0"/>
      <w:divBdr>
        <w:top w:val="none" w:sz="0" w:space="0" w:color="auto"/>
        <w:left w:val="none" w:sz="0" w:space="0" w:color="auto"/>
        <w:bottom w:val="none" w:sz="0" w:space="0" w:color="auto"/>
        <w:right w:val="none" w:sz="0" w:space="0" w:color="auto"/>
      </w:divBdr>
      <w:divsChild>
        <w:div w:id="415053243">
          <w:marLeft w:val="0"/>
          <w:marRight w:val="0"/>
          <w:marTop w:val="0"/>
          <w:marBottom w:val="0"/>
          <w:divBdr>
            <w:top w:val="none" w:sz="0" w:space="0" w:color="auto"/>
            <w:left w:val="none" w:sz="0" w:space="0" w:color="auto"/>
            <w:bottom w:val="none" w:sz="0" w:space="0" w:color="auto"/>
            <w:right w:val="none" w:sz="0" w:space="0" w:color="auto"/>
          </w:divBdr>
        </w:div>
        <w:div w:id="1115909355">
          <w:marLeft w:val="0"/>
          <w:marRight w:val="0"/>
          <w:marTop w:val="0"/>
          <w:marBottom w:val="0"/>
          <w:divBdr>
            <w:top w:val="none" w:sz="0" w:space="0" w:color="auto"/>
            <w:left w:val="none" w:sz="0" w:space="0" w:color="auto"/>
            <w:bottom w:val="none" w:sz="0" w:space="0" w:color="auto"/>
            <w:right w:val="none" w:sz="0" w:space="0" w:color="auto"/>
          </w:divBdr>
        </w:div>
      </w:divsChild>
    </w:div>
    <w:div w:id="1097483549">
      <w:bodyDiv w:val="1"/>
      <w:marLeft w:val="0"/>
      <w:marRight w:val="0"/>
      <w:marTop w:val="0"/>
      <w:marBottom w:val="0"/>
      <w:divBdr>
        <w:top w:val="none" w:sz="0" w:space="0" w:color="auto"/>
        <w:left w:val="none" w:sz="0" w:space="0" w:color="auto"/>
        <w:bottom w:val="none" w:sz="0" w:space="0" w:color="auto"/>
        <w:right w:val="none" w:sz="0" w:space="0" w:color="auto"/>
      </w:divBdr>
    </w:div>
    <w:div w:id="1214543670">
      <w:bodyDiv w:val="1"/>
      <w:marLeft w:val="0"/>
      <w:marRight w:val="0"/>
      <w:marTop w:val="0"/>
      <w:marBottom w:val="0"/>
      <w:divBdr>
        <w:top w:val="none" w:sz="0" w:space="0" w:color="auto"/>
        <w:left w:val="none" w:sz="0" w:space="0" w:color="auto"/>
        <w:bottom w:val="none" w:sz="0" w:space="0" w:color="auto"/>
        <w:right w:val="none" w:sz="0" w:space="0" w:color="auto"/>
      </w:divBdr>
      <w:divsChild>
        <w:div w:id="630667353">
          <w:marLeft w:val="0"/>
          <w:marRight w:val="0"/>
          <w:marTop w:val="0"/>
          <w:marBottom w:val="0"/>
          <w:divBdr>
            <w:top w:val="none" w:sz="0" w:space="0" w:color="auto"/>
            <w:left w:val="none" w:sz="0" w:space="0" w:color="auto"/>
            <w:bottom w:val="none" w:sz="0" w:space="0" w:color="auto"/>
            <w:right w:val="none" w:sz="0" w:space="0" w:color="auto"/>
          </w:divBdr>
        </w:div>
        <w:div w:id="195898486">
          <w:marLeft w:val="0"/>
          <w:marRight w:val="0"/>
          <w:marTop w:val="0"/>
          <w:marBottom w:val="0"/>
          <w:divBdr>
            <w:top w:val="none" w:sz="0" w:space="0" w:color="auto"/>
            <w:left w:val="none" w:sz="0" w:space="0" w:color="auto"/>
            <w:bottom w:val="none" w:sz="0" w:space="0" w:color="auto"/>
            <w:right w:val="none" w:sz="0" w:space="0" w:color="auto"/>
          </w:divBdr>
        </w:div>
      </w:divsChild>
    </w:div>
    <w:div w:id="1402679392">
      <w:bodyDiv w:val="1"/>
      <w:marLeft w:val="0"/>
      <w:marRight w:val="0"/>
      <w:marTop w:val="0"/>
      <w:marBottom w:val="0"/>
      <w:divBdr>
        <w:top w:val="none" w:sz="0" w:space="0" w:color="auto"/>
        <w:left w:val="none" w:sz="0" w:space="0" w:color="auto"/>
        <w:bottom w:val="none" w:sz="0" w:space="0" w:color="auto"/>
        <w:right w:val="none" w:sz="0" w:space="0" w:color="auto"/>
      </w:divBdr>
    </w:div>
    <w:div w:id="1681814053">
      <w:bodyDiv w:val="1"/>
      <w:marLeft w:val="0"/>
      <w:marRight w:val="0"/>
      <w:marTop w:val="0"/>
      <w:marBottom w:val="0"/>
      <w:divBdr>
        <w:top w:val="none" w:sz="0" w:space="0" w:color="auto"/>
        <w:left w:val="none" w:sz="0" w:space="0" w:color="auto"/>
        <w:bottom w:val="none" w:sz="0" w:space="0" w:color="auto"/>
        <w:right w:val="none" w:sz="0" w:space="0" w:color="auto"/>
      </w:divBdr>
    </w:div>
    <w:div w:id="1700473963">
      <w:bodyDiv w:val="1"/>
      <w:marLeft w:val="0"/>
      <w:marRight w:val="0"/>
      <w:marTop w:val="0"/>
      <w:marBottom w:val="0"/>
      <w:divBdr>
        <w:top w:val="none" w:sz="0" w:space="0" w:color="auto"/>
        <w:left w:val="none" w:sz="0" w:space="0" w:color="auto"/>
        <w:bottom w:val="none" w:sz="0" w:space="0" w:color="auto"/>
        <w:right w:val="none" w:sz="0" w:space="0" w:color="auto"/>
      </w:divBdr>
      <w:divsChild>
        <w:div w:id="33771131">
          <w:marLeft w:val="0"/>
          <w:marRight w:val="0"/>
          <w:marTop w:val="0"/>
          <w:marBottom w:val="0"/>
          <w:divBdr>
            <w:top w:val="none" w:sz="0" w:space="0" w:color="auto"/>
            <w:left w:val="none" w:sz="0" w:space="0" w:color="auto"/>
            <w:bottom w:val="none" w:sz="0" w:space="0" w:color="auto"/>
            <w:right w:val="none" w:sz="0" w:space="0" w:color="auto"/>
          </w:divBdr>
        </w:div>
        <w:div w:id="935749225">
          <w:marLeft w:val="0"/>
          <w:marRight w:val="0"/>
          <w:marTop w:val="0"/>
          <w:marBottom w:val="0"/>
          <w:divBdr>
            <w:top w:val="none" w:sz="0" w:space="0" w:color="auto"/>
            <w:left w:val="none" w:sz="0" w:space="0" w:color="auto"/>
            <w:bottom w:val="none" w:sz="0" w:space="0" w:color="auto"/>
            <w:right w:val="none" w:sz="0" w:space="0" w:color="auto"/>
          </w:divBdr>
        </w:div>
      </w:divsChild>
    </w:div>
    <w:div w:id="183055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1326</ap:Words>
  <ap:Characters>7293</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 Beantwoording Kamervragen inzake de oproep van het Openbaar Ministerie om de wetgeving tegen corruptie te verbeteren</vt:lpstr>
    </vt:vector>
  </ap:TitlesOfParts>
  <ap:LinksUpToDate>false</ap:LinksUpToDate>
  <ap:CharactersWithSpaces>8602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2025-03-03T12:45:00.0000000Z</dcterms:created>
  <dcterms:modified xsi:type="dcterms:W3CDTF">2025-03-03T12:45:00.0000000Z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inzake de oproep van het Openbaar Ministerie om de wetgeving tegen corruptie te verbeteren</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6158239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