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32E9D" w:rsidR="00E65FEA" w:rsidP="00E65FEA" w:rsidRDefault="00E65FEA" w14:paraId="256F3E71" w14:textId="008802B0">
      <w:pPr>
        <w:spacing w:after="0"/>
        <w:rPr>
          <w:rFonts w:ascii="Verdana" w:hAnsi="Verdana"/>
          <w:b/>
          <w:bCs/>
          <w:sz w:val="18"/>
          <w:szCs w:val="18"/>
        </w:rPr>
      </w:pPr>
      <w:r w:rsidRPr="00633EAB">
        <w:rPr>
          <w:rFonts w:ascii="Verdana" w:hAnsi="Verdana"/>
          <w:b/>
          <w:bCs/>
          <w:sz w:val="18"/>
          <w:szCs w:val="18"/>
        </w:rPr>
        <w:t>2025Z02705</w:t>
      </w:r>
      <w:r w:rsidR="00B32E9D">
        <w:rPr>
          <w:rFonts w:ascii="Verdana" w:hAnsi="Verdana"/>
          <w:b/>
          <w:bCs/>
          <w:sz w:val="18"/>
          <w:szCs w:val="18"/>
        </w:rPr>
        <w:t xml:space="preserve"> </w:t>
      </w:r>
      <w:r w:rsidRPr="00633EAB">
        <w:rPr>
          <w:rFonts w:ascii="Verdana" w:hAnsi="Verdana"/>
          <w:sz w:val="18"/>
          <w:szCs w:val="18"/>
        </w:rPr>
        <w:br/>
        <w:t xml:space="preserve">Vragen van het lid Aukje de Vries (VVD) aan de minister van Financiën over het bericht ‘Euronext wil populaire handel in </w:t>
      </w:r>
      <w:proofErr w:type="spellStart"/>
      <w:r w:rsidRPr="00633EAB">
        <w:rPr>
          <w:rFonts w:ascii="Verdana" w:hAnsi="Verdana"/>
          <w:sz w:val="18"/>
          <w:szCs w:val="18"/>
        </w:rPr>
        <w:t>ETF’s</w:t>
      </w:r>
      <w:proofErr w:type="spellEnd"/>
      <w:r w:rsidRPr="00633EAB">
        <w:rPr>
          <w:rFonts w:ascii="Verdana" w:hAnsi="Verdana"/>
          <w:sz w:val="18"/>
          <w:szCs w:val="18"/>
        </w:rPr>
        <w:t xml:space="preserve"> naar Amsterdam halen</w:t>
      </w:r>
      <w:r w:rsidR="008F029D">
        <w:rPr>
          <w:rFonts w:ascii="Verdana" w:hAnsi="Verdana"/>
          <w:sz w:val="18"/>
          <w:szCs w:val="18"/>
        </w:rPr>
        <w:t>’</w:t>
      </w:r>
      <w:r w:rsidRPr="00B32E9D" w:rsidR="00B32E9D">
        <w:rPr>
          <w:rFonts w:ascii="Verdana" w:hAnsi="Verdana"/>
          <w:sz w:val="18"/>
          <w:szCs w:val="18"/>
        </w:rPr>
        <w:t xml:space="preserve"> </w:t>
      </w:r>
      <w:r w:rsidRPr="00633EAB" w:rsidR="00B32E9D">
        <w:rPr>
          <w:rFonts w:ascii="Verdana" w:hAnsi="Verdana"/>
          <w:sz w:val="18"/>
          <w:szCs w:val="18"/>
        </w:rPr>
        <w:t>(ingezonden 13 februari 2025)</w:t>
      </w:r>
      <w:r w:rsidR="00B32E9D">
        <w:rPr>
          <w:rFonts w:ascii="Verdana" w:hAnsi="Verdana"/>
          <w:sz w:val="18"/>
          <w:szCs w:val="18"/>
        </w:rPr>
        <w:t>.</w:t>
      </w:r>
      <w:r w:rsidRPr="00633EAB">
        <w:rPr>
          <w:rFonts w:ascii="Verdana" w:hAnsi="Verdana"/>
          <w:sz w:val="18"/>
          <w:szCs w:val="18"/>
        </w:rPr>
        <w:br/>
      </w:r>
    </w:p>
    <w:p w:rsidRPr="00633EAB" w:rsidR="00E65FEA" w:rsidP="00E65FEA" w:rsidRDefault="00E65FEA" w14:paraId="6D7840A6" w14:textId="18E2288F">
      <w:pPr>
        <w:spacing w:after="0"/>
        <w:rPr>
          <w:rFonts w:ascii="Verdana" w:hAnsi="Verdana"/>
          <w:b/>
          <w:bCs/>
          <w:sz w:val="18"/>
          <w:szCs w:val="18"/>
        </w:rPr>
      </w:pPr>
      <w:r w:rsidRPr="00633EAB">
        <w:rPr>
          <w:rFonts w:ascii="Verdana" w:hAnsi="Verdana"/>
          <w:b/>
          <w:bCs/>
          <w:sz w:val="18"/>
          <w:szCs w:val="18"/>
        </w:rPr>
        <w:t>Vraag 1</w:t>
      </w:r>
    </w:p>
    <w:p w:rsidRPr="00633EAB" w:rsidR="00E65FEA" w:rsidP="00E65FEA" w:rsidRDefault="00E65FEA" w14:paraId="784108C8" w14:textId="77777777">
      <w:pPr>
        <w:spacing w:after="0"/>
        <w:rPr>
          <w:rFonts w:ascii="Verdana" w:hAnsi="Verdana"/>
          <w:sz w:val="18"/>
          <w:szCs w:val="18"/>
        </w:rPr>
      </w:pPr>
      <w:r w:rsidRPr="00633EAB">
        <w:rPr>
          <w:rFonts w:ascii="Verdana" w:hAnsi="Verdana"/>
          <w:sz w:val="18"/>
          <w:szCs w:val="18"/>
        </w:rPr>
        <w:t xml:space="preserve">Heeft u kennisgenomen van het bericht 'Euronext wil populaire handel in </w:t>
      </w:r>
      <w:proofErr w:type="spellStart"/>
      <w:r w:rsidRPr="00633EAB">
        <w:rPr>
          <w:rFonts w:ascii="Verdana" w:hAnsi="Verdana"/>
          <w:sz w:val="18"/>
          <w:szCs w:val="18"/>
        </w:rPr>
        <w:t>ETF’s</w:t>
      </w:r>
      <w:proofErr w:type="spellEnd"/>
      <w:r w:rsidRPr="00633EAB">
        <w:rPr>
          <w:rFonts w:ascii="Verdana" w:hAnsi="Verdana"/>
          <w:sz w:val="18"/>
          <w:szCs w:val="18"/>
        </w:rPr>
        <w:t xml:space="preserve"> naar Amsterdam halen'?</w:t>
      </w:r>
      <w:r w:rsidRPr="00633EAB">
        <w:rPr>
          <w:rStyle w:val="Voetnootmarkering"/>
          <w:rFonts w:ascii="Verdana" w:hAnsi="Verdana"/>
          <w:sz w:val="18"/>
          <w:szCs w:val="18"/>
        </w:rPr>
        <w:footnoteReference w:id="2"/>
      </w:r>
      <w:r w:rsidRPr="00633EAB">
        <w:rPr>
          <w:rFonts w:ascii="Verdana" w:hAnsi="Verdana"/>
          <w:sz w:val="18"/>
          <w:szCs w:val="18"/>
        </w:rPr>
        <w:br/>
      </w:r>
    </w:p>
    <w:p w:rsidRPr="00633EAB" w:rsidR="00E65FEA" w:rsidP="00E65FEA" w:rsidRDefault="00E65FEA" w14:paraId="71FAE367" w14:textId="77777777">
      <w:pPr>
        <w:spacing w:after="0"/>
        <w:rPr>
          <w:rFonts w:ascii="Verdana" w:hAnsi="Verdana"/>
          <w:b/>
          <w:bCs/>
          <w:sz w:val="18"/>
          <w:szCs w:val="18"/>
        </w:rPr>
      </w:pPr>
      <w:r w:rsidRPr="00633EAB">
        <w:rPr>
          <w:rFonts w:ascii="Verdana" w:hAnsi="Verdana"/>
          <w:b/>
          <w:bCs/>
          <w:sz w:val="18"/>
          <w:szCs w:val="18"/>
        </w:rPr>
        <w:t>Antwoord</w:t>
      </w:r>
    </w:p>
    <w:p w:rsidRPr="00633EAB" w:rsidR="00E65FEA" w:rsidP="00E65FEA" w:rsidRDefault="00E65FEA" w14:paraId="40F2E546" w14:textId="77777777">
      <w:pPr>
        <w:spacing w:after="0"/>
        <w:rPr>
          <w:rFonts w:ascii="Verdana" w:hAnsi="Verdana"/>
          <w:sz w:val="18"/>
          <w:szCs w:val="18"/>
        </w:rPr>
      </w:pPr>
      <w:r w:rsidRPr="00633EAB">
        <w:rPr>
          <w:rFonts w:ascii="Verdana" w:hAnsi="Verdana"/>
          <w:sz w:val="18"/>
          <w:szCs w:val="18"/>
        </w:rPr>
        <w:t>Ja.</w:t>
      </w:r>
    </w:p>
    <w:p w:rsidRPr="00633EAB" w:rsidR="00E65FEA" w:rsidP="00E65FEA" w:rsidRDefault="00E65FEA" w14:paraId="415275D6" w14:textId="77777777">
      <w:pPr>
        <w:spacing w:after="0"/>
        <w:rPr>
          <w:rFonts w:ascii="Verdana" w:hAnsi="Verdana"/>
          <w:sz w:val="18"/>
          <w:szCs w:val="18"/>
        </w:rPr>
      </w:pPr>
    </w:p>
    <w:p w:rsidRPr="00633EAB" w:rsidR="00E65FEA" w:rsidP="00E65FEA" w:rsidRDefault="00E65FEA" w14:paraId="37BB3231" w14:textId="64E399D5">
      <w:pPr>
        <w:spacing w:after="0"/>
        <w:rPr>
          <w:rFonts w:ascii="Verdana" w:hAnsi="Verdana"/>
          <w:b/>
          <w:bCs/>
          <w:sz w:val="18"/>
          <w:szCs w:val="18"/>
        </w:rPr>
      </w:pPr>
      <w:r w:rsidRPr="00633EAB">
        <w:rPr>
          <w:rFonts w:ascii="Verdana" w:hAnsi="Verdana"/>
          <w:b/>
          <w:bCs/>
          <w:sz w:val="18"/>
          <w:szCs w:val="18"/>
        </w:rPr>
        <w:t>Vraag 2</w:t>
      </w:r>
    </w:p>
    <w:p w:rsidRPr="00633EAB" w:rsidR="00E65FEA" w:rsidP="00E65FEA" w:rsidRDefault="00E65FEA" w14:paraId="6E5DEB8B" w14:textId="77777777">
      <w:pPr>
        <w:spacing w:after="0"/>
        <w:rPr>
          <w:rFonts w:ascii="Verdana" w:hAnsi="Verdana"/>
          <w:sz w:val="18"/>
          <w:szCs w:val="18"/>
        </w:rPr>
      </w:pPr>
      <w:r w:rsidRPr="00633EAB">
        <w:rPr>
          <w:rFonts w:ascii="Verdana" w:hAnsi="Verdana"/>
          <w:sz w:val="18"/>
          <w:szCs w:val="18"/>
        </w:rPr>
        <w:t>Deelt u de mening dat een sterke financiële sector goed is voor Nederland en dat een groter handelsvolume op Nederlandse beurzen daaraan kan bijdragen?</w:t>
      </w:r>
      <w:r w:rsidRPr="00633EAB">
        <w:rPr>
          <w:rFonts w:ascii="Verdana" w:hAnsi="Verdana"/>
          <w:sz w:val="18"/>
          <w:szCs w:val="18"/>
        </w:rPr>
        <w:br/>
      </w:r>
    </w:p>
    <w:p w:rsidRPr="00633EAB" w:rsidR="00E65FEA" w:rsidP="00E65FEA" w:rsidRDefault="00E65FEA" w14:paraId="242214FB" w14:textId="77777777">
      <w:pPr>
        <w:spacing w:after="0"/>
        <w:rPr>
          <w:rFonts w:ascii="Verdana" w:hAnsi="Verdana"/>
          <w:b/>
          <w:bCs/>
          <w:sz w:val="18"/>
          <w:szCs w:val="18"/>
        </w:rPr>
      </w:pPr>
      <w:r w:rsidRPr="00633EAB">
        <w:rPr>
          <w:rFonts w:ascii="Verdana" w:hAnsi="Verdana"/>
          <w:b/>
          <w:bCs/>
          <w:sz w:val="18"/>
          <w:szCs w:val="18"/>
        </w:rPr>
        <w:t>Antwoord</w:t>
      </w:r>
    </w:p>
    <w:p w:rsidRPr="00633EAB" w:rsidR="00E65FEA" w:rsidP="00E65FEA" w:rsidRDefault="00E65FEA" w14:paraId="4A8BA0CC" w14:textId="77777777">
      <w:pPr>
        <w:spacing w:after="0"/>
        <w:rPr>
          <w:rFonts w:ascii="Verdana" w:hAnsi="Verdana"/>
          <w:sz w:val="18"/>
          <w:szCs w:val="18"/>
        </w:rPr>
      </w:pPr>
      <w:r w:rsidRPr="00633EAB">
        <w:rPr>
          <w:rFonts w:ascii="Verdana" w:hAnsi="Verdana"/>
          <w:sz w:val="18"/>
          <w:szCs w:val="18"/>
        </w:rPr>
        <w:t>Ja.</w:t>
      </w:r>
    </w:p>
    <w:p w:rsidRPr="00633EAB" w:rsidR="00E65FEA" w:rsidP="00E65FEA" w:rsidRDefault="00E65FEA" w14:paraId="69A4941D" w14:textId="77777777">
      <w:pPr>
        <w:spacing w:after="0"/>
        <w:rPr>
          <w:rFonts w:ascii="Verdana" w:hAnsi="Verdana"/>
          <w:sz w:val="18"/>
          <w:szCs w:val="18"/>
        </w:rPr>
      </w:pPr>
    </w:p>
    <w:p w:rsidRPr="00633EAB" w:rsidR="00E65FEA" w:rsidP="00E65FEA" w:rsidRDefault="00E65FEA" w14:paraId="23816409" w14:textId="05C8E1D0">
      <w:pPr>
        <w:spacing w:after="0"/>
        <w:rPr>
          <w:rFonts w:ascii="Verdana" w:hAnsi="Verdana"/>
          <w:b/>
          <w:bCs/>
          <w:sz w:val="18"/>
          <w:szCs w:val="18"/>
        </w:rPr>
      </w:pPr>
      <w:r w:rsidRPr="00633EAB">
        <w:rPr>
          <w:rFonts w:ascii="Verdana" w:hAnsi="Verdana"/>
          <w:b/>
          <w:bCs/>
          <w:sz w:val="18"/>
          <w:szCs w:val="18"/>
        </w:rPr>
        <w:t>Vraag 3</w:t>
      </w:r>
    </w:p>
    <w:p w:rsidRPr="00633EAB" w:rsidR="00E65FEA" w:rsidP="00E65FEA" w:rsidRDefault="00E65FEA" w14:paraId="28A4A84A" w14:textId="77777777">
      <w:pPr>
        <w:spacing w:after="0"/>
        <w:rPr>
          <w:rFonts w:ascii="Verdana" w:hAnsi="Verdana"/>
          <w:sz w:val="18"/>
          <w:szCs w:val="18"/>
        </w:rPr>
      </w:pPr>
      <w:r w:rsidRPr="00633EAB">
        <w:rPr>
          <w:rFonts w:ascii="Verdana" w:hAnsi="Verdana"/>
          <w:sz w:val="18"/>
          <w:szCs w:val="18"/>
        </w:rPr>
        <w:t>Wat zijn volgens u goede randvoorwaarden om het aantrekkelijk te maken voor Euronext om ETF-handel naar de Amsterdamse beurs te halen? Wat kan u doen om de positie van de Amsterdamse beurs te versterken?</w:t>
      </w:r>
      <w:r w:rsidRPr="00633EAB">
        <w:rPr>
          <w:rFonts w:ascii="Verdana" w:hAnsi="Verdana"/>
          <w:sz w:val="18"/>
          <w:szCs w:val="18"/>
        </w:rPr>
        <w:br/>
      </w:r>
    </w:p>
    <w:p w:rsidRPr="00633EAB" w:rsidR="00E65FEA" w:rsidP="00E65FEA" w:rsidRDefault="00E65FEA" w14:paraId="4FD8E205" w14:textId="77777777">
      <w:pPr>
        <w:spacing w:after="0"/>
        <w:rPr>
          <w:rFonts w:ascii="Verdana" w:hAnsi="Verdana"/>
          <w:b/>
          <w:bCs/>
          <w:sz w:val="18"/>
          <w:szCs w:val="18"/>
        </w:rPr>
      </w:pPr>
      <w:r w:rsidRPr="00633EAB">
        <w:rPr>
          <w:rFonts w:ascii="Verdana" w:hAnsi="Verdana"/>
          <w:b/>
          <w:bCs/>
          <w:sz w:val="18"/>
          <w:szCs w:val="18"/>
        </w:rPr>
        <w:t>Antwoord</w:t>
      </w:r>
    </w:p>
    <w:p w:rsidRPr="00633EAB" w:rsidR="00421309" w:rsidP="00E65FEA" w:rsidRDefault="00B501AF" w14:paraId="2DDBCEF5" w14:textId="6C4F09F8">
      <w:pPr>
        <w:spacing w:after="0"/>
        <w:rPr>
          <w:rFonts w:ascii="Verdana" w:hAnsi="Verdana"/>
          <w:sz w:val="18"/>
          <w:szCs w:val="18"/>
        </w:rPr>
      </w:pPr>
      <w:r w:rsidRPr="00633EAB">
        <w:rPr>
          <w:rFonts w:ascii="Verdana" w:hAnsi="Verdana"/>
          <w:sz w:val="18"/>
          <w:szCs w:val="18"/>
        </w:rPr>
        <w:t>Hoe aantrekkelijk een kapitaalmarkt wordt geacht door belanghebbenden hangt af van verschillende factoren. Dit verschilt ook per belanghebbende</w:t>
      </w:r>
      <w:r w:rsidRPr="00633EAB" w:rsidR="00167D25">
        <w:rPr>
          <w:rFonts w:ascii="Verdana" w:hAnsi="Verdana"/>
          <w:sz w:val="18"/>
          <w:szCs w:val="18"/>
        </w:rPr>
        <w:t>. Zo heeft e</w:t>
      </w:r>
      <w:r w:rsidRPr="00633EAB">
        <w:rPr>
          <w:rFonts w:ascii="Verdana" w:hAnsi="Verdana"/>
          <w:sz w:val="18"/>
          <w:szCs w:val="18"/>
        </w:rPr>
        <w:t xml:space="preserve">en belegger </w:t>
      </w:r>
      <w:r w:rsidRPr="00633EAB" w:rsidR="00167D25">
        <w:rPr>
          <w:rFonts w:ascii="Verdana" w:hAnsi="Verdana"/>
          <w:sz w:val="18"/>
          <w:szCs w:val="18"/>
        </w:rPr>
        <w:t xml:space="preserve">deels </w:t>
      </w:r>
      <w:r w:rsidRPr="00633EAB">
        <w:rPr>
          <w:rFonts w:ascii="Verdana" w:hAnsi="Verdana"/>
          <w:sz w:val="18"/>
          <w:szCs w:val="18"/>
        </w:rPr>
        <w:t xml:space="preserve">andere </w:t>
      </w:r>
      <w:r w:rsidRPr="00633EAB" w:rsidR="00167D25">
        <w:rPr>
          <w:rFonts w:ascii="Verdana" w:hAnsi="Verdana"/>
          <w:sz w:val="18"/>
          <w:szCs w:val="18"/>
        </w:rPr>
        <w:t>voorkeuren</w:t>
      </w:r>
      <w:r w:rsidRPr="00633EAB">
        <w:rPr>
          <w:rFonts w:ascii="Verdana" w:hAnsi="Verdana"/>
          <w:sz w:val="18"/>
          <w:szCs w:val="18"/>
        </w:rPr>
        <w:t xml:space="preserve"> dan een bedrijf</w:t>
      </w:r>
      <w:r w:rsidRPr="00633EAB" w:rsidR="00167D25">
        <w:rPr>
          <w:rFonts w:ascii="Verdana" w:hAnsi="Verdana"/>
          <w:sz w:val="18"/>
          <w:szCs w:val="18"/>
        </w:rPr>
        <w:t xml:space="preserve"> dat aandelen uitgeeft</w:t>
      </w:r>
      <w:r w:rsidRPr="00633EAB">
        <w:rPr>
          <w:rFonts w:ascii="Verdana" w:hAnsi="Verdana"/>
          <w:sz w:val="18"/>
          <w:szCs w:val="18"/>
        </w:rPr>
        <w:t xml:space="preserve">. In algemene zin </w:t>
      </w:r>
      <w:r w:rsidR="00535277">
        <w:rPr>
          <w:rFonts w:ascii="Verdana" w:hAnsi="Verdana"/>
          <w:sz w:val="18"/>
          <w:szCs w:val="18"/>
        </w:rPr>
        <w:t xml:space="preserve">moeten er </w:t>
      </w:r>
      <w:r w:rsidRPr="00633EAB">
        <w:rPr>
          <w:rFonts w:ascii="Verdana" w:hAnsi="Verdana"/>
          <w:sz w:val="18"/>
          <w:szCs w:val="18"/>
        </w:rPr>
        <w:t xml:space="preserve">voor een aantrekkelijke handel in financiële instrumenten, </w:t>
      </w:r>
      <w:r w:rsidRPr="00633EAB" w:rsidR="00167D25">
        <w:rPr>
          <w:rFonts w:ascii="Verdana" w:hAnsi="Verdana"/>
          <w:sz w:val="18"/>
          <w:szCs w:val="18"/>
        </w:rPr>
        <w:t>zoals</w:t>
      </w:r>
      <w:r w:rsidRPr="00633EAB">
        <w:rPr>
          <w:rFonts w:ascii="Verdana" w:hAnsi="Verdana"/>
          <w:sz w:val="18"/>
          <w:szCs w:val="18"/>
        </w:rPr>
        <w:t xml:space="preserve"> </w:t>
      </w:r>
      <w:r w:rsidRPr="00633EAB" w:rsidR="00167D25">
        <w:rPr>
          <w:rFonts w:ascii="Verdana" w:hAnsi="Verdana"/>
          <w:sz w:val="18"/>
          <w:szCs w:val="18"/>
        </w:rPr>
        <w:t xml:space="preserve">aandelen en </w:t>
      </w:r>
      <w:r w:rsidRPr="00633EAB">
        <w:rPr>
          <w:rFonts w:ascii="Verdana" w:hAnsi="Verdana"/>
          <w:i/>
          <w:iCs/>
          <w:sz w:val="18"/>
          <w:szCs w:val="18"/>
        </w:rPr>
        <w:t xml:space="preserve">exchange </w:t>
      </w:r>
      <w:proofErr w:type="spellStart"/>
      <w:r w:rsidRPr="00633EAB">
        <w:rPr>
          <w:rFonts w:ascii="Verdana" w:hAnsi="Verdana"/>
          <w:i/>
          <w:iCs/>
          <w:sz w:val="18"/>
          <w:szCs w:val="18"/>
        </w:rPr>
        <w:t>traded</w:t>
      </w:r>
      <w:proofErr w:type="spellEnd"/>
      <w:r w:rsidRPr="00633EAB">
        <w:rPr>
          <w:rFonts w:ascii="Verdana" w:hAnsi="Verdana"/>
          <w:i/>
          <w:iCs/>
          <w:sz w:val="18"/>
          <w:szCs w:val="18"/>
        </w:rPr>
        <w:t xml:space="preserve"> funds</w:t>
      </w:r>
      <w:r w:rsidRPr="00633EAB">
        <w:rPr>
          <w:rFonts w:ascii="Verdana" w:hAnsi="Verdana"/>
          <w:sz w:val="18"/>
          <w:szCs w:val="18"/>
        </w:rPr>
        <w:t xml:space="preserve"> (</w:t>
      </w:r>
      <w:proofErr w:type="spellStart"/>
      <w:r w:rsidRPr="00633EAB">
        <w:rPr>
          <w:rFonts w:ascii="Verdana" w:hAnsi="Verdana"/>
          <w:sz w:val="18"/>
          <w:szCs w:val="18"/>
        </w:rPr>
        <w:t>ETFs</w:t>
      </w:r>
      <w:proofErr w:type="spellEnd"/>
      <w:r w:rsidRPr="00633EAB">
        <w:rPr>
          <w:rFonts w:ascii="Verdana" w:hAnsi="Verdana"/>
          <w:sz w:val="18"/>
          <w:szCs w:val="18"/>
        </w:rPr>
        <w:t xml:space="preserve">), in eerste instantie voldoende interessante bedrijven beursgenoteerd zijn, </w:t>
      </w:r>
      <w:r w:rsidRPr="00633EAB" w:rsidR="00167D25">
        <w:rPr>
          <w:rFonts w:ascii="Verdana" w:hAnsi="Verdana"/>
          <w:sz w:val="18"/>
          <w:szCs w:val="18"/>
        </w:rPr>
        <w:t>die</w:t>
      </w:r>
      <w:r w:rsidRPr="00633EAB">
        <w:rPr>
          <w:rFonts w:ascii="Verdana" w:hAnsi="Verdana"/>
          <w:sz w:val="18"/>
          <w:szCs w:val="18"/>
        </w:rPr>
        <w:t xml:space="preserve"> in </w:t>
      </w:r>
      <w:r w:rsidRPr="00633EAB" w:rsidR="00167D25">
        <w:rPr>
          <w:rFonts w:ascii="Verdana" w:hAnsi="Verdana"/>
          <w:sz w:val="18"/>
          <w:szCs w:val="18"/>
        </w:rPr>
        <w:t>een</w:t>
      </w:r>
      <w:r w:rsidRPr="00633EAB">
        <w:rPr>
          <w:rFonts w:ascii="Verdana" w:hAnsi="Verdana"/>
          <w:sz w:val="18"/>
          <w:szCs w:val="18"/>
        </w:rPr>
        <w:t xml:space="preserve"> beursindex</w:t>
      </w:r>
      <w:r w:rsidRPr="00633EAB" w:rsidR="00167D25">
        <w:rPr>
          <w:rFonts w:ascii="Verdana" w:hAnsi="Verdana"/>
          <w:sz w:val="18"/>
          <w:szCs w:val="18"/>
        </w:rPr>
        <w:t>, zoals de AEX-index,</w:t>
      </w:r>
      <w:r w:rsidRPr="00633EAB">
        <w:rPr>
          <w:rFonts w:ascii="Verdana" w:hAnsi="Verdana"/>
          <w:sz w:val="18"/>
          <w:szCs w:val="18"/>
        </w:rPr>
        <w:t xml:space="preserve"> opgenomen worden. De aandelen en andere financiële instrumenten van die bedrijven kunnen als onderliggende waarde van </w:t>
      </w:r>
      <w:proofErr w:type="spellStart"/>
      <w:r w:rsidRPr="00633EAB">
        <w:rPr>
          <w:rFonts w:ascii="Verdana" w:hAnsi="Verdana"/>
          <w:sz w:val="18"/>
          <w:szCs w:val="18"/>
        </w:rPr>
        <w:t>ETFs</w:t>
      </w:r>
      <w:proofErr w:type="spellEnd"/>
      <w:r w:rsidRPr="00633EAB">
        <w:rPr>
          <w:rFonts w:ascii="Verdana" w:hAnsi="Verdana"/>
          <w:sz w:val="18"/>
          <w:szCs w:val="18"/>
        </w:rPr>
        <w:t xml:space="preserve"> worden gebruikt. Daarnaast is </w:t>
      </w:r>
      <w:r w:rsidRPr="00633EAB" w:rsidR="00167D25">
        <w:rPr>
          <w:rFonts w:ascii="Verdana" w:hAnsi="Verdana"/>
          <w:sz w:val="18"/>
          <w:szCs w:val="18"/>
        </w:rPr>
        <w:t xml:space="preserve">het </w:t>
      </w:r>
      <w:r w:rsidRPr="00633EAB">
        <w:rPr>
          <w:rFonts w:ascii="Verdana" w:hAnsi="Verdana"/>
          <w:sz w:val="18"/>
          <w:szCs w:val="18"/>
        </w:rPr>
        <w:t xml:space="preserve">voor liquide handel </w:t>
      </w:r>
      <w:r w:rsidRPr="00633EAB" w:rsidR="00167D25">
        <w:rPr>
          <w:rFonts w:ascii="Verdana" w:hAnsi="Verdana"/>
          <w:sz w:val="18"/>
          <w:szCs w:val="18"/>
        </w:rPr>
        <w:t>op</w:t>
      </w:r>
      <w:r w:rsidRPr="00633EAB">
        <w:rPr>
          <w:rFonts w:ascii="Verdana" w:hAnsi="Verdana"/>
          <w:sz w:val="18"/>
          <w:szCs w:val="18"/>
        </w:rPr>
        <w:t xml:space="preserve"> een diepe kapitaalmarkt </w:t>
      </w:r>
      <w:r w:rsidRPr="00633EAB" w:rsidR="00167D25">
        <w:rPr>
          <w:rFonts w:ascii="Verdana" w:hAnsi="Verdana"/>
          <w:sz w:val="18"/>
          <w:szCs w:val="18"/>
        </w:rPr>
        <w:t xml:space="preserve">(met veel kapitaal en veel handelsactiviteit) </w:t>
      </w:r>
      <w:r w:rsidRPr="00633EAB">
        <w:rPr>
          <w:rFonts w:ascii="Verdana" w:hAnsi="Verdana"/>
          <w:sz w:val="18"/>
          <w:szCs w:val="18"/>
        </w:rPr>
        <w:t>van belang dat er veel beleggers zijn</w:t>
      </w:r>
      <w:r w:rsidR="00535277">
        <w:rPr>
          <w:rFonts w:ascii="Verdana" w:hAnsi="Verdana"/>
          <w:sz w:val="18"/>
          <w:szCs w:val="18"/>
        </w:rPr>
        <w:t xml:space="preserve"> en beleggers met verschillende voorkeuren</w:t>
      </w:r>
      <w:r w:rsidRPr="00633EAB">
        <w:rPr>
          <w:rFonts w:ascii="Verdana" w:hAnsi="Verdana"/>
          <w:sz w:val="18"/>
          <w:szCs w:val="18"/>
        </w:rPr>
        <w:t xml:space="preserve">, zowel institutionele beleggers als </w:t>
      </w:r>
      <w:proofErr w:type="spellStart"/>
      <w:r w:rsidRPr="00633EAB">
        <w:rPr>
          <w:rFonts w:ascii="Verdana" w:hAnsi="Verdana"/>
          <w:sz w:val="18"/>
          <w:szCs w:val="18"/>
        </w:rPr>
        <w:t>retail</w:t>
      </w:r>
      <w:proofErr w:type="spellEnd"/>
      <w:r w:rsidRPr="00633EAB">
        <w:rPr>
          <w:rFonts w:ascii="Verdana" w:hAnsi="Verdana"/>
          <w:sz w:val="18"/>
          <w:szCs w:val="18"/>
        </w:rPr>
        <w:t xml:space="preserve"> beleggers</w:t>
      </w:r>
      <w:r w:rsidRPr="00633EAB" w:rsidR="00A169CA">
        <w:rPr>
          <w:rFonts w:ascii="Verdana" w:hAnsi="Verdana"/>
          <w:sz w:val="18"/>
          <w:szCs w:val="18"/>
        </w:rPr>
        <w:t xml:space="preserve"> (huishoudens) en </w:t>
      </w:r>
      <w:r w:rsidRPr="00633EAB">
        <w:rPr>
          <w:rFonts w:ascii="Verdana" w:hAnsi="Verdana"/>
          <w:sz w:val="18"/>
          <w:szCs w:val="18"/>
        </w:rPr>
        <w:t xml:space="preserve">zowel nationale </w:t>
      </w:r>
      <w:r w:rsidRPr="00633EAB" w:rsidR="00A169CA">
        <w:rPr>
          <w:rFonts w:ascii="Verdana" w:hAnsi="Verdana"/>
          <w:sz w:val="18"/>
          <w:szCs w:val="18"/>
        </w:rPr>
        <w:t>als</w:t>
      </w:r>
      <w:r w:rsidRPr="00633EAB">
        <w:rPr>
          <w:rFonts w:ascii="Verdana" w:hAnsi="Verdana"/>
          <w:sz w:val="18"/>
          <w:szCs w:val="18"/>
        </w:rPr>
        <w:t xml:space="preserve"> internationale beleggers.</w:t>
      </w:r>
      <w:r w:rsidRPr="00633EAB" w:rsidR="00421309">
        <w:rPr>
          <w:rFonts w:ascii="Verdana" w:hAnsi="Verdana"/>
          <w:sz w:val="18"/>
          <w:szCs w:val="18"/>
        </w:rPr>
        <w:t xml:space="preserve"> </w:t>
      </w:r>
    </w:p>
    <w:p w:rsidRPr="00633EAB" w:rsidR="00421309" w:rsidP="00E65FEA" w:rsidRDefault="00421309" w14:paraId="4F1D01F7" w14:textId="77777777">
      <w:pPr>
        <w:spacing w:after="0"/>
        <w:rPr>
          <w:rFonts w:ascii="Verdana" w:hAnsi="Verdana"/>
          <w:sz w:val="18"/>
          <w:szCs w:val="18"/>
        </w:rPr>
      </w:pPr>
    </w:p>
    <w:p w:rsidRPr="00633EAB" w:rsidR="00E65FEA" w:rsidP="00E65FEA" w:rsidRDefault="00421309" w14:paraId="4E63AA10" w14:textId="3BDAF577">
      <w:pPr>
        <w:spacing w:after="0"/>
        <w:rPr>
          <w:rFonts w:ascii="Verdana" w:hAnsi="Verdana"/>
          <w:sz w:val="18"/>
          <w:szCs w:val="18"/>
        </w:rPr>
      </w:pPr>
      <w:r w:rsidRPr="00633EAB">
        <w:rPr>
          <w:rFonts w:ascii="Verdana" w:hAnsi="Verdana"/>
          <w:sz w:val="18"/>
          <w:szCs w:val="18"/>
        </w:rPr>
        <w:t xml:space="preserve">Euronext Amsterdam </w:t>
      </w:r>
      <w:r w:rsidRPr="00633EAB" w:rsidR="00D03276">
        <w:rPr>
          <w:rFonts w:ascii="Verdana" w:hAnsi="Verdana"/>
          <w:sz w:val="18"/>
          <w:szCs w:val="18"/>
        </w:rPr>
        <w:t xml:space="preserve">wordt, evenals de rest van de financiële sector, sterk gereguleerd. Dit bepaalt in grote mate het speelveld van de beurs. </w:t>
      </w:r>
      <w:r w:rsidRPr="00633EAB" w:rsidR="00607C67">
        <w:rPr>
          <w:rFonts w:ascii="Verdana" w:hAnsi="Verdana"/>
          <w:sz w:val="18"/>
          <w:szCs w:val="18"/>
        </w:rPr>
        <w:t xml:space="preserve">Tegelijkertijd </w:t>
      </w:r>
      <w:r w:rsidRPr="00633EAB">
        <w:rPr>
          <w:rFonts w:ascii="Verdana" w:hAnsi="Verdana"/>
          <w:sz w:val="18"/>
          <w:szCs w:val="18"/>
        </w:rPr>
        <w:t>gaat</w:t>
      </w:r>
      <w:r w:rsidRPr="00633EAB" w:rsidR="00D03276">
        <w:rPr>
          <w:rFonts w:ascii="Verdana" w:hAnsi="Verdana"/>
          <w:sz w:val="18"/>
          <w:szCs w:val="18"/>
        </w:rPr>
        <w:t xml:space="preserve"> </w:t>
      </w:r>
      <w:r w:rsidRPr="00633EAB" w:rsidR="00497DA7">
        <w:rPr>
          <w:rFonts w:ascii="Verdana" w:hAnsi="Verdana"/>
          <w:sz w:val="18"/>
          <w:szCs w:val="18"/>
        </w:rPr>
        <w:t xml:space="preserve">Euronext </w:t>
      </w:r>
      <w:r w:rsidRPr="00633EAB">
        <w:rPr>
          <w:rFonts w:ascii="Verdana" w:hAnsi="Verdana"/>
          <w:sz w:val="18"/>
          <w:szCs w:val="18"/>
        </w:rPr>
        <w:t>voor een deel ook zelf over de randvoorwaarden van een aantrekkelijke markt</w:t>
      </w:r>
      <w:r w:rsidRPr="00633EAB" w:rsidR="00D03276">
        <w:rPr>
          <w:rFonts w:ascii="Verdana" w:hAnsi="Verdana"/>
          <w:sz w:val="18"/>
          <w:szCs w:val="18"/>
        </w:rPr>
        <w:t xml:space="preserve">. Euronext stelt als beursuitbater zelf </w:t>
      </w:r>
      <w:r w:rsidRPr="00633EAB">
        <w:rPr>
          <w:rFonts w:ascii="Verdana" w:hAnsi="Verdana"/>
          <w:sz w:val="18"/>
          <w:szCs w:val="18"/>
        </w:rPr>
        <w:t>regels voor uitgevende instellingen</w:t>
      </w:r>
      <w:r w:rsidR="00535277">
        <w:rPr>
          <w:rFonts w:ascii="Verdana" w:hAnsi="Verdana"/>
          <w:sz w:val="18"/>
          <w:szCs w:val="18"/>
        </w:rPr>
        <w:t xml:space="preserve"> (beursgenoteerde ondernemingen)</w:t>
      </w:r>
      <w:r w:rsidRPr="00633EAB">
        <w:rPr>
          <w:rFonts w:ascii="Verdana" w:hAnsi="Verdana"/>
          <w:sz w:val="18"/>
          <w:szCs w:val="18"/>
        </w:rPr>
        <w:t xml:space="preserve"> en deelnemers </w:t>
      </w:r>
      <w:r w:rsidRPr="00633EAB" w:rsidR="00167D25">
        <w:rPr>
          <w:rFonts w:ascii="Verdana" w:hAnsi="Verdana"/>
          <w:sz w:val="18"/>
          <w:szCs w:val="18"/>
        </w:rPr>
        <w:t xml:space="preserve">aan </w:t>
      </w:r>
      <w:r w:rsidRPr="00633EAB" w:rsidR="00D03276">
        <w:rPr>
          <w:rFonts w:ascii="Verdana" w:hAnsi="Verdana"/>
          <w:sz w:val="18"/>
          <w:szCs w:val="18"/>
        </w:rPr>
        <w:t>zijn</w:t>
      </w:r>
      <w:r w:rsidRPr="00633EAB" w:rsidR="00167D25">
        <w:rPr>
          <w:rFonts w:ascii="Verdana" w:hAnsi="Verdana"/>
          <w:sz w:val="18"/>
          <w:szCs w:val="18"/>
        </w:rPr>
        <w:t xml:space="preserve"> handelsplatform</w:t>
      </w:r>
      <w:r w:rsidRPr="00633EAB" w:rsidR="00D03276">
        <w:rPr>
          <w:rFonts w:ascii="Verdana" w:hAnsi="Verdana"/>
          <w:sz w:val="18"/>
          <w:szCs w:val="18"/>
        </w:rPr>
        <w:t>en</w:t>
      </w:r>
      <w:r w:rsidRPr="00633EAB" w:rsidR="00167D25">
        <w:rPr>
          <w:rFonts w:ascii="Verdana" w:hAnsi="Verdana"/>
          <w:sz w:val="18"/>
          <w:szCs w:val="18"/>
        </w:rPr>
        <w:t xml:space="preserve"> </w:t>
      </w:r>
      <w:r w:rsidRPr="00633EAB">
        <w:rPr>
          <w:rFonts w:ascii="Verdana" w:hAnsi="Verdana"/>
          <w:sz w:val="18"/>
          <w:szCs w:val="18"/>
        </w:rPr>
        <w:t xml:space="preserve">(beleggers). Bij mijn beleid voor de financiële sector, zowel nationaal als Europees, houd ik rekening met de belangen van alle belanghebbenden, waaronder ook Euronext en partijen die hierop actief zijn. </w:t>
      </w:r>
      <w:r w:rsidRPr="00633EAB" w:rsidR="00453BD3">
        <w:rPr>
          <w:rFonts w:ascii="Verdana" w:hAnsi="Verdana"/>
          <w:sz w:val="18"/>
          <w:szCs w:val="18"/>
        </w:rPr>
        <w:t xml:space="preserve">Ik heb hierbij oog voor het goede functioneren van de markt, vermindering van regeldruk en goed toezicht en bescherming van de consument. </w:t>
      </w:r>
      <w:r w:rsidRPr="00633EAB" w:rsidR="00167D25">
        <w:rPr>
          <w:rFonts w:ascii="Verdana" w:hAnsi="Verdana"/>
          <w:sz w:val="18"/>
          <w:szCs w:val="18"/>
        </w:rPr>
        <w:t xml:space="preserve">Voor een overzicht </w:t>
      </w:r>
      <w:r w:rsidRPr="00633EAB" w:rsidR="00167D25">
        <w:rPr>
          <w:rFonts w:ascii="Verdana" w:hAnsi="Verdana"/>
          <w:sz w:val="18"/>
          <w:szCs w:val="18"/>
        </w:rPr>
        <w:lastRenderedPageBreak/>
        <w:t>van relevante randvoorwaarden verwijs ik u naar de brief met mijn visie op de financiële sector.</w:t>
      </w:r>
      <w:r w:rsidRPr="00633EAB" w:rsidR="00167D25">
        <w:rPr>
          <w:rStyle w:val="Voetnootmarkering"/>
          <w:rFonts w:ascii="Verdana" w:hAnsi="Verdana"/>
          <w:sz w:val="18"/>
          <w:szCs w:val="18"/>
        </w:rPr>
        <w:footnoteReference w:id="3"/>
      </w:r>
    </w:p>
    <w:p w:rsidRPr="00633EAB" w:rsidR="00E65FEA" w:rsidP="00E65FEA" w:rsidRDefault="00E65FEA" w14:paraId="60801641" w14:textId="77777777">
      <w:pPr>
        <w:spacing w:after="0"/>
        <w:rPr>
          <w:rFonts w:ascii="Verdana" w:hAnsi="Verdana"/>
          <w:sz w:val="18"/>
          <w:szCs w:val="18"/>
        </w:rPr>
      </w:pPr>
    </w:p>
    <w:p w:rsidRPr="00633EAB" w:rsidR="00E65FEA" w:rsidP="00E65FEA" w:rsidRDefault="00E65FEA" w14:paraId="40BE0BC6" w14:textId="33F6C86E">
      <w:pPr>
        <w:spacing w:after="0"/>
        <w:rPr>
          <w:rFonts w:ascii="Verdana" w:hAnsi="Verdana"/>
          <w:b/>
          <w:bCs/>
          <w:sz w:val="18"/>
          <w:szCs w:val="18"/>
        </w:rPr>
      </w:pPr>
      <w:r w:rsidRPr="00633EAB">
        <w:rPr>
          <w:rFonts w:ascii="Verdana" w:hAnsi="Verdana"/>
          <w:b/>
          <w:bCs/>
          <w:sz w:val="18"/>
          <w:szCs w:val="18"/>
        </w:rPr>
        <w:t>Vraag 4</w:t>
      </w:r>
    </w:p>
    <w:p w:rsidRPr="00633EAB" w:rsidR="00E65FEA" w:rsidP="00E65FEA" w:rsidRDefault="00E65FEA" w14:paraId="63E7E91B" w14:textId="77777777">
      <w:pPr>
        <w:spacing w:after="0"/>
        <w:rPr>
          <w:rFonts w:ascii="Verdana" w:hAnsi="Verdana"/>
          <w:sz w:val="18"/>
          <w:szCs w:val="18"/>
        </w:rPr>
      </w:pPr>
      <w:r w:rsidRPr="00633EAB">
        <w:rPr>
          <w:rFonts w:ascii="Verdana" w:hAnsi="Verdana"/>
          <w:sz w:val="18"/>
          <w:szCs w:val="18"/>
        </w:rPr>
        <w:t>Bent u van mening dat een verdere concentratie binnen de Euronext-groep van de ETF-handel de concurrentiepositie van Euronext verbetert ten opzichte van de Amerikaanse markt?</w:t>
      </w:r>
      <w:r w:rsidRPr="00633EAB">
        <w:rPr>
          <w:rFonts w:ascii="Verdana" w:hAnsi="Verdana"/>
          <w:sz w:val="18"/>
          <w:szCs w:val="18"/>
        </w:rPr>
        <w:br/>
      </w:r>
    </w:p>
    <w:p w:rsidRPr="00633EAB" w:rsidR="00E65FEA" w:rsidP="00E65FEA" w:rsidRDefault="00E65FEA" w14:paraId="52E68F11" w14:textId="77777777">
      <w:pPr>
        <w:spacing w:after="0"/>
        <w:rPr>
          <w:rFonts w:ascii="Verdana" w:hAnsi="Verdana"/>
          <w:b/>
          <w:bCs/>
          <w:sz w:val="18"/>
          <w:szCs w:val="18"/>
        </w:rPr>
      </w:pPr>
      <w:r w:rsidRPr="00633EAB">
        <w:rPr>
          <w:rFonts w:ascii="Verdana" w:hAnsi="Verdana"/>
          <w:b/>
          <w:bCs/>
          <w:sz w:val="18"/>
          <w:szCs w:val="18"/>
        </w:rPr>
        <w:t>Antwoord</w:t>
      </w:r>
    </w:p>
    <w:p w:rsidRPr="00633EAB" w:rsidR="00E65FEA" w:rsidP="00E65FEA" w:rsidRDefault="00E65FEA" w14:paraId="720B6C58" w14:textId="58D36479">
      <w:pPr>
        <w:spacing w:after="0"/>
        <w:rPr>
          <w:rFonts w:ascii="Verdana" w:hAnsi="Verdana"/>
          <w:sz w:val="18"/>
          <w:szCs w:val="18"/>
        </w:rPr>
      </w:pPr>
      <w:r w:rsidRPr="00633EAB">
        <w:rPr>
          <w:rFonts w:ascii="Verdana" w:hAnsi="Verdana"/>
          <w:sz w:val="18"/>
          <w:szCs w:val="18"/>
        </w:rPr>
        <w:t>Ja</w:t>
      </w:r>
      <w:r w:rsidRPr="00633EAB" w:rsidR="00782F41">
        <w:rPr>
          <w:rFonts w:ascii="Verdana" w:hAnsi="Verdana"/>
          <w:sz w:val="18"/>
          <w:szCs w:val="18"/>
        </w:rPr>
        <w:t xml:space="preserve">, </w:t>
      </w:r>
      <w:r w:rsidRPr="00633EAB" w:rsidR="006B220D">
        <w:rPr>
          <w:rFonts w:ascii="Verdana" w:hAnsi="Verdana"/>
          <w:sz w:val="18"/>
          <w:szCs w:val="18"/>
        </w:rPr>
        <w:t>centralisatie</w:t>
      </w:r>
      <w:r w:rsidRPr="00633EAB" w:rsidR="00782F41">
        <w:rPr>
          <w:rFonts w:ascii="Verdana" w:hAnsi="Verdana"/>
          <w:sz w:val="18"/>
          <w:szCs w:val="18"/>
        </w:rPr>
        <w:t xml:space="preserve"> kan </w:t>
      </w:r>
      <w:r w:rsidRPr="00633EAB" w:rsidR="006B220D">
        <w:rPr>
          <w:rFonts w:ascii="Verdana" w:hAnsi="Verdana"/>
          <w:sz w:val="18"/>
          <w:szCs w:val="18"/>
        </w:rPr>
        <w:t xml:space="preserve">zorgen voor meer liquiditeit en op deze manier </w:t>
      </w:r>
      <w:r w:rsidRPr="00633EAB" w:rsidR="00782F41">
        <w:rPr>
          <w:rFonts w:ascii="Verdana" w:hAnsi="Verdana"/>
          <w:sz w:val="18"/>
          <w:szCs w:val="18"/>
        </w:rPr>
        <w:t>bijdragen aan de versterking van de concurrentiepositie van Euronext.</w:t>
      </w:r>
      <w:r w:rsidRPr="00633EAB" w:rsidR="00421309">
        <w:rPr>
          <w:rFonts w:ascii="Verdana" w:hAnsi="Verdana"/>
          <w:sz w:val="18"/>
          <w:szCs w:val="18"/>
        </w:rPr>
        <w:t xml:space="preserve"> </w:t>
      </w:r>
    </w:p>
    <w:p w:rsidRPr="00633EAB" w:rsidR="00E65FEA" w:rsidP="00E65FEA" w:rsidRDefault="00E65FEA" w14:paraId="3B485EC2" w14:textId="77777777">
      <w:pPr>
        <w:spacing w:after="0"/>
        <w:rPr>
          <w:rFonts w:ascii="Verdana" w:hAnsi="Verdana"/>
          <w:sz w:val="18"/>
          <w:szCs w:val="18"/>
        </w:rPr>
      </w:pPr>
    </w:p>
    <w:p w:rsidRPr="00633EAB" w:rsidR="00E65FEA" w:rsidP="00E65FEA" w:rsidRDefault="00E65FEA" w14:paraId="0937E866" w14:textId="016A265D">
      <w:pPr>
        <w:spacing w:after="0"/>
        <w:rPr>
          <w:rFonts w:ascii="Verdana" w:hAnsi="Verdana"/>
          <w:b/>
          <w:bCs/>
          <w:sz w:val="18"/>
          <w:szCs w:val="18"/>
        </w:rPr>
      </w:pPr>
      <w:r w:rsidRPr="00633EAB">
        <w:rPr>
          <w:rFonts w:ascii="Verdana" w:hAnsi="Verdana"/>
          <w:b/>
          <w:bCs/>
          <w:sz w:val="18"/>
          <w:szCs w:val="18"/>
        </w:rPr>
        <w:t>Vraag 5</w:t>
      </w:r>
    </w:p>
    <w:p w:rsidRPr="00633EAB" w:rsidR="00E65FEA" w:rsidP="00E65FEA" w:rsidRDefault="00E65FEA" w14:paraId="364CB7C8" w14:textId="77777777">
      <w:pPr>
        <w:spacing w:after="0"/>
        <w:rPr>
          <w:rFonts w:ascii="Verdana" w:hAnsi="Verdana"/>
          <w:sz w:val="18"/>
          <w:szCs w:val="18"/>
        </w:rPr>
      </w:pPr>
      <w:r w:rsidRPr="00633EAB">
        <w:rPr>
          <w:rFonts w:ascii="Verdana" w:hAnsi="Verdana"/>
          <w:sz w:val="18"/>
          <w:szCs w:val="18"/>
        </w:rPr>
        <w:t>Bent u het eens dat een inhaalslag op de Europese ETF-markt nodig is in vergelijking met de Amerikaanse markt? Wat is uw reactie in het licht dat de Europese ETF-markt ongeveer 2.400 miljard dollar omvat terwijl de Amerikaanse markt uit 11.000 miljard dollar bestaat?</w:t>
      </w:r>
      <w:r w:rsidRPr="00633EAB">
        <w:rPr>
          <w:rFonts w:ascii="Verdana" w:hAnsi="Verdana"/>
          <w:sz w:val="18"/>
          <w:szCs w:val="18"/>
        </w:rPr>
        <w:br/>
      </w:r>
    </w:p>
    <w:p w:rsidRPr="00633EAB" w:rsidR="00E65FEA" w:rsidP="00E65FEA" w:rsidRDefault="00E65FEA" w14:paraId="383349C9" w14:textId="77777777">
      <w:pPr>
        <w:spacing w:after="0"/>
        <w:rPr>
          <w:rFonts w:ascii="Verdana" w:hAnsi="Verdana"/>
          <w:b/>
          <w:bCs/>
          <w:sz w:val="18"/>
          <w:szCs w:val="18"/>
        </w:rPr>
      </w:pPr>
      <w:r w:rsidRPr="00633EAB">
        <w:rPr>
          <w:rFonts w:ascii="Verdana" w:hAnsi="Verdana"/>
          <w:b/>
          <w:bCs/>
          <w:sz w:val="18"/>
          <w:szCs w:val="18"/>
        </w:rPr>
        <w:t>Antwoord</w:t>
      </w:r>
    </w:p>
    <w:p w:rsidRPr="00633EAB" w:rsidR="008C5EB2" w:rsidP="00E65FEA" w:rsidRDefault="008C5EB2" w14:paraId="03A70939" w14:textId="64CA0036">
      <w:pPr>
        <w:spacing w:after="0"/>
        <w:rPr>
          <w:rFonts w:ascii="Verdana" w:hAnsi="Verdana"/>
          <w:sz w:val="18"/>
          <w:szCs w:val="18"/>
        </w:rPr>
      </w:pPr>
      <w:r w:rsidRPr="00633EAB">
        <w:rPr>
          <w:rFonts w:ascii="Verdana" w:hAnsi="Verdana"/>
          <w:sz w:val="18"/>
          <w:szCs w:val="18"/>
        </w:rPr>
        <w:t>De Europese kapitaalmarkten, inclusief de ETF-markt, hebben potentieel om verder te groeien</w:t>
      </w:r>
      <w:r w:rsidRPr="00633EAB" w:rsidR="00A32478">
        <w:rPr>
          <w:rFonts w:ascii="Verdana" w:hAnsi="Verdana"/>
          <w:sz w:val="18"/>
          <w:szCs w:val="18"/>
        </w:rPr>
        <w:t xml:space="preserve"> en beter te integreren</w:t>
      </w:r>
      <w:r w:rsidRPr="00633EAB">
        <w:rPr>
          <w:rFonts w:ascii="Verdana" w:hAnsi="Verdana"/>
          <w:sz w:val="18"/>
          <w:szCs w:val="18"/>
        </w:rPr>
        <w:t xml:space="preserve">. </w:t>
      </w:r>
      <w:r w:rsidRPr="00633EAB" w:rsidR="003E6E73">
        <w:rPr>
          <w:rFonts w:ascii="Verdana" w:hAnsi="Verdana"/>
          <w:sz w:val="18"/>
          <w:szCs w:val="18"/>
        </w:rPr>
        <w:t xml:space="preserve">Het verschil in omvang met de Verenigde Staten </w:t>
      </w:r>
      <w:r w:rsidRPr="00633EAB" w:rsidR="005A3B51">
        <w:rPr>
          <w:rFonts w:ascii="Verdana" w:hAnsi="Verdana"/>
          <w:sz w:val="18"/>
          <w:szCs w:val="18"/>
        </w:rPr>
        <w:t>kan door verschillende factoren worden verklaard. De</w:t>
      </w:r>
      <w:r w:rsidRPr="00633EAB" w:rsidR="003E6E73">
        <w:rPr>
          <w:rFonts w:ascii="Verdana" w:hAnsi="Verdana"/>
          <w:sz w:val="18"/>
          <w:szCs w:val="18"/>
        </w:rPr>
        <w:t xml:space="preserve"> in het FD-artikel genoemde versnippering van de Europese kapitaalmarkt</w:t>
      </w:r>
      <w:r w:rsidRPr="00633EAB" w:rsidR="008036DD">
        <w:rPr>
          <w:rFonts w:ascii="Verdana" w:hAnsi="Verdana"/>
          <w:sz w:val="18"/>
          <w:szCs w:val="18"/>
        </w:rPr>
        <w:t xml:space="preserve"> speelt hierbij een rol</w:t>
      </w:r>
      <w:r w:rsidRPr="00633EAB" w:rsidR="003E6E73">
        <w:rPr>
          <w:rFonts w:ascii="Verdana" w:hAnsi="Verdana"/>
          <w:sz w:val="18"/>
          <w:szCs w:val="18"/>
        </w:rPr>
        <w:t xml:space="preserve">, </w:t>
      </w:r>
      <w:r w:rsidRPr="00633EAB" w:rsidR="008036DD">
        <w:rPr>
          <w:rFonts w:ascii="Verdana" w:hAnsi="Verdana"/>
          <w:sz w:val="18"/>
          <w:szCs w:val="18"/>
        </w:rPr>
        <w:t>vergeleken met de meer geconcentreerde</w:t>
      </w:r>
      <w:r w:rsidRPr="00633EAB" w:rsidR="003E6E73">
        <w:rPr>
          <w:rFonts w:ascii="Verdana" w:hAnsi="Verdana"/>
          <w:sz w:val="18"/>
          <w:szCs w:val="18"/>
        </w:rPr>
        <w:t xml:space="preserve"> Amerikaanse markt. </w:t>
      </w:r>
      <w:r w:rsidRPr="00633EAB">
        <w:rPr>
          <w:rFonts w:ascii="Verdana" w:hAnsi="Verdana"/>
          <w:sz w:val="18"/>
          <w:szCs w:val="18"/>
        </w:rPr>
        <w:t xml:space="preserve">Een </w:t>
      </w:r>
      <w:r w:rsidRPr="00633EAB" w:rsidR="00A32478">
        <w:rPr>
          <w:rFonts w:ascii="Verdana" w:hAnsi="Verdana"/>
          <w:sz w:val="18"/>
          <w:szCs w:val="18"/>
        </w:rPr>
        <w:t xml:space="preserve">minder versnipperde en </w:t>
      </w:r>
      <w:r w:rsidRPr="00633EAB">
        <w:rPr>
          <w:rFonts w:ascii="Verdana" w:hAnsi="Verdana"/>
          <w:sz w:val="18"/>
          <w:szCs w:val="18"/>
        </w:rPr>
        <w:t>meer liquide markt is aantrekkelijker voor beleggers</w:t>
      </w:r>
      <w:r w:rsidRPr="00633EAB" w:rsidR="002B3832">
        <w:rPr>
          <w:rFonts w:ascii="Verdana" w:hAnsi="Verdana"/>
          <w:sz w:val="18"/>
          <w:szCs w:val="18"/>
        </w:rPr>
        <w:t xml:space="preserve">, zowel </w:t>
      </w:r>
      <w:proofErr w:type="spellStart"/>
      <w:r w:rsidRPr="00633EAB" w:rsidR="002B3832">
        <w:rPr>
          <w:rFonts w:ascii="Verdana" w:hAnsi="Verdana"/>
          <w:sz w:val="18"/>
          <w:szCs w:val="18"/>
        </w:rPr>
        <w:t>retail</w:t>
      </w:r>
      <w:proofErr w:type="spellEnd"/>
      <w:r w:rsidRPr="00633EAB" w:rsidR="00497DA7">
        <w:rPr>
          <w:rFonts w:ascii="Verdana" w:hAnsi="Verdana"/>
          <w:sz w:val="18"/>
          <w:szCs w:val="18"/>
        </w:rPr>
        <w:t xml:space="preserve"> beleggers</w:t>
      </w:r>
      <w:r w:rsidRPr="00633EAB" w:rsidR="002B3832">
        <w:rPr>
          <w:rFonts w:ascii="Verdana" w:hAnsi="Verdana"/>
          <w:sz w:val="18"/>
          <w:szCs w:val="18"/>
        </w:rPr>
        <w:t xml:space="preserve"> als institutionele beleggers,</w:t>
      </w:r>
      <w:r w:rsidRPr="00633EAB">
        <w:rPr>
          <w:rFonts w:ascii="Verdana" w:hAnsi="Verdana"/>
          <w:sz w:val="18"/>
          <w:szCs w:val="18"/>
        </w:rPr>
        <w:t xml:space="preserve"> </w:t>
      </w:r>
      <w:r w:rsidRPr="00633EAB" w:rsidR="002B3832">
        <w:rPr>
          <w:rFonts w:ascii="Verdana" w:hAnsi="Verdana"/>
          <w:sz w:val="18"/>
          <w:szCs w:val="18"/>
        </w:rPr>
        <w:t>en</w:t>
      </w:r>
      <w:r w:rsidRPr="00633EAB">
        <w:rPr>
          <w:rFonts w:ascii="Verdana" w:hAnsi="Verdana"/>
          <w:sz w:val="18"/>
          <w:szCs w:val="18"/>
        </w:rPr>
        <w:t xml:space="preserve"> bedrijven. </w:t>
      </w:r>
      <w:r w:rsidRPr="00633EAB" w:rsidR="00A32478">
        <w:rPr>
          <w:rFonts w:ascii="Verdana" w:hAnsi="Verdana"/>
          <w:sz w:val="18"/>
          <w:szCs w:val="18"/>
        </w:rPr>
        <w:t>De fragmentatie in de EU over meerdere beurzen</w:t>
      </w:r>
      <w:r w:rsidRPr="00633EAB" w:rsidR="000323B1">
        <w:rPr>
          <w:rFonts w:ascii="Verdana" w:hAnsi="Verdana"/>
          <w:sz w:val="18"/>
          <w:szCs w:val="18"/>
        </w:rPr>
        <w:t xml:space="preserve"> en bilaterale handel buiten de beurs (</w:t>
      </w:r>
      <w:r w:rsidRPr="00633EAB" w:rsidR="000323B1">
        <w:rPr>
          <w:rFonts w:ascii="Verdana" w:hAnsi="Verdana"/>
          <w:i/>
          <w:iCs/>
          <w:sz w:val="18"/>
          <w:szCs w:val="18"/>
        </w:rPr>
        <w:t xml:space="preserve">over </w:t>
      </w:r>
      <w:proofErr w:type="spellStart"/>
      <w:r w:rsidRPr="00633EAB" w:rsidR="000323B1">
        <w:rPr>
          <w:rFonts w:ascii="Verdana" w:hAnsi="Verdana"/>
          <w:i/>
          <w:iCs/>
          <w:sz w:val="18"/>
          <w:szCs w:val="18"/>
        </w:rPr>
        <w:t>the</w:t>
      </w:r>
      <w:proofErr w:type="spellEnd"/>
      <w:r w:rsidRPr="00633EAB" w:rsidR="000323B1">
        <w:rPr>
          <w:rFonts w:ascii="Verdana" w:hAnsi="Verdana"/>
          <w:i/>
          <w:iCs/>
          <w:sz w:val="18"/>
          <w:szCs w:val="18"/>
        </w:rPr>
        <w:t xml:space="preserve"> counter</w:t>
      </w:r>
      <w:r w:rsidRPr="00633EAB" w:rsidR="000323B1">
        <w:rPr>
          <w:rFonts w:ascii="Verdana" w:hAnsi="Verdana"/>
          <w:sz w:val="18"/>
          <w:szCs w:val="18"/>
        </w:rPr>
        <w:t>)</w:t>
      </w:r>
      <w:r w:rsidRPr="00633EAB" w:rsidR="00A32478">
        <w:rPr>
          <w:rFonts w:ascii="Verdana" w:hAnsi="Verdana"/>
          <w:sz w:val="18"/>
          <w:szCs w:val="18"/>
        </w:rPr>
        <w:t xml:space="preserve"> leidt tot minder efficiënte prijsvorming en beperkte schaal</w:t>
      </w:r>
      <w:r w:rsidRPr="00633EAB" w:rsidR="000323B1">
        <w:rPr>
          <w:rFonts w:ascii="Verdana" w:hAnsi="Verdana"/>
          <w:sz w:val="18"/>
          <w:szCs w:val="18"/>
        </w:rPr>
        <w:t>voordelen</w:t>
      </w:r>
      <w:r w:rsidRPr="00633EAB" w:rsidR="00A32478">
        <w:rPr>
          <w:rFonts w:ascii="Verdana" w:hAnsi="Verdana"/>
          <w:sz w:val="18"/>
          <w:szCs w:val="18"/>
        </w:rPr>
        <w:t>.</w:t>
      </w:r>
      <w:r w:rsidRPr="00633EAB">
        <w:rPr>
          <w:rFonts w:ascii="Verdana" w:hAnsi="Verdana"/>
          <w:sz w:val="18"/>
          <w:szCs w:val="18"/>
        </w:rPr>
        <w:t xml:space="preserve"> Een andere </w:t>
      </w:r>
      <w:r w:rsidRPr="00633EAB" w:rsidR="000323B1">
        <w:rPr>
          <w:rFonts w:ascii="Verdana" w:hAnsi="Verdana"/>
          <w:sz w:val="18"/>
          <w:szCs w:val="18"/>
        </w:rPr>
        <w:t>mogelijke oorzaak</w:t>
      </w:r>
      <w:r w:rsidRPr="00633EAB">
        <w:rPr>
          <w:rFonts w:ascii="Verdana" w:hAnsi="Verdana"/>
          <w:sz w:val="18"/>
          <w:szCs w:val="18"/>
        </w:rPr>
        <w:t xml:space="preserve"> van dit verschil is de wijze waarop de oudedagsvoorziening is geregeld. Amerikaanse huishoudens zijn zelf verantwoordelijk voor het opbouwen van pensioenvermogen. In veel Europese lidstaten verzorgt de staat het pensioen, of – zoals in Nederland – beleggen werknemers via pensioenfondsen indirect voor hun oude dag.</w:t>
      </w:r>
      <w:r w:rsidRPr="00633EAB" w:rsidR="00912F3E">
        <w:rPr>
          <w:rFonts w:ascii="Verdana" w:hAnsi="Verdana"/>
          <w:sz w:val="18"/>
          <w:szCs w:val="18"/>
        </w:rPr>
        <w:t xml:space="preserve"> Pensioenfondsen beleggen doorgaans </w:t>
      </w:r>
      <w:r w:rsidRPr="00633EAB" w:rsidR="00352A5B">
        <w:rPr>
          <w:rFonts w:ascii="Verdana" w:hAnsi="Verdana"/>
          <w:sz w:val="18"/>
          <w:szCs w:val="18"/>
        </w:rPr>
        <w:t>niet of nauwelijks</w:t>
      </w:r>
      <w:r w:rsidRPr="00633EAB" w:rsidR="00912F3E">
        <w:rPr>
          <w:rFonts w:ascii="Verdana" w:hAnsi="Verdana"/>
          <w:sz w:val="18"/>
          <w:szCs w:val="18"/>
        </w:rPr>
        <w:t xml:space="preserve"> in </w:t>
      </w:r>
      <w:proofErr w:type="spellStart"/>
      <w:r w:rsidRPr="00633EAB" w:rsidR="00912F3E">
        <w:rPr>
          <w:rFonts w:ascii="Verdana" w:hAnsi="Verdana"/>
          <w:sz w:val="18"/>
          <w:szCs w:val="18"/>
        </w:rPr>
        <w:t>ETFs</w:t>
      </w:r>
      <w:proofErr w:type="spellEnd"/>
      <w:r w:rsidRPr="00633EAB" w:rsidR="000323B1">
        <w:rPr>
          <w:rFonts w:ascii="Verdana" w:hAnsi="Verdana"/>
          <w:sz w:val="18"/>
          <w:szCs w:val="18"/>
        </w:rPr>
        <w:t>, terwijl Amerikaanse huishoudens wel veel in deze instrumenten beleggen.</w:t>
      </w:r>
      <w:r w:rsidRPr="00633EAB">
        <w:rPr>
          <w:rFonts w:ascii="Verdana" w:hAnsi="Verdana"/>
          <w:sz w:val="18"/>
          <w:szCs w:val="18"/>
        </w:rPr>
        <w:t xml:space="preserve"> Ook kan meespelen dat er in Europa minder bedrijven beursgenoteerd zijn in vergelijking met de VS, en dat de waarderingen in de VS momenteel hoger zijn. Dit kan zich vertalen naar een grotere omvang van de Amerikaanse ETF-markt.</w:t>
      </w:r>
    </w:p>
    <w:p w:rsidRPr="00633EAB" w:rsidR="00E65FEA" w:rsidP="00E65FEA" w:rsidRDefault="00E65FEA" w14:paraId="4D05A6A4" w14:textId="318D6E19">
      <w:pPr>
        <w:spacing w:after="0"/>
        <w:rPr>
          <w:rFonts w:ascii="Verdana" w:hAnsi="Verdana"/>
          <w:sz w:val="18"/>
          <w:szCs w:val="18"/>
        </w:rPr>
      </w:pPr>
    </w:p>
    <w:p w:rsidRPr="00633EAB" w:rsidR="00E65FEA" w:rsidP="00E65FEA" w:rsidRDefault="00E65FEA" w14:paraId="6CD6AD8E" w14:textId="39A4484F">
      <w:pPr>
        <w:spacing w:after="0"/>
        <w:rPr>
          <w:rFonts w:ascii="Verdana" w:hAnsi="Verdana"/>
          <w:b/>
          <w:bCs/>
          <w:sz w:val="18"/>
          <w:szCs w:val="18"/>
        </w:rPr>
      </w:pPr>
      <w:r w:rsidRPr="00633EAB">
        <w:rPr>
          <w:rFonts w:ascii="Verdana" w:hAnsi="Verdana"/>
          <w:b/>
          <w:bCs/>
          <w:sz w:val="18"/>
          <w:szCs w:val="18"/>
        </w:rPr>
        <w:t>Vraag 6</w:t>
      </w:r>
    </w:p>
    <w:p w:rsidRPr="00633EAB" w:rsidR="00E65FEA" w:rsidP="00E65FEA" w:rsidRDefault="00E65FEA" w14:paraId="7F40E08D" w14:textId="47E6679E">
      <w:pPr>
        <w:spacing w:after="0"/>
        <w:rPr>
          <w:rFonts w:ascii="Verdana" w:hAnsi="Verdana"/>
          <w:sz w:val="18"/>
          <w:szCs w:val="18"/>
        </w:rPr>
      </w:pPr>
      <w:r w:rsidRPr="00633EAB">
        <w:rPr>
          <w:rFonts w:ascii="Verdana" w:hAnsi="Verdana"/>
          <w:sz w:val="18"/>
          <w:szCs w:val="18"/>
        </w:rPr>
        <w:t xml:space="preserve">Hoe kijkt u naar het meer toegankelijk maken van de hoofdindex voor </w:t>
      </w:r>
      <w:proofErr w:type="spellStart"/>
      <w:r w:rsidRPr="00633EAB">
        <w:rPr>
          <w:rFonts w:ascii="Verdana" w:hAnsi="Verdana"/>
          <w:sz w:val="18"/>
          <w:szCs w:val="18"/>
        </w:rPr>
        <w:t>closed-endbeleggingsfondsen</w:t>
      </w:r>
      <w:proofErr w:type="spellEnd"/>
      <w:r w:rsidRPr="00633EAB">
        <w:rPr>
          <w:rFonts w:ascii="Verdana" w:hAnsi="Verdana"/>
          <w:sz w:val="18"/>
          <w:szCs w:val="18"/>
        </w:rPr>
        <w:t>?</w:t>
      </w:r>
      <w:r w:rsidRPr="00633EAB">
        <w:rPr>
          <w:rFonts w:ascii="Verdana" w:hAnsi="Verdana"/>
          <w:sz w:val="18"/>
          <w:szCs w:val="18"/>
        </w:rPr>
        <w:br/>
      </w:r>
    </w:p>
    <w:p w:rsidRPr="00633EAB" w:rsidR="00E65FEA" w:rsidP="00E65FEA" w:rsidRDefault="00E65FEA" w14:paraId="76F3852B" w14:textId="61FEC50D">
      <w:pPr>
        <w:spacing w:after="0"/>
        <w:rPr>
          <w:rFonts w:ascii="Verdana" w:hAnsi="Verdana"/>
          <w:b/>
          <w:bCs/>
          <w:sz w:val="18"/>
          <w:szCs w:val="18"/>
        </w:rPr>
      </w:pPr>
      <w:r w:rsidRPr="00633EAB">
        <w:rPr>
          <w:rFonts w:ascii="Verdana" w:hAnsi="Verdana"/>
          <w:b/>
          <w:bCs/>
          <w:sz w:val="18"/>
          <w:szCs w:val="18"/>
        </w:rPr>
        <w:t>Vraag 7</w:t>
      </w:r>
    </w:p>
    <w:p w:rsidRPr="00633EAB" w:rsidR="00E65FEA" w:rsidP="00E65FEA" w:rsidRDefault="00E65FEA" w14:paraId="0F537E1A" w14:textId="67099F0C">
      <w:pPr>
        <w:spacing w:after="0"/>
        <w:rPr>
          <w:rFonts w:ascii="Verdana" w:hAnsi="Verdana"/>
          <w:sz w:val="18"/>
          <w:szCs w:val="18"/>
        </w:rPr>
      </w:pPr>
      <w:r w:rsidRPr="00633EAB">
        <w:rPr>
          <w:rFonts w:ascii="Verdana" w:hAnsi="Verdana"/>
          <w:sz w:val="18"/>
          <w:szCs w:val="18"/>
        </w:rPr>
        <w:t>Bent u van mening dat het zorgelijk is voor het aantrekken van kapitaal dat er tot voor kort maar een enkel </w:t>
      </w:r>
      <w:proofErr w:type="spellStart"/>
      <w:r w:rsidRPr="00633EAB">
        <w:rPr>
          <w:rFonts w:ascii="Verdana" w:hAnsi="Verdana"/>
          <w:sz w:val="18"/>
          <w:szCs w:val="18"/>
        </w:rPr>
        <w:t>closed</w:t>
      </w:r>
      <w:proofErr w:type="spellEnd"/>
      <w:r w:rsidRPr="00633EAB">
        <w:rPr>
          <w:rFonts w:ascii="Verdana" w:hAnsi="Verdana"/>
          <w:sz w:val="18"/>
          <w:szCs w:val="18"/>
        </w:rPr>
        <w:t>-end</w:t>
      </w:r>
      <w:r w:rsidRPr="00633EAB" w:rsidR="00497DA7">
        <w:rPr>
          <w:rFonts w:ascii="Verdana" w:hAnsi="Verdana"/>
          <w:sz w:val="18"/>
          <w:szCs w:val="18"/>
        </w:rPr>
        <w:t xml:space="preserve"> </w:t>
      </w:r>
      <w:r w:rsidRPr="00633EAB">
        <w:rPr>
          <w:rFonts w:ascii="Verdana" w:hAnsi="Verdana"/>
          <w:sz w:val="18"/>
          <w:szCs w:val="18"/>
        </w:rPr>
        <w:t>beleggingsfonds aangesloten was bij de Amsterdamse beurs? Zo nee, waarom niet?</w:t>
      </w:r>
      <w:r w:rsidRPr="00633EAB">
        <w:rPr>
          <w:rFonts w:ascii="Verdana" w:hAnsi="Verdana"/>
          <w:sz w:val="18"/>
          <w:szCs w:val="18"/>
        </w:rPr>
        <w:br/>
      </w:r>
    </w:p>
    <w:p w:rsidRPr="00633EAB" w:rsidR="00E65FEA" w:rsidP="00E65FEA" w:rsidRDefault="00E65FEA" w14:paraId="111975B4" w14:textId="6F9EEF38">
      <w:pPr>
        <w:spacing w:after="0"/>
        <w:rPr>
          <w:rFonts w:ascii="Verdana" w:hAnsi="Verdana"/>
          <w:b/>
          <w:bCs/>
          <w:sz w:val="18"/>
          <w:szCs w:val="18"/>
        </w:rPr>
      </w:pPr>
      <w:r w:rsidRPr="00633EAB">
        <w:rPr>
          <w:rFonts w:ascii="Verdana" w:hAnsi="Verdana"/>
          <w:b/>
          <w:bCs/>
          <w:sz w:val="18"/>
          <w:szCs w:val="18"/>
        </w:rPr>
        <w:t>Antwoord</w:t>
      </w:r>
      <w:r w:rsidRPr="00633EAB" w:rsidR="00CF0407">
        <w:rPr>
          <w:rFonts w:ascii="Verdana" w:hAnsi="Verdana"/>
          <w:b/>
          <w:bCs/>
          <w:sz w:val="18"/>
          <w:szCs w:val="18"/>
        </w:rPr>
        <w:t xml:space="preserve"> vraag 6 en 7</w:t>
      </w:r>
    </w:p>
    <w:p w:rsidRPr="00633EAB" w:rsidR="00E65FEA" w:rsidP="00E65FEA" w:rsidRDefault="00535277" w14:paraId="18C52E18" w14:textId="77277CCD">
      <w:pPr>
        <w:spacing w:after="0"/>
        <w:rPr>
          <w:rFonts w:ascii="Verdana" w:hAnsi="Verdana"/>
          <w:sz w:val="18"/>
          <w:szCs w:val="18"/>
        </w:rPr>
      </w:pPr>
      <w:r>
        <w:rPr>
          <w:rFonts w:ascii="Verdana" w:hAnsi="Verdana"/>
          <w:sz w:val="18"/>
          <w:szCs w:val="18"/>
        </w:rPr>
        <w:t xml:space="preserve">Euronext consulteert momenteel een </w:t>
      </w:r>
      <w:r w:rsidRPr="00633EAB" w:rsidR="00E65FEA">
        <w:rPr>
          <w:rFonts w:ascii="Verdana" w:hAnsi="Verdana"/>
          <w:sz w:val="18"/>
          <w:szCs w:val="18"/>
        </w:rPr>
        <w:t>voorgenomen aanpassing van de beursregels van Euronext Amsterdam</w:t>
      </w:r>
      <w:r>
        <w:rPr>
          <w:rFonts w:ascii="Verdana" w:hAnsi="Verdana"/>
          <w:sz w:val="18"/>
          <w:szCs w:val="18"/>
        </w:rPr>
        <w:t>. A</w:t>
      </w:r>
      <w:r w:rsidRPr="00633EAB">
        <w:rPr>
          <w:rFonts w:ascii="Verdana" w:hAnsi="Verdana"/>
          <w:sz w:val="18"/>
          <w:szCs w:val="18"/>
        </w:rPr>
        <w:t xml:space="preserve">ls minister van Financiën </w:t>
      </w:r>
      <w:r>
        <w:rPr>
          <w:rFonts w:ascii="Verdana" w:hAnsi="Verdana"/>
          <w:sz w:val="18"/>
          <w:szCs w:val="18"/>
        </w:rPr>
        <w:t xml:space="preserve">heb ik daar </w:t>
      </w:r>
      <w:r w:rsidRPr="00633EAB">
        <w:rPr>
          <w:rFonts w:ascii="Verdana" w:hAnsi="Verdana"/>
          <w:sz w:val="18"/>
          <w:szCs w:val="18"/>
        </w:rPr>
        <w:t xml:space="preserve">geen directe rol bij, het betreft </w:t>
      </w:r>
      <w:r w:rsidR="00B922CA">
        <w:rPr>
          <w:rFonts w:ascii="Verdana" w:hAnsi="Verdana"/>
          <w:sz w:val="18"/>
          <w:szCs w:val="18"/>
        </w:rPr>
        <w:t xml:space="preserve">keuzes </w:t>
      </w:r>
      <w:r w:rsidRPr="00633EAB">
        <w:rPr>
          <w:rFonts w:ascii="Verdana" w:hAnsi="Verdana"/>
          <w:sz w:val="18"/>
          <w:szCs w:val="18"/>
        </w:rPr>
        <w:t>van Euronext</w:t>
      </w:r>
      <w:r w:rsidR="00B922CA">
        <w:rPr>
          <w:rFonts w:ascii="Verdana" w:hAnsi="Verdana"/>
          <w:sz w:val="18"/>
          <w:szCs w:val="18"/>
        </w:rPr>
        <w:t xml:space="preserve"> als bedrijf</w:t>
      </w:r>
      <w:r>
        <w:rPr>
          <w:rFonts w:ascii="Verdana" w:hAnsi="Verdana"/>
          <w:sz w:val="18"/>
          <w:szCs w:val="18"/>
        </w:rPr>
        <w:t xml:space="preserve">. Deze aanpassing </w:t>
      </w:r>
      <w:r w:rsidRPr="00633EAB" w:rsidR="00E65FEA">
        <w:rPr>
          <w:rFonts w:ascii="Verdana" w:hAnsi="Verdana"/>
          <w:sz w:val="18"/>
          <w:szCs w:val="18"/>
        </w:rPr>
        <w:lastRenderedPageBreak/>
        <w:t xml:space="preserve">ziet </w:t>
      </w:r>
      <w:r w:rsidRPr="00633EAB" w:rsidR="00CF0407">
        <w:rPr>
          <w:rFonts w:ascii="Verdana" w:hAnsi="Verdana"/>
          <w:sz w:val="18"/>
          <w:szCs w:val="18"/>
        </w:rPr>
        <w:t xml:space="preserve">onder meer </w:t>
      </w:r>
      <w:r w:rsidRPr="00633EAB" w:rsidR="00E65FEA">
        <w:rPr>
          <w:rFonts w:ascii="Verdana" w:hAnsi="Verdana"/>
          <w:sz w:val="18"/>
          <w:szCs w:val="18"/>
        </w:rPr>
        <w:t xml:space="preserve">op inclusie van </w:t>
      </w:r>
      <w:r w:rsidRPr="00633EAB" w:rsidR="006B220D">
        <w:rPr>
          <w:rFonts w:ascii="Verdana" w:hAnsi="Verdana"/>
          <w:sz w:val="18"/>
          <w:szCs w:val="18"/>
        </w:rPr>
        <w:t xml:space="preserve">beursgenoteerde </w:t>
      </w:r>
      <w:proofErr w:type="spellStart"/>
      <w:r w:rsidRPr="00633EAB" w:rsidR="00E65FEA">
        <w:rPr>
          <w:rFonts w:ascii="Verdana" w:hAnsi="Verdana"/>
          <w:i/>
          <w:iCs/>
          <w:sz w:val="18"/>
          <w:szCs w:val="18"/>
        </w:rPr>
        <w:t>closed</w:t>
      </w:r>
      <w:proofErr w:type="spellEnd"/>
      <w:r w:rsidRPr="00633EAB" w:rsidR="00E65FEA">
        <w:rPr>
          <w:rFonts w:ascii="Verdana" w:hAnsi="Verdana"/>
          <w:i/>
          <w:iCs/>
          <w:sz w:val="18"/>
          <w:szCs w:val="18"/>
        </w:rPr>
        <w:t>-end</w:t>
      </w:r>
      <w:r w:rsidRPr="00633EAB" w:rsidR="00E65FEA">
        <w:rPr>
          <w:rFonts w:ascii="Verdana" w:hAnsi="Verdana"/>
          <w:sz w:val="18"/>
          <w:szCs w:val="18"/>
        </w:rPr>
        <w:t xml:space="preserve"> beleggingsfondsen in de AEX-index.</w:t>
      </w:r>
      <w:r w:rsidRPr="00633EAB" w:rsidR="006876AE">
        <w:rPr>
          <w:rStyle w:val="Voetnootmarkering"/>
          <w:rFonts w:ascii="Verdana" w:hAnsi="Verdana"/>
          <w:sz w:val="18"/>
          <w:szCs w:val="18"/>
        </w:rPr>
        <w:footnoteReference w:id="4"/>
      </w:r>
      <w:r w:rsidRPr="00633EAB" w:rsidR="00E65FEA">
        <w:rPr>
          <w:rFonts w:ascii="Verdana" w:hAnsi="Verdana"/>
          <w:sz w:val="18"/>
          <w:szCs w:val="18"/>
        </w:rPr>
        <w:t xml:space="preserve"> D</w:t>
      </w:r>
      <w:r w:rsidRPr="00633EAB" w:rsidR="00786682">
        <w:rPr>
          <w:rFonts w:ascii="Verdana" w:hAnsi="Verdana"/>
          <w:sz w:val="18"/>
          <w:szCs w:val="18"/>
        </w:rPr>
        <w:t>at deze fondsen op dit moment niet in de AEX-index opgenomen kunnen worden,</w:t>
      </w:r>
      <w:r w:rsidRPr="00633EAB" w:rsidR="00E65FEA">
        <w:rPr>
          <w:rFonts w:ascii="Verdana" w:hAnsi="Verdana"/>
          <w:sz w:val="18"/>
          <w:szCs w:val="18"/>
        </w:rPr>
        <w:t xml:space="preserve"> betekent niet dat dergelijke fondsen thans geen toegang hebben tot Euronext Amsterdam. </w:t>
      </w:r>
      <w:r w:rsidR="00541B8B">
        <w:rPr>
          <w:rFonts w:ascii="Verdana" w:hAnsi="Verdana"/>
          <w:sz w:val="18"/>
          <w:szCs w:val="18"/>
        </w:rPr>
        <w:t xml:space="preserve">Er zijn reeds meerdere van deze fondsen aangesloten bij de Amsterdamse beurs. </w:t>
      </w:r>
      <w:r w:rsidRPr="00633EAB" w:rsidR="00E65FEA">
        <w:rPr>
          <w:rFonts w:ascii="Verdana" w:hAnsi="Verdana"/>
          <w:sz w:val="18"/>
          <w:szCs w:val="18"/>
        </w:rPr>
        <w:t xml:space="preserve">Beheerders van </w:t>
      </w:r>
      <w:proofErr w:type="spellStart"/>
      <w:r w:rsidRPr="00633EAB" w:rsidR="00E65FEA">
        <w:rPr>
          <w:rFonts w:ascii="Verdana" w:hAnsi="Verdana"/>
          <w:sz w:val="18"/>
          <w:szCs w:val="18"/>
        </w:rPr>
        <w:t>closed</w:t>
      </w:r>
      <w:proofErr w:type="spellEnd"/>
      <w:r w:rsidRPr="00633EAB" w:rsidR="00E65FEA">
        <w:rPr>
          <w:rFonts w:ascii="Verdana" w:hAnsi="Verdana"/>
          <w:sz w:val="18"/>
          <w:szCs w:val="18"/>
        </w:rPr>
        <w:t>-end beleggingsfondsen kunnen momenteel al als lid of deelnemer handelen op Euronext Amsterdam in aandelen en andere financiële instrumenten. Kapitaal van deze fondsen kan dus al productief ing</w:t>
      </w:r>
      <w:r w:rsidRPr="00633EAB" w:rsidR="00782F41">
        <w:rPr>
          <w:rFonts w:ascii="Verdana" w:hAnsi="Verdana"/>
          <w:sz w:val="18"/>
          <w:szCs w:val="18"/>
        </w:rPr>
        <w:t>ez</w:t>
      </w:r>
      <w:r w:rsidRPr="00633EAB" w:rsidR="00E65FEA">
        <w:rPr>
          <w:rFonts w:ascii="Verdana" w:hAnsi="Verdana"/>
          <w:sz w:val="18"/>
          <w:szCs w:val="18"/>
        </w:rPr>
        <w:t>et worden</w:t>
      </w:r>
      <w:r w:rsidRPr="00633EAB" w:rsidR="00782F41">
        <w:rPr>
          <w:rFonts w:ascii="Verdana" w:hAnsi="Verdana"/>
          <w:sz w:val="18"/>
          <w:szCs w:val="18"/>
        </w:rPr>
        <w:t xml:space="preserve"> op de Amsterdamse beurs</w:t>
      </w:r>
      <w:r w:rsidRPr="00633EAB" w:rsidR="006B220D">
        <w:rPr>
          <w:rFonts w:ascii="Verdana" w:hAnsi="Verdana"/>
          <w:sz w:val="18"/>
          <w:szCs w:val="18"/>
        </w:rPr>
        <w:t>, als deze fondsen beleggen in aandelen van andere daar genoteerde bedrijven</w:t>
      </w:r>
      <w:r w:rsidRPr="00633EAB" w:rsidR="00782F41">
        <w:rPr>
          <w:rFonts w:ascii="Verdana" w:hAnsi="Verdana"/>
          <w:sz w:val="18"/>
          <w:szCs w:val="18"/>
        </w:rPr>
        <w:t>.</w:t>
      </w:r>
      <w:r w:rsidRPr="00633EAB" w:rsidR="00421309">
        <w:rPr>
          <w:rFonts w:ascii="Verdana" w:hAnsi="Verdana"/>
          <w:sz w:val="18"/>
          <w:szCs w:val="18"/>
        </w:rPr>
        <w:t xml:space="preserve"> </w:t>
      </w:r>
      <w:r w:rsidRPr="00633EAB" w:rsidR="0050334E">
        <w:rPr>
          <w:rFonts w:ascii="Verdana" w:hAnsi="Verdana"/>
          <w:sz w:val="18"/>
          <w:szCs w:val="18"/>
        </w:rPr>
        <w:t xml:space="preserve">Ook kunnen </w:t>
      </w:r>
      <w:r w:rsidRPr="00633EAB" w:rsidR="00786682">
        <w:rPr>
          <w:rFonts w:ascii="Verdana" w:hAnsi="Verdana"/>
          <w:sz w:val="18"/>
          <w:szCs w:val="18"/>
        </w:rPr>
        <w:t>(</w:t>
      </w:r>
      <w:proofErr w:type="spellStart"/>
      <w:r w:rsidRPr="00633EAB" w:rsidR="0050334E">
        <w:rPr>
          <w:rFonts w:ascii="Verdana" w:hAnsi="Verdana"/>
          <w:sz w:val="18"/>
          <w:szCs w:val="18"/>
        </w:rPr>
        <w:t>closed</w:t>
      </w:r>
      <w:proofErr w:type="spellEnd"/>
      <w:r w:rsidRPr="00633EAB" w:rsidR="0050334E">
        <w:rPr>
          <w:rFonts w:ascii="Verdana" w:hAnsi="Verdana"/>
          <w:sz w:val="18"/>
          <w:szCs w:val="18"/>
        </w:rPr>
        <w:t>-end</w:t>
      </w:r>
      <w:r w:rsidRPr="00633EAB" w:rsidR="00786682">
        <w:rPr>
          <w:rFonts w:ascii="Verdana" w:hAnsi="Verdana"/>
          <w:sz w:val="18"/>
          <w:szCs w:val="18"/>
        </w:rPr>
        <w:t>)</w:t>
      </w:r>
      <w:r w:rsidRPr="00633EAB" w:rsidR="0050334E">
        <w:rPr>
          <w:rFonts w:ascii="Verdana" w:hAnsi="Verdana"/>
          <w:sz w:val="18"/>
          <w:szCs w:val="18"/>
        </w:rPr>
        <w:t xml:space="preserve"> beleggingsfondsen</w:t>
      </w:r>
      <w:r w:rsidRPr="00633EAB" w:rsidR="00786682">
        <w:rPr>
          <w:rFonts w:ascii="Verdana" w:hAnsi="Verdana"/>
          <w:sz w:val="18"/>
          <w:szCs w:val="18"/>
        </w:rPr>
        <w:t>, of de beheerder van een fonds,</w:t>
      </w:r>
      <w:r w:rsidRPr="00633EAB" w:rsidR="0050334E">
        <w:rPr>
          <w:rFonts w:ascii="Verdana" w:hAnsi="Verdana"/>
          <w:sz w:val="18"/>
          <w:szCs w:val="18"/>
        </w:rPr>
        <w:t xml:space="preserve"> </w:t>
      </w:r>
      <w:r w:rsidRPr="00633EAB" w:rsidR="00786682">
        <w:rPr>
          <w:rFonts w:ascii="Verdana" w:hAnsi="Verdana"/>
          <w:sz w:val="18"/>
          <w:szCs w:val="18"/>
        </w:rPr>
        <w:t>worden ge</w:t>
      </w:r>
      <w:r w:rsidRPr="00633EAB" w:rsidR="0050334E">
        <w:rPr>
          <w:rFonts w:ascii="Verdana" w:hAnsi="Verdana"/>
          <w:sz w:val="18"/>
          <w:szCs w:val="18"/>
        </w:rPr>
        <w:t>note</w:t>
      </w:r>
      <w:r w:rsidRPr="00633EAB" w:rsidR="00786682">
        <w:rPr>
          <w:rFonts w:ascii="Verdana" w:hAnsi="Verdana"/>
          <w:sz w:val="18"/>
          <w:szCs w:val="18"/>
        </w:rPr>
        <w:t>erd</w:t>
      </w:r>
      <w:r w:rsidRPr="00633EAB" w:rsidR="0050334E">
        <w:rPr>
          <w:rFonts w:ascii="Verdana" w:hAnsi="Verdana"/>
          <w:sz w:val="18"/>
          <w:szCs w:val="18"/>
        </w:rPr>
        <w:t xml:space="preserve"> op Euronext Amsterdam</w:t>
      </w:r>
      <w:r w:rsidRPr="00633EAB" w:rsidR="00786682">
        <w:rPr>
          <w:rFonts w:ascii="Verdana" w:hAnsi="Verdana"/>
          <w:sz w:val="18"/>
          <w:szCs w:val="18"/>
        </w:rPr>
        <w:t>. Als een beleggingsfonds genoteerd wordt, dan worden de deelnemingsrechten (aandelen) van dat fonds verhandelbaar op de beurs</w:t>
      </w:r>
      <w:r w:rsidRPr="00633EAB" w:rsidR="0050334E">
        <w:rPr>
          <w:rFonts w:ascii="Verdana" w:hAnsi="Verdana"/>
          <w:sz w:val="18"/>
          <w:szCs w:val="18"/>
        </w:rPr>
        <w:t xml:space="preserve">. </w:t>
      </w:r>
      <w:r w:rsidR="00252273">
        <w:rPr>
          <w:rFonts w:ascii="Verdana" w:hAnsi="Verdana"/>
          <w:sz w:val="18"/>
          <w:szCs w:val="18"/>
        </w:rPr>
        <w:t xml:space="preserve">Over de toegang van beleggingsfondsen – en van het kapitaal dat zij beheren – tot de Amsterdamse beurs, heb ik dus geen zorgen. </w:t>
      </w:r>
      <w:r w:rsidRPr="00633EAB" w:rsidR="00786682">
        <w:rPr>
          <w:rFonts w:ascii="Verdana" w:hAnsi="Verdana"/>
          <w:sz w:val="18"/>
          <w:szCs w:val="18"/>
        </w:rPr>
        <w:t>Zoals gezegd, h</w:t>
      </w:r>
      <w:r w:rsidRPr="00633EAB" w:rsidR="0050334E">
        <w:rPr>
          <w:rFonts w:ascii="Verdana" w:hAnsi="Verdana"/>
          <w:sz w:val="18"/>
          <w:szCs w:val="18"/>
        </w:rPr>
        <w:t xml:space="preserve">et </w:t>
      </w:r>
      <w:r w:rsidRPr="00633EAB" w:rsidR="00786682">
        <w:rPr>
          <w:rFonts w:ascii="Verdana" w:hAnsi="Verdana"/>
          <w:sz w:val="18"/>
          <w:szCs w:val="18"/>
        </w:rPr>
        <w:t>is nu</w:t>
      </w:r>
      <w:r w:rsidRPr="00633EAB" w:rsidR="0050334E">
        <w:rPr>
          <w:rFonts w:ascii="Verdana" w:hAnsi="Verdana"/>
          <w:sz w:val="18"/>
          <w:szCs w:val="18"/>
        </w:rPr>
        <w:t xml:space="preserve"> nog niet mogelijk om als beursgenoteerd </w:t>
      </w:r>
      <w:r w:rsidRPr="00633EAB" w:rsidR="00786682">
        <w:rPr>
          <w:rFonts w:ascii="Verdana" w:hAnsi="Verdana"/>
          <w:sz w:val="18"/>
          <w:szCs w:val="18"/>
        </w:rPr>
        <w:t>beleggings</w:t>
      </w:r>
      <w:r w:rsidRPr="00633EAB" w:rsidR="0050334E">
        <w:rPr>
          <w:rFonts w:ascii="Verdana" w:hAnsi="Verdana"/>
          <w:sz w:val="18"/>
          <w:szCs w:val="18"/>
        </w:rPr>
        <w:t xml:space="preserve">fonds opgenomen te worden in de AEX-index. </w:t>
      </w:r>
      <w:r w:rsidRPr="00633EAB" w:rsidR="006B220D">
        <w:rPr>
          <w:rFonts w:ascii="Verdana" w:hAnsi="Verdana"/>
          <w:sz w:val="18"/>
          <w:szCs w:val="18"/>
        </w:rPr>
        <w:t>Een v</w:t>
      </w:r>
      <w:r w:rsidRPr="00633EAB" w:rsidR="00421309">
        <w:rPr>
          <w:rFonts w:ascii="Verdana" w:hAnsi="Verdana"/>
          <w:sz w:val="18"/>
          <w:szCs w:val="18"/>
        </w:rPr>
        <w:t xml:space="preserve">oordeel van inclusie in </w:t>
      </w:r>
      <w:r w:rsidRPr="00633EAB" w:rsidR="0050334E">
        <w:rPr>
          <w:rFonts w:ascii="Verdana" w:hAnsi="Verdana"/>
          <w:sz w:val="18"/>
          <w:szCs w:val="18"/>
        </w:rPr>
        <w:t xml:space="preserve">een </w:t>
      </w:r>
      <w:r w:rsidRPr="00633EAB" w:rsidR="00421309">
        <w:rPr>
          <w:rFonts w:ascii="Verdana" w:hAnsi="Verdana"/>
          <w:sz w:val="18"/>
          <w:szCs w:val="18"/>
        </w:rPr>
        <w:t>index is dat beleggers die</w:t>
      </w:r>
      <w:r w:rsidR="00252273">
        <w:rPr>
          <w:rFonts w:ascii="Verdana" w:hAnsi="Verdana"/>
          <w:sz w:val="18"/>
          <w:szCs w:val="18"/>
        </w:rPr>
        <w:t xml:space="preserve"> (passief)</w:t>
      </w:r>
      <w:r w:rsidRPr="00633EAB" w:rsidR="00421309">
        <w:rPr>
          <w:rFonts w:ascii="Verdana" w:hAnsi="Verdana"/>
          <w:sz w:val="18"/>
          <w:szCs w:val="18"/>
        </w:rPr>
        <w:t xml:space="preserve"> in de AEX-index beleggen</w:t>
      </w:r>
      <w:r w:rsidRPr="00633EAB" w:rsidR="0050334E">
        <w:rPr>
          <w:rFonts w:ascii="Verdana" w:hAnsi="Verdana"/>
          <w:sz w:val="18"/>
          <w:szCs w:val="18"/>
        </w:rPr>
        <w:t>, automatisch ook in de aandelen van het fonds</w:t>
      </w:r>
      <w:r w:rsidRPr="00633EAB" w:rsidR="00786682">
        <w:rPr>
          <w:rFonts w:ascii="Verdana" w:hAnsi="Verdana"/>
          <w:sz w:val="18"/>
          <w:szCs w:val="18"/>
        </w:rPr>
        <w:t xml:space="preserve"> </w:t>
      </w:r>
      <w:r w:rsidRPr="00633EAB" w:rsidR="0050334E">
        <w:rPr>
          <w:rFonts w:ascii="Verdana" w:hAnsi="Verdana"/>
          <w:sz w:val="18"/>
          <w:szCs w:val="18"/>
        </w:rPr>
        <w:t>beleggen</w:t>
      </w:r>
      <w:r w:rsidRPr="00633EAB" w:rsidR="00421309">
        <w:rPr>
          <w:rFonts w:ascii="Verdana" w:hAnsi="Verdana"/>
          <w:sz w:val="18"/>
          <w:szCs w:val="18"/>
        </w:rPr>
        <w:t>.</w:t>
      </w:r>
    </w:p>
    <w:p w:rsidRPr="00633EAB" w:rsidR="00E65FEA" w:rsidP="00E65FEA" w:rsidRDefault="00E65FEA" w14:paraId="5F860EEE" w14:textId="77777777">
      <w:pPr>
        <w:spacing w:after="0"/>
        <w:rPr>
          <w:rFonts w:ascii="Verdana" w:hAnsi="Verdana"/>
          <w:sz w:val="18"/>
          <w:szCs w:val="18"/>
        </w:rPr>
      </w:pPr>
    </w:p>
    <w:p w:rsidRPr="00633EAB" w:rsidR="00E65FEA" w:rsidP="00E65FEA" w:rsidRDefault="00E65FEA" w14:paraId="559F815A" w14:textId="27A59392">
      <w:pPr>
        <w:spacing w:after="0"/>
        <w:rPr>
          <w:rFonts w:ascii="Verdana" w:hAnsi="Verdana"/>
          <w:b/>
          <w:bCs/>
          <w:sz w:val="18"/>
          <w:szCs w:val="18"/>
        </w:rPr>
      </w:pPr>
      <w:r w:rsidRPr="00633EAB">
        <w:rPr>
          <w:rFonts w:ascii="Verdana" w:hAnsi="Verdana"/>
          <w:b/>
          <w:bCs/>
          <w:sz w:val="18"/>
          <w:szCs w:val="18"/>
        </w:rPr>
        <w:t>Vraag 8</w:t>
      </w:r>
    </w:p>
    <w:p w:rsidRPr="00633EAB" w:rsidR="00E65FEA" w:rsidP="00E65FEA" w:rsidRDefault="00E65FEA" w14:paraId="19737964" w14:textId="77777777">
      <w:pPr>
        <w:spacing w:after="0"/>
        <w:rPr>
          <w:rFonts w:ascii="Verdana" w:hAnsi="Verdana"/>
          <w:sz w:val="18"/>
          <w:szCs w:val="18"/>
        </w:rPr>
      </w:pPr>
      <w:r w:rsidRPr="00633EAB">
        <w:rPr>
          <w:rFonts w:ascii="Verdana" w:hAnsi="Verdana"/>
          <w:sz w:val="18"/>
          <w:szCs w:val="18"/>
        </w:rPr>
        <w:t>Bent u het ermee eens dat de uitbreiding van de ETF-handel op de Amsterdamse beurs ervoor zorgt dat Nederlandse beleggers meer ruimte hebben om in Nederlandse bedrijven te investeren? Zo nee, waarom niet?</w:t>
      </w:r>
      <w:r w:rsidRPr="00633EAB">
        <w:rPr>
          <w:rFonts w:ascii="Verdana" w:hAnsi="Verdana"/>
          <w:sz w:val="18"/>
          <w:szCs w:val="18"/>
        </w:rPr>
        <w:br/>
      </w:r>
    </w:p>
    <w:p w:rsidRPr="00633EAB" w:rsidR="00E65FEA" w:rsidP="00E65FEA" w:rsidRDefault="00E65FEA" w14:paraId="7E049E82" w14:textId="77777777">
      <w:pPr>
        <w:spacing w:after="0"/>
        <w:rPr>
          <w:rFonts w:ascii="Verdana" w:hAnsi="Verdana"/>
          <w:b/>
          <w:bCs/>
          <w:sz w:val="18"/>
          <w:szCs w:val="18"/>
        </w:rPr>
      </w:pPr>
      <w:r w:rsidRPr="00633EAB">
        <w:rPr>
          <w:rFonts w:ascii="Verdana" w:hAnsi="Verdana"/>
          <w:b/>
          <w:bCs/>
          <w:sz w:val="18"/>
          <w:szCs w:val="18"/>
        </w:rPr>
        <w:t>Antwoord</w:t>
      </w:r>
    </w:p>
    <w:p w:rsidRPr="00633EAB" w:rsidR="00E65FEA" w:rsidP="00E65FEA" w:rsidRDefault="00252273" w14:paraId="1241CF60" w14:textId="1C4E5320">
      <w:pPr>
        <w:spacing w:after="0"/>
        <w:rPr>
          <w:rFonts w:ascii="Verdana" w:hAnsi="Verdana"/>
          <w:sz w:val="18"/>
          <w:szCs w:val="18"/>
        </w:rPr>
      </w:pPr>
      <w:r>
        <w:rPr>
          <w:rFonts w:ascii="Verdana" w:hAnsi="Verdana"/>
          <w:sz w:val="18"/>
          <w:szCs w:val="18"/>
        </w:rPr>
        <w:t xml:space="preserve">Dit zou een effect kunnen zijn, al betekent de voorgenomen concentratie van de ETF-handel bij Euronext Amsterdam ook dat in </w:t>
      </w:r>
      <w:proofErr w:type="spellStart"/>
      <w:r>
        <w:rPr>
          <w:rFonts w:ascii="Verdana" w:hAnsi="Verdana"/>
          <w:sz w:val="18"/>
          <w:szCs w:val="18"/>
        </w:rPr>
        <w:t>ETFs</w:t>
      </w:r>
      <w:proofErr w:type="spellEnd"/>
      <w:r>
        <w:rPr>
          <w:rFonts w:ascii="Verdana" w:hAnsi="Verdana"/>
          <w:sz w:val="18"/>
          <w:szCs w:val="18"/>
        </w:rPr>
        <w:t xml:space="preserve"> belegd kan worden met aandelen van bedrijven die op andere (Europese) beurzen genoteerd zijn. </w:t>
      </w:r>
      <w:r w:rsidR="00541B8B">
        <w:rPr>
          <w:rFonts w:ascii="Verdana" w:hAnsi="Verdana"/>
          <w:sz w:val="18"/>
          <w:szCs w:val="18"/>
        </w:rPr>
        <w:t xml:space="preserve">Naast meer handel in </w:t>
      </w:r>
      <w:proofErr w:type="spellStart"/>
      <w:r w:rsidR="00541B8B">
        <w:rPr>
          <w:rFonts w:ascii="Verdana" w:hAnsi="Verdana"/>
          <w:sz w:val="18"/>
          <w:szCs w:val="18"/>
        </w:rPr>
        <w:t>ETFs</w:t>
      </w:r>
      <w:proofErr w:type="spellEnd"/>
      <w:r w:rsidR="00541B8B">
        <w:rPr>
          <w:rFonts w:ascii="Verdana" w:hAnsi="Verdana"/>
          <w:sz w:val="18"/>
          <w:szCs w:val="18"/>
        </w:rPr>
        <w:t xml:space="preserve"> is dus o</w:t>
      </w:r>
      <w:r>
        <w:rPr>
          <w:rFonts w:ascii="Verdana" w:hAnsi="Verdana"/>
          <w:sz w:val="18"/>
          <w:szCs w:val="18"/>
        </w:rPr>
        <w:t>ok van belang dat</w:t>
      </w:r>
      <w:r w:rsidRPr="00633EAB" w:rsidR="00782F41">
        <w:rPr>
          <w:rFonts w:ascii="Verdana" w:hAnsi="Verdana"/>
          <w:sz w:val="18"/>
          <w:szCs w:val="18"/>
        </w:rPr>
        <w:t xml:space="preserve"> meer Nederlandse bedrijven ervoor kiezen om in Nederland naar de beurs te gaan</w:t>
      </w:r>
      <w:r w:rsidRPr="00633EAB" w:rsidR="00E6206E">
        <w:rPr>
          <w:rFonts w:ascii="Verdana" w:hAnsi="Verdana"/>
          <w:sz w:val="18"/>
          <w:szCs w:val="18"/>
        </w:rPr>
        <w:t>.</w:t>
      </w:r>
      <w:r w:rsidRPr="00633EAB" w:rsidR="00782F41">
        <w:rPr>
          <w:rFonts w:ascii="Verdana" w:hAnsi="Verdana"/>
          <w:sz w:val="18"/>
          <w:szCs w:val="18"/>
        </w:rPr>
        <w:t xml:space="preserve"> </w:t>
      </w:r>
      <w:r w:rsidRPr="00633EAB" w:rsidR="00E6206E">
        <w:rPr>
          <w:rFonts w:ascii="Verdana" w:hAnsi="Verdana"/>
          <w:sz w:val="18"/>
          <w:szCs w:val="18"/>
        </w:rPr>
        <w:t>Alleen dan kunnen</w:t>
      </w:r>
      <w:r w:rsidRPr="00633EAB" w:rsidR="00782F41">
        <w:rPr>
          <w:rFonts w:ascii="Verdana" w:hAnsi="Verdana"/>
          <w:sz w:val="18"/>
          <w:szCs w:val="18"/>
        </w:rPr>
        <w:t xml:space="preserve"> er </w:t>
      </w:r>
      <w:proofErr w:type="spellStart"/>
      <w:r w:rsidRPr="00633EAB" w:rsidR="00782F41">
        <w:rPr>
          <w:rFonts w:ascii="Verdana" w:hAnsi="Verdana"/>
          <w:sz w:val="18"/>
          <w:szCs w:val="18"/>
        </w:rPr>
        <w:t>ETF’s</w:t>
      </w:r>
      <w:proofErr w:type="spellEnd"/>
      <w:r w:rsidRPr="00633EAB" w:rsidR="00782F41">
        <w:rPr>
          <w:rFonts w:ascii="Verdana" w:hAnsi="Verdana"/>
          <w:sz w:val="18"/>
          <w:szCs w:val="18"/>
        </w:rPr>
        <w:t xml:space="preserve"> ontwikkeld worden waar aandelen van Nederlandse bedrijven onderdeel van uit maken.</w:t>
      </w:r>
    </w:p>
    <w:p w:rsidRPr="00633EAB" w:rsidR="00E65FEA" w:rsidP="00E65FEA" w:rsidRDefault="00E65FEA" w14:paraId="01BD49F4" w14:textId="77777777">
      <w:pPr>
        <w:spacing w:after="0"/>
        <w:rPr>
          <w:rFonts w:ascii="Verdana" w:hAnsi="Verdana"/>
          <w:sz w:val="18"/>
          <w:szCs w:val="18"/>
        </w:rPr>
      </w:pPr>
    </w:p>
    <w:p w:rsidRPr="00633EAB" w:rsidR="00E65FEA" w:rsidP="00E65FEA" w:rsidRDefault="00E65FEA" w14:paraId="63324C8F" w14:textId="3A71FB7D">
      <w:pPr>
        <w:spacing w:after="0"/>
        <w:rPr>
          <w:rFonts w:ascii="Verdana" w:hAnsi="Verdana"/>
          <w:b/>
          <w:bCs/>
          <w:sz w:val="18"/>
          <w:szCs w:val="18"/>
        </w:rPr>
      </w:pPr>
      <w:r w:rsidRPr="00633EAB">
        <w:rPr>
          <w:rFonts w:ascii="Verdana" w:hAnsi="Verdana"/>
          <w:b/>
          <w:bCs/>
          <w:sz w:val="18"/>
          <w:szCs w:val="18"/>
        </w:rPr>
        <w:t>Vraag 9</w:t>
      </w:r>
    </w:p>
    <w:p w:rsidRPr="00633EAB" w:rsidR="00E65FEA" w:rsidP="00E65FEA" w:rsidRDefault="00E65FEA" w14:paraId="4A79A574" w14:textId="77777777">
      <w:pPr>
        <w:spacing w:after="0"/>
        <w:rPr>
          <w:rFonts w:ascii="Verdana" w:hAnsi="Verdana"/>
          <w:sz w:val="18"/>
          <w:szCs w:val="18"/>
        </w:rPr>
      </w:pPr>
      <w:r w:rsidRPr="00633EAB">
        <w:rPr>
          <w:rFonts w:ascii="Verdana" w:hAnsi="Verdana"/>
          <w:sz w:val="18"/>
          <w:szCs w:val="18"/>
        </w:rPr>
        <w:t>Bent u van mening dat het aantrekken van privaat kapitaal ervoor zorgt dat er meer geld beschikbaar komt voor beursgenoteerde bedrijven op de Euronext beurs om te investeren en te concurreren met buitenlandse bedrijven?</w:t>
      </w:r>
      <w:r w:rsidRPr="00633EAB">
        <w:rPr>
          <w:rFonts w:ascii="Verdana" w:hAnsi="Verdana"/>
          <w:sz w:val="18"/>
          <w:szCs w:val="18"/>
        </w:rPr>
        <w:br/>
      </w:r>
    </w:p>
    <w:p w:rsidRPr="00633EAB" w:rsidR="00E65FEA" w:rsidP="00E65FEA" w:rsidRDefault="00E65FEA" w14:paraId="37CD40B0" w14:textId="77777777">
      <w:pPr>
        <w:spacing w:after="0"/>
        <w:rPr>
          <w:rFonts w:ascii="Verdana" w:hAnsi="Verdana"/>
          <w:b/>
          <w:bCs/>
          <w:sz w:val="18"/>
          <w:szCs w:val="18"/>
        </w:rPr>
      </w:pPr>
      <w:r w:rsidRPr="00633EAB">
        <w:rPr>
          <w:rFonts w:ascii="Verdana" w:hAnsi="Verdana"/>
          <w:b/>
          <w:bCs/>
          <w:sz w:val="18"/>
          <w:szCs w:val="18"/>
        </w:rPr>
        <w:t>Antwoord</w:t>
      </w:r>
    </w:p>
    <w:p w:rsidRPr="00633EAB" w:rsidR="00E65FEA" w:rsidP="00E65FEA" w:rsidRDefault="00E65FEA" w14:paraId="583768D7" w14:textId="77777777">
      <w:pPr>
        <w:spacing w:after="0"/>
        <w:rPr>
          <w:rFonts w:ascii="Verdana" w:hAnsi="Verdana"/>
          <w:sz w:val="18"/>
          <w:szCs w:val="18"/>
        </w:rPr>
      </w:pPr>
      <w:r w:rsidRPr="00633EAB">
        <w:rPr>
          <w:rFonts w:ascii="Verdana" w:hAnsi="Verdana"/>
          <w:sz w:val="18"/>
          <w:szCs w:val="18"/>
        </w:rPr>
        <w:t>Ja.</w:t>
      </w:r>
    </w:p>
    <w:p w:rsidRPr="00633EAB" w:rsidR="00E65FEA" w:rsidP="00E65FEA" w:rsidRDefault="00E65FEA" w14:paraId="60BDF631" w14:textId="77777777">
      <w:pPr>
        <w:spacing w:after="0"/>
        <w:rPr>
          <w:rFonts w:ascii="Verdana" w:hAnsi="Verdana"/>
          <w:sz w:val="18"/>
          <w:szCs w:val="18"/>
        </w:rPr>
      </w:pPr>
    </w:p>
    <w:p w:rsidRPr="00633EAB" w:rsidR="00E65FEA" w:rsidP="00E65FEA" w:rsidRDefault="00E65FEA" w14:paraId="3A538B84" w14:textId="732A4C0D">
      <w:pPr>
        <w:spacing w:after="0"/>
        <w:rPr>
          <w:rFonts w:ascii="Verdana" w:hAnsi="Verdana"/>
          <w:b/>
          <w:bCs/>
          <w:sz w:val="18"/>
          <w:szCs w:val="18"/>
        </w:rPr>
      </w:pPr>
      <w:r w:rsidRPr="00633EAB">
        <w:rPr>
          <w:rFonts w:ascii="Verdana" w:hAnsi="Verdana"/>
          <w:b/>
          <w:bCs/>
          <w:sz w:val="18"/>
          <w:szCs w:val="18"/>
        </w:rPr>
        <w:t>Vraag 10</w:t>
      </w:r>
    </w:p>
    <w:p w:rsidRPr="00633EAB" w:rsidR="00E65FEA" w:rsidP="00E65FEA" w:rsidRDefault="00E65FEA" w14:paraId="1DC4D568" w14:textId="77777777">
      <w:pPr>
        <w:spacing w:after="0"/>
        <w:rPr>
          <w:rFonts w:ascii="Verdana" w:hAnsi="Verdana"/>
          <w:sz w:val="18"/>
          <w:szCs w:val="18"/>
        </w:rPr>
      </w:pPr>
      <w:r w:rsidRPr="00633EAB">
        <w:rPr>
          <w:rFonts w:ascii="Verdana" w:hAnsi="Verdana"/>
          <w:sz w:val="18"/>
          <w:szCs w:val="18"/>
        </w:rPr>
        <w:t>Bent u het ermee eens dat meer privaat kapitaal ervoor zal zorgen dat er meer financiële middelen en dus financiering beschikbaar komen voor Nederlandse bedrijven voor innovatie? Zo ja, wat kan u doen om dat te stimuleren?</w:t>
      </w:r>
      <w:r w:rsidRPr="00633EAB">
        <w:rPr>
          <w:rFonts w:ascii="Verdana" w:hAnsi="Verdana"/>
          <w:sz w:val="18"/>
          <w:szCs w:val="18"/>
        </w:rPr>
        <w:br/>
      </w:r>
    </w:p>
    <w:p w:rsidR="00541B8B" w:rsidRDefault="00541B8B" w14:paraId="31991BEE" w14:textId="77777777">
      <w:pPr>
        <w:rPr>
          <w:rFonts w:ascii="Verdana" w:hAnsi="Verdana"/>
          <w:b/>
          <w:bCs/>
          <w:sz w:val="18"/>
          <w:szCs w:val="18"/>
        </w:rPr>
      </w:pPr>
      <w:r>
        <w:rPr>
          <w:rFonts w:ascii="Verdana" w:hAnsi="Verdana"/>
          <w:b/>
          <w:bCs/>
          <w:sz w:val="18"/>
          <w:szCs w:val="18"/>
        </w:rPr>
        <w:br w:type="page"/>
      </w:r>
    </w:p>
    <w:p w:rsidRPr="00633EAB" w:rsidR="00E65FEA" w:rsidP="00E65FEA" w:rsidRDefault="00E65FEA" w14:paraId="233BB80C" w14:textId="12B129B1">
      <w:pPr>
        <w:spacing w:after="0"/>
        <w:rPr>
          <w:rFonts w:ascii="Verdana" w:hAnsi="Verdana"/>
          <w:b/>
          <w:bCs/>
          <w:sz w:val="18"/>
          <w:szCs w:val="18"/>
        </w:rPr>
      </w:pPr>
      <w:r w:rsidRPr="00633EAB">
        <w:rPr>
          <w:rFonts w:ascii="Verdana" w:hAnsi="Verdana"/>
          <w:b/>
          <w:bCs/>
          <w:sz w:val="18"/>
          <w:szCs w:val="18"/>
        </w:rPr>
        <w:lastRenderedPageBreak/>
        <w:t>Antwoord</w:t>
      </w:r>
    </w:p>
    <w:p w:rsidRPr="00633EAB" w:rsidR="00E65FEA" w:rsidP="00E65FEA" w:rsidRDefault="00E65FEA" w14:paraId="45105FDA" w14:textId="233CC17B">
      <w:pPr>
        <w:spacing w:after="0"/>
        <w:rPr>
          <w:rFonts w:ascii="Verdana" w:hAnsi="Verdana"/>
          <w:sz w:val="18"/>
          <w:szCs w:val="18"/>
        </w:rPr>
      </w:pPr>
      <w:r w:rsidRPr="00633EAB">
        <w:rPr>
          <w:rFonts w:ascii="Verdana" w:hAnsi="Verdana"/>
          <w:sz w:val="18"/>
          <w:szCs w:val="18"/>
        </w:rPr>
        <w:t>Ja.</w:t>
      </w:r>
      <w:r w:rsidRPr="00633EAB" w:rsidR="00782F41">
        <w:rPr>
          <w:rFonts w:ascii="Verdana" w:hAnsi="Verdana"/>
          <w:sz w:val="18"/>
          <w:szCs w:val="18"/>
        </w:rPr>
        <w:t xml:space="preserve"> Hiervoor is versterking van de Europese kapitaalmarktunie van doorslaggevend belang. </w:t>
      </w:r>
      <w:r w:rsidRPr="00633EAB" w:rsidR="0098609A">
        <w:rPr>
          <w:rFonts w:ascii="Verdana" w:hAnsi="Verdana"/>
          <w:sz w:val="18"/>
          <w:szCs w:val="18"/>
        </w:rPr>
        <w:t xml:space="preserve">Nog dit kwartaal </w:t>
      </w:r>
      <w:r w:rsidRPr="00633EAB" w:rsidR="00782F41">
        <w:rPr>
          <w:rFonts w:ascii="Verdana" w:hAnsi="Verdana"/>
          <w:sz w:val="18"/>
          <w:szCs w:val="18"/>
        </w:rPr>
        <w:t xml:space="preserve">stuur ik uw Kamer </w:t>
      </w:r>
      <w:r w:rsidRPr="00633EAB" w:rsidR="0098609A">
        <w:rPr>
          <w:rFonts w:ascii="Verdana" w:hAnsi="Verdana"/>
          <w:sz w:val="18"/>
          <w:szCs w:val="18"/>
        </w:rPr>
        <w:t xml:space="preserve">een brief met </w:t>
      </w:r>
      <w:r w:rsidRPr="00633EAB" w:rsidR="00782F41">
        <w:rPr>
          <w:rFonts w:ascii="Verdana" w:hAnsi="Verdana"/>
          <w:sz w:val="18"/>
          <w:szCs w:val="18"/>
        </w:rPr>
        <w:t>de inzet van het kabinet hiervoor.</w:t>
      </w:r>
    </w:p>
    <w:p w:rsidRPr="00633EAB" w:rsidR="00E65FEA" w:rsidP="00E65FEA" w:rsidRDefault="00E65FEA" w14:paraId="203A1094" w14:textId="77777777">
      <w:pPr>
        <w:spacing w:after="0"/>
        <w:rPr>
          <w:rFonts w:ascii="Verdana" w:hAnsi="Verdana"/>
          <w:sz w:val="18"/>
          <w:szCs w:val="18"/>
        </w:rPr>
      </w:pPr>
    </w:p>
    <w:p w:rsidRPr="00633EAB" w:rsidR="00E65FEA" w:rsidP="00E65FEA" w:rsidRDefault="00E65FEA" w14:paraId="48604FEC" w14:textId="7F4F691F">
      <w:pPr>
        <w:spacing w:after="0"/>
        <w:rPr>
          <w:rFonts w:ascii="Verdana" w:hAnsi="Verdana"/>
          <w:b/>
          <w:bCs/>
          <w:sz w:val="18"/>
          <w:szCs w:val="18"/>
        </w:rPr>
      </w:pPr>
      <w:r w:rsidRPr="00633EAB">
        <w:rPr>
          <w:rFonts w:ascii="Verdana" w:hAnsi="Verdana"/>
          <w:b/>
          <w:bCs/>
          <w:sz w:val="18"/>
          <w:szCs w:val="18"/>
        </w:rPr>
        <w:t>Vraag 11</w:t>
      </w:r>
    </w:p>
    <w:p w:rsidR="0005785B" w:rsidP="00E65FEA" w:rsidRDefault="00E65FEA" w14:paraId="2BA819F0" w14:textId="05424BA5">
      <w:pPr>
        <w:spacing w:after="0"/>
        <w:rPr>
          <w:rFonts w:ascii="Verdana" w:hAnsi="Verdana"/>
          <w:b/>
          <w:bCs/>
          <w:sz w:val="18"/>
          <w:szCs w:val="18"/>
        </w:rPr>
      </w:pPr>
      <w:r w:rsidRPr="00633EAB">
        <w:rPr>
          <w:rFonts w:ascii="Verdana" w:hAnsi="Verdana"/>
          <w:sz w:val="18"/>
          <w:szCs w:val="18"/>
        </w:rPr>
        <w:t xml:space="preserve">Hoe kijkt u naar het gevolg geschetst door </w:t>
      </w:r>
      <w:proofErr w:type="spellStart"/>
      <w:r w:rsidRPr="00633EAB">
        <w:rPr>
          <w:rFonts w:ascii="Verdana" w:hAnsi="Verdana"/>
          <w:sz w:val="18"/>
          <w:szCs w:val="18"/>
        </w:rPr>
        <w:t>Eumedion</w:t>
      </w:r>
      <w:proofErr w:type="spellEnd"/>
      <w:r w:rsidRPr="00633EAB">
        <w:rPr>
          <w:rFonts w:ascii="Verdana" w:hAnsi="Verdana"/>
          <w:sz w:val="18"/>
          <w:szCs w:val="18"/>
        </w:rPr>
        <w:t xml:space="preserve"> in het artikel dat Euronext Amsterdam met deze maatregelen de concurrentiepositie met de Duitse en Franse hoofdindices zal verbeteren?</w:t>
      </w:r>
    </w:p>
    <w:p w:rsidR="00541B8B" w:rsidP="00E65FEA" w:rsidRDefault="00541B8B" w14:paraId="229B93AC" w14:textId="77777777">
      <w:pPr>
        <w:spacing w:after="0"/>
        <w:rPr>
          <w:rFonts w:ascii="Verdana" w:hAnsi="Verdana"/>
          <w:b/>
          <w:bCs/>
          <w:sz w:val="18"/>
          <w:szCs w:val="18"/>
        </w:rPr>
      </w:pPr>
    </w:p>
    <w:p w:rsidRPr="00633EAB" w:rsidR="00E65FEA" w:rsidP="00E65FEA" w:rsidRDefault="00E65FEA" w14:paraId="233C02F0" w14:textId="7FB6CB20">
      <w:pPr>
        <w:spacing w:after="0"/>
        <w:rPr>
          <w:rFonts w:ascii="Verdana" w:hAnsi="Verdana"/>
          <w:b/>
          <w:bCs/>
          <w:sz w:val="18"/>
          <w:szCs w:val="18"/>
        </w:rPr>
      </w:pPr>
      <w:r w:rsidRPr="00633EAB">
        <w:rPr>
          <w:rFonts w:ascii="Verdana" w:hAnsi="Verdana"/>
          <w:b/>
          <w:bCs/>
          <w:sz w:val="18"/>
          <w:szCs w:val="18"/>
        </w:rPr>
        <w:t>Antwoord</w:t>
      </w:r>
    </w:p>
    <w:p w:rsidRPr="00633EAB" w:rsidR="00E65FEA" w:rsidP="00E65FEA" w:rsidRDefault="00782F41" w14:paraId="504975BF" w14:textId="60C2F113">
      <w:pPr>
        <w:spacing w:after="0"/>
        <w:rPr>
          <w:rFonts w:ascii="Verdana" w:hAnsi="Verdana"/>
          <w:sz w:val="18"/>
          <w:szCs w:val="18"/>
        </w:rPr>
      </w:pPr>
      <w:r w:rsidRPr="00633EAB">
        <w:rPr>
          <w:rFonts w:ascii="Verdana" w:hAnsi="Verdana"/>
          <w:sz w:val="18"/>
          <w:szCs w:val="18"/>
        </w:rPr>
        <w:t>Dit kan een mogelijk effect zijn</w:t>
      </w:r>
      <w:r w:rsidR="00C73146">
        <w:rPr>
          <w:rFonts w:ascii="Verdana" w:hAnsi="Verdana"/>
          <w:sz w:val="18"/>
          <w:szCs w:val="18"/>
        </w:rPr>
        <w:t xml:space="preserve"> waarvan ik de logica in theorie kan volgen</w:t>
      </w:r>
      <w:r w:rsidRPr="00633EAB">
        <w:rPr>
          <w:rFonts w:ascii="Verdana" w:hAnsi="Verdana"/>
          <w:sz w:val="18"/>
          <w:szCs w:val="18"/>
        </w:rPr>
        <w:t>, al heb ik geen zicht op de precieze concurrentiepositie van Euronext Amsterdam ten opzichte van beurzen in andere Europese landen.</w:t>
      </w:r>
    </w:p>
    <w:p w:rsidRPr="00633EAB" w:rsidR="00E65FEA" w:rsidP="00E65FEA" w:rsidRDefault="00E65FEA" w14:paraId="2D3701F2" w14:textId="77777777">
      <w:pPr>
        <w:spacing w:after="0"/>
        <w:rPr>
          <w:rFonts w:ascii="Verdana" w:hAnsi="Verdana"/>
          <w:sz w:val="18"/>
          <w:szCs w:val="18"/>
        </w:rPr>
      </w:pPr>
    </w:p>
    <w:p w:rsidRPr="00633EAB" w:rsidR="00E65FEA" w:rsidP="00E65FEA" w:rsidRDefault="00E65FEA" w14:paraId="31E6E900" w14:textId="716FD295">
      <w:pPr>
        <w:spacing w:after="0"/>
        <w:rPr>
          <w:rFonts w:ascii="Verdana" w:hAnsi="Verdana"/>
          <w:b/>
          <w:bCs/>
          <w:sz w:val="18"/>
          <w:szCs w:val="18"/>
        </w:rPr>
      </w:pPr>
      <w:r w:rsidRPr="00633EAB">
        <w:rPr>
          <w:rFonts w:ascii="Verdana" w:hAnsi="Verdana"/>
          <w:b/>
          <w:bCs/>
          <w:sz w:val="18"/>
          <w:szCs w:val="18"/>
        </w:rPr>
        <w:t>Vraag 12</w:t>
      </w:r>
    </w:p>
    <w:p w:rsidRPr="00633EAB" w:rsidR="00E65FEA" w:rsidP="00E65FEA" w:rsidRDefault="00E65FEA" w14:paraId="02857DCB" w14:textId="77777777">
      <w:pPr>
        <w:spacing w:after="0"/>
        <w:rPr>
          <w:rFonts w:ascii="Verdana" w:hAnsi="Verdana"/>
          <w:sz w:val="18"/>
          <w:szCs w:val="18"/>
        </w:rPr>
      </w:pPr>
      <w:r w:rsidRPr="00633EAB">
        <w:rPr>
          <w:rFonts w:ascii="Verdana" w:hAnsi="Verdana"/>
          <w:sz w:val="18"/>
          <w:szCs w:val="18"/>
        </w:rPr>
        <w:t>Kunt u een overzicht geven van andere zaken die de concurrentiepositie van de Amsterdamse beurs met de Duitse en Franse hoofdindices belemmert?</w:t>
      </w:r>
      <w:r w:rsidRPr="00633EAB">
        <w:rPr>
          <w:rFonts w:ascii="Verdana" w:hAnsi="Verdana"/>
          <w:sz w:val="18"/>
          <w:szCs w:val="18"/>
        </w:rPr>
        <w:br/>
      </w:r>
    </w:p>
    <w:p w:rsidRPr="00633EAB" w:rsidR="00782F41" w:rsidP="00782F41" w:rsidRDefault="00782F41" w14:paraId="34153B1A" w14:textId="77777777">
      <w:pPr>
        <w:spacing w:after="0"/>
        <w:rPr>
          <w:rFonts w:ascii="Verdana" w:hAnsi="Verdana"/>
          <w:b/>
          <w:bCs/>
          <w:sz w:val="18"/>
          <w:szCs w:val="18"/>
        </w:rPr>
      </w:pPr>
      <w:r w:rsidRPr="00633EAB">
        <w:rPr>
          <w:rFonts w:ascii="Verdana" w:hAnsi="Verdana"/>
          <w:b/>
          <w:bCs/>
          <w:sz w:val="18"/>
          <w:szCs w:val="18"/>
        </w:rPr>
        <w:t>Antwoord</w:t>
      </w:r>
    </w:p>
    <w:p w:rsidRPr="00633EAB" w:rsidR="001B3870" w:rsidP="00E65FEA" w:rsidRDefault="00EE3F09" w14:paraId="64F83891" w14:textId="14CD0589">
      <w:pPr>
        <w:spacing w:after="0"/>
        <w:rPr>
          <w:rFonts w:ascii="Verdana" w:hAnsi="Verdana"/>
          <w:sz w:val="18"/>
          <w:szCs w:val="18"/>
        </w:rPr>
      </w:pPr>
      <w:proofErr w:type="spellStart"/>
      <w:r w:rsidRPr="00633EAB">
        <w:rPr>
          <w:rFonts w:ascii="Verdana" w:hAnsi="Verdana"/>
          <w:sz w:val="18"/>
          <w:szCs w:val="18"/>
        </w:rPr>
        <w:t>Eumedion</w:t>
      </w:r>
      <w:proofErr w:type="spellEnd"/>
      <w:r w:rsidR="00DD4C85">
        <w:rPr>
          <w:rFonts w:ascii="Verdana" w:hAnsi="Verdana"/>
          <w:sz w:val="18"/>
          <w:szCs w:val="18"/>
        </w:rPr>
        <w:t>, een belangenbehartiger van institutionele beleggers,</w:t>
      </w:r>
      <w:r w:rsidRPr="00633EAB">
        <w:rPr>
          <w:rFonts w:ascii="Verdana" w:hAnsi="Verdana"/>
          <w:sz w:val="18"/>
          <w:szCs w:val="18"/>
        </w:rPr>
        <w:t xml:space="preserve"> </w:t>
      </w:r>
      <w:r w:rsidR="00F5312B">
        <w:rPr>
          <w:rFonts w:ascii="Verdana" w:hAnsi="Verdana"/>
          <w:sz w:val="18"/>
          <w:szCs w:val="18"/>
        </w:rPr>
        <w:t>refereert</w:t>
      </w:r>
      <w:r w:rsidRPr="00633EAB">
        <w:rPr>
          <w:rFonts w:ascii="Verdana" w:hAnsi="Verdana"/>
          <w:sz w:val="18"/>
          <w:szCs w:val="18"/>
        </w:rPr>
        <w:t xml:space="preserve"> in zijn reactie in het FD-artikel </w:t>
      </w:r>
      <w:r w:rsidR="0059643C">
        <w:rPr>
          <w:rFonts w:ascii="Verdana" w:hAnsi="Verdana"/>
          <w:sz w:val="18"/>
          <w:szCs w:val="18"/>
        </w:rPr>
        <w:t>aan</w:t>
      </w:r>
      <w:r w:rsidRPr="00633EAB">
        <w:rPr>
          <w:rFonts w:ascii="Verdana" w:hAnsi="Verdana"/>
          <w:sz w:val="18"/>
          <w:szCs w:val="18"/>
        </w:rPr>
        <w:t xml:space="preserve"> het feit dat de AEX-index ‘slechts’ 25 bedrijven kent</w:t>
      </w:r>
      <w:r w:rsidR="002F01D9">
        <w:rPr>
          <w:rFonts w:ascii="Verdana" w:hAnsi="Verdana"/>
          <w:sz w:val="18"/>
          <w:szCs w:val="18"/>
        </w:rPr>
        <w:t>. Dit is m</w:t>
      </w:r>
      <w:r w:rsidR="003B3BD9">
        <w:rPr>
          <w:rFonts w:ascii="Verdana" w:hAnsi="Verdana"/>
          <w:sz w:val="18"/>
          <w:szCs w:val="18"/>
        </w:rPr>
        <w:t>inder dan hoofdindices in omringende landen, zoals</w:t>
      </w:r>
      <w:r w:rsidRPr="00633EAB">
        <w:rPr>
          <w:rFonts w:ascii="Verdana" w:hAnsi="Verdana"/>
          <w:sz w:val="18"/>
          <w:szCs w:val="18"/>
        </w:rPr>
        <w:t xml:space="preserve"> de Duitse DAX (40 bedrijven), Franse CAC (40) en Britse FTSE-index (100). Euronext consulteert momenteel </w:t>
      </w:r>
      <w:r w:rsidRPr="00633EAB" w:rsidR="008D32B2">
        <w:rPr>
          <w:rFonts w:ascii="Verdana" w:hAnsi="Verdana"/>
          <w:sz w:val="18"/>
          <w:szCs w:val="18"/>
        </w:rPr>
        <w:t xml:space="preserve">ook onder </w:t>
      </w:r>
      <w:r w:rsidRPr="00633EAB" w:rsidR="000039BF">
        <w:rPr>
          <w:rFonts w:ascii="Verdana" w:hAnsi="Verdana"/>
          <w:sz w:val="18"/>
          <w:szCs w:val="18"/>
        </w:rPr>
        <w:t>belanghebbenden</w:t>
      </w:r>
      <w:r w:rsidRPr="00633EAB" w:rsidR="008D32B2">
        <w:rPr>
          <w:rFonts w:ascii="Verdana" w:hAnsi="Verdana"/>
          <w:sz w:val="18"/>
          <w:szCs w:val="18"/>
        </w:rPr>
        <w:t xml:space="preserve"> </w:t>
      </w:r>
      <w:r w:rsidRPr="00633EAB">
        <w:rPr>
          <w:rFonts w:ascii="Verdana" w:hAnsi="Verdana"/>
          <w:sz w:val="18"/>
          <w:szCs w:val="18"/>
        </w:rPr>
        <w:t>of uitbreiding van de AEX-index naar 30 bedrijven wenselijk is. Zoals genoemd in mijn antwoord op vraag 7 valt dit onder de</w:t>
      </w:r>
      <w:r w:rsidR="00844729">
        <w:rPr>
          <w:rFonts w:ascii="Verdana" w:hAnsi="Verdana"/>
          <w:sz w:val="18"/>
          <w:szCs w:val="18"/>
        </w:rPr>
        <w:t xml:space="preserve"> keuzes</w:t>
      </w:r>
      <w:r w:rsidRPr="00633EAB">
        <w:rPr>
          <w:rFonts w:ascii="Verdana" w:hAnsi="Verdana"/>
          <w:sz w:val="18"/>
          <w:szCs w:val="18"/>
        </w:rPr>
        <w:t xml:space="preserve"> van Euronext</w:t>
      </w:r>
      <w:r w:rsidR="00844729">
        <w:rPr>
          <w:rFonts w:ascii="Verdana" w:hAnsi="Verdana"/>
          <w:sz w:val="18"/>
          <w:szCs w:val="18"/>
        </w:rPr>
        <w:t xml:space="preserve"> als bedrijf</w:t>
      </w:r>
      <w:r w:rsidRPr="00633EAB">
        <w:rPr>
          <w:rFonts w:ascii="Verdana" w:hAnsi="Verdana"/>
          <w:sz w:val="18"/>
          <w:szCs w:val="18"/>
        </w:rPr>
        <w:t xml:space="preserve"> en heb ik hierbij geen directe rol. </w:t>
      </w:r>
      <w:r w:rsidRPr="00633EAB" w:rsidR="00E404B5">
        <w:rPr>
          <w:rFonts w:ascii="Verdana" w:hAnsi="Verdana"/>
          <w:sz w:val="18"/>
          <w:szCs w:val="18"/>
        </w:rPr>
        <w:t xml:space="preserve">Euronext </w:t>
      </w:r>
      <w:r w:rsidR="00823B79">
        <w:rPr>
          <w:rFonts w:ascii="Verdana" w:hAnsi="Verdana"/>
          <w:sz w:val="18"/>
          <w:szCs w:val="18"/>
        </w:rPr>
        <w:t xml:space="preserve">gaat </w:t>
      </w:r>
      <w:r w:rsidRPr="00633EAB" w:rsidR="00E404B5">
        <w:rPr>
          <w:rFonts w:ascii="Verdana" w:hAnsi="Verdana"/>
          <w:sz w:val="18"/>
          <w:szCs w:val="18"/>
        </w:rPr>
        <w:t>voor een deel ook zelf over de randvoorwaarden van een aantrekkelijke markt</w:t>
      </w:r>
      <w:r w:rsidR="00E404B5">
        <w:rPr>
          <w:rFonts w:ascii="Verdana" w:hAnsi="Verdana"/>
          <w:sz w:val="18"/>
          <w:szCs w:val="18"/>
        </w:rPr>
        <w:t xml:space="preserve"> ten behoeve van zijn concurrentiepositie</w:t>
      </w:r>
      <w:r w:rsidRPr="00633EAB" w:rsidR="00E404B5">
        <w:rPr>
          <w:rFonts w:ascii="Verdana" w:hAnsi="Verdana"/>
          <w:sz w:val="18"/>
          <w:szCs w:val="18"/>
        </w:rPr>
        <w:t xml:space="preserve">. </w:t>
      </w:r>
      <w:r w:rsidRPr="00633EAB">
        <w:rPr>
          <w:rFonts w:ascii="Verdana" w:hAnsi="Verdana"/>
          <w:sz w:val="18"/>
          <w:szCs w:val="18"/>
        </w:rPr>
        <w:t>De regelgeving voor gereglementeerde markten</w:t>
      </w:r>
      <w:r w:rsidR="00823B79">
        <w:rPr>
          <w:rFonts w:ascii="Verdana" w:hAnsi="Verdana"/>
          <w:sz w:val="18"/>
          <w:szCs w:val="18"/>
        </w:rPr>
        <w:t xml:space="preserve"> (</w:t>
      </w:r>
      <w:r w:rsidRPr="00633EAB">
        <w:rPr>
          <w:rFonts w:ascii="Verdana" w:hAnsi="Verdana"/>
          <w:sz w:val="18"/>
          <w:szCs w:val="18"/>
        </w:rPr>
        <w:t>de exploitanten van beurzen</w:t>
      </w:r>
      <w:r w:rsidR="00823B79">
        <w:rPr>
          <w:rFonts w:ascii="Verdana" w:hAnsi="Verdana"/>
          <w:sz w:val="18"/>
          <w:szCs w:val="18"/>
        </w:rPr>
        <w:t>)</w:t>
      </w:r>
      <w:r w:rsidRPr="00633EAB">
        <w:rPr>
          <w:rFonts w:ascii="Verdana" w:hAnsi="Verdana"/>
          <w:sz w:val="18"/>
          <w:szCs w:val="18"/>
        </w:rPr>
        <w:t xml:space="preserve"> is in de EU sterk geharmoniseerd. Dit draagt bij aan een gelijk speelveld in de EU voor Euronext en haar concurrenten. </w:t>
      </w:r>
      <w:r w:rsidRPr="00633EAB" w:rsidR="00D7363A">
        <w:rPr>
          <w:rFonts w:ascii="Verdana" w:hAnsi="Verdana"/>
          <w:sz w:val="18"/>
          <w:szCs w:val="18"/>
        </w:rPr>
        <w:t xml:space="preserve">Dit neemt niet weg dat er sprake kan zijn van additionele nationale regelgeving. </w:t>
      </w:r>
      <w:r w:rsidRPr="00633EAB">
        <w:rPr>
          <w:rFonts w:ascii="Verdana" w:hAnsi="Verdana"/>
          <w:sz w:val="18"/>
          <w:szCs w:val="18"/>
        </w:rPr>
        <w:t xml:space="preserve">Zoals ik eerder heb toegezegd, zal ik uw Kamer op korte termijn een overzicht doen toekomen van </w:t>
      </w:r>
      <w:r w:rsidR="00823B79">
        <w:rPr>
          <w:rFonts w:ascii="Verdana" w:hAnsi="Verdana"/>
          <w:sz w:val="18"/>
          <w:szCs w:val="18"/>
        </w:rPr>
        <w:t>nationale regels</w:t>
      </w:r>
      <w:r w:rsidRPr="00633EAB">
        <w:rPr>
          <w:rFonts w:ascii="Verdana" w:hAnsi="Verdana"/>
          <w:sz w:val="18"/>
          <w:szCs w:val="18"/>
        </w:rPr>
        <w:t xml:space="preserve"> die mogelijk een impact kunnen hebben op de concurrentiepositie van de Nederlandse financiële sector.</w:t>
      </w:r>
    </w:p>
    <w:sectPr w:rsidRPr="00633EAB" w:rsidR="001B3870" w:rsidSect="004A7F35">
      <w:footerReference w:type="default" r:id="rId7"/>
      <w:pgSz w:w="11906" w:h="16838"/>
      <w:pgMar w:top="2948" w:right="2835" w:bottom="1021" w:left="158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11FDF" w14:textId="77777777" w:rsidR="005417C6" w:rsidRDefault="005417C6" w:rsidP="00E65FEA">
      <w:pPr>
        <w:spacing w:after="0" w:line="240" w:lineRule="auto"/>
      </w:pPr>
      <w:r>
        <w:separator/>
      </w:r>
    </w:p>
  </w:endnote>
  <w:endnote w:type="continuationSeparator" w:id="0">
    <w:p w14:paraId="1780F97A" w14:textId="77777777" w:rsidR="005417C6" w:rsidRDefault="005417C6" w:rsidP="00E65FEA">
      <w:pPr>
        <w:spacing w:after="0" w:line="240" w:lineRule="auto"/>
      </w:pPr>
      <w:r>
        <w:continuationSeparator/>
      </w:r>
    </w:p>
  </w:endnote>
  <w:endnote w:type="continuationNotice" w:id="1">
    <w:p w14:paraId="0F3A5FDC" w14:textId="77777777" w:rsidR="00D54A47" w:rsidRDefault="00D54A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F90B" w14:textId="43076254" w:rsidR="004A7F35" w:rsidRDefault="004A7F35">
    <w:pPr>
      <w:pStyle w:val="Voettekst"/>
    </w:pPr>
    <w:r>
      <w:rPr>
        <w:noProof/>
      </w:rPr>
      <mc:AlternateContent>
        <mc:Choice Requires="wps">
          <w:drawing>
            <wp:anchor distT="0" distB="0" distL="0" distR="0" simplePos="0" relativeHeight="251659264" behindDoc="0" locked="1" layoutInCell="1" allowOverlap="1" wp14:anchorId="0D540EC7" wp14:editId="6CC7AF19">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6CE14AB" w14:textId="77777777" w:rsidR="004A7F35" w:rsidRDefault="004A7F35" w:rsidP="004A7F3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type w14:anchorId="0D540EC7" id="_x0000_t202" coordsize="21600,21600" o:spt="202" path="m,l,21600r21600,l21600,xe">
              <v:stroke joinstyle="miter"/>
              <v:path gradientshapeok="t" o:connecttype="rect"/>
            </v:shapetype>
            <v:shape id="bd4a9275-03a6-11ee-8f29-0242ac130005" o:spid="_x0000_s1026" type="#_x0000_t202" style="position:absolute;margin-left:466.25pt;margin-top:805pt;width:99.2pt;height:14.1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" filled="f" stroked="f">
              <v:textbox inset="0,0,0,0">
                <w:txbxContent>
                  <w:p w14:paraId="36CE14AB" w14:textId="77777777" w:rsidR="004A7F35" w:rsidRDefault="004A7F35" w:rsidP="004A7F3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AB00D" w14:textId="77777777" w:rsidR="005417C6" w:rsidRDefault="005417C6" w:rsidP="00E65FEA">
      <w:pPr>
        <w:spacing w:after="0" w:line="240" w:lineRule="auto"/>
      </w:pPr>
      <w:r>
        <w:separator/>
      </w:r>
    </w:p>
  </w:footnote>
  <w:footnote w:type="continuationSeparator" w:id="0">
    <w:p w14:paraId="022938B7" w14:textId="77777777" w:rsidR="005417C6" w:rsidRDefault="005417C6" w:rsidP="00E65FEA">
      <w:pPr>
        <w:spacing w:after="0" w:line="240" w:lineRule="auto"/>
      </w:pPr>
      <w:r>
        <w:continuationSeparator/>
      </w:r>
    </w:p>
  </w:footnote>
  <w:footnote w:type="continuationNotice" w:id="1">
    <w:p w14:paraId="108D3BF3" w14:textId="77777777" w:rsidR="00D54A47" w:rsidRDefault="00D54A47">
      <w:pPr>
        <w:spacing w:after="0" w:line="240" w:lineRule="auto"/>
      </w:pPr>
    </w:p>
  </w:footnote>
  <w:footnote w:id="2">
    <w:p w14:paraId="71D713F4" w14:textId="012FD855" w:rsidR="00E65FEA" w:rsidRPr="008C2CAC" w:rsidRDefault="00E65FEA">
      <w:pPr>
        <w:pStyle w:val="Voetnoottekst"/>
        <w:rPr>
          <w:rFonts w:ascii="Verdana" w:hAnsi="Verdana"/>
          <w:sz w:val="16"/>
          <w:szCs w:val="16"/>
          <w:lang w:val="es-ES"/>
        </w:rPr>
      </w:pPr>
      <w:r w:rsidRPr="008C2CAC">
        <w:rPr>
          <w:rStyle w:val="Voetnootmarkering"/>
          <w:rFonts w:ascii="Verdana" w:hAnsi="Verdana"/>
          <w:sz w:val="16"/>
          <w:szCs w:val="16"/>
        </w:rPr>
        <w:footnoteRef/>
      </w:r>
      <w:r w:rsidRPr="008C2CAC">
        <w:rPr>
          <w:rFonts w:ascii="Verdana" w:hAnsi="Verdana"/>
          <w:sz w:val="16"/>
          <w:szCs w:val="16"/>
          <w:lang w:val="es-ES"/>
        </w:rPr>
        <w:t xml:space="preserve"> FD.nl, 10 </w:t>
      </w:r>
      <w:proofErr w:type="spellStart"/>
      <w:r w:rsidRPr="008C2CAC">
        <w:rPr>
          <w:rFonts w:ascii="Verdana" w:hAnsi="Verdana"/>
          <w:sz w:val="16"/>
          <w:szCs w:val="16"/>
          <w:lang w:val="es-ES"/>
        </w:rPr>
        <w:t>februari</w:t>
      </w:r>
      <w:proofErr w:type="spellEnd"/>
      <w:r w:rsidRPr="008C2CAC">
        <w:rPr>
          <w:rFonts w:ascii="Verdana" w:hAnsi="Verdana"/>
          <w:sz w:val="16"/>
          <w:szCs w:val="16"/>
          <w:lang w:val="es-ES"/>
        </w:rPr>
        <w:t xml:space="preserve"> 2025, </w:t>
      </w:r>
      <w:r w:rsidR="004B5A4E">
        <w:fldChar w:fldCharType="begin"/>
      </w:r>
      <w:r w:rsidR="004B5A4E" w:rsidRPr="004B5A4E">
        <w:rPr>
          <w:lang w:val="es-ES"/>
        </w:rPr>
        <w:instrText>HYPERLINK "https://fd.nl/financiele-markten/1545330/euronext-wil-populaire-etf-handel-naar-amsterdam-halen"</w:instrText>
      </w:r>
      <w:r w:rsidR="004B5A4E">
        <w:fldChar w:fldCharType="separate"/>
      </w:r>
      <w:r w:rsidRPr="008C2CAC">
        <w:rPr>
          <w:rStyle w:val="Hyperlink"/>
          <w:rFonts w:ascii="Verdana" w:hAnsi="Verdana"/>
          <w:sz w:val="16"/>
          <w:szCs w:val="16"/>
          <w:lang w:val="es-ES"/>
        </w:rPr>
        <w:t>https://fd.nl/financiele-markten/1545330/euronext-wil-populaire-etf-handel-naar-amsterdam-halen</w:t>
      </w:r>
      <w:r w:rsidR="004B5A4E">
        <w:rPr>
          <w:rStyle w:val="Hyperlink"/>
          <w:rFonts w:ascii="Verdana" w:hAnsi="Verdana"/>
          <w:sz w:val="16"/>
          <w:szCs w:val="16"/>
          <w:lang w:val="es-ES"/>
        </w:rPr>
        <w:fldChar w:fldCharType="end"/>
      </w:r>
      <w:r w:rsidRPr="008C2CAC">
        <w:rPr>
          <w:rFonts w:ascii="Verdana" w:hAnsi="Verdana"/>
          <w:sz w:val="16"/>
          <w:szCs w:val="16"/>
          <w:lang w:val="es-ES"/>
        </w:rPr>
        <w:t xml:space="preserve"> </w:t>
      </w:r>
    </w:p>
  </w:footnote>
  <w:footnote w:id="3">
    <w:p w14:paraId="67DC2D2B" w14:textId="6EC3B672" w:rsidR="00167D25" w:rsidRPr="008C2CAC" w:rsidRDefault="00167D25">
      <w:pPr>
        <w:pStyle w:val="Voetnoottekst"/>
        <w:rPr>
          <w:rFonts w:ascii="Verdana" w:hAnsi="Verdana"/>
          <w:sz w:val="16"/>
          <w:szCs w:val="16"/>
        </w:rPr>
      </w:pPr>
      <w:r w:rsidRPr="008C2CAC">
        <w:rPr>
          <w:rStyle w:val="Voetnootmarkering"/>
          <w:rFonts w:ascii="Verdana" w:hAnsi="Verdana"/>
          <w:sz w:val="16"/>
          <w:szCs w:val="16"/>
        </w:rPr>
        <w:footnoteRef/>
      </w:r>
      <w:r w:rsidRPr="008C2CAC">
        <w:rPr>
          <w:rFonts w:ascii="Verdana" w:hAnsi="Verdana"/>
          <w:sz w:val="16"/>
          <w:szCs w:val="16"/>
        </w:rPr>
        <w:t xml:space="preserve"> Kamerstukken II 2024/25, 32 013, nr. 302.</w:t>
      </w:r>
    </w:p>
  </w:footnote>
  <w:footnote w:id="4">
    <w:p w14:paraId="608DC827" w14:textId="29E5E806" w:rsidR="006876AE" w:rsidRPr="008C2CAC" w:rsidRDefault="006876AE">
      <w:pPr>
        <w:pStyle w:val="Voetnoottekst"/>
        <w:rPr>
          <w:rFonts w:ascii="Verdana" w:hAnsi="Verdana"/>
          <w:sz w:val="16"/>
          <w:szCs w:val="16"/>
        </w:rPr>
      </w:pPr>
      <w:r w:rsidRPr="008C2CAC">
        <w:rPr>
          <w:rStyle w:val="Voetnootmarkering"/>
          <w:rFonts w:ascii="Verdana" w:hAnsi="Verdana"/>
          <w:sz w:val="16"/>
          <w:szCs w:val="16"/>
        </w:rPr>
        <w:footnoteRef/>
      </w:r>
      <w:r w:rsidRPr="008C2CAC">
        <w:rPr>
          <w:rFonts w:ascii="Verdana" w:hAnsi="Verdana"/>
          <w:sz w:val="16"/>
          <w:szCs w:val="16"/>
        </w:rPr>
        <w:t xml:space="preserve"> Een </w:t>
      </w:r>
      <w:proofErr w:type="spellStart"/>
      <w:r w:rsidRPr="008C2CAC">
        <w:rPr>
          <w:rFonts w:ascii="Verdana" w:hAnsi="Verdana"/>
          <w:sz w:val="16"/>
          <w:szCs w:val="16"/>
        </w:rPr>
        <w:t>closed</w:t>
      </w:r>
      <w:proofErr w:type="spellEnd"/>
      <w:r w:rsidRPr="008C2CAC">
        <w:rPr>
          <w:rFonts w:ascii="Verdana" w:hAnsi="Verdana"/>
          <w:sz w:val="16"/>
          <w:szCs w:val="16"/>
        </w:rPr>
        <w:t xml:space="preserve">-end beleggingsfonds heeft een vast aantal </w:t>
      </w:r>
      <w:r w:rsidR="00512B8F" w:rsidRPr="008C2CAC">
        <w:rPr>
          <w:rFonts w:ascii="Verdana" w:hAnsi="Verdana"/>
          <w:sz w:val="16"/>
          <w:szCs w:val="16"/>
        </w:rPr>
        <w:t>deelnemingsrechten</w:t>
      </w:r>
      <w:r w:rsidRPr="008C2CAC">
        <w:rPr>
          <w:rFonts w:ascii="Verdana" w:hAnsi="Verdana"/>
          <w:sz w:val="16"/>
          <w:szCs w:val="16"/>
        </w:rPr>
        <w:t xml:space="preserve">. Vanwege vraag en aanbod kan de waarde </w:t>
      </w:r>
      <w:r w:rsidR="00512B8F" w:rsidRPr="008C2CAC">
        <w:rPr>
          <w:rFonts w:ascii="Verdana" w:hAnsi="Verdana"/>
          <w:sz w:val="16"/>
          <w:szCs w:val="16"/>
        </w:rPr>
        <w:t xml:space="preserve">van deze deelnemingsrechten </w:t>
      </w:r>
      <w:r w:rsidRPr="008C2CAC">
        <w:rPr>
          <w:rFonts w:ascii="Verdana" w:hAnsi="Verdana"/>
          <w:sz w:val="16"/>
          <w:szCs w:val="16"/>
        </w:rPr>
        <w:t xml:space="preserve">afwijken van de intrinsieke waarde die de </w:t>
      </w:r>
      <w:r w:rsidR="00512B8F" w:rsidRPr="008C2CAC">
        <w:rPr>
          <w:rFonts w:ascii="Verdana" w:hAnsi="Verdana"/>
          <w:sz w:val="16"/>
          <w:szCs w:val="16"/>
        </w:rPr>
        <w:t>financiële instrumenten</w:t>
      </w:r>
      <w:r w:rsidRPr="008C2CAC">
        <w:rPr>
          <w:rFonts w:ascii="Verdana" w:hAnsi="Verdana"/>
          <w:sz w:val="16"/>
          <w:szCs w:val="16"/>
        </w:rPr>
        <w:t xml:space="preserve"> </w:t>
      </w:r>
      <w:r w:rsidR="00512B8F" w:rsidRPr="008C2CAC">
        <w:rPr>
          <w:rFonts w:ascii="Verdana" w:hAnsi="Verdana"/>
          <w:sz w:val="16"/>
          <w:szCs w:val="16"/>
        </w:rPr>
        <w:t>vertegenwoordigen waar</w:t>
      </w:r>
      <w:r w:rsidRPr="008C2CAC">
        <w:rPr>
          <w:rFonts w:ascii="Verdana" w:hAnsi="Verdana"/>
          <w:sz w:val="16"/>
          <w:szCs w:val="16"/>
        </w:rPr>
        <w:t xml:space="preserve"> het fonds</w:t>
      </w:r>
      <w:r w:rsidR="00512B8F" w:rsidRPr="008C2CAC">
        <w:rPr>
          <w:rFonts w:ascii="Verdana" w:hAnsi="Verdana"/>
          <w:sz w:val="16"/>
          <w:szCs w:val="16"/>
        </w:rPr>
        <w:t xml:space="preserve"> in investeert</w:t>
      </w:r>
      <w:r w:rsidRPr="008C2CAC">
        <w:rPr>
          <w:rFonts w:ascii="Verdana" w:hAnsi="Verdana"/>
          <w:sz w:val="16"/>
          <w:szCs w:val="16"/>
        </w:rPr>
        <w:t>.</w:t>
      </w:r>
      <w:r w:rsidR="00512B8F" w:rsidRPr="008C2CAC">
        <w:rPr>
          <w:rFonts w:ascii="Verdana" w:hAnsi="Verdana"/>
          <w:sz w:val="16"/>
          <w:szCs w:val="16"/>
        </w:rPr>
        <w:t xml:space="preserve"> Bij een </w:t>
      </w:r>
      <w:proofErr w:type="spellStart"/>
      <w:r w:rsidR="00512B8F" w:rsidRPr="008C2CAC">
        <w:rPr>
          <w:rFonts w:ascii="Verdana" w:hAnsi="Verdana"/>
          <w:sz w:val="16"/>
          <w:szCs w:val="16"/>
        </w:rPr>
        <w:t>open-end</w:t>
      </w:r>
      <w:proofErr w:type="spellEnd"/>
      <w:r w:rsidR="00512B8F" w:rsidRPr="008C2CAC">
        <w:rPr>
          <w:rFonts w:ascii="Verdana" w:hAnsi="Verdana"/>
          <w:sz w:val="16"/>
          <w:szCs w:val="16"/>
        </w:rPr>
        <w:t xml:space="preserve"> beleggingsfonds kan de hoeveelheid deelnemingsrechten doorlopend worden uitgebreid, waarmee nieuwe instrumenten worden aangekocht.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B5D35"/>
    <w:multiLevelType w:val="hybridMultilevel"/>
    <w:tmpl w:val="73645B58"/>
    <w:lvl w:ilvl="0" w:tplc="BC9C37C8">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7541C9F"/>
    <w:multiLevelType w:val="hybridMultilevel"/>
    <w:tmpl w:val="5AF27530"/>
    <w:lvl w:ilvl="0" w:tplc="52F4C448">
      <w:start w:val="1"/>
      <w:numFmt w:val="decimal"/>
      <w:lvlText w:val="%1."/>
      <w:lvlJc w:val="left"/>
      <w:pPr>
        <w:ind w:left="720" w:hanging="360"/>
      </w:pPr>
    </w:lvl>
    <w:lvl w:ilvl="1" w:tplc="7AEE5974">
      <w:start w:val="1"/>
      <w:numFmt w:val="lowerLetter"/>
      <w:lvlText w:val="%2."/>
      <w:lvlJc w:val="left"/>
      <w:pPr>
        <w:ind w:left="1440" w:hanging="360"/>
      </w:pPr>
    </w:lvl>
    <w:lvl w:ilvl="2" w:tplc="0ABAE362">
      <w:start w:val="1"/>
      <w:numFmt w:val="lowerRoman"/>
      <w:lvlText w:val="%3."/>
      <w:lvlJc w:val="right"/>
      <w:pPr>
        <w:ind w:left="2160" w:hanging="180"/>
      </w:pPr>
    </w:lvl>
    <w:lvl w:ilvl="3" w:tplc="CDB6686E">
      <w:start w:val="1"/>
      <w:numFmt w:val="decimal"/>
      <w:lvlText w:val="%4."/>
      <w:lvlJc w:val="left"/>
      <w:pPr>
        <w:ind w:left="2880" w:hanging="360"/>
      </w:pPr>
    </w:lvl>
    <w:lvl w:ilvl="4" w:tplc="C6B49AFA">
      <w:start w:val="1"/>
      <w:numFmt w:val="lowerLetter"/>
      <w:lvlText w:val="%5."/>
      <w:lvlJc w:val="left"/>
      <w:pPr>
        <w:ind w:left="3600" w:hanging="360"/>
      </w:pPr>
    </w:lvl>
    <w:lvl w:ilvl="5" w:tplc="0A6421CC">
      <w:start w:val="1"/>
      <w:numFmt w:val="lowerRoman"/>
      <w:lvlText w:val="%6."/>
      <w:lvlJc w:val="right"/>
      <w:pPr>
        <w:ind w:left="4320" w:hanging="180"/>
      </w:pPr>
    </w:lvl>
    <w:lvl w:ilvl="6" w:tplc="E82C9FC4">
      <w:start w:val="1"/>
      <w:numFmt w:val="decimal"/>
      <w:lvlText w:val="%7."/>
      <w:lvlJc w:val="left"/>
      <w:pPr>
        <w:ind w:left="5040" w:hanging="360"/>
      </w:pPr>
    </w:lvl>
    <w:lvl w:ilvl="7" w:tplc="9690A816">
      <w:start w:val="1"/>
      <w:numFmt w:val="lowerLetter"/>
      <w:lvlText w:val="%8."/>
      <w:lvlJc w:val="left"/>
      <w:pPr>
        <w:ind w:left="5760" w:hanging="360"/>
      </w:pPr>
    </w:lvl>
    <w:lvl w:ilvl="8" w:tplc="C3EE0FA4">
      <w:start w:val="1"/>
      <w:numFmt w:val="lowerRoman"/>
      <w:lvlText w:val="%9."/>
      <w:lvlJc w:val="right"/>
      <w:pPr>
        <w:ind w:left="6480" w:hanging="180"/>
      </w:pPr>
    </w:lvl>
  </w:abstractNum>
  <w:num w:numId="1" w16cid:durableId="12446773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9629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EA"/>
    <w:rsid w:val="0000059A"/>
    <w:rsid w:val="000039BF"/>
    <w:rsid w:val="0002490A"/>
    <w:rsid w:val="000323B1"/>
    <w:rsid w:val="0005785B"/>
    <w:rsid w:val="000A279F"/>
    <w:rsid w:val="00155883"/>
    <w:rsid w:val="001603E5"/>
    <w:rsid w:val="00167D25"/>
    <w:rsid w:val="001B3870"/>
    <w:rsid w:val="001B4CD9"/>
    <w:rsid w:val="001B5802"/>
    <w:rsid w:val="001D7F92"/>
    <w:rsid w:val="002004D2"/>
    <w:rsid w:val="00252273"/>
    <w:rsid w:val="002B3832"/>
    <w:rsid w:val="002B7CF2"/>
    <w:rsid w:val="002C0004"/>
    <w:rsid w:val="002E64FB"/>
    <w:rsid w:val="002F01D9"/>
    <w:rsid w:val="002F68B4"/>
    <w:rsid w:val="00300203"/>
    <w:rsid w:val="003476C1"/>
    <w:rsid w:val="003476D1"/>
    <w:rsid w:val="00352A5B"/>
    <w:rsid w:val="00394A66"/>
    <w:rsid w:val="003B32F0"/>
    <w:rsid w:val="003B3BD9"/>
    <w:rsid w:val="003C2BF1"/>
    <w:rsid w:val="003E6E73"/>
    <w:rsid w:val="00421309"/>
    <w:rsid w:val="00444438"/>
    <w:rsid w:val="00453BD3"/>
    <w:rsid w:val="00480010"/>
    <w:rsid w:val="00491916"/>
    <w:rsid w:val="00497DA7"/>
    <w:rsid w:val="004A7F35"/>
    <w:rsid w:val="004B5A4E"/>
    <w:rsid w:val="004F47A3"/>
    <w:rsid w:val="0050334E"/>
    <w:rsid w:val="0051209E"/>
    <w:rsid w:val="00512B8F"/>
    <w:rsid w:val="00514966"/>
    <w:rsid w:val="00535277"/>
    <w:rsid w:val="005417C6"/>
    <w:rsid w:val="00541B8B"/>
    <w:rsid w:val="005633F6"/>
    <w:rsid w:val="005835D0"/>
    <w:rsid w:val="0059643C"/>
    <w:rsid w:val="005A3B51"/>
    <w:rsid w:val="005C5F90"/>
    <w:rsid w:val="005F6A5E"/>
    <w:rsid w:val="00607C67"/>
    <w:rsid w:val="00624F6C"/>
    <w:rsid w:val="00633EAB"/>
    <w:rsid w:val="00641915"/>
    <w:rsid w:val="00645864"/>
    <w:rsid w:val="00650907"/>
    <w:rsid w:val="00682BD1"/>
    <w:rsid w:val="006876AE"/>
    <w:rsid w:val="006B220D"/>
    <w:rsid w:val="006B5057"/>
    <w:rsid w:val="00743589"/>
    <w:rsid w:val="007547C3"/>
    <w:rsid w:val="00775FE3"/>
    <w:rsid w:val="00782F41"/>
    <w:rsid w:val="00786682"/>
    <w:rsid w:val="007C7272"/>
    <w:rsid w:val="007D52E0"/>
    <w:rsid w:val="008036DD"/>
    <w:rsid w:val="00823B79"/>
    <w:rsid w:val="00844078"/>
    <w:rsid w:val="00844729"/>
    <w:rsid w:val="008572DB"/>
    <w:rsid w:val="008C2CAC"/>
    <w:rsid w:val="008C5EB2"/>
    <w:rsid w:val="008D32B2"/>
    <w:rsid w:val="008E16FE"/>
    <w:rsid w:val="008F029D"/>
    <w:rsid w:val="00912F3E"/>
    <w:rsid w:val="009145A1"/>
    <w:rsid w:val="009277B7"/>
    <w:rsid w:val="00980D3B"/>
    <w:rsid w:val="0098609A"/>
    <w:rsid w:val="009A3639"/>
    <w:rsid w:val="00A169CA"/>
    <w:rsid w:val="00A32478"/>
    <w:rsid w:val="00A955BA"/>
    <w:rsid w:val="00AE0816"/>
    <w:rsid w:val="00B32E9D"/>
    <w:rsid w:val="00B43294"/>
    <w:rsid w:val="00B501AF"/>
    <w:rsid w:val="00B51AFB"/>
    <w:rsid w:val="00B922CA"/>
    <w:rsid w:val="00BB6E6B"/>
    <w:rsid w:val="00BD1CD0"/>
    <w:rsid w:val="00BD4DC3"/>
    <w:rsid w:val="00C1685E"/>
    <w:rsid w:val="00C235FE"/>
    <w:rsid w:val="00C654CA"/>
    <w:rsid w:val="00C73146"/>
    <w:rsid w:val="00C76CB6"/>
    <w:rsid w:val="00CB13C5"/>
    <w:rsid w:val="00CC23E8"/>
    <w:rsid w:val="00CE64E8"/>
    <w:rsid w:val="00CF0407"/>
    <w:rsid w:val="00D03276"/>
    <w:rsid w:val="00D372D5"/>
    <w:rsid w:val="00D54A47"/>
    <w:rsid w:val="00D7363A"/>
    <w:rsid w:val="00DA33CE"/>
    <w:rsid w:val="00DD4C85"/>
    <w:rsid w:val="00E21DB8"/>
    <w:rsid w:val="00E266E0"/>
    <w:rsid w:val="00E404B5"/>
    <w:rsid w:val="00E40612"/>
    <w:rsid w:val="00E6206E"/>
    <w:rsid w:val="00E65FEA"/>
    <w:rsid w:val="00E86FE3"/>
    <w:rsid w:val="00ED065F"/>
    <w:rsid w:val="00EE3401"/>
    <w:rsid w:val="00EE3F09"/>
    <w:rsid w:val="00F078EE"/>
    <w:rsid w:val="00F5312B"/>
    <w:rsid w:val="00F842BF"/>
    <w:rsid w:val="00F96E78"/>
    <w:rsid w:val="00FE1781"/>
    <w:rsid w:val="00FF5B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67C96"/>
  <w15:chartTrackingRefBased/>
  <w15:docId w15:val="{678F09D5-6322-4BA9-8D9F-50A1F8E61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5F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5F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5F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5F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5F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5F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5F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5F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5F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5F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5F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5F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5F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5F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5F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5F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5F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5FEA"/>
    <w:rPr>
      <w:rFonts w:eastAsiaTheme="majorEastAsia" w:cstheme="majorBidi"/>
      <w:color w:val="272727" w:themeColor="text1" w:themeTint="D8"/>
    </w:rPr>
  </w:style>
  <w:style w:type="paragraph" w:styleId="Titel">
    <w:name w:val="Title"/>
    <w:basedOn w:val="Standaard"/>
    <w:next w:val="Standaard"/>
    <w:link w:val="TitelChar"/>
    <w:uiPriority w:val="10"/>
    <w:qFormat/>
    <w:rsid w:val="00E65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5F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5F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5F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5F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5FEA"/>
    <w:rPr>
      <w:i/>
      <w:iCs/>
      <w:color w:val="404040" w:themeColor="text1" w:themeTint="BF"/>
    </w:rPr>
  </w:style>
  <w:style w:type="paragraph" w:styleId="Lijstalinea">
    <w:name w:val="List Paragraph"/>
    <w:basedOn w:val="Standaard"/>
    <w:uiPriority w:val="34"/>
    <w:qFormat/>
    <w:rsid w:val="00E65FEA"/>
    <w:pPr>
      <w:ind w:left="720"/>
      <w:contextualSpacing/>
    </w:pPr>
  </w:style>
  <w:style w:type="character" w:styleId="Intensievebenadrukking">
    <w:name w:val="Intense Emphasis"/>
    <w:basedOn w:val="Standaardalinea-lettertype"/>
    <w:uiPriority w:val="21"/>
    <w:qFormat/>
    <w:rsid w:val="00E65FEA"/>
    <w:rPr>
      <w:i/>
      <w:iCs/>
      <w:color w:val="0F4761" w:themeColor="accent1" w:themeShade="BF"/>
    </w:rPr>
  </w:style>
  <w:style w:type="paragraph" w:styleId="Duidelijkcitaat">
    <w:name w:val="Intense Quote"/>
    <w:basedOn w:val="Standaard"/>
    <w:next w:val="Standaard"/>
    <w:link w:val="DuidelijkcitaatChar"/>
    <w:uiPriority w:val="30"/>
    <w:qFormat/>
    <w:rsid w:val="00E65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5FEA"/>
    <w:rPr>
      <w:i/>
      <w:iCs/>
      <w:color w:val="0F4761" w:themeColor="accent1" w:themeShade="BF"/>
    </w:rPr>
  </w:style>
  <w:style w:type="character" w:styleId="Intensieveverwijzing">
    <w:name w:val="Intense Reference"/>
    <w:basedOn w:val="Standaardalinea-lettertype"/>
    <w:uiPriority w:val="32"/>
    <w:qFormat/>
    <w:rsid w:val="00E65FEA"/>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E65FE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65FEA"/>
    <w:rPr>
      <w:sz w:val="20"/>
      <w:szCs w:val="20"/>
    </w:rPr>
  </w:style>
  <w:style w:type="character" w:styleId="Voetnootmarkering">
    <w:name w:val="footnote reference"/>
    <w:basedOn w:val="Standaardalinea-lettertype"/>
    <w:uiPriority w:val="99"/>
    <w:semiHidden/>
    <w:unhideWhenUsed/>
    <w:rsid w:val="00E65FEA"/>
    <w:rPr>
      <w:vertAlign w:val="superscript"/>
    </w:rPr>
  </w:style>
  <w:style w:type="character" w:styleId="Hyperlink">
    <w:name w:val="Hyperlink"/>
    <w:basedOn w:val="Standaardalinea-lettertype"/>
    <w:uiPriority w:val="99"/>
    <w:unhideWhenUsed/>
    <w:rsid w:val="00E65FEA"/>
    <w:rPr>
      <w:color w:val="467886" w:themeColor="hyperlink"/>
      <w:u w:val="single"/>
    </w:rPr>
  </w:style>
  <w:style w:type="character" w:styleId="Onopgelostemelding">
    <w:name w:val="Unresolved Mention"/>
    <w:basedOn w:val="Standaardalinea-lettertype"/>
    <w:uiPriority w:val="99"/>
    <w:semiHidden/>
    <w:unhideWhenUsed/>
    <w:rsid w:val="00E65FEA"/>
    <w:rPr>
      <w:color w:val="605E5C"/>
      <w:shd w:val="clear" w:color="auto" w:fill="E1DFDD"/>
    </w:rPr>
  </w:style>
  <w:style w:type="character" w:styleId="Verwijzingopmerking">
    <w:name w:val="annotation reference"/>
    <w:basedOn w:val="Standaardalinea-lettertype"/>
    <w:uiPriority w:val="99"/>
    <w:semiHidden/>
    <w:unhideWhenUsed/>
    <w:rsid w:val="00775FE3"/>
    <w:rPr>
      <w:sz w:val="16"/>
      <w:szCs w:val="16"/>
    </w:rPr>
  </w:style>
  <w:style w:type="paragraph" w:styleId="Tekstopmerking">
    <w:name w:val="annotation text"/>
    <w:basedOn w:val="Standaard"/>
    <w:link w:val="TekstopmerkingChar"/>
    <w:uiPriority w:val="99"/>
    <w:unhideWhenUsed/>
    <w:rsid w:val="00775FE3"/>
    <w:pPr>
      <w:spacing w:line="240" w:lineRule="auto"/>
    </w:pPr>
    <w:rPr>
      <w:sz w:val="20"/>
      <w:szCs w:val="20"/>
    </w:rPr>
  </w:style>
  <w:style w:type="character" w:customStyle="1" w:styleId="TekstopmerkingChar">
    <w:name w:val="Tekst opmerking Char"/>
    <w:basedOn w:val="Standaardalinea-lettertype"/>
    <w:link w:val="Tekstopmerking"/>
    <w:uiPriority w:val="99"/>
    <w:rsid w:val="00775FE3"/>
    <w:rPr>
      <w:sz w:val="20"/>
      <w:szCs w:val="20"/>
    </w:rPr>
  </w:style>
  <w:style w:type="paragraph" w:styleId="Onderwerpvanopmerking">
    <w:name w:val="annotation subject"/>
    <w:basedOn w:val="Tekstopmerking"/>
    <w:next w:val="Tekstopmerking"/>
    <w:link w:val="OnderwerpvanopmerkingChar"/>
    <w:uiPriority w:val="99"/>
    <w:semiHidden/>
    <w:unhideWhenUsed/>
    <w:rsid w:val="00775FE3"/>
    <w:rPr>
      <w:b/>
      <w:bCs/>
    </w:rPr>
  </w:style>
  <w:style w:type="character" w:customStyle="1" w:styleId="OnderwerpvanopmerkingChar">
    <w:name w:val="Onderwerp van opmerking Char"/>
    <w:basedOn w:val="TekstopmerkingChar"/>
    <w:link w:val="Onderwerpvanopmerking"/>
    <w:uiPriority w:val="99"/>
    <w:semiHidden/>
    <w:rsid w:val="00775FE3"/>
    <w:rPr>
      <w:b/>
      <w:bCs/>
      <w:sz w:val="20"/>
      <w:szCs w:val="20"/>
    </w:rPr>
  </w:style>
  <w:style w:type="paragraph" w:styleId="Koptekst">
    <w:name w:val="header"/>
    <w:basedOn w:val="Standaard"/>
    <w:link w:val="KoptekstChar"/>
    <w:uiPriority w:val="99"/>
    <w:unhideWhenUsed/>
    <w:rsid w:val="00D54A4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54A47"/>
  </w:style>
  <w:style w:type="paragraph" w:styleId="Voettekst">
    <w:name w:val="footer"/>
    <w:basedOn w:val="Standaard"/>
    <w:link w:val="VoettekstChar"/>
    <w:uiPriority w:val="99"/>
    <w:unhideWhenUsed/>
    <w:rsid w:val="00D54A4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54A47"/>
  </w:style>
  <w:style w:type="paragraph" w:styleId="Revisie">
    <w:name w:val="Revision"/>
    <w:hidden/>
    <w:uiPriority w:val="99"/>
    <w:semiHidden/>
    <w:rsid w:val="00497DA7"/>
    <w:pPr>
      <w:spacing w:after="0" w:line="240" w:lineRule="auto"/>
    </w:pPr>
  </w:style>
  <w:style w:type="paragraph" w:customStyle="1" w:styleId="StandaardReferentiegegevens">
    <w:name w:val="Standaard_Referentiegegevens"/>
    <w:basedOn w:val="Standaard"/>
    <w:next w:val="Standaard"/>
    <w:rsid w:val="004A7F3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5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1457</ap:Words>
  <ap:Characters>8017</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2025-03-04T12:07:00.0000000Z</dcterms:created>
  <dcterms:modified xsi:type="dcterms:W3CDTF">2025-03-04T12:07:00.0000000Z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2025-02-13T12:32:34Z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8c571754-4ac6-4c59-9c2b-cde4df2b5be5</vt:lpwstr>
  </property>
  <property fmtid="{D5CDD505-2E9C-101B-9397-08002B2CF9AE}" pid="8" name="MSIP_Label_6800fede-0e59-47ad-af95-4e63bbdb932d_ContentBits">
    <vt:lpwstr>0</vt:lpwstr>
  </property>
</Properties>
</file>