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B38" w:rsidRDefault="003B0CD2" w14:paraId="505F4BA7" w14:textId="77777777">
      <w:pPr>
        <w:pStyle w:val="Salutation"/>
      </w:pPr>
      <w:bookmarkStart w:name="_GoBack" w:id="0"/>
      <w:bookmarkEnd w:id="0"/>
      <w:r>
        <w:t>Geachte voorzitter,</w:t>
      </w:r>
    </w:p>
    <w:p w:rsidRPr="001A6D66" w:rsidR="001A6D66" w:rsidP="001A6D66" w:rsidRDefault="001A6D66" w14:paraId="3B888779" w14:textId="2BF0219D">
      <w:pPr>
        <w:pStyle w:val="Slotzin"/>
      </w:pPr>
      <w:r w:rsidRPr="001A6D66">
        <w:t xml:space="preserve">Op </w:t>
      </w:r>
      <w:r>
        <w:t xml:space="preserve">12 december </w:t>
      </w:r>
      <w:r w:rsidRPr="001A6D66">
        <w:t xml:space="preserve">2024 heb ik Kamervragen ontvangen van de leden Kostić (PvdD), Van Kent (SP), Gabriëls (GroenLinks-PvdA) en Bamenga (D66) over het beschermen van burgers, dieren en milieu tegen staalslakken. </w:t>
      </w:r>
    </w:p>
    <w:p w:rsidR="001A6D66" w:rsidP="001A6D66" w:rsidRDefault="001A6D66" w14:paraId="41E8AA70" w14:textId="77777777">
      <w:pPr>
        <w:pStyle w:val="Slotzin"/>
      </w:pPr>
      <w:r w:rsidRPr="001A6D66">
        <w:t xml:space="preserve">Deze vragen worden beantwoord in de bijlage bij deze brief. </w:t>
      </w:r>
    </w:p>
    <w:p w:rsidR="007F3B38" w:rsidP="001A6D66" w:rsidRDefault="003B0CD2" w14:paraId="30ACCB0A" w14:textId="15DF6D72">
      <w:pPr>
        <w:pStyle w:val="Slotzin"/>
      </w:pPr>
      <w:r>
        <w:t>Hoogachtend,</w:t>
      </w:r>
    </w:p>
    <w:p w:rsidR="007F3B38" w:rsidRDefault="003B0CD2" w14:paraId="6FF60883" w14:textId="59EE1A52">
      <w:pPr>
        <w:pStyle w:val="OndertekeningArea1"/>
      </w:pPr>
      <w:r>
        <w:t>DE STAATSSECRETARIS VAN INFRASTRUCTUUR EN WATERSTAAT</w:t>
      </w:r>
      <w:r w:rsidR="005A77EB">
        <w:t xml:space="preserve"> – OPENBAAR VERVOER EN MILIEU,</w:t>
      </w:r>
    </w:p>
    <w:p w:rsidR="007F3B38" w:rsidRDefault="007F3B38" w14:paraId="4CB17E2E" w14:textId="77777777"/>
    <w:p w:rsidR="007F3B38" w:rsidRDefault="007F3B38" w14:paraId="50427676" w14:textId="77777777"/>
    <w:p w:rsidR="007F3B38" w:rsidRDefault="007F3B38" w14:paraId="20C77F36" w14:textId="77777777"/>
    <w:p w:rsidR="007F3B38" w:rsidRDefault="007F3B38" w14:paraId="2067F523" w14:textId="77777777"/>
    <w:p w:rsidR="001A6D66" w:rsidRDefault="003B0CD2" w14:paraId="4F34143C" w14:textId="7F96A18D">
      <w:r>
        <w:t>C.A. Jansen</w:t>
      </w:r>
    </w:p>
    <w:p w:rsidR="001A6D66" w:rsidRDefault="001A6D66" w14:paraId="50C0A58B" w14:textId="77777777">
      <w:pPr>
        <w:spacing w:line="240" w:lineRule="auto"/>
      </w:pPr>
      <w:r>
        <w:br w:type="page"/>
      </w:r>
    </w:p>
    <w:p w:rsidR="001A6D66" w:rsidP="001A6D66" w:rsidRDefault="001A6D66" w14:paraId="061435AA" w14:textId="77777777">
      <w:pPr>
        <w:pageBreakBefore/>
        <w:rPr>
          <w:b/>
          <w:bCs/>
        </w:rPr>
      </w:pPr>
      <w:r>
        <w:rPr>
          <w:b/>
          <w:bCs/>
        </w:rPr>
        <w:lastRenderedPageBreak/>
        <w:t xml:space="preserve">2024Z20935 </w:t>
      </w:r>
      <w:r>
        <w:t>(ingezonden 12 december 2024)</w:t>
      </w:r>
      <w:r>
        <w:br/>
      </w:r>
    </w:p>
    <w:p w:rsidR="001A6D66" w:rsidP="001A6D66" w:rsidRDefault="001A6D66" w14:paraId="505B7295" w14:textId="085344F5">
      <w:r>
        <w:t>Vragen van de leden Gabriëls (GroenLinks-PvdA), Bamenga (D66), Van Kent (SP) en Kostić (PvdD) aan de staatssecretaris van Infrastructuur en Waterstaat over het beschermen van burgers, dieren en milieu tegen staalslakken</w:t>
      </w:r>
      <w:r w:rsidR="00C00337">
        <w:t>.</w:t>
      </w:r>
      <w:r>
        <w:br/>
      </w:r>
    </w:p>
    <w:p w:rsidRPr="002522E0" w:rsidR="001A6D66" w:rsidP="001A6D66" w:rsidRDefault="001A6D66" w14:paraId="5F4794F6" w14:textId="77777777">
      <w:pPr>
        <w:rPr>
          <w:b/>
          <w:bCs/>
        </w:rPr>
      </w:pPr>
      <w:r w:rsidRPr="002522E0">
        <w:rPr>
          <w:b/>
          <w:bCs/>
        </w:rPr>
        <w:t>Vraag 1</w:t>
      </w:r>
    </w:p>
    <w:p w:rsidR="001A6D66" w:rsidP="001A6D66" w:rsidRDefault="001A6D66" w14:paraId="582A7FED" w14:textId="7C00A01A">
      <w:r>
        <w:t>Heeft u kennisgenomen van de gevaarindeling van LD-staalslakken als afvalstof door het Rijksinstituut voor Volksgezondheid en Milieu (RIVM) in het rapport Milieuhygiënische kwaliteit LD-staalslakken</w:t>
      </w:r>
      <w:r w:rsidR="005A77EB">
        <w:rPr>
          <w:rStyle w:val="FootnoteReference"/>
        </w:rPr>
        <w:footnoteReference w:id="1"/>
      </w:r>
      <w:r>
        <w:t xml:space="preserve"> waaruit blijkt dat LD-staalslakken gevaarlijke eigenschappen bezitten, zoals HP4, HP5, HP7, HP10 en HP11?</w:t>
      </w:r>
    </w:p>
    <w:p w:rsidR="001A6D66" w:rsidP="001A6D66" w:rsidRDefault="001A6D66" w14:paraId="717A89C7" w14:textId="77777777">
      <w:pPr>
        <w:ind w:left="360"/>
      </w:pPr>
    </w:p>
    <w:p w:rsidRPr="002522E0" w:rsidR="001A6D66" w:rsidP="001A6D66" w:rsidRDefault="001A6D66" w14:paraId="0504799A" w14:textId="77777777">
      <w:pPr>
        <w:rPr>
          <w:b/>
          <w:bCs/>
        </w:rPr>
      </w:pPr>
      <w:r>
        <w:rPr>
          <w:b/>
          <w:bCs/>
        </w:rPr>
        <w:t>Antwoord 1</w:t>
      </w:r>
    </w:p>
    <w:p w:rsidR="001A6D66" w:rsidP="001A6D66" w:rsidRDefault="001A6D66" w14:paraId="17B9C86A" w14:textId="1E74B361">
      <w:r>
        <w:t>Ja</w:t>
      </w:r>
      <w:r w:rsidR="005A77EB">
        <w:t>,</w:t>
      </w:r>
      <w:r>
        <w:t xml:space="preserve"> daar heb ik kennis van genomen.</w:t>
      </w:r>
      <w:r>
        <w:br/>
      </w:r>
    </w:p>
    <w:p w:rsidRPr="002522E0" w:rsidR="001A6D66" w:rsidP="001A6D66" w:rsidRDefault="001A6D66" w14:paraId="4D4A3837" w14:textId="77777777">
      <w:pPr>
        <w:rPr>
          <w:b/>
          <w:bCs/>
        </w:rPr>
      </w:pPr>
      <w:r w:rsidRPr="002522E0">
        <w:rPr>
          <w:b/>
          <w:bCs/>
        </w:rPr>
        <w:t>Vraag 2</w:t>
      </w:r>
    </w:p>
    <w:p w:rsidR="001A6D66" w:rsidP="001A6D66" w:rsidRDefault="001A6D66" w14:paraId="335B682E" w14:textId="77777777">
      <w:r>
        <w:t xml:space="preserve">Kunt u zich vinden in deze gevaarindeling door het RIVM? Zo nee, welke gevaarlijke eigenschappen zijn volgens u niet of in mindere mate verbonden aan LD-staalslakken en kunt u aangeven op welk wetenschappelijk onderzoek u zich hierbij baseert? </w:t>
      </w:r>
    </w:p>
    <w:p w:rsidR="001A6D66" w:rsidP="001A6D66" w:rsidRDefault="001A6D66" w14:paraId="54B86A27" w14:textId="77777777">
      <w:pPr>
        <w:ind w:left="360"/>
      </w:pPr>
    </w:p>
    <w:p w:rsidRPr="002522E0" w:rsidR="001A6D66" w:rsidP="001A6D66" w:rsidRDefault="001A6D66" w14:paraId="41CD31E9" w14:textId="77777777">
      <w:pPr>
        <w:rPr>
          <w:b/>
          <w:bCs/>
        </w:rPr>
      </w:pPr>
      <w:r>
        <w:rPr>
          <w:b/>
          <w:bCs/>
        </w:rPr>
        <w:t>Antwoord 2</w:t>
      </w:r>
    </w:p>
    <w:p w:rsidR="001A6D66" w:rsidP="001A6D66" w:rsidRDefault="001A6D66" w14:paraId="78008604" w14:textId="3654DA83">
      <w:r>
        <w:t>Het vaststellen van gevaareigenschappen van stoffen is een wetenschappelijke afweging en daarbij gaan we altijd uit van het oordeel van het RIVM.</w:t>
      </w:r>
    </w:p>
    <w:p w:rsidR="001A6D66" w:rsidP="001A6D66" w:rsidRDefault="001A6D66" w14:paraId="47224781" w14:textId="77777777"/>
    <w:p w:rsidRPr="002522E0" w:rsidR="001A6D66" w:rsidP="001A6D66" w:rsidRDefault="001A6D66" w14:paraId="091E0A0A" w14:textId="77777777">
      <w:pPr>
        <w:rPr>
          <w:b/>
          <w:bCs/>
        </w:rPr>
      </w:pPr>
      <w:r>
        <w:rPr>
          <w:b/>
          <w:bCs/>
        </w:rPr>
        <w:t>Vraag 3</w:t>
      </w:r>
    </w:p>
    <w:p w:rsidR="001A6D66" w:rsidP="001A6D66" w:rsidRDefault="001A6D66" w14:paraId="6073E3DE" w14:textId="7CB1AAC0">
      <w:r>
        <w:t xml:space="preserve">Bent u ermee bekend dat het tweede lid van artikel 191 van het Verdrag betreffende de werking van de Europese Unie en constante jurisprudentie van het Europese Hof van Justitie meebrengen dat de Europese Unie </w:t>
      </w:r>
      <w:r w:rsidR="00613D59">
        <w:t>ernaar</w:t>
      </w:r>
      <w:r>
        <w:t xml:space="preserve"> streeft om haar milieu</w:t>
      </w:r>
      <w:r>
        <w:softHyphen/>
        <w:t>beleid naar een hoog niveau van bescherming te brengen en dat dit beleid onder meer berust op het voorzorgs</w:t>
      </w:r>
      <w:r>
        <w:softHyphen/>
        <w:t>beginsel en het beginsel van preventief handelen?</w:t>
      </w:r>
    </w:p>
    <w:p w:rsidR="001A6D66" w:rsidP="001A6D66" w:rsidRDefault="001A6D66" w14:paraId="58F9AB5E" w14:textId="77777777"/>
    <w:p w:rsidR="006B6484" w:rsidP="001A6D66" w:rsidRDefault="001A6D66" w14:paraId="7F79A640" w14:textId="77777777">
      <w:pPr>
        <w:rPr>
          <w:b/>
          <w:bCs/>
        </w:rPr>
      </w:pPr>
      <w:r>
        <w:rPr>
          <w:b/>
          <w:bCs/>
        </w:rPr>
        <w:t>Antwoord 3</w:t>
      </w:r>
    </w:p>
    <w:p w:rsidRPr="006B6484" w:rsidR="001A6D66" w:rsidP="001A6D66" w:rsidRDefault="001A6D66" w14:paraId="36BBFD18" w14:textId="7E123FD0">
      <w:pPr>
        <w:rPr>
          <w:b/>
          <w:bCs/>
        </w:rPr>
      </w:pPr>
      <w:r>
        <w:t>Ja</w:t>
      </w:r>
      <w:r w:rsidR="005A77EB">
        <w:t>,</w:t>
      </w:r>
      <w:r>
        <w:t xml:space="preserve"> daar ben ik mee bekend.</w:t>
      </w:r>
    </w:p>
    <w:p w:rsidR="001A6D66" w:rsidP="001A6D66" w:rsidRDefault="001A6D66" w14:paraId="64E94A53" w14:textId="77777777">
      <w:pPr>
        <w:ind w:left="360"/>
      </w:pPr>
    </w:p>
    <w:p w:rsidRPr="002522E0" w:rsidR="001A6D66" w:rsidP="001A6D66" w:rsidRDefault="001A6D66" w14:paraId="64D52C5D" w14:textId="77777777">
      <w:pPr>
        <w:rPr>
          <w:b/>
          <w:bCs/>
        </w:rPr>
      </w:pPr>
      <w:r>
        <w:rPr>
          <w:b/>
          <w:bCs/>
        </w:rPr>
        <w:t>Vraag 4</w:t>
      </w:r>
    </w:p>
    <w:p w:rsidR="001A6D66" w:rsidP="001A6D66" w:rsidRDefault="001A6D66" w14:paraId="6113E04C" w14:textId="77777777">
      <w:r>
        <w:t>Wilt u met uw milieubeleid ook een hoog niveau van bescherming nastreven en uw beleid laten steunen op voornoemde beginselen?</w:t>
      </w:r>
    </w:p>
    <w:p w:rsidR="001A6D66" w:rsidP="001A6D66" w:rsidRDefault="001A6D66" w14:paraId="5290AEC2" w14:textId="77777777"/>
    <w:p w:rsidRPr="002522E0" w:rsidR="001A6D66" w:rsidP="001A6D66" w:rsidRDefault="001A6D66" w14:paraId="138D1894" w14:textId="77777777">
      <w:pPr>
        <w:rPr>
          <w:b/>
          <w:bCs/>
        </w:rPr>
      </w:pPr>
      <w:r>
        <w:rPr>
          <w:b/>
          <w:bCs/>
        </w:rPr>
        <w:t>Antwoord 4</w:t>
      </w:r>
    </w:p>
    <w:p w:rsidRPr="00914921" w:rsidR="001A6D66" w:rsidP="001A6D66" w:rsidRDefault="001A6D66" w14:paraId="26F49FE9" w14:textId="673FE50E">
      <w:pPr>
        <w:rPr>
          <w:rFonts w:cstheme="minorHAnsi"/>
        </w:rPr>
      </w:pPr>
      <w:r w:rsidRPr="00914921">
        <w:rPr>
          <w:rFonts w:cstheme="minorHAnsi"/>
        </w:rPr>
        <w:t xml:space="preserve">Ja en dat is ook het geval. </w:t>
      </w:r>
      <w:r w:rsidRPr="00D537FB">
        <w:rPr>
          <w:rStyle w:val="cf01"/>
          <w:rFonts w:ascii="Verdana" w:hAnsi="Verdana" w:cstheme="minorHAnsi"/>
        </w:rPr>
        <w:t xml:space="preserve">Op basis van de Wet milieubeheer en de Omgevingswet is in het Besluit bodemkwaliteit, de Regeling bodemkwaliteit 2022 en in het Besluit activiteiten leefomgeving invulling gegeven aan het voorzorgsbeginsel en het beginsel van preventief handelen doordat hierin verschillende milieukwaliteitseisen, toepassingseisen, verantwoordingseisen (zoals een milieuverklaring) en de zorgplicht(en) zijn opgenomen, waaraan moet worden voldaan. Met de modernisering van de regelgeving wordt verdere invulling aan </w:t>
      </w:r>
      <w:r w:rsidR="00B91D23">
        <w:rPr>
          <w:rStyle w:val="cf01"/>
          <w:rFonts w:ascii="Verdana" w:hAnsi="Verdana" w:cstheme="minorHAnsi"/>
        </w:rPr>
        <w:t xml:space="preserve">het borgen van bescherming gegeven. Er zijn reeds </w:t>
      </w:r>
      <w:r w:rsidRPr="00D537FB">
        <w:rPr>
          <w:rStyle w:val="cf01"/>
          <w:rFonts w:ascii="Verdana" w:hAnsi="Verdana" w:cstheme="minorHAnsi"/>
        </w:rPr>
        <w:t xml:space="preserve">stappen gezet (zie het antwoord op vraag 8) en </w:t>
      </w:r>
      <w:r w:rsidR="006B6484">
        <w:rPr>
          <w:rStyle w:val="cf01"/>
          <w:rFonts w:ascii="Verdana" w:hAnsi="Verdana" w:cstheme="minorHAnsi"/>
        </w:rPr>
        <w:t>er wordt bekeken</w:t>
      </w:r>
      <w:r w:rsidRPr="00D537FB">
        <w:rPr>
          <w:rStyle w:val="cf01"/>
          <w:rFonts w:ascii="Verdana" w:hAnsi="Verdana" w:cstheme="minorHAnsi"/>
        </w:rPr>
        <w:t xml:space="preserve"> wat er nog meer kan worden gedaan (zie het antwoord op vraag 10).</w:t>
      </w:r>
    </w:p>
    <w:p w:rsidR="00336B88" w:rsidP="00BF6AB2" w:rsidRDefault="00336B88" w14:paraId="3F65CE08" w14:textId="77777777"/>
    <w:p w:rsidR="00336B88" w:rsidP="00BF6AB2" w:rsidRDefault="00336B88" w14:paraId="4C3D31AB" w14:textId="77777777"/>
    <w:p w:rsidRPr="009C3234" w:rsidR="001A6D66" w:rsidP="00BF6AB2" w:rsidRDefault="001A6D66" w14:paraId="11A785B0" w14:textId="5B0E3CBE">
      <w:r>
        <w:t xml:space="preserve">  </w:t>
      </w:r>
    </w:p>
    <w:p w:rsidRPr="002522E0" w:rsidR="001A6D66" w:rsidP="001A6D66" w:rsidRDefault="001A6D66" w14:paraId="62C074D2" w14:textId="77777777">
      <w:pPr>
        <w:rPr>
          <w:b/>
          <w:bCs/>
        </w:rPr>
      </w:pPr>
      <w:r>
        <w:rPr>
          <w:b/>
          <w:bCs/>
        </w:rPr>
        <w:t>Vraag 5</w:t>
      </w:r>
    </w:p>
    <w:p w:rsidR="001A6D66" w:rsidP="001A6D66" w:rsidRDefault="001A6D66" w14:paraId="0C4E8BDC" w14:textId="14D30B02">
      <w:r w:rsidRPr="009C3234">
        <w:t xml:space="preserve">Deelt u de mening dat het voorzorgsbeginsel en het beginsel van preventief handelen meebrengen dat Nederland de bronnen van vervuiling en overlast van meet af aan dient te voorkomen, te verminderen en zo mogelijk op te heffen door het treffen van maatregelen die de bekende risico's kunnen wegnemen? Zo ja, wat wilt en kunt u eraan doen om </w:t>
      </w:r>
      <w:r w:rsidRPr="009C3234" w:rsidR="00613D59">
        <w:t>ervoor</w:t>
      </w:r>
      <w:r w:rsidRPr="009C3234">
        <w:t xml:space="preserve"> te zorgen dat Tata Steel in de toekomst deze LD-staalslakken ontdoet van de schadelijke zware metalen en gebluste kalk die zich erin bevinden?</w:t>
      </w:r>
    </w:p>
    <w:p w:rsidRPr="009C3234" w:rsidR="001A6D66" w:rsidP="001A6D66" w:rsidRDefault="001A6D66" w14:paraId="3C583C28" w14:textId="77777777">
      <w:pPr>
        <w:ind w:left="360"/>
      </w:pPr>
    </w:p>
    <w:p w:rsidRPr="002522E0" w:rsidR="001A6D66" w:rsidP="001A6D66" w:rsidRDefault="001A6D66" w14:paraId="20089E14" w14:textId="77777777">
      <w:pPr>
        <w:rPr>
          <w:b/>
          <w:bCs/>
        </w:rPr>
      </w:pPr>
      <w:r>
        <w:rPr>
          <w:b/>
          <w:bCs/>
        </w:rPr>
        <w:t>Antwoord 5</w:t>
      </w:r>
    </w:p>
    <w:p w:rsidRPr="002E7A67" w:rsidR="001A6D66" w:rsidP="001A6D66" w:rsidRDefault="001A6D66" w14:paraId="05A52D0D" w14:textId="09342B6D">
      <w:r>
        <w:t>D</w:t>
      </w:r>
      <w:r w:rsidRPr="002E7A67">
        <w:t xml:space="preserve">e risico’s bij de toepassing van staalslakken als bouwstof zijn bekend. </w:t>
      </w:r>
      <w:r w:rsidR="006B6484">
        <w:t>H</w:t>
      </w:r>
      <w:r w:rsidRPr="002E7A67">
        <w:t xml:space="preserve">ier dient op grond van de zorgplicht bij de toepassing rekening mee worden gehouden. Gebeurt dat niet of onvoldoende, dan levert dat een overtreding op van de wettelijke zorgplicht en kan handhavend worden opgetreden. Wanneer aan de zorgplicht wordt voldaan - en ook aan de </w:t>
      </w:r>
      <w:r>
        <w:t xml:space="preserve">andere </w:t>
      </w:r>
      <w:r w:rsidRPr="002E7A67">
        <w:t>eisen die de bodemregelgeving stelt aan het toepassen van bouwstoffen - dan is er geen bezwaar om het toepassen van staalslakken toe te staan.</w:t>
      </w:r>
    </w:p>
    <w:p w:rsidR="001A6D66" w:rsidP="001A6D66" w:rsidRDefault="001A6D66" w14:paraId="2CBDFFA6" w14:textId="77777777"/>
    <w:p w:rsidRPr="002522E0" w:rsidR="001A6D66" w:rsidP="001A6D66" w:rsidRDefault="001A6D66" w14:paraId="1005586D" w14:textId="77777777">
      <w:pPr>
        <w:rPr>
          <w:b/>
          <w:bCs/>
        </w:rPr>
      </w:pPr>
      <w:r>
        <w:rPr>
          <w:b/>
          <w:bCs/>
        </w:rPr>
        <w:t>Vraag 6</w:t>
      </w:r>
    </w:p>
    <w:p w:rsidRPr="002522E0" w:rsidR="001A6D66" w:rsidP="001A6D66" w:rsidRDefault="001A6D66" w14:paraId="381E0E43" w14:textId="390BC5B8">
      <w:pPr>
        <w:rPr>
          <w:b/>
          <w:bCs/>
        </w:rPr>
      </w:pPr>
      <w:r>
        <w:t>Bent u er mee bekend dat Pelt &amp; Hooykaas (vóór 2021) in haar productcertificaat voor LD-staalslakken</w:t>
      </w:r>
      <w:r w:rsidR="005A77EB">
        <w:rPr>
          <w:rStyle w:val="FootnoteReference"/>
        </w:rPr>
        <w:footnoteReference w:id="2"/>
      </w:r>
      <w:r>
        <w:t xml:space="preserve"> afnemers van LD-staalslakken liet weten dat de pH-waarde van de bodem, grondwater en nabijgelegen oppervlaktewater, vanwege de eigenschappen van LD-staalslakken, tijdelijk kan worden verhoogd en dat zij de afnemers van LD-staalslakken adviseerde om adequate voorzieningen te treffen om dit tegen te gaan?</w:t>
      </w:r>
      <w:r>
        <w:br/>
      </w:r>
      <w:r>
        <w:br/>
      </w:r>
      <w:r>
        <w:rPr>
          <w:b/>
          <w:bCs/>
        </w:rPr>
        <w:t>Antwoord 6</w:t>
      </w:r>
    </w:p>
    <w:p w:rsidR="00BD46B4" w:rsidP="001A6D66" w:rsidRDefault="00D537FB" w14:paraId="4696E17D" w14:textId="77777777">
      <w:r>
        <w:t>Ja, daar ben ik mee bekend.</w:t>
      </w:r>
      <w:r w:rsidR="001A6D66">
        <w:t xml:space="preserve"> Het betreft een </w:t>
      </w:r>
      <w:r w:rsidR="00BD46B4">
        <w:t>product</w:t>
      </w:r>
      <w:r w:rsidR="001A6D66">
        <w:t>certificaat voor LD-staalslak 0/90 mm ZV (bekend onder de naam BGS-Fill)</w:t>
      </w:r>
      <w:r w:rsidR="00BD46B4">
        <w:t xml:space="preserve"> uit 2017</w:t>
      </w:r>
      <w:r w:rsidR="001A6D66">
        <w:t xml:space="preserve">. </w:t>
      </w:r>
    </w:p>
    <w:p w:rsidR="001A6D66" w:rsidP="001A6D66" w:rsidRDefault="006B6484" w14:paraId="7415F0CF" w14:textId="61D9E5C6">
      <w:r>
        <w:t>S</w:t>
      </w:r>
      <w:r w:rsidR="001A6D66">
        <w:t xml:space="preserve">inds 1 januari 2024 </w:t>
      </w:r>
      <w:r>
        <w:t xml:space="preserve">zijn </w:t>
      </w:r>
      <w:r w:rsidR="001A6D66">
        <w:t>leveranciers verplicht om in de milieuverklaring bodemkwaliteit te vermelden welke voorwaarden en beperkingen de toepasser in acht moet nemen.</w:t>
      </w:r>
    </w:p>
    <w:p w:rsidR="001A6D66" w:rsidP="001A6D66" w:rsidRDefault="001A6D66" w14:paraId="08C4388D" w14:textId="77777777"/>
    <w:p w:rsidRPr="002522E0" w:rsidR="001A6D66" w:rsidP="001A6D66" w:rsidRDefault="001A6D66" w14:paraId="6ABA3CBB" w14:textId="77777777">
      <w:pPr>
        <w:rPr>
          <w:b/>
          <w:bCs/>
        </w:rPr>
      </w:pPr>
      <w:r>
        <w:rPr>
          <w:b/>
          <w:bCs/>
        </w:rPr>
        <w:t>Vraag 7</w:t>
      </w:r>
    </w:p>
    <w:p w:rsidR="001A6D66" w:rsidP="001A6D66" w:rsidRDefault="001A6D66" w14:paraId="05B8C507" w14:textId="6630558B">
      <w:r>
        <w:t>Bent u ermee bekend dat Pelt &amp; Hooykaas in 2021 deze waarschuwing heeft aangescherpt, waardoor er nu op voorhand een plan van aanpak wordt verlangd waaruit blijkt op welke wijze is gewaarborgd dat de LD-staalslakken niet permanent in contact komen met hemel-, grond- en oppervlaktewater, zodat milieueffecten als gevolg van het uitspoelen van vrije kalk voorkomen zullen worden</w:t>
      </w:r>
      <w:r w:rsidR="005A77EB">
        <w:rPr>
          <w:rStyle w:val="FootnoteReference"/>
        </w:rPr>
        <w:footnoteReference w:id="3"/>
      </w:r>
      <w:r>
        <w:t>?</w:t>
      </w:r>
      <w:r>
        <w:br/>
      </w:r>
    </w:p>
    <w:p w:rsidRPr="002522E0" w:rsidR="001A6D66" w:rsidP="001A6D66" w:rsidRDefault="001A6D66" w14:paraId="1C6B5105" w14:textId="77777777">
      <w:pPr>
        <w:rPr>
          <w:b/>
          <w:bCs/>
        </w:rPr>
      </w:pPr>
      <w:r>
        <w:rPr>
          <w:b/>
          <w:bCs/>
        </w:rPr>
        <w:t>Antwoord 7</w:t>
      </w:r>
    </w:p>
    <w:p w:rsidR="001A6D66" w:rsidP="001A6D66" w:rsidRDefault="001A6D66" w14:paraId="5C0FFE7D" w14:textId="6C2D2060">
      <w:r>
        <w:t xml:space="preserve">Ja, ik ben ermee bekend dat Pelt &amp; Hooykaas naar aanleiding van problemen die zich </w:t>
      </w:r>
      <w:r w:rsidR="00BD46B4">
        <w:t xml:space="preserve">in grootschalige toepassingen </w:t>
      </w:r>
      <w:r>
        <w:t xml:space="preserve">hebben voorgedaan met het product BGS Fill dergelijke voorwaarden voor de toepassing van dit product stelt. </w:t>
      </w:r>
    </w:p>
    <w:p w:rsidR="001A6D66" w:rsidP="001A6D66" w:rsidRDefault="001A6D66" w14:paraId="6CA2DACC" w14:textId="77777777">
      <w:pPr>
        <w:ind w:left="360"/>
      </w:pPr>
    </w:p>
    <w:p w:rsidR="005A77EB" w:rsidP="001A6D66" w:rsidRDefault="005A77EB" w14:paraId="00655066" w14:textId="77777777">
      <w:pPr>
        <w:rPr>
          <w:b/>
          <w:bCs/>
        </w:rPr>
      </w:pPr>
    </w:p>
    <w:p w:rsidRPr="002522E0" w:rsidR="001A6D66" w:rsidP="001A6D66" w:rsidRDefault="001A6D66" w14:paraId="3EB0B8B3" w14:textId="1D271BE1">
      <w:pPr>
        <w:rPr>
          <w:b/>
          <w:bCs/>
        </w:rPr>
      </w:pPr>
      <w:r>
        <w:rPr>
          <w:b/>
          <w:bCs/>
        </w:rPr>
        <w:t>Vraag 8</w:t>
      </w:r>
    </w:p>
    <w:p w:rsidR="001A6D66" w:rsidP="001A6D66" w:rsidRDefault="001A6D66" w14:paraId="1CAA76C8" w14:textId="77777777">
      <w:r>
        <w:t>Wat vindt u ervan dat de Inspectie Leefomgeving en Transport (ILT) in haar signaalrapportage van 2023 al heeft aangegeven dat de kaders van de regelgeving de risico’s van de toepassing van LD-staalslakken voor mens en milieu niet afdekt?</w:t>
      </w:r>
    </w:p>
    <w:p w:rsidR="00BF6AB2" w:rsidP="00BF6AB2" w:rsidRDefault="00BF6AB2" w14:paraId="6E434F57" w14:textId="77777777"/>
    <w:p w:rsidRPr="002522E0" w:rsidR="001A6D66" w:rsidP="001A6D66" w:rsidRDefault="001A6D66" w14:paraId="37BB01BC" w14:textId="77777777">
      <w:pPr>
        <w:rPr>
          <w:b/>
          <w:bCs/>
        </w:rPr>
      </w:pPr>
      <w:r>
        <w:rPr>
          <w:b/>
          <w:bCs/>
        </w:rPr>
        <w:t>Antwoord 8</w:t>
      </w:r>
    </w:p>
    <w:p w:rsidR="005A77EB" w:rsidP="001A6D66" w:rsidRDefault="001A6D66" w14:paraId="0542053E" w14:textId="77777777">
      <w:r>
        <w:t>De signaalrapportage van ILT van 2023 leidde tot zorgen over uiteenlopende toepassingen van staalslakken. De rapportage gaat echter alleen over de risico’s van zandvervangende staalslakken in grootschalige toepassingen zoals aanvullingen en ophogingen</w:t>
      </w:r>
      <w:r w:rsidR="00BF6AB2">
        <w:t xml:space="preserve"> op land</w:t>
      </w:r>
      <w:r>
        <w:t>. Zoals ook in de beleidsreactie</w:t>
      </w:r>
      <w:r>
        <w:rPr>
          <w:rStyle w:val="FootnoteReference"/>
        </w:rPr>
        <w:footnoteReference w:id="4"/>
      </w:r>
      <w:r>
        <w:t xml:space="preserve"> bij de aanbieding van deze signaalrapportage aan </w:t>
      </w:r>
      <w:r w:rsidR="005A77EB">
        <w:t>de</w:t>
      </w:r>
      <w:r>
        <w:t xml:space="preserve"> Kamer werd aangegeven, worden de zorgen uit de signaalrapportage herkend. </w:t>
      </w:r>
    </w:p>
    <w:p w:rsidR="001A6D66" w:rsidP="001A6D66" w:rsidRDefault="001A6D66" w14:paraId="1C3E5DD2" w14:textId="63E5E2FE">
      <w:r>
        <w:t>Het is daarbij van belang om te benadrukken dat naast toepassingseisen uit de regelgeving ook de zorgplicht</w:t>
      </w:r>
      <w:r w:rsidR="00BD46B4">
        <w:t>,</w:t>
      </w:r>
      <w:r>
        <w:t xml:space="preserve"> zoals verwoord in artikel 2.11 van het Besluit activiteiten leefomgeving, geldt om risico's voor mens en milieu te voorkomen. Dit staat ook beschreven in de Circulaire Toepassing van staalslak</w:t>
      </w:r>
      <w:r>
        <w:rPr>
          <w:rStyle w:val="FootnoteReference"/>
        </w:rPr>
        <w:footnoteReference w:id="5"/>
      </w:r>
      <w:r>
        <w:t xml:space="preserve">. Op basis van de zorgplicht mogen toepassers staalslakken niet op een verkeerde manier toepassen of toepassen in situaties waarvoor ze ongeschikt zijn.  </w:t>
      </w:r>
    </w:p>
    <w:p w:rsidR="001A6D66" w:rsidP="001A6D66" w:rsidRDefault="001A6D66" w14:paraId="1FA1F092" w14:textId="3C694B00">
      <w:r>
        <w:t xml:space="preserve">Dat het desondanks in bepaalde gevallen in de praktijk toch </w:t>
      </w:r>
      <w:r w:rsidR="00613D59">
        <w:t>misgaat</w:t>
      </w:r>
      <w:r>
        <w:t xml:space="preserve">, vind ik zeer kwalijk. Daarom is de afgelopen periode een aantal stappen gezet: </w:t>
      </w:r>
    </w:p>
    <w:p w:rsidRPr="003979BE" w:rsidR="001A6D66" w:rsidP="001A6D66" w:rsidRDefault="001A6D66" w14:paraId="2296DC1F" w14:textId="77777777">
      <w:pPr>
        <w:pStyle w:val="ListParagraph"/>
        <w:numPr>
          <w:ilvl w:val="0"/>
          <w:numId w:val="22"/>
        </w:numPr>
        <w:spacing w:after="0"/>
        <w:rPr>
          <w:rFonts w:ascii="Verdana" w:hAnsi="Verdana"/>
          <w:sz w:val="18"/>
          <w:szCs w:val="18"/>
        </w:rPr>
      </w:pPr>
      <w:r w:rsidRPr="003979BE">
        <w:rPr>
          <w:rFonts w:ascii="Verdana" w:hAnsi="Verdana"/>
          <w:sz w:val="18"/>
          <w:szCs w:val="18"/>
        </w:rPr>
        <w:t xml:space="preserve">Sinds 1 januari 2024 is het voor leveranciers verplicht om in de milieuverklaring bodemkwaliteit te vermelden welke voorwaarden en beperkingen de toepasser in acht moet nemen. </w:t>
      </w:r>
    </w:p>
    <w:p w:rsidRPr="003979BE" w:rsidR="001A6D66" w:rsidP="001A6D66" w:rsidRDefault="001A6D66" w14:paraId="108744E4" w14:textId="77777777">
      <w:pPr>
        <w:pStyle w:val="ListParagraph"/>
        <w:numPr>
          <w:ilvl w:val="0"/>
          <w:numId w:val="22"/>
        </w:numPr>
        <w:spacing w:after="0"/>
        <w:rPr>
          <w:rFonts w:ascii="Verdana" w:hAnsi="Verdana"/>
          <w:sz w:val="18"/>
          <w:szCs w:val="18"/>
        </w:rPr>
      </w:pPr>
      <w:r w:rsidRPr="003979BE">
        <w:rPr>
          <w:rFonts w:ascii="Verdana" w:hAnsi="Verdana"/>
          <w:sz w:val="18"/>
          <w:szCs w:val="18"/>
        </w:rPr>
        <w:t xml:space="preserve">Op 8 mei 2024 heeft de Circulaire Toepassing van staalslak een update gekregen. Daarmee worden de risico’s opnieuw onder de aandacht gebracht en wordt aangegeven hoe met deze toepassingen invulling kan worden gegeven aan de zorgplicht. </w:t>
      </w:r>
    </w:p>
    <w:p w:rsidRPr="003979BE" w:rsidR="001A6D66" w:rsidP="001A6D66" w:rsidRDefault="001A6D66" w14:paraId="306A9813" w14:textId="77777777">
      <w:pPr>
        <w:pStyle w:val="ListParagraph"/>
        <w:numPr>
          <w:ilvl w:val="0"/>
          <w:numId w:val="22"/>
        </w:numPr>
        <w:spacing w:after="0"/>
        <w:rPr>
          <w:rFonts w:ascii="Verdana" w:hAnsi="Verdana"/>
          <w:sz w:val="18"/>
          <w:szCs w:val="18"/>
        </w:rPr>
      </w:pPr>
      <w:r w:rsidRPr="003979BE">
        <w:rPr>
          <w:rFonts w:ascii="Verdana" w:hAnsi="Verdana"/>
          <w:sz w:val="18"/>
          <w:szCs w:val="18"/>
        </w:rPr>
        <w:t>Er is gestart met de implementatie van een informatieplicht voor het toepassen van staalslakken in het Besluit activiteiten leefomgeving. Deze ligt momenteel ter consultatie voor</w:t>
      </w:r>
      <w:r w:rsidRPr="003979BE">
        <w:rPr>
          <w:rStyle w:val="FootnoteReference"/>
          <w:rFonts w:ascii="Verdana" w:hAnsi="Verdana"/>
          <w:sz w:val="18"/>
          <w:szCs w:val="18"/>
        </w:rPr>
        <w:footnoteReference w:id="6"/>
      </w:r>
      <w:r w:rsidRPr="003979BE">
        <w:rPr>
          <w:rFonts w:ascii="Verdana" w:hAnsi="Verdana"/>
          <w:sz w:val="18"/>
          <w:szCs w:val="18"/>
        </w:rPr>
        <w:t>.</w:t>
      </w:r>
    </w:p>
    <w:p w:rsidR="001A6D66" w:rsidP="001A6D66" w:rsidRDefault="001A6D66" w14:paraId="0458E20E" w14:textId="12C42B24">
      <w:pPr>
        <w:pStyle w:val="ListParagraph"/>
        <w:numPr>
          <w:ilvl w:val="0"/>
          <w:numId w:val="22"/>
        </w:numPr>
        <w:spacing w:after="0"/>
        <w:rPr>
          <w:rFonts w:ascii="Verdana" w:hAnsi="Verdana"/>
          <w:sz w:val="18"/>
          <w:szCs w:val="18"/>
        </w:rPr>
      </w:pPr>
      <w:r w:rsidRPr="003979BE">
        <w:rPr>
          <w:rFonts w:ascii="Verdana" w:hAnsi="Verdana"/>
          <w:sz w:val="18"/>
          <w:szCs w:val="18"/>
        </w:rPr>
        <w:t>RIVM heeft op verzoek van mijn voorganger de kaders voor toepassing van secundaire bouwstoffen geëvalueerd. Mede op basis van deze evaluatie bekijk ik in het kader van de herijking van de bodemregelgeving wat ik nog meer kan doen om de veiligheid van toepassen beter te borgen).</w:t>
      </w:r>
    </w:p>
    <w:p w:rsidRPr="003979BE" w:rsidR="00DE18CA" w:rsidP="001A6D66" w:rsidRDefault="00DE18CA" w14:paraId="58863A28" w14:textId="16A9EE16">
      <w:pPr>
        <w:pStyle w:val="ListParagraph"/>
        <w:numPr>
          <w:ilvl w:val="0"/>
          <w:numId w:val="22"/>
        </w:numPr>
        <w:spacing w:after="0"/>
        <w:rPr>
          <w:rFonts w:ascii="Verdana" w:hAnsi="Verdana"/>
          <w:sz w:val="18"/>
          <w:szCs w:val="18"/>
        </w:rPr>
      </w:pPr>
      <w:r>
        <w:rPr>
          <w:rFonts w:ascii="Verdana" w:hAnsi="Verdana"/>
          <w:sz w:val="18"/>
          <w:szCs w:val="18"/>
        </w:rPr>
        <w:t xml:space="preserve">De ILT doet nog onderzoek naar een aantal specifieke locaties. </w:t>
      </w:r>
    </w:p>
    <w:p w:rsidR="001A6D66" w:rsidP="001A6D66" w:rsidRDefault="001A6D66" w14:paraId="60E4DBB2" w14:textId="77777777">
      <w:pPr>
        <w:ind w:left="360"/>
      </w:pPr>
    </w:p>
    <w:p w:rsidRPr="00250D50" w:rsidR="001A6D66" w:rsidP="001A6D66" w:rsidRDefault="001A6D66" w14:paraId="46CD26BD" w14:textId="77777777">
      <w:pPr>
        <w:rPr>
          <w:b/>
          <w:bCs/>
        </w:rPr>
      </w:pPr>
      <w:r>
        <w:rPr>
          <w:b/>
          <w:bCs/>
        </w:rPr>
        <w:t>Vraag 9</w:t>
      </w:r>
    </w:p>
    <w:p w:rsidR="001A6D66" w:rsidP="001A6D66" w:rsidRDefault="001A6D66" w14:paraId="4753E9CA" w14:textId="3FE5E322">
      <w:r>
        <w:t>Deelt u de mening dat LD-staalslakken niet meer toegepast zouden moeten worden op landbodems als deze in contact kunnen komen met regen-, grond- en oppervlaktewater? Zo ja, kunt u die specifieke toepassingsvoorwaarde in wet- en regelgeving verankeren? Zo nee, dienen voor grootschalige toepassing van LD-staalslakken op landbodems algemene en/of bijzondere voorzorgsmaatregelen te worden getroffen en zo ja, welke zijn dit volgens u?</w:t>
      </w:r>
    </w:p>
    <w:p w:rsidR="001A6D66" w:rsidP="001A6D66" w:rsidRDefault="001A6D66" w14:paraId="793CCF02" w14:textId="77777777">
      <w:pPr>
        <w:ind w:left="360"/>
      </w:pPr>
    </w:p>
    <w:p w:rsidRPr="00250D50" w:rsidR="001A6D66" w:rsidP="001A6D66" w:rsidRDefault="001A6D66" w14:paraId="2CDE7DC2" w14:textId="50CFBC44">
      <w:pPr>
        <w:rPr>
          <w:b/>
          <w:bCs/>
        </w:rPr>
      </w:pPr>
      <w:r>
        <w:rPr>
          <w:b/>
          <w:bCs/>
        </w:rPr>
        <w:t>Antwoord 9</w:t>
      </w:r>
    </w:p>
    <w:p w:rsidR="001A6D66" w:rsidP="001A6D66" w:rsidRDefault="001A6D66" w14:paraId="6E8B4308" w14:textId="74D34508">
      <w:r>
        <w:t>Als er schadelijke milieugevolgen optreden door contact met grond- en regenwater is het op grond van de zorgplicht nu al verboden om staalslakken toe te passen. Immers, op grond van de zorgplicht zijn toepassers verplicht alle maatregelen te nemen die redelijkerwijs mogelijk zijn om nadelige gevolgen te voorkomen, of deze zoveel als mogelijk te beperken of ongedaan te maken. Het is de verantwoordelijkheid van bevoegd gezag om op de naleving van deze verplichting toe te zien en zo</w:t>
      </w:r>
      <w:r w:rsidR="00BD46B4">
        <w:t xml:space="preserve"> </w:t>
      </w:r>
      <w:r>
        <w:t>nodig handhavend op te treden.</w:t>
      </w:r>
    </w:p>
    <w:p w:rsidR="001A6D66" w:rsidP="001A6D66" w:rsidRDefault="001A6D66" w14:paraId="6F9775A7" w14:textId="3321497F">
      <w:r>
        <w:t>Zoals ook in de Circulaire Toepassing van staalslak is verwoord, zijn</w:t>
      </w:r>
      <w:r w:rsidDel="00D65DD3">
        <w:t xml:space="preserve"> </w:t>
      </w:r>
      <w:r>
        <w:t>verschillende factoren zoals de omvang van het werk, het ontwerp en de omvang en doorstroming van het aanwezige oppervlaktewater van invloed op de risico’s bij toepassing van staalslakken op land. Daarom zal de vraag of de keuze voor staalslakken als bouwstof een juiste is en welke maatregelen dan precies nodig zijn per situatie verschillen en vragen om maatwerk waar toepassers op grond van de zorgplicht toe verplicht zijn.</w:t>
      </w:r>
    </w:p>
    <w:p w:rsidR="001A6D66" w:rsidP="001A6D66" w:rsidRDefault="001A6D66" w14:paraId="2089694D" w14:textId="5F769F07">
      <w:r>
        <w:t xml:space="preserve">Dat het desondanks </w:t>
      </w:r>
      <w:r w:rsidR="000E644B">
        <w:t>in bepaalde gevallen</w:t>
      </w:r>
      <w:r w:rsidR="00CD65F7">
        <w:t xml:space="preserve"> zoals in Spijk en Eerbeek</w:t>
      </w:r>
      <w:r w:rsidR="000E644B">
        <w:t xml:space="preserve"> </w:t>
      </w:r>
      <w:r>
        <w:t xml:space="preserve">toch mis </w:t>
      </w:r>
      <w:r w:rsidR="000E644B">
        <w:t>blijkt te zijn</w:t>
      </w:r>
      <w:r>
        <w:t xml:space="preserve"> gegaan was en is aanleiding voor een aantal stappen die reeds gezet zijn </w:t>
      </w:r>
      <w:r w:rsidR="00C00337">
        <w:t>(</w:t>
      </w:r>
      <w:r w:rsidR="006B6484">
        <w:t>zoals benoemd in</w:t>
      </w:r>
      <w:r>
        <w:t xml:space="preserve"> het antwoord op vraag 8</w:t>
      </w:r>
      <w:r w:rsidR="00C00337">
        <w:t>)</w:t>
      </w:r>
      <w:r>
        <w:t xml:space="preserve"> en om te bekijken wat er nog meer kan helpen</w:t>
      </w:r>
      <w:r w:rsidR="006B6484">
        <w:t>.</w:t>
      </w:r>
    </w:p>
    <w:p w:rsidR="001A6D66" w:rsidP="001A6D66" w:rsidRDefault="001A6D66" w14:paraId="52997C86" w14:textId="77777777"/>
    <w:p w:rsidRPr="00250D50" w:rsidR="001A6D66" w:rsidP="001A6D66" w:rsidRDefault="001A6D66" w14:paraId="654AFA71" w14:textId="77777777">
      <w:pPr>
        <w:rPr>
          <w:b/>
          <w:bCs/>
        </w:rPr>
      </w:pPr>
      <w:r>
        <w:rPr>
          <w:b/>
          <w:bCs/>
        </w:rPr>
        <w:t>Vraag 10</w:t>
      </w:r>
    </w:p>
    <w:p w:rsidR="001A6D66" w:rsidP="001A6D66" w:rsidRDefault="001A6D66" w14:paraId="0876B21F" w14:textId="61D5088E">
      <w:r>
        <w:t>Deelt u de observatie dat zorgen over de toepassing van staalslakken niet alleen voortkomen uit enkele incidenten, zoals u eerder aangaf in de beantwoording op Kamervragen</w:t>
      </w:r>
      <w:r w:rsidR="005A77EB">
        <w:rPr>
          <w:rStyle w:val="FootnoteReference"/>
        </w:rPr>
        <w:footnoteReference w:id="7"/>
      </w:r>
      <w:r>
        <w:t>, maar dat er al jaren sprake is van misstanden bij grootschalige toepassing van LD-staalslakken, zoals blijkt uit een rapport uit 2007</w:t>
      </w:r>
      <w:r w:rsidR="005A77EB">
        <w:rPr>
          <w:rStyle w:val="FootnoteReference"/>
        </w:rPr>
        <w:footnoteReference w:id="8"/>
      </w:r>
      <w:r>
        <w:t>, en misstanden bij grootschalige toepassing van LD-staalslakken in Hellevoetsluis, Spijk, Eerbeek, de Aagtenbelt en De Centrale As? Deelt u de mening dat het hier dus gaat om een structureel probleem en dat actie is vereist? Zo nee, waarom niet?</w:t>
      </w:r>
    </w:p>
    <w:p w:rsidR="001A6D66" w:rsidP="001A6D66" w:rsidRDefault="001A6D66" w14:paraId="4C9C0669" w14:textId="77777777"/>
    <w:p w:rsidRPr="00250D50" w:rsidR="001A6D66" w:rsidP="001A6D66" w:rsidRDefault="001A6D66" w14:paraId="18AEB7FF" w14:textId="77777777">
      <w:pPr>
        <w:rPr>
          <w:b/>
          <w:bCs/>
        </w:rPr>
      </w:pPr>
      <w:r>
        <w:rPr>
          <w:b/>
          <w:bCs/>
        </w:rPr>
        <w:t>Antwoord 10</w:t>
      </w:r>
    </w:p>
    <w:p w:rsidR="001A6D66" w:rsidP="001A6D66" w:rsidRDefault="001A6D66" w14:paraId="01D580EA" w14:textId="1FEF0627">
      <w:r>
        <w:t xml:space="preserve">Het is </w:t>
      </w:r>
      <w:r w:rsidR="006B6484">
        <w:t>regel</w:t>
      </w:r>
      <w:r w:rsidR="00F16AFA">
        <w:t>m</w:t>
      </w:r>
      <w:r w:rsidR="006B6484">
        <w:t>atig</w:t>
      </w:r>
      <w:r>
        <w:t xml:space="preserve"> fout gegaan bij de toepassing van LD-staalslakken. Daarom zijn er stappen ondernomen en ben ik op dit moment in het kader van de herijking van de bodemregelgeving aan de slag met:</w:t>
      </w:r>
    </w:p>
    <w:p w:rsidRPr="003979BE" w:rsidR="001A6D66" w:rsidP="001A6D66" w:rsidRDefault="001A6D66" w14:paraId="76BF4B39" w14:textId="77777777">
      <w:pPr>
        <w:pStyle w:val="ListParagraph"/>
        <w:numPr>
          <w:ilvl w:val="0"/>
          <w:numId w:val="23"/>
        </w:numPr>
        <w:spacing w:after="0"/>
        <w:rPr>
          <w:rFonts w:ascii="Verdana" w:hAnsi="Verdana"/>
          <w:sz w:val="18"/>
          <w:szCs w:val="18"/>
        </w:rPr>
      </w:pPr>
      <w:r w:rsidRPr="003979BE">
        <w:rPr>
          <w:rFonts w:ascii="Verdana" w:hAnsi="Verdana"/>
          <w:sz w:val="18"/>
          <w:szCs w:val="18"/>
        </w:rPr>
        <w:t>Het ontwikkelen van maatregelen om een betere beoordeling te kunnen maken bij keuze van de bouwstof en de wijze van toepassen.</w:t>
      </w:r>
    </w:p>
    <w:p w:rsidRPr="003979BE" w:rsidR="001A6D66" w:rsidP="001A6D66" w:rsidRDefault="001A6D66" w14:paraId="23B5CF15" w14:textId="6326168C">
      <w:pPr>
        <w:pStyle w:val="ListParagraph"/>
        <w:numPr>
          <w:ilvl w:val="0"/>
          <w:numId w:val="23"/>
        </w:numPr>
        <w:spacing w:after="0"/>
        <w:rPr>
          <w:rFonts w:ascii="Verdana" w:hAnsi="Verdana"/>
          <w:sz w:val="18"/>
          <w:szCs w:val="18"/>
        </w:rPr>
      </w:pPr>
      <w:r w:rsidRPr="003979BE">
        <w:rPr>
          <w:rFonts w:ascii="Verdana" w:hAnsi="Verdana"/>
          <w:sz w:val="18"/>
          <w:szCs w:val="18"/>
        </w:rPr>
        <w:t xml:space="preserve">Na te gaan of meer zicht op bouwstoffen nodig is en hoe dat kan worden verkregen, bijvoorbeeld door </w:t>
      </w:r>
      <w:r w:rsidR="006B6484">
        <w:rPr>
          <w:rFonts w:ascii="Verdana" w:hAnsi="Verdana"/>
          <w:sz w:val="18"/>
          <w:szCs w:val="18"/>
        </w:rPr>
        <w:t xml:space="preserve">het </w:t>
      </w:r>
      <w:r w:rsidRPr="003979BE">
        <w:rPr>
          <w:rFonts w:ascii="Verdana" w:hAnsi="Verdana"/>
          <w:sz w:val="18"/>
          <w:szCs w:val="18"/>
        </w:rPr>
        <w:t>invoeren landelijke registratie van toepassingslocaties.</w:t>
      </w:r>
    </w:p>
    <w:p w:rsidRPr="003979BE" w:rsidR="001A6D66" w:rsidP="001A6D66" w:rsidRDefault="001A6D66" w14:paraId="10D62F79" w14:textId="77777777">
      <w:pPr>
        <w:pStyle w:val="ListParagraph"/>
        <w:numPr>
          <w:ilvl w:val="0"/>
          <w:numId w:val="23"/>
        </w:numPr>
        <w:spacing w:after="0"/>
        <w:rPr>
          <w:rFonts w:ascii="Verdana" w:hAnsi="Verdana"/>
          <w:sz w:val="18"/>
          <w:szCs w:val="18"/>
        </w:rPr>
      </w:pPr>
      <w:r w:rsidRPr="003979BE">
        <w:rPr>
          <w:rFonts w:ascii="Verdana" w:hAnsi="Verdana"/>
          <w:sz w:val="18"/>
          <w:szCs w:val="18"/>
        </w:rPr>
        <w:t>Na te gaan hoe ik toepassers en toezichthouders handvatten kan geven om te voorkomen dat meer wordt toegepast dan nodig (wat wettelijk al niet is toegestaan).</w:t>
      </w:r>
    </w:p>
    <w:p w:rsidRPr="003979BE" w:rsidR="001A6D66" w:rsidP="001A6D66" w:rsidRDefault="001A6D66" w14:paraId="03E7FC71" w14:textId="2E6F1565">
      <w:pPr>
        <w:pStyle w:val="ListParagraph"/>
        <w:numPr>
          <w:ilvl w:val="0"/>
          <w:numId w:val="23"/>
        </w:numPr>
        <w:spacing w:after="0"/>
        <w:rPr>
          <w:rFonts w:ascii="Verdana" w:hAnsi="Verdana"/>
          <w:sz w:val="18"/>
          <w:szCs w:val="18"/>
        </w:rPr>
      </w:pPr>
      <w:r w:rsidRPr="003979BE">
        <w:rPr>
          <w:rFonts w:ascii="Verdana" w:hAnsi="Verdana"/>
          <w:sz w:val="18"/>
          <w:szCs w:val="18"/>
        </w:rPr>
        <w:t>Te onderzoeken of het zinvol is waarborgen van de kwaliteit van toepassen binnen het publieke private stelsel van kwaliteitsborging bodembeheer (Kwalibo) in te bouwen.</w:t>
      </w:r>
    </w:p>
    <w:p w:rsidR="005A77EB" w:rsidP="001A6D66" w:rsidRDefault="001A6D66" w14:paraId="77EE71D2" w14:textId="77777777">
      <w:r>
        <w:t>Voor meer informatie over de stappen die ik onderneem in het kader van de herijking van de bodemregelgeving verwijs ik u naar de Verzamelbrief bodem en ondergrond van 12 november 2024</w:t>
      </w:r>
      <w:r>
        <w:rPr>
          <w:rStyle w:val="FootnoteReference"/>
        </w:rPr>
        <w:footnoteReference w:id="9"/>
      </w:r>
      <w:r>
        <w:t>.</w:t>
      </w:r>
    </w:p>
    <w:p w:rsidR="001A6D66" w:rsidP="001A6D66" w:rsidRDefault="001A6D66" w14:paraId="4F6023E8" w14:textId="01D588D1">
      <w:r>
        <w:t>Naast de bodemregelgeving zijn ook de juridische kaders van</w:t>
      </w:r>
      <w:r w:rsidR="00613D59">
        <w:t xml:space="preserve"> </w:t>
      </w:r>
      <w:r>
        <w:t>REACH en CLP</w:t>
      </w:r>
      <w:r w:rsidR="00613D59">
        <w:rPr>
          <w:rStyle w:val="FootnoteReference"/>
        </w:rPr>
        <w:footnoteReference w:id="10"/>
      </w:r>
      <w:r>
        <w:t xml:space="preserve"> van toepassing.</w:t>
      </w:r>
      <w:bookmarkStart w:name="_Hlk189575864" w:id="1"/>
      <w:r>
        <w:t xml:space="preserve"> Ik bekijk in hoeverre hier mogelijkheden liggen om de risico’s beter te beheersen.</w:t>
      </w:r>
    </w:p>
    <w:bookmarkEnd w:id="1"/>
    <w:p w:rsidR="001A6D66" w:rsidP="001A6D66" w:rsidRDefault="001A6D66" w14:paraId="364E59D7" w14:textId="77777777">
      <w:pPr>
        <w:ind w:left="360"/>
      </w:pPr>
    </w:p>
    <w:p w:rsidRPr="00250D50" w:rsidR="001A6D66" w:rsidP="001A6D66" w:rsidRDefault="001A6D66" w14:paraId="76D96FC8" w14:textId="2F438170">
      <w:pPr>
        <w:rPr>
          <w:b/>
          <w:bCs/>
        </w:rPr>
      </w:pPr>
      <w:r>
        <w:rPr>
          <w:b/>
          <w:bCs/>
        </w:rPr>
        <w:t>Vraag 11</w:t>
      </w:r>
    </w:p>
    <w:p w:rsidR="001A6D66" w:rsidP="001A6D66" w:rsidRDefault="001A6D66" w14:paraId="0EA25454" w14:textId="77777777">
      <w:r>
        <w:t>Kunt u vijf voorbeelden geven waar LD-staalslakken op grootschalige wijze (meer dan 100.000 ton) zijn toegepast op landbodems zonder dat dit heeft geleid tot ongunstige effecten voor het milieu of de menselijke gezondheid?</w:t>
      </w:r>
    </w:p>
    <w:p w:rsidR="001A6D66" w:rsidP="001A6D66" w:rsidRDefault="001A6D66" w14:paraId="0489D9FC" w14:textId="77777777">
      <w:bookmarkStart w:name="_Hlk185345924" w:id="2"/>
    </w:p>
    <w:p w:rsidRPr="00250D50" w:rsidR="001A6D66" w:rsidP="001A6D66" w:rsidRDefault="001A6D66" w14:paraId="377C4641" w14:textId="77777777">
      <w:pPr>
        <w:rPr>
          <w:b/>
          <w:bCs/>
        </w:rPr>
      </w:pPr>
      <w:r>
        <w:rPr>
          <w:b/>
          <w:bCs/>
        </w:rPr>
        <w:t>Antwoord 11</w:t>
      </w:r>
    </w:p>
    <w:p w:rsidR="001A6D66" w:rsidP="001A6D66" w:rsidRDefault="001A6D66" w14:paraId="359FFDD0" w14:textId="7F3F468B">
      <w:r>
        <w:t>Wanneer voldaan wordt aan de gestelde eisen zijn bouwstoffen vrij toepasbaar. Toepassingen hoeven niet gemeld of geregistreerd te worden. Zoals in het antwoord bij vraag 10 wordt aangegeven, wordt in het kader van de herijking van de regelgeving onderzoek gedaan naar een registratieplicht.</w:t>
      </w:r>
      <w:bookmarkEnd w:id="2"/>
    </w:p>
    <w:p w:rsidR="001A6D66" w:rsidP="001A6D66" w:rsidRDefault="001A6D66" w14:paraId="55D8D201" w14:textId="77777777"/>
    <w:p w:rsidRPr="00250D50" w:rsidR="001A6D66" w:rsidP="001A6D66" w:rsidRDefault="001A6D66" w14:paraId="79FD481A" w14:textId="77777777">
      <w:pPr>
        <w:rPr>
          <w:b/>
          <w:bCs/>
        </w:rPr>
      </w:pPr>
      <w:r>
        <w:rPr>
          <w:b/>
          <w:bCs/>
        </w:rPr>
        <w:t>Vraag 12</w:t>
      </w:r>
    </w:p>
    <w:p w:rsidR="001A6D66" w:rsidP="001A6D66" w:rsidRDefault="001A6D66" w14:paraId="04C40230" w14:textId="77777777">
      <w:r>
        <w:t>Op welke wijze moet het lokale bevoegd gezag per specifiek geval beoordelen of er staalslakken kunnen worden toegepast zolang er nog geen informatieplicht is ingevoerd? Bent u het eens dat de afnemers van de LD-staalslakken doorgaans niet over deze kennis zullen beschikken? Welke expertise veronderstelt u bij het lokale bevoegd gezag aanwezig?</w:t>
      </w:r>
    </w:p>
    <w:p w:rsidR="001A6D66" w:rsidP="001A6D66" w:rsidRDefault="001A6D66" w14:paraId="6E949EE9" w14:textId="77777777"/>
    <w:p w:rsidRPr="00250D50" w:rsidR="001A6D66" w:rsidP="001A6D66" w:rsidRDefault="001A6D66" w14:paraId="56A148AE" w14:textId="77777777">
      <w:pPr>
        <w:rPr>
          <w:b/>
          <w:bCs/>
        </w:rPr>
      </w:pPr>
      <w:r>
        <w:rPr>
          <w:b/>
          <w:bCs/>
        </w:rPr>
        <w:t>Antwoord 12</w:t>
      </w:r>
    </w:p>
    <w:p w:rsidR="001A6D66" w:rsidP="001A6D66" w:rsidRDefault="001A6D66" w14:paraId="046E14C1" w14:textId="41728611">
      <w:r>
        <w:t xml:space="preserve">Indien wordt voldaan aan de in de wet- en regelgeving gestelde eisen, zijn staalslakken vrij toepasbaar. Het bevoegd gezag kan op grond van haar bestaande bevoegdheden ingrijpen als de zorgplicht en andere toepassingseisen niet worden nageleefd of wanneer dat dreigt te gebeuren. Veelal zal dit op basis van signalen en inspecties gebeuren. De problemen </w:t>
      </w:r>
      <w:r w:rsidR="00CD65F7">
        <w:t>hebben zich</w:t>
      </w:r>
      <w:r>
        <w:t xml:space="preserve"> vooral voor</w:t>
      </w:r>
      <w:r w:rsidR="00CD65F7">
        <w:t>gedaan</w:t>
      </w:r>
      <w:r>
        <w:t xml:space="preserve"> bij grootschalige werken waar over het algemeen een uitgebreid beoordelings- of vergunning</w:t>
      </w:r>
      <w:r w:rsidR="00613D59">
        <w:t>s</w:t>
      </w:r>
      <w:r>
        <w:t xml:space="preserve">traject aan vooraf gaat en waarvoor honderden tot duizenden vrachtwagens nodig zijn om de LD-staalslakken aan te voeren. Daar liggen nu al de nodige aangrijpingspunten voor toezichthouders om zich te informeren over (voorgenomen) toepassingen.  </w:t>
      </w:r>
    </w:p>
    <w:p w:rsidR="001A6D66" w:rsidP="001A6D66" w:rsidRDefault="001A6D66" w14:paraId="0E1EE5EA" w14:textId="282E1420">
      <w:r>
        <w:t>Van toepassers van LD-staalslakken mag vanuit hun professionaliteit worden verwacht dat zij over voldoende kennis over LD-bouwstoffen beschikken. Als een toepasser een specifieke toepassingssituatie op het oog heeft en twijfel heeft over de toepasbaarheid van de LD-staalslak, dient hij bij de leverancier navraag doen over de kennis die de leverancier heeft over de toepasbaarheid van de LD-staalslak in het licht van de zorgplicht. Zo nodig kan de toepasser een deskundig adviseur inschakelen</w:t>
      </w:r>
      <w:r w:rsidR="00813DCA">
        <w:t>.</w:t>
      </w:r>
      <w:r>
        <w:t xml:space="preserve"> Bovendien roep ik toepassers op om, vooruitlopend op de informatieplicht, contact op te nemen met het bevoegd gezag voor het toezicht op de naleving van de toepassingsregels. </w:t>
      </w:r>
    </w:p>
    <w:p w:rsidR="005A77EB" w:rsidP="001A6D66" w:rsidRDefault="005A77EB" w14:paraId="67EE1226" w14:textId="77777777"/>
    <w:p w:rsidR="001A6D66" w:rsidP="001A6D66" w:rsidRDefault="001A6D66" w14:paraId="52670584" w14:textId="04706C0E">
      <w:r>
        <w:t xml:space="preserve">Het bevoegd gezag is verantwoordelijk voor toezicht en handhaving op de toepassing van staalslakken. In de praktijk ligt dit vaak bij de omgevingsdiensten. Met deze verantwoordelijkheid ligt daar ook de verantwoordelijkheid voor voldoende inzet en expertise om toezicht te kunnen houden. </w:t>
      </w:r>
      <w:r w:rsidRPr="00FF2639">
        <w:t>In aanvulling hierop financier ik vanuit IenW de kennisinfrastructuur VTH</w:t>
      </w:r>
      <w:r w:rsidR="00613D59">
        <w:t xml:space="preserve"> (vergunningverlening, toezicht en handhaving)</w:t>
      </w:r>
      <w:r w:rsidRPr="00FF2639">
        <w:t>. Via deze structuur kunnen medewerkers van omgevingsdiensten kennis uitwisselen op</w:t>
      </w:r>
      <w:r>
        <w:t xml:space="preserve"> verschillende thema’s. Dat neemt niet weg dat ik vanuit mijn verantwoordelijkheid</w:t>
      </w:r>
      <w:r w:rsidR="00CC7338">
        <w:t>, zoals hierboven aangegeven</w:t>
      </w:r>
      <w:r w:rsidR="00C00337">
        <w:t>,</w:t>
      </w:r>
      <w:r>
        <w:t xml:space="preserve"> ook </w:t>
      </w:r>
      <w:r w:rsidR="00CC7338">
        <w:t xml:space="preserve">aanvullende </w:t>
      </w:r>
      <w:r>
        <w:t xml:space="preserve">acties onderneem.  </w:t>
      </w:r>
    </w:p>
    <w:p w:rsidR="001A6D66" w:rsidP="001A6D66" w:rsidRDefault="001A6D66" w14:paraId="554B8C0B" w14:textId="77777777">
      <w:pPr>
        <w:ind w:left="360"/>
      </w:pPr>
    </w:p>
    <w:p w:rsidRPr="00250D50" w:rsidR="001A6D66" w:rsidP="001A6D66" w:rsidRDefault="001A6D66" w14:paraId="4E485BD6" w14:textId="77777777">
      <w:pPr>
        <w:rPr>
          <w:b/>
          <w:bCs/>
        </w:rPr>
      </w:pPr>
      <w:r>
        <w:rPr>
          <w:b/>
          <w:bCs/>
        </w:rPr>
        <w:t>Vraag 13</w:t>
      </w:r>
    </w:p>
    <w:p w:rsidR="001A6D66" w:rsidP="001A6D66" w:rsidRDefault="001A6D66" w14:paraId="48F7F26A" w14:textId="77777777">
      <w:r>
        <w:t>Hoe moet een bedrijf aantonen dat er aan bijproductvoorwaarden is voldaan en er geen sprake is van een afvalstof?</w:t>
      </w:r>
    </w:p>
    <w:p w:rsidR="001A6D66" w:rsidP="001A6D66" w:rsidRDefault="001A6D66" w14:paraId="6B1BA5E5" w14:textId="77777777"/>
    <w:p w:rsidRPr="00250D50" w:rsidR="001A6D66" w:rsidP="001A6D66" w:rsidRDefault="001A6D66" w14:paraId="1EB836C8" w14:textId="77777777">
      <w:pPr>
        <w:rPr>
          <w:b/>
          <w:bCs/>
        </w:rPr>
      </w:pPr>
      <w:r>
        <w:rPr>
          <w:b/>
          <w:bCs/>
        </w:rPr>
        <w:t>Antwoord 13</w:t>
      </w:r>
    </w:p>
    <w:p w:rsidR="001A6D66" w:rsidP="001A6D66" w:rsidRDefault="001A6D66" w14:paraId="1C1A6269" w14:textId="7362C3CE">
      <w:r>
        <w:t xml:space="preserve">Zoals op 6 november 2024 in de beantwoording van eerdere vragen van </w:t>
      </w:r>
      <w:r w:rsidR="005A77EB">
        <w:t>de</w:t>
      </w:r>
      <w:r>
        <w:t xml:space="preserve"> Kamer over het beschermen van burgers, dieren en milieu tegen staalslakken </w:t>
      </w:r>
      <w:r w:rsidR="005A77EB">
        <w:t>is</w:t>
      </w:r>
      <w:r>
        <w:t xml:space="preserve"> aangegeven</w:t>
      </w:r>
      <w:r>
        <w:rPr>
          <w:rStyle w:val="FootnoteReference"/>
        </w:rPr>
        <w:footnoteReference w:id="11"/>
      </w:r>
      <w:r>
        <w:t xml:space="preserve">, is het voor een toepassing als bouwstof in het kader van de bodemregelgeving niet relevant of sprake is van afval of niet. In alle gevallen dient de bouwstof te voldoen aan de eisen die de bodemregelgeving stelt. De begrippen bouwstof (bodemregelgeving) en bijproduct (afvalregelgeving) zijn dus los van elkaar staande begrippen. </w:t>
      </w:r>
    </w:p>
    <w:p w:rsidR="001A6D66" w:rsidP="001A6D66" w:rsidRDefault="001A6D66" w14:paraId="3B3E221F" w14:textId="77777777">
      <w:r>
        <w:t xml:space="preserve">Als aan de voorwaarden voor de bijproductstatus in art. 1.1 lid 4 van de Wet milieubeheer is voldaan, dan is een productieresidu geen afvalstof maar een bijproduct. Het is aan de houder zelf om aan te tonen dat voldaan wordt aan de bijproductvoorwaarden door het leveren van de daarvoor benodigde informatie. Het is vervolgens aan bevoegd gezag om te bepalen of de onderbouwing voldoende is. In het Landelijk Afvalplan 3 en de Leidraad afvalstof of product zijn als hulpmiddel handvatten gegeven om welke informatie het precies gaat. Zo gaat het bij de voorwaarde dat het gebruik zeker is, bijvoorbeeld om contracten met afnemers. </w:t>
      </w:r>
    </w:p>
    <w:p w:rsidR="001A6D66" w:rsidP="001A6D66" w:rsidRDefault="001A6D66" w14:paraId="59AFE025" w14:textId="77777777"/>
    <w:p w:rsidRPr="00250D50" w:rsidR="001A6D66" w:rsidP="001A6D66" w:rsidRDefault="001A6D66" w14:paraId="4B36BFF6" w14:textId="77777777">
      <w:pPr>
        <w:rPr>
          <w:b/>
          <w:bCs/>
        </w:rPr>
      </w:pPr>
      <w:r>
        <w:rPr>
          <w:b/>
          <w:bCs/>
        </w:rPr>
        <w:t>Vraag 14</w:t>
      </w:r>
    </w:p>
    <w:p w:rsidR="001A6D66" w:rsidP="001A6D66" w:rsidRDefault="001A6D66" w14:paraId="0E6F1603" w14:textId="77777777">
      <w:bookmarkStart w:name="_Hlk187322284" w:id="3"/>
      <w:r>
        <w:t>Klopt het zoals u eerder antwoordde dat het aan de ‘houder’ van staalslak is om aan te tonen dat aan de voorwaarden is voldaan, ter beoordeling van het bevoegd gezag? Wie is volgens u die houder in het algemeen en wie is die houder in het bijzonder in geval van Spijk en Eerbeek? </w:t>
      </w:r>
    </w:p>
    <w:bookmarkEnd w:id="3"/>
    <w:p w:rsidR="001A6D66" w:rsidP="001A6D66" w:rsidRDefault="001A6D66" w14:paraId="56AC3C2B" w14:textId="77777777"/>
    <w:p w:rsidRPr="00250D50" w:rsidR="001A6D66" w:rsidP="001A6D66" w:rsidRDefault="001A6D66" w14:paraId="288D179D" w14:textId="77777777">
      <w:pPr>
        <w:rPr>
          <w:b/>
          <w:bCs/>
        </w:rPr>
      </w:pPr>
      <w:r>
        <w:rPr>
          <w:b/>
          <w:bCs/>
        </w:rPr>
        <w:t>Antwoord 14</w:t>
      </w:r>
    </w:p>
    <w:p w:rsidR="001A6D66" w:rsidP="001A6D66" w:rsidRDefault="001A6D66" w14:paraId="47CF9B48" w14:textId="2844E11A">
      <w:r>
        <w:t xml:space="preserve">Zoals in het antwoord op vraag 13 is aangegeven is de houder degene die het materiaal bezit. Het draait dus niet om de vraag waar het (juridische) eigendom rust, maar om wie de feitelijke macht heeft over het materiaal. In het geval van Eerbeek en </w:t>
      </w:r>
      <w:bookmarkStart w:name="_Hlk187322475" w:id="4"/>
      <w:r>
        <w:t xml:space="preserve">in het geval van Spijk is de vraag wie de houder is niet relevant omdat het bij de toepassing van staalslakken als bouwstof gaat over de vraag of voldaan is aan de eisen van de bodemregelgeving. </w:t>
      </w:r>
      <w:bookmarkEnd w:id="4"/>
      <w:r>
        <w:t>Wordt bij de toepassing niet aan de eisen voldaan, dan kan bevoegd gezag optreden jegens degene die de staalslakken feitelijk heeft toegepast en/of degene die daarvoor opdracht heeft gegeven.</w:t>
      </w:r>
    </w:p>
    <w:p w:rsidR="001A6D66" w:rsidP="001A6D66" w:rsidRDefault="001A6D66" w14:paraId="0284EA4F" w14:textId="77777777">
      <w:pPr>
        <w:ind w:left="360"/>
      </w:pPr>
    </w:p>
    <w:p w:rsidRPr="00250D50" w:rsidR="001A6D66" w:rsidP="001A6D66" w:rsidRDefault="001A6D66" w14:paraId="401D8150" w14:textId="77777777">
      <w:pPr>
        <w:rPr>
          <w:b/>
          <w:bCs/>
        </w:rPr>
      </w:pPr>
      <w:bookmarkStart w:name="_Hlk187328147" w:id="5"/>
      <w:r>
        <w:rPr>
          <w:b/>
          <w:bCs/>
        </w:rPr>
        <w:t>Vraag 15</w:t>
      </w:r>
    </w:p>
    <w:p w:rsidR="001A6D66" w:rsidP="001A6D66" w:rsidRDefault="001A6D66" w14:paraId="46F69EC6" w14:textId="77777777">
      <w:r>
        <w:t xml:space="preserve">Wat betekent het dat het bevoegd gezag </w:t>
      </w:r>
      <w:r>
        <w:rPr>
          <w:i/>
          <w:iCs/>
        </w:rPr>
        <w:t>kan</w:t>
      </w:r>
      <w:r>
        <w:t xml:space="preserve"> optreden als de toepassing van staalslakken als bouwstof niet goed is gegaan, zoals u antwoordde in eerder genoemde Kamervragen? Deelt u de mening dat dit een te voorzichtige visie is omdat het bevoegd gezag gehouden is bij overtreding van productcertificaat of zorgplicht tot handhaving over te gaan?</w:t>
      </w:r>
    </w:p>
    <w:p w:rsidR="001A6D66" w:rsidP="001A6D66" w:rsidRDefault="001A6D66" w14:paraId="7E35F20F" w14:textId="77777777"/>
    <w:p w:rsidRPr="00250D50" w:rsidR="001A6D66" w:rsidP="001A6D66" w:rsidRDefault="001A6D66" w14:paraId="76942B5F" w14:textId="77777777">
      <w:pPr>
        <w:rPr>
          <w:b/>
          <w:bCs/>
        </w:rPr>
      </w:pPr>
      <w:r>
        <w:rPr>
          <w:b/>
          <w:bCs/>
        </w:rPr>
        <w:t>Antwoord 15</w:t>
      </w:r>
    </w:p>
    <w:p w:rsidR="001A6D66" w:rsidP="001A6D66" w:rsidRDefault="001A6D66" w14:paraId="2D50DA84" w14:textId="6061555E">
      <w:r>
        <w:t>In beginsel is een bestuursorgaan bij constatering van een overtreding van een wettelijk voorschrift gehouden zijn handhavingsbevoegdheden in te zetten. Hier kan slechts in uitzonderingsgevallen van worden afgeweken. Dit wordt in de jurisprudentie de beginselplicht tot handhaving genoemd. Het is aan het bevoegd gezag zelf te bepalen en te motiveren op welke wijze een overtreding moet worden beëindigd of de milieugevolgen daarvan ongedaan moeten worden gemaakt. Dat kan in het ene geval door afgraven en verwijderen, in het andere geval door beheersmaatregelen en monitoring.</w:t>
      </w:r>
    </w:p>
    <w:bookmarkEnd w:id="5"/>
    <w:p w:rsidR="001A6D66" w:rsidP="001A6D66" w:rsidRDefault="001A6D66" w14:paraId="11DBCF4D" w14:textId="77777777"/>
    <w:p w:rsidRPr="00250D50" w:rsidR="001A6D66" w:rsidP="001A6D66" w:rsidRDefault="001A6D66" w14:paraId="38AC6C2E" w14:textId="77777777">
      <w:pPr>
        <w:rPr>
          <w:b/>
          <w:bCs/>
        </w:rPr>
      </w:pPr>
      <w:r>
        <w:rPr>
          <w:b/>
          <w:bCs/>
        </w:rPr>
        <w:t>Vraag 16</w:t>
      </w:r>
    </w:p>
    <w:p w:rsidR="001A6D66" w:rsidP="001A6D66" w:rsidRDefault="001A6D66" w14:paraId="49BEE4D2" w14:textId="4141088E">
      <w:r>
        <w:t xml:space="preserve">Welke maatregelen kunnen er worden genomen wanneer het Rijk interbestuurlijk toezicht inzet als een provincie of gemeente het milieu en de gezondheid van mensen en dieren onvoldoende blijft beschermen, zoals u als mogelijkheid aangaf in </w:t>
      </w:r>
      <w:r w:rsidR="00613D59">
        <w:t>eerdergenoemde</w:t>
      </w:r>
      <w:r>
        <w:t xml:space="preserve"> Kamervragen? Waar is dit interbestuurlijk toezicht en de maatregelen die daaruit kunnen vloeien in de wet verankerd? Deelt u de mening dat het VTH-stelsel (vergunningverlening, toezicht en handhaving) hierop zodanig dient te worden aangepast dat het Rijk kan ingrijpen indien de lokale overheid dit ten onrechte nalaat?</w:t>
      </w:r>
    </w:p>
    <w:p w:rsidR="001A6D66" w:rsidP="001A6D66" w:rsidRDefault="001A6D66" w14:paraId="3B5D2A66" w14:textId="77777777"/>
    <w:p w:rsidRPr="00250D50" w:rsidR="001A6D66" w:rsidP="001A6D66" w:rsidRDefault="001A6D66" w14:paraId="00306A4B" w14:textId="77777777">
      <w:pPr>
        <w:rPr>
          <w:b/>
          <w:bCs/>
        </w:rPr>
      </w:pPr>
      <w:r>
        <w:rPr>
          <w:b/>
          <w:bCs/>
        </w:rPr>
        <w:t>Antwoord 16</w:t>
      </w:r>
    </w:p>
    <w:p w:rsidRPr="002E78BD" w:rsidR="001A6D66" w:rsidP="001A6D66" w:rsidRDefault="001A6D66" w14:paraId="5C6A6D8D" w14:textId="5D33F744">
      <w:r w:rsidRPr="00FB5C2A">
        <w:t>De manier waarop interbestuurlijk toezicht wordt uitgevoerd, is vastgelegd in de Wet rev</w:t>
      </w:r>
      <w:r w:rsidR="00613D59">
        <w:t>ita</w:t>
      </w:r>
      <w:r w:rsidRPr="00FB5C2A">
        <w:t>lisering generiek toezicht (hierna: Wgrt)</w:t>
      </w:r>
      <w:r w:rsidRPr="002E78BD" w:rsidR="00202FD5">
        <w:rPr>
          <w:rStyle w:val="FootnoteReference"/>
        </w:rPr>
        <w:footnoteReference w:id="12"/>
      </w:r>
      <w:r w:rsidRPr="00FB5C2A">
        <w:t>.</w:t>
      </w:r>
      <w:r>
        <w:t xml:space="preserve"> </w:t>
      </w:r>
      <w:r w:rsidRPr="002E78BD">
        <w:t xml:space="preserve">Het interbestuurlijk toezicht is gericht op de uitvoering van wettelijke medebewindstaken. Medebewind is de verplichte uitvoering die gemeenten of provincies geven aan hogere regelgeving, zoals nationale regelgeving. </w:t>
      </w:r>
      <w:r w:rsidRPr="00FB5C2A">
        <w:t>Inzet van de Wrgt is niet bedoeld om kwaliteit van de taakuitvoering te verbeteren.</w:t>
      </w:r>
      <w:r w:rsidRPr="002E78BD">
        <w:t xml:space="preserve"> Voor medebewindstaken in het VTH-stelsel milieu houdt de Inspectie leefomgeving en transport toezicht op de provincies en de provincies houden toezicht op de gemeenten. </w:t>
      </w:r>
    </w:p>
    <w:p w:rsidRPr="002E78BD" w:rsidR="001A6D66" w:rsidP="001A6D66" w:rsidRDefault="001A6D66" w14:paraId="79F99DCD" w14:textId="31366A43">
      <w:r w:rsidRPr="002E78BD">
        <w:t>Ingrijpen gebeurt alleen als wettelijk vastgelegde medebewindstaken niet (juist) worden uitgevoerd</w:t>
      </w:r>
      <w:r>
        <w:t xml:space="preserve"> o</w:t>
      </w:r>
      <w:r w:rsidRPr="002E78BD">
        <w:t xml:space="preserve">f als besluiten in strijd zijn met het algemeen belang of het recht. Om te bepalen of tot ingrijpen wordt overgegaan, doorloopt de toezichthouder een ‘interventieladder’. </w:t>
      </w:r>
    </w:p>
    <w:p w:rsidRPr="002E78BD" w:rsidR="001A6D66" w:rsidP="001A6D66" w:rsidRDefault="001A6D66" w14:paraId="7827B90E" w14:textId="77777777">
      <w:r w:rsidRPr="002E78BD">
        <w:t>De toezichthouder kan gebruikmaken van de volgende instrumenten:</w:t>
      </w:r>
    </w:p>
    <w:p w:rsidRPr="00202FD5" w:rsidR="001A6D66" w:rsidP="001A6D66" w:rsidRDefault="001A6D66" w14:paraId="26F34A65" w14:textId="77777777">
      <w:pPr>
        <w:pStyle w:val="ListParagraph"/>
        <w:numPr>
          <w:ilvl w:val="0"/>
          <w:numId w:val="24"/>
        </w:numPr>
        <w:spacing w:after="0"/>
        <w:rPr>
          <w:rFonts w:ascii="Verdana" w:hAnsi="Verdana"/>
          <w:sz w:val="18"/>
          <w:szCs w:val="18"/>
        </w:rPr>
      </w:pPr>
      <w:r w:rsidRPr="00202FD5">
        <w:rPr>
          <w:rFonts w:ascii="Verdana" w:hAnsi="Verdana"/>
          <w:sz w:val="18"/>
          <w:szCs w:val="18"/>
        </w:rPr>
        <w:t>Indeplaatsstelling bij taakverwaarlozing: als een gemeente of provincie een medebewindstaak verwaarloost, kan de toezichthouder die taak overnemen.</w:t>
      </w:r>
    </w:p>
    <w:p w:rsidRPr="00202FD5" w:rsidR="001A6D66" w:rsidP="001A6D66" w:rsidRDefault="001A6D66" w14:paraId="5E79C55A" w14:textId="77777777">
      <w:pPr>
        <w:pStyle w:val="ListParagraph"/>
        <w:numPr>
          <w:ilvl w:val="0"/>
          <w:numId w:val="24"/>
        </w:numPr>
        <w:spacing w:after="0"/>
        <w:rPr>
          <w:rFonts w:ascii="Verdana" w:hAnsi="Verdana"/>
          <w:sz w:val="18"/>
          <w:szCs w:val="18"/>
        </w:rPr>
      </w:pPr>
      <w:r w:rsidRPr="00202FD5">
        <w:rPr>
          <w:rFonts w:ascii="Verdana" w:hAnsi="Verdana"/>
          <w:sz w:val="18"/>
          <w:szCs w:val="18"/>
        </w:rPr>
        <w:t>Schorsing en vernietiging: als gemeenten of provincies besluiten nemen die in strijd zijn met het recht of het algemeen belang, kan de Kroon deze besluiten schorsen en/of vernietigen. Dit gebeurt bij Koninklijk Besluit.</w:t>
      </w:r>
    </w:p>
    <w:p w:rsidR="005A77EB" w:rsidP="001A6D66" w:rsidRDefault="005A77EB" w14:paraId="7D696611" w14:textId="77777777"/>
    <w:p w:rsidRPr="002E78BD" w:rsidR="001A6D66" w:rsidP="001A6D66" w:rsidRDefault="001A6D66" w14:paraId="00950489" w14:textId="2EFEBB6F">
      <w:r w:rsidRPr="002E78BD">
        <w:t>In de voortgangsbrief versterking VTH van 5 december 2024</w:t>
      </w:r>
      <w:r w:rsidRPr="002E78BD">
        <w:rPr>
          <w:rStyle w:val="FootnoteReference"/>
        </w:rPr>
        <w:footnoteReference w:id="13"/>
      </w:r>
      <w:r>
        <w:t xml:space="preserve"> is de Kamer geïnformeerd over de voorbereiding van een wetsvoorstel waarmee maatregelen worden getroffen die nodig zijn om</w:t>
      </w:r>
      <w:r w:rsidRPr="002E78BD">
        <w:t xml:space="preserve"> regie </w:t>
      </w:r>
      <w:r>
        <w:t xml:space="preserve">te nemen </w:t>
      </w:r>
      <w:r w:rsidRPr="002E78BD">
        <w:t xml:space="preserve">vanuit het Rijk in gevallen dat de kwaliteit van de uitvoering achterblijft. </w:t>
      </w:r>
      <w:r>
        <w:t>Er wordt onderzocht hoe de uitvoering van</w:t>
      </w:r>
      <w:r w:rsidRPr="002E78BD">
        <w:t xml:space="preserve"> interbestuurlijk toezicht door zowel de provincies als het Rijk</w:t>
      </w:r>
      <w:r>
        <w:t xml:space="preserve"> kan worden versterkt. Dit gebeurt door te onderzoeken </w:t>
      </w:r>
      <w:r w:rsidRPr="002E78BD">
        <w:t>hoe de artikelen uit de Omgevingswet en het Omgevingsbesluit</w:t>
      </w:r>
      <w:r>
        <w:t>,</w:t>
      </w:r>
      <w:r w:rsidRPr="002E78BD">
        <w:t xml:space="preserve"> die zien op het VTH-stelsel milieu</w:t>
      </w:r>
      <w:r>
        <w:t>,</w:t>
      </w:r>
      <w:r w:rsidRPr="002E78BD">
        <w:t xml:space="preserve"> zo geconcretiseerd kunnen worden dat daarop interbestuurlijk toezicht kan worden ingezet als dat nodig is en ingegrepen kan worden als de kwaliteit van de uitvoering onvoldoende is.</w:t>
      </w:r>
    </w:p>
    <w:p w:rsidR="001A6D66" w:rsidP="001A6D66" w:rsidRDefault="001A6D66" w14:paraId="6FDBB264" w14:textId="77777777">
      <w:pPr>
        <w:ind w:left="360"/>
      </w:pPr>
    </w:p>
    <w:p w:rsidRPr="00250D50" w:rsidR="001A6D66" w:rsidP="001A6D66" w:rsidRDefault="001A6D66" w14:paraId="5A579020" w14:textId="77777777">
      <w:pPr>
        <w:rPr>
          <w:b/>
          <w:bCs/>
        </w:rPr>
      </w:pPr>
      <w:r>
        <w:rPr>
          <w:b/>
          <w:bCs/>
        </w:rPr>
        <w:t>Vraag 17</w:t>
      </w:r>
    </w:p>
    <w:p w:rsidR="001A6D66" w:rsidP="001A6D66" w:rsidRDefault="001A6D66" w14:paraId="6C411348" w14:textId="77777777">
      <w:r>
        <w:t>Kunt u aangeven welke eigenschappen van LD-staalslakken ertoe hebben bijgedragen dat de staalslakken niet als een dergelijke IBC-‘bouwstof’ (isoleren, beheersen en controleren) zijn aangemerkt?</w:t>
      </w:r>
    </w:p>
    <w:p w:rsidR="00336B88" w:rsidP="001A6D66" w:rsidRDefault="00336B88" w14:paraId="0C76D926" w14:textId="77777777">
      <w:pPr>
        <w:ind w:left="360"/>
      </w:pPr>
    </w:p>
    <w:p w:rsidRPr="00250D50" w:rsidR="001A6D66" w:rsidP="001A6D66" w:rsidRDefault="001A6D66" w14:paraId="324FC2CB" w14:textId="77777777">
      <w:pPr>
        <w:rPr>
          <w:b/>
          <w:bCs/>
        </w:rPr>
      </w:pPr>
      <w:r>
        <w:rPr>
          <w:b/>
          <w:bCs/>
        </w:rPr>
        <w:t>Antwoord 17</w:t>
      </w:r>
    </w:p>
    <w:p w:rsidR="001A6D66" w:rsidP="001A6D66" w:rsidRDefault="001A6D66" w14:paraId="38F0AFA0" w14:textId="0A888F06">
      <w:r>
        <w:t>Tot 1 januari 2024 konden bouwstoffen die niet voldeden aan maximale emissiewaarden voor vormgegeven en niet-vormgegeven bouwstoffen soms toch worden toegepast via het toepassingskader voor IBC-bouwstoffen uit het Besluit bodemkwaliteit</w:t>
      </w:r>
      <w:r w:rsidR="00B21E42">
        <w:t>,</w:t>
      </w:r>
      <w:r>
        <w:t xml:space="preserve"> zoals dat gold voor 1 januari 2024. Dit is sinds de inwerkingtreding van de Omgevingswet per 1 januari 2024 niet meer mogelijk. </w:t>
      </w:r>
    </w:p>
    <w:p w:rsidR="001A6D66" w:rsidP="001A6D66" w:rsidRDefault="001A6D66" w14:paraId="048E6AB7" w14:textId="77777777">
      <w:r>
        <w:t>Het onderscheid tussen enerzijds IBC-bouwstoffen en anderzijds vormgegeven en niet-vormgegeven bouwstoffen is gebaseerd op hoeveel metalen en zouten vrijkomen in de daarvoor voorgeschreven proeven om te toetsen aan de maximale emissiewaarden. Staalslakken moeten in alle gevallen voldoen aan de normen voor uitloging van metalen en zouten. Zo niet, dan is toepassing als bouwstof niet toegestaan.</w:t>
      </w:r>
    </w:p>
    <w:p w:rsidR="001A6D66" w:rsidP="001A6D66" w:rsidRDefault="001A6D66" w14:paraId="66A09CEF" w14:textId="77777777"/>
    <w:p w:rsidRPr="00250D50" w:rsidR="001A6D66" w:rsidP="001A6D66" w:rsidRDefault="001A6D66" w14:paraId="3AB16E57" w14:textId="77777777">
      <w:pPr>
        <w:rPr>
          <w:b/>
          <w:bCs/>
        </w:rPr>
      </w:pPr>
      <w:r>
        <w:rPr>
          <w:b/>
          <w:bCs/>
        </w:rPr>
        <w:t>Vraag 18</w:t>
      </w:r>
    </w:p>
    <w:p w:rsidR="001A6D66" w:rsidP="001A6D66" w:rsidRDefault="001A6D66" w14:paraId="43E2E090" w14:textId="77777777">
      <w:r>
        <w:t>Kunt u toelichten wat er volgens u voor nodig is om door LD-staalslakken verontreinigd water te neutraliseren?</w:t>
      </w:r>
    </w:p>
    <w:p w:rsidR="001A6D66" w:rsidP="001A6D66" w:rsidRDefault="001A6D66" w14:paraId="71CDCFCC" w14:textId="77777777"/>
    <w:p w:rsidRPr="00EE6929" w:rsidR="001A6D66" w:rsidP="001A6D66" w:rsidRDefault="001A6D66" w14:paraId="7FA9BCFE" w14:textId="77777777">
      <w:pPr>
        <w:rPr>
          <w:b/>
          <w:bCs/>
        </w:rPr>
      </w:pPr>
      <w:r>
        <w:rPr>
          <w:b/>
          <w:bCs/>
        </w:rPr>
        <w:t>Antwoord 18</w:t>
      </w:r>
    </w:p>
    <w:p w:rsidRPr="002D4FF8" w:rsidR="001A6D66" w:rsidP="001A6D66" w:rsidRDefault="001A6D66" w14:paraId="2DC44E17" w14:textId="77777777">
      <w:r>
        <w:t>Door natuurlijke processen onder invloed van water en CO2 zal de pH in een werk in de loop van de tijd vanzelf afnemen naar een pH rond 8.</w:t>
      </w:r>
    </w:p>
    <w:p w:rsidR="001A6D66" w:rsidP="001A6D66" w:rsidRDefault="001A6D66" w14:paraId="5EF49EE5" w14:textId="77777777"/>
    <w:p w:rsidRPr="00EE6929" w:rsidR="001A6D66" w:rsidP="001A6D66" w:rsidRDefault="001A6D66" w14:paraId="6980AF86" w14:textId="77777777">
      <w:pPr>
        <w:rPr>
          <w:b/>
          <w:bCs/>
        </w:rPr>
      </w:pPr>
      <w:r>
        <w:rPr>
          <w:b/>
          <w:bCs/>
        </w:rPr>
        <w:t>Vraag 19</w:t>
      </w:r>
    </w:p>
    <w:p w:rsidR="001A6D66" w:rsidP="001A6D66" w:rsidRDefault="001A6D66" w14:paraId="08DA9CF2" w14:textId="77777777">
      <w:r>
        <w:t>Deelt u de mening dat LD-staalslakken als converterslak vanwege de toxische cocktail aan zware en giftige metalen die erin zitten veeleer neigen naar de ontzwavelingsslakken dan naar de hoogovenslakken? Zo nee, waarin zit volgens u dan het verschil in bijzondere gevaareigenschappen van de verschillende soorten slakken? </w:t>
      </w:r>
    </w:p>
    <w:p w:rsidR="001A6D66" w:rsidP="001A6D66" w:rsidRDefault="001A6D66" w14:paraId="45C3ADA8" w14:textId="77777777">
      <w:pPr>
        <w:rPr>
          <w:rFonts w:cstheme="minorHAnsi"/>
        </w:rPr>
      </w:pPr>
    </w:p>
    <w:p w:rsidRPr="00EE6929" w:rsidR="001A6D66" w:rsidP="001A6D66" w:rsidRDefault="001A6D66" w14:paraId="7EE9D347" w14:textId="77777777">
      <w:pPr>
        <w:rPr>
          <w:rFonts w:cstheme="minorHAnsi"/>
          <w:b/>
          <w:bCs/>
        </w:rPr>
      </w:pPr>
      <w:r>
        <w:rPr>
          <w:rFonts w:cstheme="minorHAnsi"/>
          <w:b/>
          <w:bCs/>
        </w:rPr>
        <w:t>Antwoord 19</w:t>
      </w:r>
    </w:p>
    <w:p w:rsidRPr="0096395F" w:rsidR="001A6D66" w:rsidP="001A6D66" w:rsidRDefault="001A6D66" w14:paraId="6B5B5568" w14:textId="33E39E1D">
      <w:pPr>
        <w:rPr>
          <w:rFonts w:cstheme="minorHAnsi"/>
        </w:rPr>
      </w:pPr>
      <w:r w:rsidRPr="0096395F">
        <w:rPr>
          <w:rFonts w:cstheme="minorHAnsi"/>
        </w:rPr>
        <w:t xml:space="preserve">Om de slakken te mogen </w:t>
      </w:r>
      <w:r>
        <w:rPr>
          <w:rFonts w:cstheme="minorHAnsi"/>
        </w:rPr>
        <w:t>produceren en op de markt te brengen</w:t>
      </w:r>
      <w:r w:rsidRPr="0096395F">
        <w:rPr>
          <w:rFonts w:cstheme="minorHAnsi"/>
        </w:rPr>
        <w:t xml:space="preserve">, moeten ze zijn geregistreerd onder REACH. </w:t>
      </w:r>
      <w:r w:rsidR="00CD65F7">
        <w:rPr>
          <w:rFonts w:cstheme="minorHAnsi"/>
        </w:rPr>
        <w:t xml:space="preserve">Voor </w:t>
      </w:r>
      <w:r w:rsidRPr="0096395F">
        <w:rPr>
          <w:rFonts w:cstheme="minorHAnsi"/>
        </w:rPr>
        <w:t>verschillende soorten slakken met verschillende eigenschappen zijn meerdere registraties nodig, elk voorzien van samenstelling en informatie betreffende veilig gebruik. Bij het ontbreken van een registratie is</w:t>
      </w:r>
      <w:r>
        <w:rPr>
          <w:rFonts w:cstheme="minorHAnsi"/>
        </w:rPr>
        <w:t xml:space="preserve"> markttoelating</w:t>
      </w:r>
      <w:r w:rsidRPr="0096395F">
        <w:rPr>
          <w:rFonts w:cstheme="minorHAnsi"/>
        </w:rPr>
        <w:t xml:space="preserve"> niet </w:t>
      </w:r>
      <w:r>
        <w:rPr>
          <w:rFonts w:cstheme="minorHAnsi"/>
        </w:rPr>
        <w:t xml:space="preserve">toegestaan </w:t>
      </w:r>
      <w:r w:rsidRPr="0096395F">
        <w:rPr>
          <w:rFonts w:cstheme="minorHAnsi"/>
        </w:rPr>
        <w:t>vanuit het basisprincipe van REACH (</w:t>
      </w:r>
      <w:r>
        <w:rPr>
          <w:rFonts w:cstheme="minorHAnsi"/>
        </w:rPr>
        <w:t>‘</w:t>
      </w:r>
      <w:r w:rsidRPr="0096395F">
        <w:rPr>
          <w:rFonts w:cstheme="minorHAnsi"/>
        </w:rPr>
        <w:t>no data, no market</w:t>
      </w:r>
      <w:r>
        <w:rPr>
          <w:rFonts w:cstheme="minorHAnsi"/>
        </w:rPr>
        <w:t>’) en wanneer de registratie niet op de juiste manier heeft plaatsgevonden kan een bedrijf hierop worden aangesproken</w:t>
      </w:r>
      <w:r w:rsidRPr="0096395F">
        <w:rPr>
          <w:rFonts w:cstheme="minorHAnsi"/>
        </w:rPr>
        <w:t>.</w:t>
      </w:r>
      <w:r>
        <w:rPr>
          <w:rFonts w:cstheme="minorHAnsi"/>
        </w:rPr>
        <w:t xml:space="preserve"> Het is aan ILT om toe te zien op de registratie onder REACH.</w:t>
      </w:r>
    </w:p>
    <w:p w:rsidR="001A6D66" w:rsidP="001A6D66" w:rsidRDefault="001A6D66" w14:paraId="29E8787C" w14:textId="77777777">
      <w:pPr>
        <w:ind w:left="360"/>
      </w:pPr>
    </w:p>
    <w:p w:rsidRPr="00EE6929" w:rsidR="001A6D66" w:rsidP="001A6D66" w:rsidRDefault="001A6D66" w14:paraId="5662F0B5" w14:textId="77777777">
      <w:pPr>
        <w:rPr>
          <w:b/>
          <w:bCs/>
        </w:rPr>
      </w:pPr>
      <w:r>
        <w:rPr>
          <w:b/>
          <w:bCs/>
        </w:rPr>
        <w:t>Vraag 20</w:t>
      </w:r>
    </w:p>
    <w:p w:rsidR="001A6D66" w:rsidP="001A6D66" w:rsidRDefault="001A6D66" w14:paraId="2CB92A6B" w14:textId="2812074B">
      <w:r>
        <w:t>Bent u ermee bekend dat in het RIVM-rapport</w:t>
      </w:r>
      <w:r w:rsidRPr="005A77EB" w:rsidR="005A77EB">
        <w:rPr>
          <w:vertAlign w:val="superscript"/>
        </w:rPr>
        <w:t>1</w:t>
      </w:r>
      <w:r>
        <w:t xml:space="preserve"> uit 2023 is opgemerkt dat er in de literatuur geen aanwijzingen zijn gevonden dat carbonatie zorgt voor een waterdichte laag aan de oppervlakte van LD-staalslakken?</w:t>
      </w:r>
    </w:p>
    <w:p w:rsidR="001A6D66" w:rsidP="001A6D66" w:rsidRDefault="001A6D66" w14:paraId="569D1C78" w14:textId="77777777"/>
    <w:p w:rsidRPr="00EE6929" w:rsidR="001A6D66" w:rsidP="001A6D66" w:rsidRDefault="001A6D66" w14:paraId="6459FA03" w14:textId="77777777">
      <w:pPr>
        <w:rPr>
          <w:b/>
          <w:bCs/>
        </w:rPr>
      </w:pPr>
      <w:r>
        <w:rPr>
          <w:b/>
          <w:bCs/>
        </w:rPr>
        <w:t>Antwoord 20</w:t>
      </w:r>
    </w:p>
    <w:p w:rsidR="001A6D66" w:rsidP="001A6D66" w:rsidRDefault="001A6D66" w14:paraId="6AD93DCC" w14:textId="1FB49AD1">
      <w:r>
        <w:t>Ja, daar ben ik mee bekend</w:t>
      </w:r>
      <w:r w:rsidR="00813DCA">
        <w:t>.</w:t>
      </w:r>
    </w:p>
    <w:p w:rsidR="001A6D66" w:rsidP="001A6D66" w:rsidRDefault="001A6D66" w14:paraId="2B24ACDA" w14:textId="77777777"/>
    <w:p w:rsidRPr="00EE6929" w:rsidR="001A6D66" w:rsidP="001A6D66" w:rsidRDefault="001A6D66" w14:paraId="3907F6D8" w14:textId="77777777">
      <w:pPr>
        <w:rPr>
          <w:b/>
          <w:bCs/>
        </w:rPr>
      </w:pPr>
      <w:r>
        <w:rPr>
          <w:b/>
          <w:bCs/>
        </w:rPr>
        <w:t>Vraag 21</w:t>
      </w:r>
    </w:p>
    <w:p w:rsidR="001A6D66" w:rsidP="001A6D66" w:rsidRDefault="001A6D66" w14:paraId="01959989" w14:textId="201C989C">
      <w:r>
        <w:t xml:space="preserve">Kunt u aangeven waar in de regelgeving is verankerd dat meer toepassen van LD-staalslakken dan nodig niet past binnen de kaders van de regelgeving, zoals u antwoordde in </w:t>
      </w:r>
      <w:r w:rsidR="00613D59">
        <w:t>eerdergenoemde</w:t>
      </w:r>
      <w:r>
        <w:t xml:space="preserve"> Kamervragen?</w:t>
      </w:r>
    </w:p>
    <w:p w:rsidR="001A6D66" w:rsidP="001A6D66" w:rsidRDefault="001A6D66" w14:paraId="632FC0CF" w14:textId="77777777"/>
    <w:p w:rsidRPr="00EE6929" w:rsidR="001A6D66" w:rsidP="001A6D66" w:rsidRDefault="001A6D66" w14:paraId="3A04AD34" w14:textId="77777777">
      <w:pPr>
        <w:rPr>
          <w:b/>
          <w:bCs/>
        </w:rPr>
      </w:pPr>
      <w:r>
        <w:rPr>
          <w:b/>
          <w:bCs/>
        </w:rPr>
        <w:t>Antwoord 21</w:t>
      </w:r>
    </w:p>
    <w:p w:rsidR="001A6D66" w:rsidP="001A6D66" w:rsidRDefault="001A6D66" w14:paraId="60756753" w14:textId="7FF7FE68">
      <w:r>
        <w:t>In artikel 4.1261 van het Besluit activiteiten leefomgeving is expliciet bepaald dat bouwstoffen, zoals LD-staa</w:t>
      </w:r>
      <w:r w:rsidR="00202FD5">
        <w:t>l</w:t>
      </w:r>
      <w:r>
        <w:t xml:space="preserve">sakken, niet mogen worden toegepast in een grotere hoeveelheid dan voor het voltooien van het werk </w:t>
      </w:r>
      <w:r w:rsidR="00B21E42">
        <w:t xml:space="preserve">redelijkerwijs nodig is </w:t>
      </w:r>
      <w:r>
        <w:t>volgens gangbare civieltechnische, bouwtechnische, milieuhygiënische, ecologische of esthetische maatstaven.</w:t>
      </w:r>
    </w:p>
    <w:p w:rsidRPr="00D254EF" w:rsidR="001A6D66" w:rsidP="001A6D66" w:rsidRDefault="001A6D66" w14:paraId="1309C747" w14:textId="77777777">
      <w:pPr>
        <w:ind w:left="360"/>
      </w:pPr>
    </w:p>
    <w:p w:rsidRPr="00EE6929" w:rsidR="001A6D66" w:rsidP="001A6D66" w:rsidRDefault="001A6D66" w14:paraId="792EA663" w14:textId="77777777">
      <w:pPr>
        <w:rPr>
          <w:b/>
          <w:bCs/>
        </w:rPr>
      </w:pPr>
      <w:r>
        <w:rPr>
          <w:b/>
          <w:bCs/>
        </w:rPr>
        <w:t>Vraag 22</w:t>
      </w:r>
    </w:p>
    <w:p w:rsidR="001A6D66" w:rsidP="001A6D66" w:rsidRDefault="001A6D66" w14:paraId="0DB21BA1" w14:textId="77777777">
      <w:r>
        <w:t>Wilt u ook aangeven op welke wijze is te voorkomen dat er meer LD-staalslakken dan nodig worden toegepast? Wilt u ook aangeven hoe kan worden gecontroleerd dat er meer is toegepast dan nodig en hoe het meerdere (toegepaste) ook daadwerkelijk kan worden verwijderd?</w:t>
      </w:r>
    </w:p>
    <w:p w:rsidR="001A6D66" w:rsidP="001A6D66" w:rsidRDefault="001A6D66" w14:paraId="04DAA61D" w14:textId="77777777"/>
    <w:p w:rsidRPr="00EE6929" w:rsidR="001A6D66" w:rsidP="001A6D66" w:rsidRDefault="001A6D66" w14:paraId="532369F8" w14:textId="77777777">
      <w:pPr>
        <w:rPr>
          <w:b/>
          <w:bCs/>
        </w:rPr>
      </w:pPr>
      <w:r>
        <w:rPr>
          <w:b/>
          <w:bCs/>
        </w:rPr>
        <w:t>Antwoord 22</w:t>
      </w:r>
    </w:p>
    <w:p w:rsidR="001A6D66" w:rsidP="001A6D66" w:rsidRDefault="001A6D66" w14:paraId="10A53B38" w14:textId="3157500F">
      <w:r>
        <w:t xml:space="preserve">Het is de verantwoordelijkheid van de toepasser om deze eis na te leven en het bevoegd gezag heeft de verantwoordelijkheid op grond van het bestaande toezichts- en handhavingsinstrumentarium toe te zien op de naleving hiervan en bij overtreding hierop </w:t>
      </w:r>
      <w:r w:rsidR="00B21E42">
        <w:t xml:space="preserve">te </w:t>
      </w:r>
      <w:r>
        <w:t>handhaven, bijvoorbeeld middels een last onder dwangsom of een last onder bestuursdwang. Die handhavingsinstrumenten kunnen zowel preventief, vooraf, als bij geconstateerde overtreding, achteraf, worden ingezet. Zo kan bijvoorbeeld gelast worden het te veel toegepaste af te graven en te verwijderen</w:t>
      </w:r>
      <w:r w:rsidR="00B21E42">
        <w:t>,</w:t>
      </w:r>
      <w:r>
        <w:t xml:space="preserve"> of er kunnen beheersmaatregelen en monitoring </w:t>
      </w:r>
      <w:r w:rsidR="00BE01D0">
        <w:t xml:space="preserve">worden gevorderd </w:t>
      </w:r>
      <w:r>
        <w:t xml:space="preserve">om de gevolgen van de overtreding te stoppen. Dat is ter beoordeling van het bevoegd gezag. </w:t>
      </w:r>
    </w:p>
    <w:p w:rsidR="005A77EB" w:rsidP="001A6D66" w:rsidRDefault="005A77EB" w14:paraId="1D599270" w14:textId="77777777"/>
    <w:p w:rsidR="001A6D66" w:rsidP="001A6D66" w:rsidRDefault="001A6D66" w14:paraId="2DDD8AF1" w14:textId="4F7D84B9">
      <w:r>
        <w:t xml:space="preserve">Zoals ook in het antwoord op vraag 8 is aangegeven, wordt er voor staalslakken een informatieplicht ingevoerd. Hierdoor </w:t>
      </w:r>
      <w:r w:rsidR="00D537FB">
        <w:t xml:space="preserve">worden </w:t>
      </w:r>
      <w:r>
        <w:t xml:space="preserve">toezichthouders van </w:t>
      </w:r>
      <w:r w:rsidR="003B0CD2">
        <w:t>tevoren</w:t>
      </w:r>
      <w:r>
        <w:t xml:space="preserve"> op de hoogte </w:t>
      </w:r>
      <w:r w:rsidR="00D537FB">
        <w:t xml:space="preserve">gesteld </w:t>
      </w:r>
      <w:r>
        <w:t>waar d</w:t>
      </w:r>
      <w:r w:rsidR="00D537FB">
        <w:t>it</w:t>
      </w:r>
      <w:r>
        <w:t xml:space="preserve"> materi</w:t>
      </w:r>
      <w:r w:rsidR="00D537FB">
        <w:t>a</w:t>
      </w:r>
      <w:r>
        <w:t>al z</w:t>
      </w:r>
      <w:r w:rsidR="00D537FB">
        <w:t>a</w:t>
      </w:r>
      <w:r>
        <w:t>l worden toegepast en kunnen zij indien no</w:t>
      </w:r>
      <w:r w:rsidR="00BE01D0">
        <w:t>odzakelijk</w:t>
      </w:r>
      <w:r>
        <w:t xml:space="preserve"> voorkomen dat meer staalslakken dan nodig worden toegepast. En zoals in het antwoord op vraag </w:t>
      </w:r>
      <w:r w:rsidR="00D537FB">
        <w:t xml:space="preserve">10 </w:t>
      </w:r>
      <w:r>
        <w:t>staat, ben ik in het kader van de herijking van de bodemregelgeving aan de slag met het ontwikkelen van handvatten voor toepassers en bevoegd gezag</w:t>
      </w:r>
      <w:r w:rsidR="00B21E42">
        <w:t>,</w:t>
      </w:r>
      <w:r>
        <w:t xml:space="preserve"> om beter te beoordelen of grotere hoeveelheden van bouwstoffen worden toegepast dan nodig. </w:t>
      </w:r>
    </w:p>
    <w:p w:rsidR="001A6D66" w:rsidP="001A6D66" w:rsidRDefault="001A6D66" w14:paraId="272810DA" w14:textId="77777777"/>
    <w:p w:rsidRPr="00EE6929" w:rsidR="001A6D66" w:rsidP="001A6D66" w:rsidRDefault="001A6D66" w14:paraId="471B31BE" w14:textId="77777777">
      <w:pPr>
        <w:rPr>
          <w:b/>
          <w:bCs/>
        </w:rPr>
      </w:pPr>
      <w:r>
        <w:rPr>
          <w:b/>
          <w:bCs/>
        </w:rPr>
        <w:t>Vraag 23</w:t>
      </w:r>
    </w:p>
    <w:p w:rsidR="001A6D66" w:rsidP="001A6D66" w:rsidRDefault="001A6D66" w14:paraId="795028DA" w14:textId="6E6241F4">
      <w:r w:rsidRPr="00A225E0">
        <w:t xml:space="preserve">Kunt u het Deltares-rapport uit 2016 waarnaar u verwijst in </w:t>
      </w:r>
      <w:r w:rsidRPr="00A225E0" w:rsidR="003B0CD2">
        <w:t>eerdergenoemde</w:t>
      </w:r>
      <w:r w:rsidRPr="00A225E0">
        <w:t xml:space="preserve"> Kamervragen openbaar maken?</w:t>
      </w:r>
    </w:p>
    <w:p w:rsidR="001A6D66" w:rsidP="001A6D66" w:rsidRDefault="001A6D66" w14:paraId="133C2371" w14:textId="77777777"/>
    <w:p w:rsidRPr="00EE6929" w:rsidR="001A6D66" w:rsidP="001A6D66" w:rsidRDefault="001A6D66" w14:paraId="05285D6D" w14:textId="77777777">
      <w:pPr>
        <w:rPr>
          <w:b/>
          <w:bCs/>
        </w:rPr>
      </w:pPr>
      <w:r>
        <w:rPr>
          <w:b/>
          <w:bCs/>
        </w:rPr>
        <w:t>Antwoord 23</w:t>
      </w:r>
    </w:p>
    <w:p w:rsidR="001A6D66" w:rsidP="001A6D66" w:rsidRDefault="001A6D66" w14:paraId="7894DAFD" w14:textId="4D47279C">
      <w:r>
        <w:t xml:space="preserve">Ja, </w:t>
      </w:r>
      <w:r w:rsidR="005A77EB">
        <w:t>dit</w:t>
      </w:r>
      <w:r>
        <w:t xml:space="preserve"> is als bijlage bijgevoegd.</w:t>
      </w:r>
    </w:p>
    <w:p w:rsidR="007F3B38" w:rsidP="005A77EB" w:rsidRDefault="001A6D66" w14:paraId="0B881B94" w14:textId="293F4558">
      <w:pPr>
        <w:ind w:left="360"/>
      </w:pPr>
      <w:r>
        <w:br/>
      </w:r>
    </w:p>
    <w:sectPr w:rsidR="007F3B38">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050CC" w14:textId="77777777" w:rsidR="0098479D" w:rsidRDefault="0098479D">
      <w:pPr>
        <w:spacing w:line="240" w:lineRule="auto"/>
      </w:pPr>
      <w:r>
        <w:separator/>
      </w:r>
    </w:p>
  </w:endnote>
  <w:endnote w:type="continuationSeparator" w:id="0">
    <w:p w14:paraId="0F88BE5A" w14:textId="77777777" w:rsidR="0098479D" w:rsidRDefault="00984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6AE84" w14:textId="77777777" w:rsidR="00CB41F4" w:rsidRDefault="00CB4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EAB9E" w14:textId="77777777" w:rsidR="00CB41F4" w:rsidRDefault="00CB4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946FF" w14:textId="77777777" w:rsidR="00CB41F4" w:rsidRDefault="00CB4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F7C60" w14:textId="77777777" w:rsidR="0098479D" w:rsidRDefault="0098479D">
      <w:pPr>
        <w:spacing w:line="240" w:lineRule="auto"/>
      </w:pPr>
      <w:r>
        <w:separator/>
      </w:r>
    </w:p>
  </w:footnote>
  <w:footnote w:type="continuationSeparator" w:id="0">
    <w:p w14:paraId="4846EDDB" w14:textId="77777777" w:rsidR="0098479D" w:rsidRDefault="0098479D">
      <w:pPr>
        <w:spacing w:line="240" w:lineRule="auto"/>
      </w:pPr>
      <w:r>
        <w:continuationSeparator/>
      </w:r>
    </w:p>
  </w:footnote>
  <w:footnote w:id="1">
    <w:p w14:paraId="7A8EC7E3" w14:textId="45DFB3AB" w:rsidR="005A77EB" w:rsidRPr="005A77EB" w:rsidRDefault="005A77EB">
      <w:pPr>
        <w:pStyle w:val="FootnoteText"/>
        <w:rPr>
          <w:rFonts w:ascii="Verdana" w:hAnsi="Verdana"/>
          <w:sz w:val="16"/>
          <w:szCs w:val="16"/>
        </w:rPr>
      </w:pPr>
      <w:r w:rsidRPr="005A77EB">
        <w:rPr>
          <w:rStyle w:val="FootnoteReference"/>
          <w:rFonts w:ascii="Verdana" w:hAnsi="Verdana"/>
          <w:sz w:val="16"/>
          <w:szCs w:val="16"/>
        </w:rPr>
        <w:footnoteRef/>
      </w:r>
      <w:r w:rsidRPr="005A77EB">
        <w:rPr>
          <w:rFonts w:ascii="Verdana" w:hAnsi="Verdana"/>
          <w:sz w:val="16"/>
          <w:szCs w:val="16"/>
        </w:rPr>
        <w:t xml:space="preserve"> RIVM, 19 april 2023, Milieuhygiënische kwaliteit LD-staalslakken. Literatuurstudie | RIVM</w:t>
      </w:r>
    </w:p>
  </w:footnote>
  <w:footnote w:id="2">
    <w:p w14:paraId="13ACE808" w14:textId="70D55D6A" w:rsidR="005A77EB" w:rsidRPr="005A77EB" w:rsidRDefault="005A77EB">
      <w:pPr>
        <w:pStyle w:val="FootnoteText"/>
        <w:rPr>
          <w:rFonts w:ascii="Verdana" w:hAnsi="Verdana"/>
          <w:sz w:val="16"/>
          <w:szCs w:val="16"/>
        </w:rPr>
      </w:pPr>
      <w:r w:rsidRPr="005A77EB">
        <w:rPr>
          <w:rStyle w:val="FootnoteReference"/>
          <w:rFonts w:ascii="Verdana" w:hAnsi="Verdana"/>
          <w:sz w:val="16"/>
          <w:szCs w:val="16"/>
        </w:rPr>
        <w:footnoteRef/>
      </w:r>
      <w:r w:rsidRPr="005A77EB">
        <w:rPr>
          <w:rFonts w:ascii="Verdana" w:hAnsi="Verdana"/>
          <w:sz w:val="16"/>
          <w:szCs w:val="16"/>
        </w:rPr>
        <w:t xml:space="preserve"> Productcertificaat K131133/02 LD-staalslak 0/90 mm ZV, uitgegeven 15-02-2018, p. 2, par. 2.2</w:t>
      </w:r>
    </w:p>
  </w:footnote>
  <w:footnote w:id="3">
    <w:p w14:paraId="674EB180" w14:textId="468214BE" w:rsidR="005A77EB" w:rsidRPr="005A77EB" w:rsidRDefault="005A77EB">
      <w:pPr>
        <w:pStyle w:val="FootnoteText"/>
        <w:rPr>
          <w:rFonts w:ascii="Verdana" w:hAnsi="Verdana"/>
          <w:sz w:val="16"/>
          <w:szCs w:val="16"/>
        </w:rPr>
      </w:pPr>
      <w:r w:rsidRPr="005A77EB">
        <w:rPr>
          <w:rStyle w:val="FootnoteReference"/>
          <w:rFonts w:ascii="Verdana" w:hAnsi="Verdana"/>
          <w:sz w:val="16"/>
          <w:szCs w:val="16"/>
        </w:rPr>
        <w:footnoteRef/>
      </w:r>
      <w:r w:rsidRPr="005A77EB">
        <w:rPr>
          <w:rFonts w:ascii="Verdana" w:hAnsi="Verdana"/>
          <w:sz w:val="16"/>
          <w:szCs w:val="16"/>
        </w:rPr>
        <w:t xml:space="preserve"> Omgevingsdienst Noord-Holland Noord, dossier Tata Steel, Tata Steel IJmuiden - OD NHN</w:t>
      </w:r>
    </w:p>
  </w:footnote>
  <w:footnote w:id="4">
    <w:p w14:paraId="2E78521D" w14:textId="77777777" w:rsidR="001A6D66" w:rsidRPr="005A77EB" w:rsidRDefault="001A6D66" w:rsidP="001A6D66">
      <w:pPr>
        <w:pStyle w:val="FootnoteText"/>
        <w:rPr>
          <w:rFonts w:ascii="Verdana" w:hAnsi="Verdana"/>
          <w:sz w:val="16"/>
          <w:szCs w:val="16"/>
        </w:rPr>
      </w:pPr>
      <w:r w:rsidRPr="005A77EB">
        <w:rPr>
          <w:rStyle w:val="FootnoteReference"/>
          <w:rFonts w:ascii="Verdana" w:hAnsi="Verdana"/>
          <w:sz w:val="16"/>
          <w:szCs w:val="16"/>
        </w:rPr>
        <w:footnoteRef/>
      </w:r>
      <w:r w:rsidRPr="005A77EB">
        <w:rPr>
          <w:rFonts w:ascii="Verdana" w:hAnsi="Verdana"/>
          <w:sz w:val="16"/>
          <w:szCs w:val="16"/>
        </w:rPr>
        <w:t xml:space="preserve"> Tweede Kamer Vergaderjaar 2022-2023, 30 015, Nr. 113</w:t>
      </w:r>
    </w:p>
  </w:footnote>
  <w:footnote w:id="5">
    <w:p w14:paraId="58F2FF25" w14:textId="77777777" w:rsidR="001A6D66" w:rsidRPr="005A77EB" w:rsidRDefault="001A6D66" w:rsidP="001A6D66">
      <w:pPr>
        <w:pStyle w:val="FootnoteText"/>
        <w:rPr>
          <w:rFonts w:ascii="Verdana" w:hAnsi="Verdana"/>
          <w:sz w:val="16"/>
          <w:szCs w:val="16"/>
        </w:rPr>
      </w:pPr>
      <w:r w:rsidRPr="005A77EB">
        <w:rPr>
          <w:rStyle w:val="FootnoteReference"/>
          <w:rFonts w:ascii="Verdana" w:hAnsi="Verdana"/>
          <w:sz w:val="16"/>
          <w:szCs w:val="16"/>
        </w:rPr>
        <w:footnoteRef/>
      </w:r>
      <w:r w:rsidRPr="005A77EB">
        <w:rPr>
          <w:rFonts w:ascii="Verdana" w:hAnsi="Verdana"/>
          <w:sz w:val="16"/>
          <w:szCs w:val="16"/>
        </w:rPr>
        <w:t xml:space="preserve"> </w:t>
      </w:r>
      <w:hyperlink r:id="rId1" w:anchor=":~:text=De%20circulaire%20is%20in%202005,specifieke%20eigenschappen%20van%20deze%20bouwstoffen." w:history="1">
        <w:r w:rsidRPr="005A77EB">
          <w:rPr>
            <w:rStyle w:val="Hyperlink"/>
            <w:rFonts w:ascii="Verdana" w:hAnsi="Verdana"/>
            <w:sz w:val="16"/>
            <w:szCs w:val="16"/>
          </w:rPr>
          <w:t>wetten.nl - Regeling - Circulaire Toepassing van staalslak en hoogovenslak(zand) als bouwstof in een werk - BWBR0049708</w:t>
        </w:r>
      </w:hyperlink>
    </w:p>
  </w:footnote>
  <w:footnote w:id="6">
    <w:p w14:paraId="7D331BC2" w14:textId="62CD98EB" w:rsidR="001A6D66" w:rsidRDefault="001A6D66" w:rsidP="001A6D66">
      <w:pPr>
        <w:pStyle w:val="FootnoteText"/>
      </w:pPr>
      <w:r w:rsidRPr="005A77EB">
        <w:rPr>
          <w:rStyle w:val="FootnoteReference"/>
          <w:rFonts w:ascii="Verdana" w:hAnsi="Verdana"/>
          <w:sz w:val="16"/>
          <w:szCs w:val="16"/>
        </w:rPr>
        <w:footnoteRef/>
      </w:r>
      <w:r w:rsidRPr="005A77EB">
        <w:rPr>
          <w:rFonts w:ascii="Verdana" w:hAnsi="Verdana"/>
          <w:sz w:val="16"/>
          <w:szCs w:val="16"/>
        </w:rPr>
        <w:t xml:space="preserve"> De consultatie is te bekijken via </w:t>
      </w:r>
      <w:hyperlink r:id="rId2" w:history="1">
        <w:r w:rsidR="005A77EB">
          <w:rPr>
            <w:rStyle w:val="Hyperlink"/>
            <w:rFonts w:ascii="Verdana" w:hAnsi="Verdana"/>
            <w:sz w:val="16"/>
            <w:szCs w:val="16"/>
          </w:rPr>
          <w:t>https://www.internetconsultatie.nl/verzamelbesluit_omgevingswet_ienw_bodem_en_water/b1</w:t>
        </w:r>
      </w:hyperlink>
    </w:p>
  </w:footnote>
  <w:footnote w:id="7">
    <w:p w14:paraId="67BCFABF" w14:textId="0439A044" w:rsidR="005A77EB" w:rsidRPr="005A77EB" w:rsidRDefault="005A77EB">
      <w:pPr>
        <w:pStyle w:val="FootnoteText"/>
        <w:rPr>
          <w:rFonts w:ascii="Verdana" w:hAnsi="Verdana"/>
          <w:sz w:val="16"/>
          <w:szCs w:val="16"/>
        </w:rPr>
      </w:pPr>
      <w:r w:rsidRPr="005A77EB">
        <w:rPr>
          <w:rStyle w:val="FootnoteReference"/>
          <w:rFonts w:ascii="Verdana" w:hAnsi="Verdana"/>
          <w:sz w:val="16"/>
          <w:szCs w:val="16"/>
        </w:rPr>
        <w:footnoteRef/>
      </w:r>
      <w:r w:rsidRPr="005A77EB">
        <w:rPr>
          <w:rFonts w:ascii="Verdana" w:hAnsi="Verdana"/>
          <w:sz w:val="16"/>
          <w:szCs w:val="16"/>
        </w:rPr>
        <w:t xml:space="preserve"> Aanhangsel Handelingen II, vergaderjaar 2024-2025, nr. 476</w:t>
      </w:r>
    </w:p>
  </w:footnote>
  <w:footnote w:id="8">
    <w:p w14:paraId="44B61543" w14:textId="4F0912C4" w:rsidR="005A77EB" w:rsidRPr="005A77EB" w:rsidRDefault="005A77EB">
      <w:pPr>
        <w:pStyle w:val="FootnoteText"/>
        <w:rPr>
          <w:rFonts w:ascii="Verdana" w:hAnsi="Verdana"/>
          <w:sz w:val="16"/>
          <w:szCs w:val="16"/>
        </w:rPr>
      </w:pPr>
      <w:r w:rsidRPr="005A77EB">
        <w:rPr>
          <w:rStyle w:val="FootnoteReference"/>
          <w:rFonts w:ascii="Verdana" w:hAnsi="Verdana"/>
          <w:sz w:val="16"/>
          <w:szCs w:val="16"/>
        </w:rPr>
        <w:footnoteRef/>
      </w:r>
      <w:r w:rsidRPr="005A77EB">
        <w:rPr>
          <w:rFonts w:ascii="Verdana" w:hAnsi="Verdana"/>
          <w:sz w:val="16"/>
          <w:szCs w:val="16"/>
        </w:rPr>
        <w:t xml:space="preserve"> ECN (nu TNO), november 2007, ECN-E--07-093</w:t>
      </w:r>
    </w:p>
  </w:footnote>
  <w:footnote w:id="9">
    <w:p w14:paraId="2CBCE234" w14:textId="77777777" w:rsidR="001A6D66" w:rsidRDefault="001A6D66" w:rsidP="001A6D66">
      <w:pPr>
        <w:pStyle w:val="FootnoteText"/>
      </w:pPr>
      <w:r w:rsidRPr="005A77EB">
        <w:rPr>
          <w:rStyle w:val="FootnoteReference"/>
          <w:rFonts w:ascii="Verdana" w:hAnsi="Verdana"/>
          <w:sz w:val="16"/>
          <w:szCs w:val="16"/>
        </w:rPr>
        <w:footnoteRef/>
      </w:r>
      <w:r w:rsidRPr="005A77EB">
        <w:rPr>
          <w:rFonts w:ascii="Verdana" w:hAnsi="Verdana"/>
          <w:sz w:val="16"/>
          <w:szCs w:val="16"/>
        </w:rPr>
        <w:t xml:space="preserve"> Tweede Kamer, Vergaderjaar 2024-2025, 30 015, nr. 127</w:t>
      </w:r>
    </w:p>
  </w:footnote>
  <w:footnote w:id="10">
    <w:p w14:paraId="165EDDDF" w14:textId="7BFCCEA9" w:rsidR="00613D59" w:rsidRPr="005A77EB" w:rsidRDefault="00613D59">
      <w:pPr>
        <w:pStyle w:val="FootnoteText"/>
        <w:rPr>
          <w:rFonts w:ascii="Verdana" w:hAnsi="Verdana"/>
          <w:sz w:val="16"/>
          <w:szCs w:val="16"/>
        </w:rPr>
      </w:pPr>
      <w:r w:rsidRPr="005A77EB">
        <w:rPr>
          <w:rStyle w:val="FootnoteReference"/>
          <w:rFonts w:ascii="Verdana" w:hAnsi="Verdana"/>
          <w:sz w:val="16"/>
          <w:szCs w:val="16"/>
        </w:rPr>
        <w:footnoteRef/>
      </w:r>
      <w:r w:rsidRPr="005A77EB">
        <w:rPr>
          <w:rFonts w:ascii="Verdana" w:hAnsi="Verdana"/>
          <w:sz w:val="16"/>
          <w:szCs w:val="16"/>
        </w:rPr>
        <w:t xml:space="preserve"> REACH is een Europese verordening over de productie van en handel in chemische stoffen. CLP is een Europese verordening inzake classificatie, etikettering en verpakken van chemische stoffen.</w:t>
      </w:r>
    </w:p>
  </w:footnote>
  <w:footnote w:id="11">
    <w:p w14:paraId="653EC120" w14:textId="77777777" w:rsidR="001A6D66" w:rsidRPr="005A77EB" w:rsidRDefault="001A6D66" w:rsidP="001A6D66">
      <w:pPr>
        <w:pStyle w:val="FootnoteText"/>
        <w:rPr>
          <w:rFonts w:ascii="Verdana" w:hAnsi="Verdana"/>
          <w:sz w:val="16"/>
          <w:szCs w:val="16"/>
        </w:rPr>
      </w:pPr>
      <w:r w:rsidRPr="005A77EB">
        <w:rPr>
          <w:rStyle w:val="FootnoteReference"/>
          <w:rFonts w:ascii="Verdana" w:hAnsi="Verdana"/>
          <w:sz w:val="16"/>
          <w:szCs w:val="16"/>
        </w:rPr>
        <w:footnoteRef/>
      </w:r>
      <w:r w:rsidRPr="005A77EB">
        <w:rPr>
          <w:rFonts w:ascii="Verdana" w:hAnsi="Verdana"/>
          <w:sz w:val="16"/>
          <w:szCs w:val="16"/>
        </w:rPr>
        <w:t xml:space="preserve"> Tweede Kamer, Vergaderjaar 2024-2025, Aanhangsel van de Handelingen, nr. 476</w:t>
      </w:r>
    </w:p>
  </w:footnote>
  <w:footnote w:id="12">
    <w:p w14:paraId="6DC27C2D" w14:textId="72FEF945" w:rsidR="00202FD5" w:rsidRPr="005A77EB" w:rsidRDefault="00202FD5" w:rsidP="00202FD5">
      <w:pPr>
        <w:pStyle w:val="FootnoteText"/>
        <w:rPr>
          <w:rFonts w:ascii="Verdana" w:hAnsi="Verdana"/>
          <w:sz w:val="16"/>
          <w:szCs w:val="16"/>
        </w:rPr>
      </w:pPr>
      <w:r w:rsidRPr="005A77EB">
        <w:rPr>
          <w:rStyle w:val="FootnoteReference"/>
          <w:rFonts w:ascii="Verdana" w:hAnsi="Verdana"/>
          <w:sz w:val="16"/>
          <w:szCs w:val="16"/>
        </w:rPr>
        <w:footnoteRef/>
      </w:r>
      <w:r w:rsidRPr="005A77EB">
        <w:rPr>
          <w:rFonts w:ascii="Verdana" w:hAnsi="Verdana"/>
          <w:sz w:val="16"/>
          <w:szCs w:val="16"/>
        </w:rPr>
        <w:t xml:space="preserve"> Zie ook het </w:t>
      </w:r>
      <w:r w:rsidR="005A77EB">
        <w:rPr>
          <w:rFonts w:ascii="Verdana" w:hAnsi="Verdana"/>
          <w:sz w:val="16"/>
          <w:szCs w:val="16"/>
        </w:rPr>
        <w:t xml:space="preserve">Handboek revitalisering generiek toezicht: </w:t>
      </w:r>
      <w:hyperlink r:id="rId3" w:history="1">
        <w:r w:rsidR="005A77EB" w:rsidRPr="00C2272F">
          <w:rPr>
            <w:rStyle w:val="Hyperlink"/>
            <w:rFonts w:ascii="Verdana" w:hAnsi="Verdana"/>
            <w:sz w:val="16"/>
            <w:szCs w:val="16"/>
          </w:rPr>
          <w:t>https://www.rijksoverheid.nl/onderwerpen/provincies/documenten/rapporten/2012/09/26/handboek-wet-revitalisering-generiek-toezicht</w:t>
        </w:r>
      </w:hyperlink>
      <w:r w:rsidRPr="005A77EB">
        <w:rPr>
          <w:rStyle w:val="Hyperlink"/>
          <w:rFonts w:ascii="Verdana" w:hAnsi="Verdana"/>
          <w:sz w:val="16"/>
          <w:szCs w:val="16"/>
        </w:rPr>
        <w:t>.</w:t>
      </w:r>
    </w:p>
  </w:footnote>
  <w:footnote w:id="13">
    <w:p w14:paraId="643A9933" w14:textId="77777777" w:rsidR="001A6D66" w:rsidRDefault="001A6D66" w:rsidP="001A6D66">
      <w:pPr>
        <w:pStyle w:val="FootnoteText"/>
      </w:pPr>
      <w:r w:rsidRPr="005A77EB">
        <w:rPr>
          <w:rStyle w:val="FootnoteReference"/>
          <w:rFonts w:ascii="Verdana" w:hAnsi="Verdana"/>
          <w:sz w:val="16"/>
          <w:szCs w:val="16"/>
        </w:rPr>
        <w:footnoteRef/>
      </w:r>
      <w:r w:rsidRPr="005A77EB">
        <w:rPr>
          <w:rFonts w:ascii="Verdana" w:hAnsi="Verdana"/>
          <w:sz w:val="16"/>
          <w:szCs w:val="16"/>
        </w:rPr>
        <w:t xml:space="preserve"> Kamerstuk 22 343, nr. 405.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586E9" w14:textId="77777777" w:rsidR="00CB41F4" w:rsidRDefault="00CB4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5E0A5" w14:textId="77777777" w:rsidR="007F3B38" w:rsidRDefault="003B0CD2">
    <w:pPr>
      <w:pStyle w:val="MarginlessContainer"/>
    </w:pPr>
    <w:r>
      <w:rPr>
        <w:noProof/>
        <w:lang w:val="en-GB" w:eastAsia="en-GB"/>
      </w:rPr>
      <mc:AlternateContent>
        <mc:Choice Requires="wps">
          <w:drawing>
            <wp:anchor distT="0" distB="0" distL="0" distR="0" simplePos="0" relativeHeight="251651584" behindDoc="0" locked="1" layoutInCell="1" allowOverlap="1" wp14:anchorId="5ADB5324" wp14:editId="2B1177C0">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28A2A65" w14:textId="77777777" w:rsidR="007F3B38" w:rsidRDefault="003B0CD2">
                          <w:pPr>
                            <w:pStyle w:val="AfzendgegevensKop0"/>
                          </w:pPr>
                          <w:r>
                            <w:t>Ministerie van Infrastructuur en Waterstaat</w:t>
                          </w:r>
                        </w:p>
                        <w:p w14:paraId="130336A6" w14:textId="77777777" w:rsidR="00CB41F4" w:rsidRDefault="00CB41F4" w:rsidP="00CB41F4"/>
                        <w:p w14:paraId="3395D40A" w14:textId="77777777" w:rsidR="00CB41F4" w:rsidRPr="001A6D66" w:rsidRDefault="00CB41F4" w:rsidP="00CB41F4">
                          <w:pPr>
                            <w:spacing w:line="276" w:lineRule="auto"/>
                            <w:rPr>
                              <w:b/>
                              <w:bCs/>
                              <w:sz w:val="13"/>
                              <w:szCs w:val="13"/>
                            </w:rPr>
                          </w:pPr>
                          <w:r w:rsidRPr="001A6D66">
                            <w:rPr>
                              <w:b/>
                              <w:bCs/>
                              <w:sz w:val="13"/>
                              <w:szCs w:val="13"/>
                            </w:rPr>
                            <w:t>Ons kenmerk</w:t>
                          </w:r>
                        </w:p>
                        <w:p w14:paraId="15F464AB" w14:textId="77777777" w:rsidR="00CB41F4" w:rsidRDefault="00CB41F4" w:rsidP="00CB41F4">
                          <w:pPr>
                            <w:pStyle w:val="WitregelW2"/>
                            <w:spacing w:line="276" w:lineRule="auto"/>
                            <w:rPr>
                              <w:sz w:val="13"/>
                              <w:szCs w:val="13"/>
                            </w:rPr>
                          </w:pPr>
                          <w:r>
                            <w:rPr>
                              <w:sz w:val="13"/>
                              <w:szCs w:val="13"/>
                            </w:rPr>
                            <w:t>IENW/BSK-2025/24609</w:t>
                          </w:r>
                        </w:p>
                        <w:p w14:paraId="24F1F5B5" w14:textId="77777777" w:rsidR="00CB41F4" w:rsidRPr="00CB41F4" w:rsidRDefault="00CB41F4" w:rsidP="00CB41F4"/>
                      </w:txbxContent>
                    </wps:txbx>
                    <wps:bodyPr vert="horz" wrap="square" lIns="0" tIns="0" rIns="0" bIns="0" anchor="t" anchorCtr="0"/>
                  </wps:wsp>
                </a:graphicData>
              </a:graphic>
            </wp:anchor>
          </w:drawing>
        </mc:Choice>
        <mc:Fallback>
          <w:pict>
            <v:shapetype w14:anchorId="5ADB5324"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628A2A65" w14:textId="77777777" w:rsidR="007F3B38" w:rsidRDefault="003B0CD2">
                    <w:pPr>
                      <w:pStyle w:val="AfzendgegevensKop0"/>
                    </w:pPr>
                    <w:r>
                      <w:t>Ministerie van Infrastructuur en Waterstaat</w:t>
                    </w:r>
                  </w:p>
                  <w:p w14:paraId="130336A6" w14:textId="77777777" w:rsidR="00CB41F4" w:rsidRDefault="00CB41F4" w:rsidP="00CB41F4"/>
                  <w:p w14:paraId="3395D40A" w14:textId="77777777" w:rsidR="00CB41F4" w:rsidRPr="001A6D66" w:rsidRDefault="00CB41F4" w:rsidP="00CB41F4">
                    <w:pPr>
                      <w:spacing w:line="276" w:lineRule="auto"/>
                      <w:rPr>
                        <w:b/>
                        <w:bCs/>
                        <w:sz w:val="13"/>
                        <w:szCs w:val="13"/>
                      </w:rPr>
                    </w:pPr>
                    <w:r w:rsidRPr="001A6D66">
                      <w:rPr>
                        <w:b/>
                        <w:bCs/>
                        <w:sz w:val="13"/>
                        <w:szCs w:val="13"/>
                      </w:rPr>
                      <w:t>Ons kenmerk</w:t>
                    </w:r>
                  </w:p>
                  <w:p w14:paraId="15F464AB" w14:textId="77777777" w:rsidR="00CB41F4" w:rsidRDefault="00CB41F4" w:rsidP="00CB41F4">
                    <w:pPr>
                      <w:pStyle w:val="WitregelW2"/>
                      <w:spacing w:line="276" w:lineRule="auto"/>
                      <w:rPr>
                        <w:sz w:val="13"/>
                        <w:szCs w:val="13"/>
                      </w:rPr>
                    </w:pPr>
                    <w:r>
                      <w:rPr>
                        <w:sz w:val="13"/>
                        <w:szCs w:val="13"/>
                      </w:rPr>
                      <w:t>IENW/BSK-2025/24609</w:t>
                    </w:r>
                  </w:p>
                  <w:p w14:paraId="24F1F5B5" w14:textId="77777777" w:rsidR="00CB41F4" w:rsidRPr="00CB41F4" w:rsidRDefault="00CB41F4" w:rsidP="00CB41F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82BDB43" wp14:editId="2587835E">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EDC280" w14:textId="099BA123" w:rsidR="007F3B38" w:rsidRDefault="003B0CD2">
                          <w:pPr>
                            <w:pStyle w:val="Referentiegegevens"/>
                          </w:pPr>
                          <w:r>
                            <w:t xml:space="preserve">Pagina </w:t>
                          </w:r>
                          <w:r>
                            <w:fldChar w:fldCharType="begin"/>
                          </w:r>
                          <w:r>
                            <w:instrText>PAGE</w:instrText>
                          </w:r>
                          <w:r>
                            <w:fldChar w:fldCharType="separate"/>
                          </w:r>
                          <w:r w:rsidR="001A6D66">
                            <w:rPr>
                              <w:noProof/>
                            </w:rPr>
                            <w:t>2</w:t>
                          </w:r>
                          <w:r>
                            <w:fldChar w:fldCharType="end"/>
                          </w:r>
                          <w:r>
                            <w:t xml:space="preserve"> van </w:t>
                          </w:r>
                          <w:r>
                            <w:fldChar w:fldCharType="begin"/>
                          </w:r>
                          <w:r>
                            <w:instrText>NUMPAGES</w:instrText>
                          </w:r>
                          <w:r>
                            <w:fldChar w:fldCharType="separate"/>
                          </w:r>
                          <w:r w:rsidR="001A6D66">
                            <w:rPr>
                              <w:noProof/>
                            </w:rPr>
                            <w:t>1</w:t>
                          </w:r>
                          <w:r>
                            <w:fldChar w:fldCharType="end"/>
                          </w:r>
                        </w:p>
                      </w:txbxContent>
                    </wps:txbx>
                    <wps:bodyPr vert="horz" wrap="square" lIns="0" tIns="0" rIns="0" bIns="0" anchor="t" anchorCtr="0"/>
                  </wps:wsp>
                </a:graphicData>
              </a:graphic>
            </wp:anchor>
          </w:drawing>
        </mc:Choice>
        <mc:Fallback>
          <w:pict>
            <v:shape w14:anchorId="582BDB43"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55EDC280" w14:textId="099BA123" w:rsidR="007F3B38" w:rsidRDefault="003B0CD2">
                    <w:pPr>
                      <w:pStyle w:val="Referentiegegevens"/>
                    </w:pPr>
                    <w:r>
                      <w:t xml:space="preserve">Pagina </w:t>
                    </w:r>
                    <w:r>
                      <w:fldChar w:fldCharType="begin"/>
                    </w:r>
                    <w:r>
                      <w:instrText>PAGE</w:instrText>
                    </w:r>
                    <w:r>
                      <w:fldChar w:fldCharType="separate"/>
                    </w:r>
                    <w:r w:rsidR="001A6D66">
                      <w:rPr>
                        <w:noProof/>
                      </w:rPr>
                      <w:t>2</w:t>
                    </w:r>
                    <w:r>
                      <w:fldChar w:fldCharType="end"/>
                    </w:r>
                    <w:r>
                      <w:t xml:space="preserve"> van </w:t>
                    </w:r>
                    <w:r>
                      <w:fldChar w:fldCharType="begin"/>
                    </w:r>
                    <w:r>
                      <w:instrText>NUMPAGES</w:instrText>
                    </w:r>
                    <w:r>
                      <w:fldChar w:fldCharType="separate"/>
                    </w:r>
                    <w:r w:rsidR="001A6D6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AC76172" wp14:editId="2DF24A60">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899E9D2" w14:textId="77777777" w:rsidR="007F3B38" w:rsidRDefault="003B0CD2">
                          <w:pPr>
                            <w:pStyle w:val="Rubricering"/>
                          </w:pPr>
                          <w:r>
                            <w:t>openbaar</w:t>
                          </w:r>
                        </w:p>
                      </w:txbxContent>
                    </wps:txbx>
                    <wps:bodyPr vert="horz" wrap="square" lIns="0" tIns="0" rIns="0" bIns="0" anchor="t" anchorCtr="0"/>
                  </wps:wsp>
                </a:graphicData>
              </a:graphic>
            </wp:anchor>
          </w:drawing>
        </mc:Choice>
        <mc:Fallback>
          <w:pict>
            <v:shape w14:anchorId="5AC76172"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7899E9D2" w14:textId="77777777" w:rsidR="007F3B38" w:rsidRDefault="003B0CD2">
                    <w:pPr>
                      <w:pStyle w:val="Rubricering"/>
                    </w:pPr>
                    <w:r>
                      <w:t>openbaar</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31C174C" wp14:editId="27B690F5">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C590381" w14:textId="77777777" w:rsidR="00022FCA" w:rsidRDefault="00022FCA"/>
                      </w:txbxContent>
                    </wps:txbx>
                    <wps:bodyPr vert="horz" wrap="square" lIns="0" tIns="0" rIns="0" bIns="0" anchor="t" anchorCtr="0"/>
                  </wps:wsp>
                </a:graphicData>
              </a:graphic>
            </wp:anchor>
          </w:drawing>
        </mc:Choice>
        <mc:Fallback>
          <w:pict>
            <v:shape w14:anchorId="431C174C"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3C590381" w14:textId="77777777" w:rsidR="00022FCA" w:rsidRDefault="00022FC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C2CA0" w14:textId="77777777" w:rsidR="007F3B38" w:rsidRDefault="003B0CD2">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1E3D262" wp14:editId="3C0AC91A">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29BBE01" w14:textId="77777777" w:rsidR="007F3B38" w:rsidRDefault="003B0CD2">
                          <w:pPr>
                            <w:pStyle w:val="Rubricering"/>
                          </w:pPr>
                          <w:r>
                            <w:t>openbaar</w:t>
                          </w:r>
                        </w:p>
                      </w:txbxContent>
                    </wps:txbx>
                    <wps:bodyPr vert="horz" wrap="square" lIns="0" tIns="0" rIns="0" bIns="0" anchor="t" anchorCtr="0"/>
                  </wps:wsp>
                </a:graphicData>
              </a:graphic>
            </wp:anchor>
          </w:drawing>
        </mc:Choice>
        <mc:Fallback>
          <w:pict>
            <v:shapetype w14:anchorId="21E3D262"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129BBE01" w14:textId="77777777" w:rsidR="007F3B38" w:rsidRDefault="003B0CD2">
                    <w:pPr>
                      <w:pStyle w:val="Rubricering"/>
                    </w:pPr>
                    <w:r>
                      <w:t>openbaar</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4D1B993" wp14:editId="7CC8E8AE">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40E8513" w14:textId="3FE5DECE" w:rsidR="007F3B38" w:rsidRDefault="003B0CD2">
                          <w:pPr>
                            <w:pStyle w:val="Referentiegegevens"/>
                          </w:pPr>
                          <w:r>
                            <w:t xml:space="preserve">Pagina </w:t>
                          </w:r>
                          <w:r>
                            <w:fldChar w:fldCharType="begin"/>
                          </w:r>
                          <w:r>
                            <w:instrText>PAGE</w:instrText>
                          </w:r>
                          <w:r>
                            <w:fldChar w:fldCharType="separate"/>
                          </w:r>
                          <w:r w:rsidR="00706080">
                            <w:rPr>
                              <w:noProof/>
                            </w:rPr>
                            <w:t>1</w:t>
                          </w:r>
                          <w:r>
                            <w:fldChar w:fldCharType="end"/>
                          </w:r>
                          <w:r>
                            <w:t xml:space="preserve"> van </w:t>
                          </w:r>
                          <w:r>
                            <w:fldChar w:fldCharType="begin"/>
                          </w:r>
                          <w:r>
                            <w:instrText>NUMPAGES</w:instrText>
                          </w:r>
                          <w:r>
                            <w:fldChar w:fldCharType="separate"/>
                          </w:r>
                          <w:r w:rsidR="00706080">
                            <w:rPr>
                              <w:noProof/>
                            </w:rPr>
                            <w:t>1</w:t>
                          </w:r>
                          <w:r>
                            <w:fldChar w:fldCharType="end"/>
                          </w:r>
                        </w:p>
                      </w:txbxContent>
                    </wps:txbx>
                    <wps:bodyPr vert="horz" wrap="square" lIns="0" tIns="0" rIns="0" bIns="0" anchor="t" anchorCtr="0"/>
                  </wps:wsp>
                </a:graphicData>
              </a:graphic>
            </wp:anchor>
          </w:drawing>
        </mc:Choice>
        <mc:Fallback>
          <w:pict>
            <v:shape w14:anchorId="04D1B993"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340E8513" w14:textId="3FE5DECE" w:rsidR="007F3B38" w:rsidRDefault="003B0CD2">
                    <w:pPr>
                      <w:pStyle w:val="Referentiegegevens"/>
                    </w:pPr>
                    <w:r>
                      <w:t xml:space="preserve">Pagina </w:t>
                    </w:r>
                    <w:r>
                      <w:fldChar w:fldCharType="begin"/>
                    </w:r>
                    <w:r>
                      <w:instrText>PAGE</w:instrText>
                    </w:r>
                    <w:r>
                      <w:fldChar w:fldCharType="separate"/>
                    </w:r>
                    <w:r w:rsidR="00706080">
                      <w:rPr>
                        <w:noProof/>
                      </w:rPr>
                      <w:t>1</w:t>
                    </w:r>
                    <w:r>
                      <w:fldChar w:fldCharType="end"/>
                    </w:r>
                    <w:r>
                      <w:t xml:space="preserve"> van </w:t>
                    </w:r>
                    <w:r>
                      <w:fldChar w:fldCharType="begin"/>
                    </w:r>
                    <w:r>
                      <w:instrText>NUMPAGES</w:instrText>
                    </w:r>
                    <w:r>
                      <w:fldChar w:fldCharType="separate"/>
                    </w:r>
                    <w:r w:rsidR="0070608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29368D3" wp14:editId="2C294C2F">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6F1A0EC" w14:textId="77777777" w:rsidR="007F3B38" w:rsidRDefault="003B0CD2">
                          <w:pPr>
                            <w:pStyle w:val="AfzendgegevensKop0"/>
                          </w:pPr>
                          <w:r>
                            <w:t>Ministerie van Infrastructuur en Waterstaat</w:t>
                          </w:r>
                        </w:p>
                        <w:p w14:paraId="4EB73E66" w14:textId="77777777" w:rsidR="007F3B38" w:rsidRDefault="007F3B38">
                          <w:pPr>
                            <w:pStyle w:val="WitregelW1"/>
                          </w:pPr>
                        </w:p>
                        <w:p w14:paraId="66E19F87" w14:textId="77777777" w:rsidR="007F3B38" w:rsidRDefault="003B0CD2">
                          <w:pPr>
                            <w:pStyle w:val="Afzendgegevens"/>
                          </w:pPr>
                          <w:r>
                            <w:t>Rijnstraat 8</w:t>
                          </w:r>
                        </w:p>
                        <w:p w14:paraId="78B1DB07" w14:textId="77777777" w:rsidR="007F3B38" w:rsidRPr="001A6D66" w:rsidRDefault="003B0CD2">
                          <w:pPr>
                            <w:pStyle w:val="Afzendgegevens"/>
                            <w:rPr>
                              <w:lang w:val="de-DE"/>
                            </w:rPr>
                          </w:pPr>
                          <w:r w:rsidRPr="001A6D66">
                            <w:rPr>
                              <w:lang w:val="de-DE"/>
                            </w:rPr>
                            <w:t>2515 XP  Den Haag</w:t>
                          </w:r>
                        </w:p>
                        <w:p w14:paraId="5A2C8557" w14:textId="77777777" w:rsidR="007F3B38" w:rsidRPr="001A6D66" w:rsidRDefault="003B0CD2">
                          <w:pPr>
                            <w:pStyle w:val="Afzendgegevens"/>
                            <w:rPr>
                              <w:lang w:val="de-DE"/>
                            </w:rPr>
                          </w:pPr>
                          <w:r w:rsidRPr="001A6D66">
                            <w:rPr>
                              <w:lang w:val="de-DE"/>
                            </w:rPr>
                            <w:t>Postbus 20901</w:t>
                          </w:r>
                        </w:p>
                        <w:p w14:paraId="790446B9" w14:textId="77777777" w:rsidR="007F3B38" w:rsidRPr="001A6D66" w:rsidRDefault="003B0CD2">
                          <w:pPr>
                            <w:pStyle w:val="Afzendgegevens"/>
                            <w:rPr>
                              <w:lang w:val="de-DE"/>
                            </w:rPr>
                          </w:pPr>
                          <w:r w:rsidRPr="001A6D66">
                            <w:rPr>
                              <w:lang w:val="de-DE"/>
                            </w:rPr>
                            <w:t>2500 EX Den Haag</w:t>
                          </w:r>
                        </w:p>
                        <w:p w14:paraId="341A2B88" w14:textId="77777777" w:rsidR="007F3B38" w:rsidRPr="001A6D66" w:rsidRDefault="007F3B38">
                          <w:pPr>
                            <w:pStyle w:val="WitregelW1"/>
                            <w:rPr>
                              <w:lang w:val="de-DE"/>
                            </w:rPr>
                          </w:pPr>
                        </w:p>
                        <w:p w14:paraId="6B04D1DA" w14:textId="77777777" w:rsidR="007F3B38" w:rsidRPr="001A6D66" w:rsidRDefault="003B0CD2">
                          <w:pPr>
                            <w:pStyle w:val="Afzendgegevens"/>
                            <w:rPr>
                              <w:lang w:val="de-DE"/>
                            </w:rPr>
                          </w:pPr>
                          <w:r w:rsidRPr="001A6D66">
                            <w:rPr>
                              <w:lang w:val="de-DE"/>
                            </w:rPr>
                            <w:t>T   070-456 0000</w:t>
                          </w:r>
                        </w:p>
                        <w:p w14:paraId="32F3830B" w14:textId="77777777" w:rsidR="007F3B38" w:rsidRDefault="003B0CD2">
                          <w:pPr>
                            <w:pStyle w:val="Afzendgegevens"/>
                          </w:pPr>
                          <w:r>
                            <w:t>F   070-456 1111</w:t>
                          </w:r>
                        </w:p>
                        <w:p w14:paraId="5F84EFB3" w14:textId="77777777" w:rsidR="001A6D66" w:rsidRPr="001A6D66" w:rsidRDefault="001A6D66" w:rsidP="001A6D66">
                          <w:pPr>
                            <w:rPr>
                              <w:sz w:val="13"/>
                              <w:szCs w:val="13"/>
                            </w:rPr>
                          </w:pPr>
                        </w:p>
                        <w:p w14:paraId="53E6374F" w14:textId="5751CE9C" w:rsidR="001A6D66" w:rsidRPr="001A6D66" w:rsidRDefault="001A6D66" w:rsidP="003B0CD2">
                          <w:pPr>
                            <w:spacing w:line="276" w:lineRule="auto"/>
                            <w:rPr>
                              <w:b/>
                              <w:bCs/>
                              <w:sz w:val="13"/>
                              <w:szCs w:val="13"/>
                            </w:rPr>
                          </w:pPr>
                          <w:r w:rsidRPr="001A6D66">
                            <w:rPr>
                              <w:b/>
                              <w:bCs/>
                              <w:sz w:val="13"/>
                              <w:szCs w:val="13"/>
                            </w:rPr>
                            <w:t>Ons kenmerk</w:t>
                          </w:r>
                        </w:p>
                        <w:p w14:paraId="42F717BC" w14:textId="767EF96E" w:rsidR="007F3B38" w:rsidRDefault="003B0CD2" w:rsidP="003B0CD2">
                          <w:pPr>
                            <w:pStyle w:val="WitregelW2"/>
                            <w:spacing w:line="276" w:lineRule="auto"/>
                            <w:rPr>
                              <w:sz w:val="13"/>
                              <w:szCs w:val="13"/>
                            </w:rPr>
                          </w:pPr>
                          <w:r>
                            <w:rPr>
                              <w:sz w:val="13"/>
                              <w:szCs w:val="13"/>
                            </w:rPr>
                            <w:t>IENW/BSK-2025/24609</w:t>
                          </w:r>
                        </w:p>
                        <w:p w14:paraId="55325344" w14:textId="77777777" w:rsidR="003B0CD2" w:rsidRPr="003B0CD2" w:rsidRDefault="003B0CD2" w:rsidP="003B0CD2"/>
                        <w:p w14:paraId="7E951EFE" w14:textId="68C4474D" w:rsidR="001A6D66" w:rsidRPr="001A6D66" w:rsidRDefault="001A6D66" w:rsidP="003B0CD2">
                          <w:pPr>
                            <w:spacing w:line="276" w:lineRule="auto"/>
                            <w:rPr>
                              <w:b/>
                              <w:bCs/>
                              <w:sz w:val="13"/>
                              <w:szCs w:val="13"/>
                            </w:rPr>
                          </w:pPr>
                          <w:r w:rsidRPr="001A6D66">
                            <w:rPr>
                              <w:b/>
                              <w:bCs/>
                              <w:sz w:val="13"/>
                              <w:szCs w:val="13"/>
                            </w:rPr>
                            <w:t>Uw kenmerk</w:t>
                          </w:r>
                        </w:p>
                        <w:p w14:paraId="383A70F7" w14:textId="67A0FE0A" w:rsidR="001A6D66" w:rsidRDefault="003B0CD2" w:rsidP="003B0CD2">
                          <w:pPr>
                            <w:spacing w:line="276" w:lineRule="auto"/>
                            <w:rPr>
                              <w:sz w:val="13"/>
                              <w:szCs w:val="13"/>
                            </w:rPr>
                          </w:pPr>
                          <w:r>
                            <w:rPr>
                              <w:sz w:val="13"/>
                              <w:szCs w:val="13"/>
                            </w:rPr>
                            <w:t>2024Z20935</w:t>
                          </w:r>
                        </w:p>
                        <w:p w14:paraId="5A4FEA6E" w14:textId="77777777" w:rsidR="003B0CD2" w:rsidRPr="001A6D66" w:rsidRDefault="003B0CD2" w:rsidP="001A6D66">
                          <w:pPr>
                            <w:rPr>
                              <w:sz w:val="13"/>
                              <w:szCs w:val="13"/>
                            </w:rPr>
                          </w:pPr>
                        </w:p>
                        <w:p w14:paraId="1C565FDD" w14:textId="77777777" w:rsidR="007F3B38" w:rsidRPr="001A6D66" w:rsidRDefault="003B0CD2" w:rsidP="003B0CD2">
                          <w:pPr>
                            <w:pStyle w:val="Referentiegegevenskop"/>
                            <w:spacing w:line="276" w:lineRule="auto"/>
                          </w:pPr>
                          <w:r w:rsidRPr="001A6D66">
                            <w:t>Bijlage(n)</w:t>
                          </w:r>
                        </w:p>
                        <w:p w14:paraId="38A86F96" w14:textId="77777777" w:rsidR="007F3B38" w:rsidRPr="001A6D66" w:rsidRDefault="003B0CD2" w:rsidP="003B0CD2">
                          <w:pPr>
                            <w:pStyle w:val="Referentiegegevens"/>
                            <w:spacing w:line="276" w:lineRule="auto"/>
                          </w:pPr>
                          <w:r w:rsidRPr="001A6D66">
                            <w:t>2</w:t>
                          </w:r>
                        </w:p>
                      </w:txbxContent>
                    </wps:txbx>
                    <wps:bodyPr vert="horz" wrap="square" lIns="0" tIns="0" rIns="0" bIns="0" anchor="t" anchorCtr="0"/>
                  </wps:wsp>
                </a:graphicData>
              </a:graphic>
            </wp:anchor>
          </w:drawing>
        </mc:Choice>
        <mc:Fallback>
          <w:pict>
            <v:shape w14:anchorId="429368D3"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16F1A0EC" w14:textId="77777777" w:rsidR="007F3B38" w:rsidRDefault="003B0CD2">
                    <w:pPr>
                      <w:pStyle w:val="AfzendgegevensKop0"/>
                    </w:pPr>
                    <w:r>
                      <w:t>Ministerie van Infrastructuur en Waterstaat</w:t>
                    </w:r>
                  </w:p>
                  <w:p w14:paraId="4EB73E66" w14:textId="77777777" w:rsidR="007F3B38" w:rsidRDefault="007F3B38">
                    <w:pPr>
                      <w:pStyle w:val="WitregelW1"/>
                    </w:pPr>
                  </w:p>
                  <w:p w14:paraId="66E19F87" w14:textId="77777777" w:rsidR="007F3B38" w:rsidRDefault="003B0CD2">
                    <w:pPr>
                      <w:pStyle w:val="Afzendgegevens"/>
                    </w:pPr>
                    <w:r>
                      <w:t>Rijnstraat 8</w:t>
                    </w:r>
                  </w:p>
                  <w:p w14:paraId="78B1DB07" w14:textId="77777777" w:rsidR="007F3B38" w:rsidRPr="001A6D66" w:rsidRDefault="003B0CD2">
                    <w:pPr>
                      <w:pStyle w:val="Afzendgegevens"/>
                      <w:rPr>
                        <w:lang w:val="de-DE"/>
                      </w:rPr>
                    </w:pPr>
                    <w:r w:rsidRPr="001A6D66">
                      <w:rPr>
                        <w:lang w:val="de-DE"/>
                      </w:rPr>
                      <w:t>2515 XP  Den Haag</w:t>
                    </w:r>
                  </w:p>
                  <w:p w14:paraId="5A2C8557" w14:textId="77777777" w:rsidR="007F3B38" w:rsidRPr="001A6D66" w:rsidRDefault="003B0CD2">
                    <w:pPr>
                      <w:pStyle w:val="Afzendgegevens"/>
                      <w:rPr>
                        <w:lang w:val="de-DE"/>
                      </w:rPr>
                    </w:pPr>
                    <w:r w:rsidRPr="001A6D66">
                      <w:rPr>
                        <w:lang w:val="de-DE"/>
                      </w:rPr>
                      <w:t>Postbus 20901</w:t>
                    </w:r>
                  </w:p>
                  <w:p w14:paraId="790446B9" w14:textId="77777777" w:rsidR="007F3B38" w:rsidRPr="001A6D66" w:rsidRDefault="003B0CD2">
                    <w:pPr>
                      <w:pStyle w:val="Afzendgegevens"/>
                      <w:rPr>
                        <w:lang w:val="de-DE"/>
                      </w:rPr>
                    </w:pPr>
                    <w:r w:rsidRPr="001A6D66">
                      <w:rPr>
                        <w:lang w:val="de-DE"/>
                      </w:rPr>
                      <w:t>2500 EX Den Haag</w:t>
                    </w:r>
                  </w:p>
                  <w:p w14:paraId="341A2B88" w14:textId="77777777" w:rsidR="007F3B38" w:rsidRPr="001A6D66" w:rsidRDefault="007F3B38">
                    <w:pPr>
                      <w:pStyle w:val="WitregelW1"/>
                      <w:rPr>
                        <w:lang w:val="de-DE"/>
                      </w:rPr>
                    </w:pPr>
                  </w:p>
                  <w:p w14:paraId="6B04D1DA" w14:textId="77777777" w:rsidR="007F3B38" w:rsidRPr="001A6D66" w:rsidRDefault="003B0CD2">
                    <w:pPr>
                      <w:pStyle w:val="Afzendgegevens"/>
                      <w:rPr>
                        <w:lang w:val="de-DE"/>
                      </w:rPr>
                    </w:pPr>
                    <w:r w:rsidRPr="001A6D66">
                      <w:rPr>
                        <w:lang w:val="de-DE"/>
                      </w:rPr>
                      <w:t>T   070-456 0000</w:t>
                    </w:r>
                  </w:p>
                  <w:p w14:paraId="32F3830B" w14:textId="77777777" w:rsidR="007F3B38" w:rsidRDefault="003B0CD2">
                    <w:pPr>
                      <w:pStyle w:val="Afzendgegevens"/>
                    </w:pPr>
                    <w:r>
                      <w:t>F   070-456 1111</w:t>
                    </w:r>
                  </w:p>
                  <w:p w14:paraId="5F84EFB3" w14:textId="77777777" w:rsidR="001A6D66" w:rsidRPr="001A6D66" w:rsidRDefault="001A6D66" w:rsidP="001A6D66">
                    <w:pPr>
                      <w:rPr>
                        <w:sz w:val="13"/>
                        <w:szCs w:val="13"/>
                      </w:rPr>
                    </w:pPr>
                  </w:p>
                  <w:p w14:paraId="53E6374F" w14:textId="5751CE9C" w:rsidR="001A6D66" w:rsidRPr="001A6D66" w:rsidRDefault="001A6D66" w:rsidP="003B0CD2">
                    <w:pPr>
                      <w:spacing w:line="276" w:lineRule="auto"/>
                      <w:rPr>
                        <w:b/>
                        <w:bCs/>
                        <w:sz w:val="13"/>
                        <w:szCs w:val="13"/>
                      </w:rPr>
                    </w:pPr>
                    <w:r w:rsidRPr="001A6D66">
                      <w:rPr>
                        <w:b/>
                        <w:bCs/>
                        <w:sz w:val="13"/>
                        <w:szCs w:val="13"/>
                      </w:rPr>
                      <w:t>Ons kenmerk</w:t>
                    </w:r>
                  </w:p>
                  <w:p w14:paraId="42F717BC" w14:textId="767EF96E" w:rsidR="007F3B38" w:rsidRDefault="003B0CD2" w:rsidP="003B0CD2">
                    <w:pPr>
                      <w:pStyle w:val="WitregelW2"/>
                      <w:spacing w:line="276" w:lineRule="auto"/>
                      <w:rPr>
                        <w:sz w:val="13"/>
                        <w:szCs w:val="13"/>
                      </w:rPr>
                    </w:pPr>
                    <w:r>
                      <w:rPr>
                        <w:sz w:val="13"/>
                        <w:szCs w:val="13"/>
                      </w:rPr>
                      <w:t>IENW/BSK-2025/24609</w:t>
                    </w:r>
                  </w:p>
                  <w:p w14:paraId="55325344" w14:textId="77777777" w:rsidR="003B0CD2" w:rsidRPr="003B0CD2" w:rsidRDefault="003B0CD2" w:rsidP="003B0CD2"/>
                  <w:p w14:paraId="7E951EFE" w14:textId="68C4474D" w:rsidR="001A6D66" w:rsidRPr="001A6D66" w:rsidRDefault="001A6D66" w:rsidP="003B0CD2">
                    <w:pPr>
                      <w:spacing w:line="276" w:lineRule="auto"/>
                      <w:rPr>
                        <w:b/>
                        <w:bCs/>
                        <w:sz w:val="13"/>
                        <w:szCs w:val="13"/>
                      </w:rPr>
                    </w:pPr>
                    <w:r w:rsidRPr="001A6D66">
                      <w:rPr>
                        <w:b/>
                        <w:bCs/>
                        <w:sz w:val="13"/>
                        <w:szCs w:val="13"/>
                      </w:rPr>
                      <w:t>Uw kenmerk</w:t>
                    </w:r>
                  </w:p>
                  <w:p w14:paraId="383A70F7" w14:textId="67A0FE0A" w:rsidR="001A6D66" w:rsidRDefault="003B0CD2" w:rsidP="003B0CD2">
                    <w:pPr>
                      <w:spacing w:line="276" w:lineRule="auto"/>
                      <w:rPr>
                        <w:sz w:val="13"/>
                        <w:szCs w:val="13"/>
                      </w:rPr>
                    </w:pPr>
                    <w:r>
                      <w:rPr>
                        <w:sz w:val="13"/>
                        <w:szCs w:val="13"/>
                      </w:rPr>
                      <w:t>2024Z20935</w:t>
                    </w:r>
                  </w:p>
                  <w:p w14:paraId="5A4FEA6E" w14:textId="77777777" w:rsidR="003B0CD2" w:rsidRPr="001A6D66" w:rsidRDefault="003B0CD2" w:rsidP="001A6D66">
                    <w:pPr>
                      <w:rPr>
                        <w:sz w:val="13"/>
                        <w:szCs w:val="13"/>
                      </w:rPr>
                    </w:pPr>
                  </w:p>
                  <w:p w14:paraId="1C565FDD" w14:textId="77777777" w:rsidR="007F3B38" w:rsidRPr="001A6D66" w:rsidRDefault="003B0CD2" w:rsidP="003B0CD2">
                    <w:pPr>
                      <w:pStyle w:val="Referentiegegevenskop"/>
                      <w:spacing w:line="276" w:lineRule="auto"/>
                    </w:pPr>
                    <w:r w:rsidRPr="001A6D66">
                      <w:t>Bijlage(n)</w:t>
                    </w:r>
                  </w:p>
                  <w:p w14:paraId="38A86F96" w14:textId="77777777" w:rsidR="007F3B38" w:rsidRPr="001A6D66" w:rsidRDefault="003B0CD2" w:rsidP="003B0CD2">
                    <w:pPr>
                      <w:pStyle w:val="Referentiegegevens"/>
                      <w:spacing w:line="276" w:lineRule="auto"/>
                    </w:pPr>
                    <w:r w:rsidRPr="001A6D66">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75C5F45" wp14:editId="3DBFBCBF">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B8825D6" w14:textId="77777777" w:rsidR="007F3B38" w:rsidRDefault="003B0CD2">
                          <w:pPr>
                            <w:pStyle w:val="MarginlessContainer"/>
                          </w:pPr>
                          <w:r>
                            <w:rPr>
                              <w:noProof/>
                              <w:lang w:val="en-GB" w:eastAsia="en-GB"/>
                            </w:rPr>
                            <w:drawing>
                              <wp:inline distT="0" distB="0" distL="0" distR="0" wp14:anchorId="6EFF6542" wp14:editId="56DC88E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5C5F45"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5B8825D6" w14:textId="77777777" w:rsidR="007F3B38" w:rsidRDefault="003B0CD2">
                    <w:pPr>
                      <w:pStyle w:val="MarginlessContainer"/>
                    </w:pPr>
                    <w:r>
                      <w:rPr>
                        <w:noProof/>
                        <w:lang w:val="en-GB" w:eastAsia="en-GB"/>
                      </w:rPr>
                      <w:drawing>
                        <wp:inline distT="0" distB="0" distL="0" distR="0" wp14:anchorId="6EFF6542" wp14:editId="56DC88E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FB8CDB0" wp14:editId="6FB7E520">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A92500" w14:textId="77777777" w:rsidR="007F3B38" w:rsidRDefault="003B0CD2">
                          <w:pPr>
                            <w:pStyle w:val="MarginlessContainer"/>
                          </w:pPr>
                          <w:r>
                            <w:rPr>
                              <w:noProof/>
                              <w:lang w:val="en-GB" w:eastAsia="en-GB"/>
                            </w:rPr>
                            <w:drawing>
                              <wp:inline distT="0" distB="0" distL="0" distR="0" wp14:anchorId="657C6CAA" wp14:editId="7161ADCA">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B8CDB0"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22A92500" w14:textId="77777777" w:rsidR="007F3B38" w:rsidRDefault="003B0CD2">
                    <w:pPr>
                      <w:pStyle w:val="MarginlessContainer"/>
                    </w:pPr>
                    <w:r>
                      <w:rPr>
                        <w:noProof/>
                        <w:lang w:val="en-GB" w:eastAsia="en-GB"/>
                      </w:rPr>
                      <w:drawing>
                        <wp:inline distT="0" distB="0" distL="0" distR="0" wp14:anchorId="657C6CAA" wp14:editId="7161ADCA">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CDDF721" wp14:editId="6A5EAC97">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5757697" w14:textId="77777777" w:rsidR="007F3B38" w:rsidRDefault="003B0CD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CDDF721"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05757697" w14:textId="77777777" w:rsidR="007F3B38" w:rsidRDefault="003B0CD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D100395" wp14:editId="7A664617">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E20F6AF" w14:textId="77777777" w:rsidR="007F3B38" w:rsidRDefault="003B0CD2">
                          <w:pPr>
                            <w:pStyle w:val="Rubricering"/>
                          </w:pPr>
                          <w:r>
                            <w:t>openbaar</w:t>
                          </w:r>
                        </w:p>
                        <w:p w14:paraId="11A47217" w14:textId="77777777" w:rsidR="007F3B38" w:rsidRDefault="003B0CD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D100395"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3E20F6AF" w14:textId="77777777" w:rsidR="007F3B38" w:rsidRDefault="003B0CD2">
                    <w:pPr>
                      <w:pStyle w:val="Rubricering"/>
                    </w:pPr>
                    <w:r>
                      <w:t>openbaar</w:t>
                    </w:r>
                  </w:p>
                  <w:p w14:paraId="11A47217" w14:textId="77777777" w:rsidR="007F3B38" w:rsidRDefault="003B0CD2">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09BCDD3" wp14:editId="34340007">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F3B38" w14:paraId="3F23DE4D" w14:textId="77777777">
                            <w:trPr>
                              <w:trHeight w:val="200"/>
                            </w:trPr>
                            <w:tc>
                              <w:tcPr>
                                <w:tcW w:w="1140" w:type="dxa"/>
                              </w:tcPr>
                              <w:p w14:paraId="283C941E" w14:textId="77777777" w:rsidR="007F3B38" w:rsidRDefault="007F3B38"/>
                            </w:tc>
                            <w:tc>
                              <w:tcPr>
                                <w:tcW w:w="5400" w:type="dxa"/>
                              </w:tcPr>
                              <w:p w14:paraId="370B14A5" w14:textId="77777777" w:rsidR="007F3B38" w:rsidRDefault="007F3B38"/>
                            </w:tc>
                          </w:tr>
                          <w:tr w:rsidR="007F3B38" w14:paraId="6B3BF425" w14:textId="77777777">
                            <w:trPr>
                              <w:trHeight w:val="240"/>
                            </w:trPr>
                            <w:tc>
                              <w:tcPr>
                                <w:tcW w:w="1140" w:type="dxa"/>
                              </w:tcPr>
                              <w:p w14:paraId="5E13FA13" w14:textId="77777777" w:rsidR="007F3B38" w:rsidRDefault="003B0CD2">
                                <w:r>
                                  <w:t>Datum</w:t>
                                </w:r>
                              </w:p>
                            </w:tc>
                            <w:tc>
                              <w:tcPr>
                                <w:tcW w:w="5400" w:type="dxa"/>
                              </w:tcPr>
                              <w:p w14:paraId="3F6D9D65" w14:textId="21C37967" w:rsidR="007F3B38" w:rsidRDefault="00314E6F">
                                <w:r>
                                  <w:t xml:space="preserve">5 </w:t>
                                </w:r>
                                <w:r w:rsidR="003E2277">
                                  <w:t>maart 2025</w:t>
                                </w:r>
                              </w:p>
                            </w:tc>
                          </w:tr>
                          <w:tr w:rsidR="007F3B38" w14:paraId="44A0A808" w14:textId="77777777">
                            <w:trPr>
                              <w:trHeight w:val="240"/>
                            </w:trPr>
                            <w:tc>
                              <w:tcPr>
                                <w:tcW w:w="1140" w:type="dxa"/>
                              </w:tcPr>
                              <w:p w14:paraId="76122214" w14:textId="77777777" w:rsidR="007F3B38" w:rsidRDefault="003B0CD2">
                                <w:r>
                                  <w:t>Betreft</w:t>
                                </w:r>
                              </w:p>
                            </w:tc>
                            <w:tc>
                              <w:tcPr>
                                <w:tcW w:w="5400" w:type="dxa"/>
                              </w:tcPr>
                              <w:p w14:paraId="30B2562C" w14:textId="77777777" w:rsidR="007F3B38" w:rsidRDefault="003B0CD2">
                                <w:r>
                                  <w:t>Beantwoording Kamervragen beschermen burgers, dieren en milieu tegen staalslakken</w:t>
                                </w:r>
                              </w:p>
                            </w:tc>
                          </w:tr>
                          <w:tr w:rsidR="007F3B38" w14:paraId="2E95EDA3" w14:textId="77777777">
                            <w:trPr>
                              <w:trHeight w:val="200"/>
                            </w:trPr>
                            <w:tc>
                              <w:tcPr>
                                <w:tcW w:w="1140" w:type="dxa"/>
                              </w:tcPr>
                              <w:p w14:paraId="625B10C6" w14:textId="77777777" w:rsidR="007F3B38" w:rsidRDefault="007F3B38"/>
                            </w:tc>
                            <w:tc>
                              <w:tcPr>
                                <w:tcW w:w="5400" w:type="dxa"/>
                              </w:tcPr>
                              <w:p w14:paraId="5A9F5BE9" w14:textId="77777777" w:rsidR="007F3B38" w:rsidRDefault="007F3B38"/>
                            </w:tc>
                          </w:tr>
                        </w:tbl>
                        <w:p w14:paraId="48CA4095" w14:textId="77777777" w:rsidR="00022FCA" w:rsidRDefault="00022FCA"/>
                      </w:txbxContent>
                    </wps:txbx>
                    <wps:bodyPr vert="horz" wrap="square" lIns="0" tIns="0" rIns="0" bIns="0" anchor="t" anchorCtr="0"/>
                  </wps:wsp>
                </a:graphicData>
              </a:graphic>
            </wp:anchor>
          </w:drawing>
        </mc:Choice>
        <mc:Fallback>
          <w:pict>
            <v:shape w14:anchorId="409BCDD3"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7F3B38" w14:paraId="3F23DE4D" w14:textId="77777777">
                      <w:trPr>
                        <w:trHeight w:val="200"/>
                      </w:trPr>
                      <w:tc>
                        <w:tcPr>
                          <w:tcW w:w="1140" w:type="dxa"/>
                        </w:tcPr>
                        <w:p w14:paraId="283C941E" w14:textId="77777777" w:rsidR="007F3B38" w:rsidRDefault="007F3B38"/>
                      </w:tc>
                      <w:tc>
                        <w:tcPr>
                          <w:tcW w:w="5400" w:type="dxa"/>
                        </w:tcPr>
                        <w:p w14:paraId="370B14A5" w14:textId="77777777" w:rsidR="007F3B38" w:rsidRDefault="007F3B38"/>
                      </w:tc>
                    </w:tr>
                    <w:tr w:rsidR="007F3B38" w14:paraId="6B3BF425" w14:textId="77777777">
                      <w:trPr>
                        <w:trHeight w:val="240"/>
                      </w:trPr>
                      <w:tc>
                        <w:tcPr>
                          <w:tcW w:w="1140" w:type="dxa"/>
                        </w:tcPr>
                        <w:p w14:paraId="5E13FA13" w14:textId="77777777" w:rsidR="007F3B38" w:rsidRDefault="003B0CD2">
                          <w:r>
                            <w:t>Datum</w:t>
                          </w:r>
                        </w:p>
                      </w:tc>
                      <w:tc>
                        <w:tcPr>
                          <w:tcW w:w="5400" w:type="dxa"/>
                        </w:tcPr>
                        <w:p w14:paraId="3F6D9D65" w14:textId="21C37967" w:rsidR="007F3B38" w:rsidRDefault="00314E6F">
                          <w:r>
                            <w:t xml:space="preserve">5 </w:t>
                          </w:r>
                          <w:r w:rsidR="003E2277">
                            <w:t>maart 2025</w:t>
                          </w:r>
                        </w:p>
                      </w:tc>
                    </w:tr>
                    <w:tr w:rsidR="007F3B38" w14:paraId="44A0A808" w14:textId="77777777">
                      <w:trPr>
                        <w:trHeight w:val="240"/>
                      </w:trPr>
                      <w:tc>
                        <w:tcPr>
                          <w:tcW w:w="1140" w:type="dxa"/>
                        </w:tcPr>
                        <w:p w14:paraId="76122214" w14:textId="77777777" w:rsidR="007F3B38" w:rsidRDefault="003B0CD2">
                          <w:r>
                            <w:t>Betreft</w:t>
                          </w:r>
                        </w:p>
                      </w:tc>
                      <w:tc>
                        <w:tcPr>
                          <w:tcW w:w="5400" w:type="dxa"/>
                        </w:tcPr>
                        <w:p w14:paraId="30B2562C" w14:textId="77777777" w:rsidR="007F3B38" w:rsidRDefault="003B0CD2">
                          <w:r>
                            <w:t>Beantwoording Kamervragen beschermen burgers, dieren en milieu tegen staalslakken</w:t>
                          </w:r>
                        </w:p>
                      </w:tc>
                    </w:tr>
                    <w:tr w:rsidR="007F3B38" w14:paraId="2E95EDA3" w14:textId="77777777">
                      <w:trPr>
                        <w:trHeight w:val="200"/>
                      </w:trPr>
                      <w:tc>
                        <w:tcPr>
                          <w:tcW w:w="1140" w:type="dxa"/>
                        </w:tcPr>
                        <w:p w14:paraId="625B10C6" w14:textId="77777777" w:rsidR="007F3B38" w:rsidRDefault="007F3B38"/>
                      </w:tc>
                      <w:tc>
                        <w:tcPr>
                          <w:tcW w:w="5400" w:type="dxa"/>
                        </w:tcPr>
                        <w:p w14:paraId="5A9F5BE9" w14:textId="77777777" w:rsidR="007F3B38" w:rsidRDefault="007F3B38"/>
                      </w:tc>
                    </w:tr>
                  </w:tbl>
                  <w:p w14:paraId="48CA4095" w14:textId="77777777" w:rsidR="00022FCA" w:rsidRDefault="00022FC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9F1E75B" wp14:editId="60456D97">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A9093C9" w14:textId="77777777" w:rsidR="00022FCA" w:rsidRDefault="00022FCA"/>
                      </w:txbxContent>
                    </wps:txbx>
                    <wps:bodyPr vert="horz" wrap="square" lIns="0" tIns="0" rIns="0" bIns="0" anchor="t" anchorCtr="0"/>
                  </wps:wsp>
                </a:graphicData>
              </a:graphic>
            </wp:anchor>
          </w:drawing>
        </mc:Choice>
        <mc:Fallback>
          <w:pict>
            <v:shape w14:anchorId="49F1E75B"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6A9093C9" w14:textId="77777777" w:rsidR="00022FCA" w:rsidRDefault="00022FC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C3B36E"/>
    <w:multiLevelType w:val="multilevel"/>
    <w:tmpl w:val="108C0F6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9E39C4"/>
    <w:multiLevelType w:val="multilevel"/>
    <w:tmpl w:val="0B5370D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7528115"/>
    <w:multiLevelType w:val="multilevel"/>
    <w:tmpl w:val="180E528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DD2B3E"/>
    <w:multiLevelType w:val="multilevel"/>
    <w:tmpl w:val="0A0951F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265F829"/>
    <w:multiLevelType w:val="multilevel"/>
    <w:tmpl w:val="98CB48D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A3F555A"/>
    <w:multiLevelType w:val="multilevel"/>
    <w:tmpl w:val="69AE1737"/>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A2B9590"/>
    <w:multiLevelType w:val="multilevel"/>
    <w:tmpl w:val="F1F5BA1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0D6EB55"/>
    <w:multiLevelType w:val="multilevel"/>
    <w:tmpl w:val="67D2DC43"/>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840F8A8"/>
    <w:multiLevelType w:val="multilevel"/>
    <w:tmpl w:val="A482C5C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8D8403B"/>
    <w:multiLevelType w:val="multilevel"/>
    <w:tmpl w:val="3A7855E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0E878F1"/>
    <w:multiLevelType w:val="multilevel"/>
    <w:tmpl w:val="522C9CF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A230330"/>
    <w:multiLevelType w:val="multilevel"/>
    <w:tmpl w:val="2939579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F70B05"/>
    <w:multiLevelType w:val="hybridMultilevel"/>
    <w:tmpl w:val="F4EE0E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BDD05C"/>
    <w:multiLevelType w:val="multilevel"/>
    <w:tmpl w:val="B4437560"/>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654B59"/>
    <w:multiLevelType w:val="multilevel"/>
    <w:tmpl w:val="D498CCE8"/>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912240"/>
    <w:multiLevelType w:val="hybridMultilevel"/>
    <w:tmpl w:val="2D2437C6"/>
    <w:lvl w:ilvl="0" w:tplc="392231D4">
      <w:start w:val="1"/>
      <w:numFmt w:val="decimal"/>
      <w:lvlText w:val="%1)"/>
      <w:lvlJc w:val="left"/>
      <w:pPr>
        <w:ind w:left="1020" w:hanging="360"/>
      </w:pPr>
    </w:lvl>
    <w:lvl w:ilvl="1" w:tplc="DFF44BA6">
      <w:start w:val="1"/>
      <w:numFmt w:val="decimal"/>
      <w:lvlText w:val="%2)"/>
      <w:lvlJc w:val="left"/>
      <w:pPr>
        <w:ind w:left="1020" w:hanging="360"/>
      </w:pPr>
    </w:lvl>
    <w:lvl w:ilvl="2" w:tplc="9CA85E86">
      <w:start w:val="1"/>
      <w:numFmt w:val="decimal"/>
      <w:lvlText w:val="%3)"/>
      <w:lvlJc w:val="left"/>
      <w:pPr>
        <w:ind w:left="1020" w:hanging="360"/>
      </w:pPr>
    </w:lvl>
    <w:lvl w:ilvl="3" w:tplc="AA482C1E">
      <w:start w:val="1"/>
      <w:numFmt w:val="decimal"/>
      <w:lvlText w:val="%4)"/>
      <w:lvlJc w:val="left"/>
      <w:pPr>
        <w:ind w:left="1020" w:hanging="360"/>
      </w:pPr>
    </w:lvl>
    <w:lvl w:ilvl="4" w:tplc="E3502666">
      <w:start w:val="1"/>
      <w:numFmt w:val="decimal"/>
      <w:lvlText w:val="%5)"/>
      <w:lvlJc w:val="left"/>
      <w:pPr>
        <w:ind w:left="1020" w:hanging="360"/>
      </w:pPr>
    </w:lvl>
    <w:lvl w:ilvl="5" w:tplc="92D47006">
      <w:start w:val="1"/>
      <w:numFmt w:val="decimal"/>
      <w:lvlText w:val="%6)"/>
      <w:lvlJc w:val="left"/>
      <w:pPr>
        <w:ind w:left="1020" w:hanging="360"/>
      </w:pPr>
    </w:lvl>
    <w:lvl w:ilvl="6" w:tplc="0840D1A6">
      <w:start w:val="1"/>
      <w:numFmt w:val="decimal"/>
      <w:lvlText w:val="%7)"/>
      <w:lvlJc w:val="left"/>
      <w:pPr>
        <w:ind w:left="1020" w:hanging="360"/>
      </w:pPr>
    </w:lvl>
    <w:lvl w:ilvl="7" w:tplc="4F1086FA">
      <w:start w:val="1"/>
      <w:numFmt w:val="decimal"/>
      <w:lvlText w:val="%8)"/>
      <w:lvlJc w:val="left"/>
      <w:pPr>
        <w:ind w:left="1020" w:hanging="360"/>
      </w:pPr>
    </w:lvl>
    <w:lvl w:ilvl="8" w:tplc="BFA4B15E">
      <w:start w:val="1"/>
      <w:numFmt w:val="decimal"/>
      <w:lvlText w:val="%9)"/>
      <w:lvlJc w:val="left"/>
      <w:pPr>
        <w:ind w:left="1020" w:hanging="360"/>
      </w:pPr>
    </w:lvl>
  </w:abstractNum>
  <w:abstractNum w:abstractNumId="16" w15:restartNumberingAfterBreak="0">
    <w:nsid w:val="26753AD8"/>
    <w:multiLevelType w:val="multilevel"/>
    <w:tmpl w:val="0D547E8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D099E2"/>
    <w:multiLevelType w:val="multilevel"/>
    <w:tmpl w:val="3CF7471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B0C8CF"/>
    <w:multiLevelType w:val="multilevel"/>
    <w:tmpl w:val="50531CD1"/>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0A4B11"/>
    <w:multiLevelType w:val="hybridMultilevel"/>
    <w:tmpl w:val="3B442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2FE9CD8"/>
    <w:multiLevelType w:val="multilevel"/>
    <w:tmpl w:val="51978F2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467425"/>
    <w:multiLevelType w:val="hybridMultilevel"/>
    <w:tmpl w:val="23748DE8"/>
    <w:lvl w:ilvl="0" w:tplc="7C7AEB16">
      <w:start w:val="1"/>
      <w:numFmt w:val="bullet"/>
      <w:lvlText w:val=""/>
      <w:lvlJc w:val="left"/>
      <w:pPr>
        <w:ind w:left="1440" w:hanging="360"/>
      </w:pPr>
      <w:rPr>
        <w:rFonts w:ascii="Symbol" w:hAnsi="Symbol"/>
      </w:rPr>
    </w:lvl>
    <w:lvl w:ilvl="1" w:tplc="39668B54">
      <w:start w:val="1"/>
      <w:numFmt w:val="bullet"/>
      <w:lvlText w:val=""/>
      <w:lvlJc w:val="left"/>
      <w:pPr>
        <w:ind w:left="1440" w:hanging="360"/>
      </w:pPr>
      <w:rPr>
        <w:rFonts w:ascii="Symbol" w:hAnsi="Symbol"/>
      </w:rPr>
    </w:lvl>
    <w:lvl w:ilvl="2" w:tplc="79C86A3A">
      <w:start w:val="1"/>
      <w:numFmt w:val="bullet"/>
      <w:lvlText w:val=""/>
      <w:lvlJc w:val="left"/>
      <w:pPr>
        <w:ind w:left="1440" w:hanging="360"/>
      </w:pPr>
      <w:rPr>
        <w:rFonts w:ascii="Symbol" w:hAnsi="Symbol"/>
      </w:rPr>
    </w:lvl>
    <w:lvl w:ilvl="3" w:tplc="A26A6D26">
      <w:start w:val="1"/>
      <w:numFmt w:val="bullet"/>
      <w:lvlText w:val=""/>
      <w:lvlJc w:val="left"/>
      <w:pPr>
        <w:ind w:left="1440" w:hanging="360"/>
      </w:pPr>
      <w:rPr>
        <w:rFonts w:ascii="Symbol" w:hAnsi="Symbol"/>
      </w:rPr>
    </w:lvl>
    <w:lvl w:ilvl="4" w:tplc="C326293E">
      <w:start w:val="1"/>
      <w:numFmt w:val="bullet"/>
      <w:lvlText w:val=""/>
      <w:lvlJc w:val="left"/>
      <w:pPr>
        <w:ind w:left="1440" w:hanging="360"/>
      </w:pPr>
      <w:rPr>
        <w:rFonts w:ascii="Symbol" w:hAnsi="Symbol"/>
      </w:rPr>
    </w:lvl>
    <w:lvl w:ilvl="5" w:tplc="961079E0">
      <w:start w:val="1"/>
      <w:numFmt w:val="bullet"/>
      <w:lvlText w:val=""/>
      <w:lvlJc w:val="left"/>
      <w:pPr>
        <w:ind w:left="1440" w:hanging="360"/>
      </w:pPr>
      <w:rPr>
        <w:rFonts w:ascii="Symbol" w:hAnsi="Symbol"/>
      </w:rPr>
    </w:lvl>
    <w:lvl w:ilvl="6" w:tplc="15547E00">
      <w:start w:val="1"/>
      <w:numFmt w:val="bullet"/>
      <w:lvlText w:val=""/>
      <w:lvlJc w:val="left"/>
      <w:pPr>
        <w:ind w:left="1440" w:hanging="360"/>
      </w:pPr>
      <w:rPr>
        <w:rFonts w:ascii="Symbol" w:hAnsi="Symbol"/>
      </w:rPr>
    </w:lvl>
    <w:lvl w:ilvl="7" w:tplc="525E63BC">
      <w:start w:val="1"/>
      <w:numFmt w:val="bullet"/>
      <w:lvlText w:val=""/>
      <w:lvlJc w:val="left"/>
      <w:pPr>
        <w:ind w:left="1440" w:hanging="360"/>
      </w:pPr>
      <w:rPr>
        <w:rFonts w:ascii="Symbol" w:hAnsi="Symbol"/>
      </w:rPr>
    </w:lvl>
    <w:lvl w:ilvl="8" w:tplc="971CA73C">
      <w:start w:val="1"/>
      <w:numFmt w:val="bullet"/>
      <w:lvlText w:val=""/>
      <w:lvlJc w:val="left"/>
      <w:pPr>
        <w:ind w:left="1440" w:hanging="360"/>
      </w:pPr>
      <w:rPr>
        <w:rFonts w:ascii="Symbol" w:hAnsi="Symbol"/>
      </w:rPr>
    </w:lvl>
  </w:abstractNum>
  <w:abstractNum w:abstractNumId="22" w15:restartNumberingAfterBreak="0">
    <w:nsid w:val="689BE060"/>
    <w:multiLevelType w:val="multilevel"/>
    <w:tmpl w:val="F18EAD4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96FF91"/>
    <w:multiLevelType w:val="multilevel"/>
    <w:tmpl w:val="E41BCC6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E9E10F"/>
    <w:multiLevelType w:val="multilevel"/>
    <w:tmpl w:val="04237683"/>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6268DE"/>
    <w:multiLevelType w:val="hybridMultilevel"/>
    <w:tmpl w:val="CC487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7"/>
  </w:num>
  <w:num w:numId="4">
    <w:abstractNumId w:val="4"/>
  </w:num>
  <w:num w:numId="5">
    <w:abstractNumId w:val="10"/>
  </w:num>
  <w:num w:numId="6">
    <w:abstractNumId w:val="11"/>
  </w:num>
  <w:num w:numId="7">
    <w:abstractNumId w:val="18"/>
  </w:num>
  <w:num w:numId="8">
    <w:abstractNumId w:val="24"/>
  </w:num>
  <w:num w:numId="9">
    <w:abstractNumId w:val="8"/>
  </w:num>
  <w:num w:numId="10">
    <w:abstractNumId w:val="2"/>
  </w:num>
  <w:num w:numId="11">
    <w:abstractNumId w:val="23"/>
  </w:num>
  <w:num w:numId="12">
    <w:abstractNumId w:val="22"/>
  </w:num>
  <w:num w:numId="13">
    <w:abstractNumId w:val="16"/>
  </w:num>
  <w:num w:numId="14">
    <w:abstractNumId w:val="0"/>
  </w:num>
  <w:num w:numId="15">
    <w:abstractNumId w:val="1"/>
  </w:num>
  <w:num w:numId="16">
    <w:abstractNumId w:val="9"/>
  </w:num>
  <w:num w:numId="17">
    <w:abstractNumId w:val="5"/>
  </w:num>
  <w:num w:numId="18">
    <w:abstractNumId w:val="7"/>
  </w:num>
  <w:num w:numId="19">
    <w:abstractNumId w:val="6"/>
  </w:num>
  <w:num w:numId="20">
    <w:abstractNumId w:val="20"/>
  </w:num>
  <w:num w:numId="21">
    <w:abstractNumId w:val="13"/>
  </w:num>
  <w:num w:numId="22">
    <w:abstractNumId w:val="12"/>
  </w:num>
  <w:num w:numId="23">
    <w:abstractNumId w:val="25"/>
  </w:num>
  <w:num w:numId="24">
    <w:abstractNumId w:val="19"/>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D66"/>
    <w:rsid w:val="00015A97"/>
    <w:rsid w:val="00017A4A"/>
    <w:rsid w:val="00022FCA"/>
    <w:rsid w:val="0004544B"/>
    <w:rsid w:val="000522E8"/>
    <w:rsid w:val="000E644B"/>
    <w:rsid w:val="001438D7"/>
    <w:rsid w:val="001A6D66"/>
    <w:rsid w:val="001B03D9"/>
    <w:rsid w:val="001E141D"/>
    <w:rsid w:val="00202FD5"/>
    <w:rsid w:val="002E3D94"/>
    <w:rsid w:val="00314E6F"/>
    <w:rsid w:val="00322EAD"/>
    <w:rsid w:val="00336B88"/>
    <w:rsid w:val="003748A5"/>
    <w:rsid w:val="003979BE"/>
    <w:rsid w:val="003B0CD2"/>
    <w:rsid w:val="003E2277"/>
    <w:rsid w:val="005A77EB"/>
    <w:rsid w:val="00613D59"/>
    <w:rsid w:val="0062326B"/>
    <w:rsid w:val="00683768"/>
    <w:rsid w:val="006977C1"/>
    <w:rsid w:val="006A6A25"/>
    <w:rsid w:val="006B6484"/>
    <w:rsid w:val="006F3BB6"/>
    <w:rsid w:val="00706080"/>
    <w:rsid w:val="00735BDC"/>
    <w:rsid w:val="00763D1C"/>
    <w:rsid w:val="007F3B38"/>
    <w:rsid w:val="00813DCA"/>
    <w:rsid w:val="008C5126"/>
    <w:rsid w:val="008D0BEA"/>
    <w:rsid w:val="00914921"/>
    <w:rsid w:val="0098479D"/>
    <w:rsid w:val="009B0C8B"/>
    <w:rsid w:val="00A168E9"/>
    <w:rsid w:val="00A278F1"/>
    <w:rsid w:val="00A52A44"/>
    <w:rsid w:val="00A71E25"/>
    <w:rsid w:val="00AC56AB"/>
    <w:rsid w:val="00B21E42"/>
    <w:rsid w:val="00B91D23"/>
    <w:rsid w:val="00BD46B4"/>
    <w:rsid w:val="00BE01D0"/>
    <w:rsid w:val="00BF6AB2"/>
    <w:rsid w:val="00C00337"/>
    <w:rsid w:val="00C200CE"/>
    <w:rsid w:val="00C56087"/>
    <w:rsid w:val="00C56308"/>
    <w:rsid w:val="00CB41F4"/>
    <w:rsid w:val="00CC7338"/>
    <w:rsid w:val="00CD65F7"/>
    <w:rsid w:val="00CF5BDC"/>
    <w:rsid w:val="00D2790A"/>
    <w:rsid w:val="00D537FB"/>
    <w:rsid w:val="00D76A6C"/>
    <w:rsid w:val="00DB092D"/>
    <w:rsid w:val="00DE18CA"/>
    <w:rsid w:val="00E84B0F"/>
    <w:rsid w:val="00F16AFA"/>
    <w:rsid w:val="00F239D7"/>
    <w:rsid w:val="00F24881"/>
    <w:rsid w:val="00F63638"/>
    <w:rsid w:val="00F70C01"/>
    <w:rsid w:val="00F95DC0"/>
    <w:rsid w:val="00FB5151"/>
    <w:rsid w:val="00FB5C2A"/>
    <w:rsid w:val="00FC66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1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A6D66"/>
    <w:pPr>
      <w:tabs>
        <w:tab w:val="center" w:pos="4536"/>
        <w:tab w:val="right" w:pos="9072"/>
      </w:tabs>
      <w:spacing w:line="240" w:lineRule="auto"/>
    </w:pPr>
  </w:style>
  <w:style w:type="character" w:customStyle="1" w:styleId="HeaderChar">
    <w:name w:val="Header Char"/>
    <w:basedOn w:val="DefaultParagraphFont"/>
    <w:link w:val="Header"/>
    <w:uiPriority w:val="99"/>
    <w:rsid w:val="001A6D66"/>
    <w:rPr>
      <w:rFonts w:ascii="Verdana" w:hAnsi="Verdana"/>
      <w:color w:val="000000"/>
      <w:sz w:val="18"/>
      <w:szCs w:val="18"/>
    </w:rPr>
  </w:style>
  <w:style w:type="paragraph" w:styleId="Footer">
    <w:name w:val="footer"/>
    <w:basedOn w:val="Normal"/>
    <w:link w:val="FooterChar"/>
    <w:uiPriority w:val="99"/>
    <w:unhideWhenUsed/>
    <w:rsid w:val="001A6D66"/>
    <w:pPr>
      <w:tabs>
        <w:tab w:val="center" w:pos="4536"/>
        <w:tab w:val="right" w:pos="9072"/>
      </w:tabs>
      <w:spacing w:line="240" w:lineRule="auto"/>
    </w:pPr>
  </w:style>
  <w:style w:type="character" w:customStyle="1" w:styleId="FooterChar">
    <w:name w:val="Footer Char"/>
    <w:basedOn w:val="DefaultParagraphFont"/>
    <w:link w:val="Footer"/>
    <w:uiPriority w:val="99"/>
    <w:rsid w:val="001A6D66"/>
    <w:rPr>
      <w:rFonts w:ascii="Verdana" w:hAnsi="Verdana"/>
      <w:color w:val="000000"/>
      <w:sz w:val="18"/>
      <w:szCs w:val="18"/>
    </w:rPr>
  </w:style>
  <w:style w:type="paragraph" w:styleId="ListParagraph">
    <w:name w:val="List Paragraph"/>
    <w:basedOn w:val="Normal"/>
    <w:uiPriority w:val="34"/>
    <w:qFormat/>
    <w:rsid w:val="001A6D66"/>
    <w:pPr>
      <w:autoSpaceDN/>
      <w:spacing w:after="160" w:line="256" w:lineRule="auto"/>
      <w:ind w:left="720"/>
      <w:contextualSpacing/>
      <w:textAlignment w:val="auto"/>
    </w:pPr>
    <w:rPr>
      <w:rFonts w:asciiTheme="minorHAnsi" w:eastAsiaTheme="minorHAnsi" w:hAnsiTheme="minorHAnsi" w:cstheme="minorBidi"/>
      <w:color w:val="auto"/>
      <w:sz w:val="22"/>
      <w:szCs w:val="22"/>
      <w:lang w:eastAsia="en-US"/>
      <w14:ligatures w14:val="standardContextual"/>
    </w:rPr>
  </w:style>
  <w:style w:type="character" w:styleId="CommentReference">
    <w:name w:val="annotation reference"/>
    <w:basedOn w:val="DefaultParagraphFont"/>
    <w:uiPriority w:val="99"/>
    <w:semiHidden/>
    <w:unhideWhenUsed/>
    <w:rsid w:val="001A6D66"/>
    <w:rPr>
      <w:sz w:val="16"/>
      <w:szCs w:val="16"/>
    </w:rPr>
  </w:style>
  <w:style w:type="paragraph" w:styleId="CommentText">
    <w:name w:val="annotation text"/>
    <w:basedOn w:val="Normal"/>
    <w:link w:val="CommentTextChar"/>
    <w:uiPriority w:val="99"/>
    <w:unhideWhenUsed/>
    <w:rsid w:val="001A6D66"/>
    <w:pPr>
      <w:autoSpaceDN/>
      <w:spacing w:after="160" w:line="240" w:lineRule="auto"/>
      <w:textAlignment w:val="auto"/>
    </w:pPr>
    <w:rPr>
      <w:rFonts w:asciiTheme="minorHAnsi" w:eastAsiaTheme="minorHAnsi" w:hAnsiTheme="minorHAnsi" w:cstheme="minorBidi"/>
      <w:color w:val="auto"/>
      <w:sz w:val="20"/>
      <w:szCs w:val="20"/>
      <w:lang w:eastAsia="en-US"/>
      <w14:ligatures w14:val="standardContextual"/>
    </w:rPr>
  </w:style>
  <w:style w:type="character" w:customStyle="1" w:styleId="CommentTextChar">
    <w:name w:val="Comment Text Char"/>
    <w:basedOn w:val="DefaultParagraphFont"/>
    <w:link w:val="CommentText"/>
    <w:uiPriority w:val="99"/>
    <w:rsid w:val="001A6D66"/>
    <w:rPr>
      <w:rFonts w:asciiTheme="minorHAnsi" w:eastAsiaTheme="minorHAnsi" w:hAnsiTheme="minorHAnsi" w:cstheme="minorBidi"/>
      <w:lang w:eastAsia="en-US"/>
      <w14:ligatures w14:val="standardContextual"/>
    </w:rPr>
  </w:style>
  <w:style w:type="paragraph" w:styleId="FootnoteText">
    <w:name w:val="footnote text"/>
    <w:basedOn w:val="Normal"/>
    <w:link w:val="FootnoteTextChar"/>
    <w:uiPriority w:val="99"/>
    <w:semiHidden/>
    <w:unhideWhenUsed/>
    <w:rsid w:val="001A6D66"/>
    <w:pPr>
      <w:autoSpaceDN/>
      <w:spacing w:line="240" w:lineRule="auto"/>
      <w:textAlignment w:val="auto"/>
    </w:pPr>
    <w:rPr>
      <w:rFonts w:asciiTheme="minorHAnsi" w:eastAsiaTheme="minorHAnsi" w:hAnsiTheme="minorHAnsi" w:cstheme="minorBidi"/>
      <w:color w:val="auto"/>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1A6D66"/>
    <w:rPr>
      <w:rFonts w:asciiTheme="minorHAnsi" w:eastAsiaTheme="minorHAnsi" w:hAnsiTheme="minorHAnsi" w:cstheme="minorBidi"/>
      <w:lang w:eastAsia="en-US"/>
      <w14:ligatures w14:val="standardContextual"/>
    </w:rPr>
  </w:style>
  <w:style w:type="character" w:styleId="FootnoteReference">
    <w:name w:val="footnote reference"/>
    <w:basedOn w:val="DefaultParagraphFont"/>
    <w:uiPriority w:val="99"/>
    <w:semiHidden/>
    <w:unhideWhenUsed/>
    <w:rsid w:val="001A6D66"/>
    <w:rPr>
      <w:vertAlign w:val="superscript"/>
    </w:rPr>
  </w:style>
  <w:style w:type="character" w:styleId="Hyperlink">
    <w:name w:val="Hyperlink"/>
    <w:basedOn w:val="DefaultParagraphFont"/>
    <w:uiPriority w:val="99"/>
    <w:unhideWhenUsed/>
    <w:rsid w:val="001A6D66"/>
    <w:rPr>
      <w:color w:val="0000FF"/>
      <w:u w:val="single"/>
    </w:rPr>
  </w:style>
  <w:style w:type="character" w:customStyle="1" w:styleId="cf01">
    <w:name w:val="cf01"/>
    <w:basedOn w:val="DefaultParagraphFont"/>
    <w:rsid w:val="001A6D66"/>
    <w:rPr>
      <w:rFonts w:ascii="Segoe UI" w:hAnsi="Segoe UI" w:cs="Segoe UI" w:hint="default"/>
      <w:sz w:val="18"/>
      <w:szCs w:val="18"/>
    </w:rPr>
  </w:style>
  <w:style w:type="paragraph" w:styleId="Revision">
    <w:name w:val="Revision"/>
    <w:hidden/>
    <w:uiPriority w:val="99"/>
    <w:semiHidden/>
    <w:rsid w:val="00914921"/>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202FD5"/>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A71E25"/>
    <w:pPr>
      <w:autoSpaceDN w:val="0"/>
      <w:spacing w:after="0"/>
      <w:textAlignment w:val="baseline"/>
    </w:pPr>
    <w:rPr>
      <w:rFonts w:ascii="Verdana" w:eastAsia="DejaVu Sans" w:hAnsi="Verdana" w:cs="Lohit Hindi"/>
      <w:b/>
      <w:bCs/>
      <w:color w:val="000000"/>
      <w:lang w:eastAsia="nl-NL"/>
      <w14:ligatures w14:val="none"/>
    </w:rPr>
  </w:style>
  <w:style w:type="character" w:customStyle="1" w:styleId="CommentSubjectChar">
    <w:name w:val="Comment Subject Char"/>
    <w:basedOn w:val="CommentTextChar"/>
    <w:link w:val="CommentSubject"/>
    <w:uiPriority w:val="99"/>
    <w:semiHidden/>
    <w:rsid w:val="00A71E25"/>
    <w:rPr>
      <w:rFonts w:ascii="Verdana" w:eastAsiaTheme="minorHAnsi" w:hAnsi="Verdana" w:cstheme="minorBidi"/>
      <w:b/>
      <w:bCs/>
      <w:color w:val="000000"/>
      <w:lang w:eastAsia="en-US"/>
      <w14:ligatures w14:val="standardContextual"/>
    </w:rPr>
  </w:style>
  <w:style w:type="character" w:customStyle="1" w:styleId="UnresolvedMention">
    <w:name w:val="Unresolved Mention"/>
    <w:basedOn w:val="DefaultParagraphFont"/>
    <w:uiPriority w:val="99"/>
    <w:semiHidden/>
    <w:unhideWhenUsed/>
    <w:rsid w:val="005A7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provincies/documenten/rapporten/2012/09/26/handboek-wet-revitalisering-generiek-toezicht" TargetMode="External"/><Relationship Id="rId2" Type="http://schemas.openxmlformats.org/officeDocument/2006/relationships/hyperlink" Target="https://www.internetconsultatie.nl/verzamelbesluit_omgevingswet_ienw_bodem_en_water/b1" TargetMode="External"/><Relationship Id="rId1" Type="http://schemas.openxmlformats.org/officeDocument/2006/relationships/hyperlink" Target="https://wetten.overheid.nl/BWBR0049708/2024-05-08"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3622</ap:Words>
  <ap:Characters>20650</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2025-03-04T16:18:00.0000000Z</dcterms:created>
  <dcterms:modified xsi:type="dcterms:W3CDTF">2025-03-04T16:18:00.0000000Z</dcterms:modified>
  <dc:description>------------------------</dc:description>
  <dc:subject/>
  <dc:title/>
  <keywords/>
  <version/>
  <category/>
</coreProperties>
</file>