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696E" w:rsidR="00FE6F7C" w:rsidP="00FE6F7C" w:rsidRDefault="00960EA3" w14:paraId="45822638" w14:textId="0F355417">
      <w:pPr>
        <w:ind w:left="1416" w:hanging="1416"/>
        <w:rPr>
          <w:rFonts w:ascii="Calibri" w:hAnsi="Calibri" w:cs="Calibri"/>
        </w:rPr>
      </w:pPr>
      <w:r w:rsidRPr="00CD696E">
        <w:rPr>
          <w:rFonts w:ascii="Calibri" w:hAnsi="Calibri" w:cs="Calibri"/>
        </w:rPr>
        <w:t>36378</w:t>
      </w:r>
      <w:r w:rsidRPr="00CD696E" w:rsidR="00FE6F7C">
        <w:rPr>
          <w:rFonts w:ascii="Calibri" w:hAnsi="Calibri" w:cs="Calibri"/>
        </w:rPr>
        <w:tab/>
        <w:t>Regels over energiemarkten en energiesystemen (Energiewet)</w:t>
      </w:r>
    </w:p>
    <w:p w:rsidRPr="00CD696E" w:rsidR="00FE6F7C" w:rsidP="00960EA3" w:rsidRDefault="00FE6F7C" w14:paraId="5680100F" w14:textId="77777777">
      <w:pPr>
        <w:rPr>
          <w:rFonts w:ascii="Calibri" w:hAnsi="Calibri" w:cs="Calibri"/>
        </w:rPr>
      </w:pPr>
      <w:r w:rsidRPr="00CD696E">
        <w:rPr>
          <w:rFonts w:ascii="Calibri" w:hAnsi="Calibri" w:cs="Calibri"/>
        </w:rPr>
        <w:t xml:space="preserve">Nr. </w:t>
      </w:r>
      <w:r w:rsidRPr="00CD696E">
        <w:rPr>
          <w:rFonts w:ascii="Calibri" w:hAnsi="Calibri" w:cs="Calibri"/>
        </w:rPr>
        <w:t>91</w:t>
      </w:r>
      <w:r w:rsidRPr="00CD696E" w:rsidR="00960EA3">
        <w:rPr>
          <w:rFonts w:ascii="Calibri" w:hAnsi="Calibri" w:cs="Calibri"/>
        </w:rPr>
        <w:tab/>
      </w:r>
      <w:r w:rsidRPr="00CD696E" w:rsidR="00960EA3">
        <w:rPr>
          <w:rFonts w:ascii="Calibri" w:hAnsi="Calibri" w:cs="Calibri"/>
        </w:rPr>
        <w:tab/>
      </w:r>
      <w:r w:rsidRPr="00CD696E">
        <w:rPr>
          <w:rFonts w:ascii="Calibri" w:hAnsi="Calibri" w:cs="Calibri"/>
        </w:rPr>
        <w:t>Brief van de minister van Klimaat en Groene Groei</w:t>
      </w:r>
    </w:p>
    <w:p w:rsidRPr="00CD696E" w:rsidR="00FE6F7C" w:rsidP="00960EA3" w:rsidRDefault="00FE6F7C" w14:paraId="70271D01" w14:textId="77777777">
      <w:pPr>
        <w:rPr>
          <w:rFonts w:ascii="Calibri" w:hAnsi="Calibri" w:cs="Calibri"/>
        </w:rPr>
      </w:pPr>
      <w:r w:rsidRPr="00CD696E">
        <w:rPr>
          <w:rFonts w:ascii="Calibri" w:hAnsi="Calibri" w:cs="Calibri"/>
        </w:rPr>
        <w:t>Aan de Voorzitter van de Tweede Kamer der Staten-Generaal</w:t>
      </w:r>
    </w:p>
    <w:p w:rsidRPr="00CD696E" w:rsidR="00960EA3" w:rsidP="00960EA3" w:rsidRDefault="00FE6F7C" w14:paraId="71FD66F3" w14:textId="2457A3AA">
      <w:pPr>
        <w:rPr>
          <w:rFonts w:ascii="Calibri" w:hAnsi="Calibri" w:cs="Calibri"/>
          <w:color w:val="FF0000"/>
        </w:rPr>
      </w:pPr>
      <w:r w:rsidRPr="00CD696E">
        <w:rPr>
          <w:rFonts w:ascii="Calibri" w:hAnsi="Calibri" w:cs="Calibri"/>
        </w:rPr>
        <w:t>Den Haag, 5 maart 2025</w:t>
      </w:r>
      <w:r w:rsidRPr="00CD696E" w:rsidR="00960EA3">
        <w:rPr>
          <w:rFonts w:ascii="Calibri" w:hAnsi="Calibri" w:cs="Calibri"/>
        </w:rPr>
        <w:tab/>
      </w:r>
      <w:r w:rsidRPr="00CD696E">
        <w:rPr>
          <w:rFonts w:ascii="Calibri" w:hAnsi="Calibri" w:cs="Calibri"/>
        </w:rPr>
        <w:tab/>
      </w:r>
    </w:p>
    <w:p w:rsidRPr="00CD696E" w:rsidR="00960EA3" w:rsidP="00960EA3" w:rsidRDefault="00960EA3" w14:paraId="7C57835D" w14:textId="77777777">
      <w:pPr>
        <w:rPr>
          <w:rFonts w:ascii="Calibri" w:hAnsi="Calibri" w:cs="Calibri"/>
        </w:rPr>
      </w:pPr>
    </w:p>
    <w:p w:rsidRPr="00CD696E" w:rsidR="00960EA3" w:rsidP="00960EA3" w:rsidRDefault="00960EA3" w14:paraId="37A2B342" w14:textId="21635F9B">
      <w:pPr>
        <w:rPr>
          <w:rFonts w:ascii="Calibri" w:hAnsi="Calibri" w:cs="Calibri"/>
        </w:rPr>
      </w:pPr>
      <w:r w:rsidRPr="00CD696E">
        <w:rPr>
          <w:rFonts w:ascii="Calibri" w:hAnsi="Calibri" w:cs="Calibri"/>
        </w:rPr>
        <w:t xml:space="preserve">Hierbij bied ik u aan het ontwerpbesluit houdende regels over energiemarkten en energiesystemen (Energiebesluit). Voor de inhoud van het ontwerpbesluit verwijs ik u naar de </w:t>
      </w:r>
      <w:proofErr w:type="spellStart"/>
      <w:r w:rsidRPr="00CD696E">
        <w:rPr>
          <w:rFonts w:ascii="Calibri" w:hAnsi="Calibri" w:cs="Calibri"/>
        </w:rPr>
        <w:t>ontwerp-nota</w:t>
      </w:r>
      <w:proofErr w:type="spellEnd"/>
      <w:r w:rsidRPr="00CD696E">
        <w:rPr>
          <w:rFonts w:ascii="Calibri" w:hAnsi="Calibri" w:cs="Calibri"/>
        </w:rPr>
        <w:t xml:space="preserve"> van toelichting in de bijlage. Tevens zijn de ontvangen toetsen en adviezen van betrokken toezichthouders en adviescolleges bijgesloten:</w:t>
      </w:r>
    </w:p>
    <w:p w:rsidRPr="00CD696E" w:rsidR="00960EA3" w:rsidP="00960EA3" w:rsidRDefault="00960EA3" w14:paraId="77C3CC88" w14:textId="77777777">
      <w:pPr>
        <w:pStyle w:val="Lijstalinea"/>
        <w:numPr>
          <w:ilvl w:val="0"/>
          <w:numId w:val="1"/>
        </w:numPr>
        <w:spacing w:after="0" w:line="240" w:lineRule="atLeast"/>
        <w:ind w:left="360"/>
        <w:rPr>
          <w:rFonts w:ascii="Calibri" w:hAnsi="Calibri" w:cs="Calibri"/>
        </w:rPr>
      </w:pPr>
      <w:r w:rsidRPr="00CD696E">
        <w:rPr>
          <w:rFonts w:ascii="Calibri" w:hAnsi="Calibri" w:cs="Calibri"/>
        </w:rPr>
        <w:t>Autoriteit Consument en Markt, ‘brief ter bevestiging akkoord op SLR-artikelen Energiebesluit’, d.d. 28 januari 2025;</w:t>
      </w:r>
    </w:p>
    <w:p w:rsidRPr="00CD696E" w:rsidR="00960EA3" w:rsidP="00960EA3" w:rsidRDefault="00960EA3" w14:paraId="2D8A6A47" w14:textId="77777777">
      <w:pPr>
        <w:pStyle w:val="Lijstalinea"/>
        <w:numPr>
          <w:ilvl w:val="0"/>
          <w:numId w:val="1"/>
        </w:numPr>
        <w:spacing w:after="0" w:line="240" w:lineRule="atLeast"/>
        <w:ind w:left="360"/>
        <w:rPr>
          <w:rFonts w:ascii="Calibri" w:hAnsi="Calibri" w:cs="Calibri"/>
        </w:rPr>
      </w:pPr>
      <w:r w:rsidRPr="00CD696E">
        <w:rPr>
          <w:rFonts w:ascii="Calibri" w:hAnsi="Calibri" w:cs="Calibri"/>
        </w:rPr>
        <w:t>Autoriteit Consument en Markt, ‘Uitvoerbaarheids- en handhaafbaarheidstoets Energiebesluit’ d.d. 17 oktober 2024;</w:t>
      </w:r>
    </w:p>
    <w:p w:rsidRPr="00CD696E" w:rsidR="00960EA3" w:rsidP="00960EA3" w:rsidRDefault="00960EA3" w14:paraId="321BFCC9" w14:textId="77777777">
      <w:pPr>
        <w:pStyle w:val="Lijstalinea"/>
        <w:numPr>
          <w:ilvl w:val="0"/>
          <w:numId w:val="1"/>
        </w:numPr>
        <w:spacing w:after="0" w:line="240" w:lineRule="atLeast"/>
        <w:ind w:left="360"/>
        <w:rPr>
          <w:rFonts w:ascii="Calibri" w:hAnsi="Calibri" w:cs="Calibri"/>
        </w:rPr>
      </w:pPr>
      <w:r w:rsidRPr="00CD696E">
        <w:rPr>
          <w:rFonts w:ascii="Calibri" w:hAnsi="Calibri" w:cs="Calibri"/>
        </w:rPr>
        <w:t>Rijksinspectie Digitale Infrastructuur, ‘Resultaat UHT Energiebesluit’, d.d. 24 september 2024;</w:t>
      </w:r>
    </w:p>
    <w:p w:rsidRPr="00CD696E" w:rsidR="00960EA3" w:rsidP="00960EA3" w:rsidRDefault="00960EA3" w14:paraId="76BD806F" w14:textId="77777777">
      <w:pPr>
        <w:pStyle w:val="Lijstalinea"/>
        <w:numPr>
          <w:ilvl w:val="0"/>
          <w:numId w:val="1"/>
        </w:numPr>
        <w:spacing w:after="0" w:line="240" w:lineRule="atLeast"/>
        <w:ind w:left="360"/>
        <w:rPr>
          <w:rFonts w:ascii="Calibri" w:hAnsi="Calibri" w:cs="Calibri"/>
        </w:rPr>
      </w:pPr>
      <w:r w:rsidRPr="00CD696E">
        <w:rPr>
          <w:rFonts w:ascii="Calibri" w:hAnsi="Calibri" w:cs="Calibri"/>
        </w:rPr>
        <w:t>Staatstoezicht op de Mijnen, ‘Toets op uitvoerbaarheid &amp; handhaafbaarheid concept Energiebesluit’, d.d. 20 september 2024;</w:t>
      </w:r>
    </w:p>
    <w:p w:rsidRPr="00CD696E" w:rsidR="00960EA3" w:rsidP="00960EA3" w:rsidRDefault="00960EA3" w14:paraId="5EF52539" w14:textId="77777777">
      <w:pPr>
        <w:pStyle w:val="Lijstalinea"/>
        <w:numPr>
          <w:ilvl w:val="0"/>
          <w:numId w:val="1"/>
        </w:numPr>
        <w:spacing w:after="0" w:line="240" w:lineRule="atLeast"/>
        <w:ind w:left="360"/>
        <w:rPr>
          <w:rFonts w:ascii="Calibri" w:hAnsi="Calibri" w:cs="Calibri"/>
        </w:rPr>
      </w:pPr>
      <w:r w:rsidRPr="00CD696E">
        <w:rPr>
          <w:rFonts w:ascii="Calibri" w:hAnsi="Calibri" w:cs="Calibri"/>
        </w:rPr>
        <w:t>Adviescollege toetsing regeldruk, ‘Energiebesluit’, d.d. 19 september 2024;</w:t>
      </w:r>
    </w:p>
    <w:p w:rsidRPr="00CD696E" w:rsidR="00960EA3" w:rsidP="00960EA3" w:rsidRDefault="00960EA3" w14:paraId="7DA1E221" w14:textId="77777777">
      <w:pPr>
        <w:pStyle w:val="Lijstalinea"/>
        <w:numPr>
          <w:ilvl w:val="0"/>
          <w:numId w:val="1"/>
        </w:numPr>
        <w:spacing w:after="0" w:line="240" w:lineRule="atLeast"/>
        <w:ind w:left="360"/>
        <w:rPr>
          <w:rFonts w:ascii="Calibri" w:hAnsi="Calibri" w:cs="Calibri"/>
        </w:rPr>
      </w:pPr>
      <w:r w:rsidRPr="00CD696E">
        <w:rPr>
          <w:rFonts w:ascii="Calibri" w:hAnsi="Calibri" w:cs="Calibri"/>
        </w:rPr>
        <w:t>Raad voor de Rechtspraak, ‘Advies concept Energiebesluit’, d.d. 19 september 2024;</w:t>
      </w:r>
    </w:p>
    <w:p w:rsidRPr="00CD696E" w:rsidR="00960EA3" w:rsidP="00960EA3" w:rsidRDefault="00960EA3" w14:paraId="466D17CE" w14:textId="77777777">
      <w:pPr>
        <w:pStyle w:val="Lijstalinea"/>
        <w:numPr>
          <w:ilvl w:val="0"/>
          <w:numId w:val="1"/>
        </w:numPr>
        <w:spacing w:after="0" w:line="240" w:lineRule="atLeast"/>
        <w:ind w:left="360"/>
        <w:rPr>
          <w:rFonts w:ascii="Calibri" w:hAnsi="Calibri" w:cs="Calibri"/>
        </w:rPr>
      </w:pPr>
      <w:r w:rsidRPr="00CD696E">
        <w:rPr>
          <w:rFonts w:ascii="Calibri" w:hAnsi="Calibri" w:cs="Calibri"/>
        </w:rPr>
        <w:t xml:space="preserve">Autoriteit Persoonsgegevens, ‘Wetgevingstoets concept voor Energiebesluit’, d.d. 20 november 2024. </w:t>
      </w:r>
    </w:p>
    <w:p w:rsidRPr="00CD696E" w:rsidR="00960EA3" w:rsidP="00960EA3" w:rsidRDefault="00960EA3" w14:paraId="62371193" w14:textId="75889F86">
      <w:pPr>
        <w:rPr>
          <w:rFonts w:ascii="Calibri" w:hAnsi="Calibri" w:cs="Calibri"/>
        </w:rPr>
      </w:pPr>
      <w:r w:rsidRPr="00CD696E">
        <w:rPr>
          <w:rFonts w:ascii="Calibri" w:hAnsi="Calibri" w:cs="Calibri"/>
        </w:rPr>
        <w:br/>
        <w:t>De voorlegging geschiedt in het kader van de wettelijk voorgeschreven voorhangprocedure. Hoewel de voorhang op basis van artikel 6.8 van de Energiewet slechts voor enkele artikelen geldt, is eerder toegezegd dat, nu het hele Energiebesluit grondig is herzien, het Energiebesluit integraal bij beide Kamers zal worden voorgehangen (Kamerstuk 36 378, nr. 10, reactie op vraag 147; Handelingen I 2024-2025, nr. 10, item 5, toezegging T03955). Dit biedt de Kamer de mogelijkheid zich uit te spreken over het ontwerpbesluit.</w:t>
      </w:r>
      <w:r w:rsidRPr="00CD696E">
        <w:rPr>
          <w:rFonts w:ascii="Calibri" w:hAnsi="Calibri" w:cs="Calibri"/>
        </w:rPr>
        <w:br/>
      </w:r>
      <w:r w:rsidRPr="00CD696E">
        <w:rPr>
          <w:rFonts w:ascii="Calibri" w:hAnsi="Calibri" w:cs="Calibri"/>
        </w:rPr>
        <w:br/>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w:t>
      </w:r>
    </w:p>
    <w:p w:rsidRPr="00CD696E" w:rsidR="00960EA3" w:rsidP="00960EA3" w:rsidRDefault="00960EA3" w14:paraId="75AA2923" w14:textId="77777777">
      <w:pPr>
        <w:rPr>
          <w:rFonts w:ascii="Calibri" w:hAnsi="Calibri" w:cs="Calibri"/>
        </w:rPr>
      </w:pPr>
    </w:p>
    <w:p w:rsidRPr="00CD696E" w:rsidR="00960EA3" w:rsidP="00960EA3" w:rsidRDefault="00960EA3" w14:paraId="1BF923C5" w14:textId="5EA5F1C2">
      <w:pPr>
        <w:rPr>
          <w:rFonts w:ascii="Calibri" w:hAnsi="Calibri" w:cs="Calibri"/>
        </w:rPr>
      </w:pPr>
      <w:r w:rsidRPr="00CD696E">
        <w:rPr>
          <w:rFonts w:ascii="Calibri" w:hAnsi="Calibri" w:cs="Calibri"/>
        </w:rPr>
        <w:t xml:space="preserve">Daarbij wordt opgemerkt dat de inwerkingtreding van de Energiewet bij besluit op 1 januari 2026 is gesteld, behoudens enkele uitzonderingen (Stb. 2025, 40). De beoogde inwerkingtreding van dit besluit sluit daar bij aan. Deze datum is van belang om tijdig te voldoen aan de voorwaarden voor het derde betaalverzoek van het Herstel- en Veerkrachtplan, waar de Energiewet ook onderdeel van is. De </w:t>
      </w:r>
      <w:r w:rsidRPr="00CD696E">
        <w:rPr>
          <w:rFonts w:ascii="Calibri" w:hAnsi="Calibri" w:cs="Calibri"/>
        </w:rPr>
        <w:lastRenderedPageBreak/>
        <w:t xml:space="preserve">minister van Financiën heeft de Kamer daar recent over geïnformeerd (Kamerstuk 21 501-07, nr. 2093). </w:t>
      </w:r>
    </w:p>
    <w:p w:rsidRPr="00CD696E" w:rsidR="00960EA3" w:rsidP="00960EA3" w:rsidRDefault="00960EA3" w14:paraId="42C14B7A" w14:textId="77777777">
      <w:pPr>
        <w:rPr>
          <w:rFonts w:ascii="Calibri" w:hAnsi="Calibri" w:cs="Calibri"/>
        </w:rPr>
      </w:pPr>
      <w:r w:rsidRPr="00CD696E">
        <w:rPr>
          <w:rFonts w:ascii="Calibri" w:hAnsi="Calibri" w:cs="Calibri"/>
        </w:rPr>
        <w:t>Een gelijkluidende brief is gezonden aan de voorzitter van de Eerste Kamer der Staten-Generaal.</w:t>
      </w:r>
    </w:p>
    <w:p w:rsidR="00CD696E" w:rsidP="00960EA3" w:rsidRDefault="00CD696E" w14:paraId="75A61B45" w14:textId="77777777">
      <w:pPr>
        <w:rPr>
          <w:rFonts w:ascii="Calibri" w:hAnsi="Calibri" w:cs="Calibri"/>
        </w:rPr>
      </w:pPr>
    </w:p>
    <w:p w:rsidR="00960EA3" w:rsidP="00CD696E" w:rsidRDefault="00CD696E" w14:paraId="4811848B" w14:textId="5C561DFF">
      <w:pPr>
        <w:pStyle w:val="Geenafstand"/>
      </w:pPr>
      <w:r>
        <w:t>De m</w:t>
      </w:r>
      <w:r w:rsidRPr="00CD696E" w:rsidR="00960EA3">
        <w:t>inister van Klimaat en Groene Groei</w:t>
      </w:r>
      <w:r>
        <w:t>,</w:t>
      </w:r>
    </w:p>
    <w:p w:rsidRPr="00CD696E" w:rsidR="00CD696E" w:rsidP="00CD696E" w:rsidRDefault="00CD696E" w14:paraId="3AD53754" w14:textId="4854A737">
      <w:pPr>
        <w:pStyle w:val="Geenafstand"/>
      </w:pPr>
      <w:r>
        <w:t xml:space="preserve">S.T.M. </w:t>
      </w:r>
      <w:r w:rsidRPr="00CD696E">
        <w:t>Hermans</w:t>
      </w:r>
    </w:p>
    <w:p w:rsidR="00CD696E" w:rsidP="00960EA3" w:rsidRDefault="00CD696E" w14:paraId="4964CB39" w14:textId="77777777">
      <w:pPr>
        <w:rPr>
          <w:rFonts w:ascii="Calibri" w:hAnsi="Calibri" w:cs="Calibri"/>
        </w:rPr>
      </w:pPr>
    </w:p>
    <w:p w:rsidRPr="00CD696E" w:rsidR="00CD696E" w:rsidP="00CD696E" w:rsidRDefault="00CD696E" w14:paraId="71381309" w14:textId="77777777">
      <w:pPr>
        <w:rPr>
          <w:rFonts w:ascii="Calibri" w:hAnsi="Calibri" w:cs="Calibri"/>
          <w:sz w:val="20"/>
          <w:szCs w:val="20"/>
        </w:rPr>
      </w:pPr>
      <w:r w:rsidRPr="00CD696E">
        <w:rPr>
          <w:rFonts w:ascii="Calibri" w:hAnsi="Calibri" w:cs="Calibri"/>
          <w:sz w:val="20"/>
          <w:szCs w:val="20"/>
        </w:rPr>
        <w:t xml:space="preserve">Ontvangen ter Griffie op 5 maart </w:t>
      </w:r>
      <w:r w:rsidRPr="00CD696E">
        <w:rPr>
          <w:rFonts w:ascii="Calibri" w:hAnsi="Calibri" w:cs="Calibri"/>
          <w:sz w:val="20"/>
          <w:szCs w:val="20"/>
        </w:rPr>
        <w:br/>
        <w:t>2025.</w:t>
      </w:r>
    </w:p>
    <w:p w:rsidRPr="00CD696E" w:rsidR="00CD696E" w:rsidP="00CD696E" w:rsidRDefault="00CD696E" w14:paraId="048E6244" w14:textId="77777777">
      <w:pPr>
        <w:rPr>
          <w:rFonts w:ascii="Calibri" w:hAnsi="Calibri" w:cs="Calibri"/>
          <w:sz w:val="20"/>
          <w:szCs w:val="20"/>
        </w:rPr>
      </w:pPr>
      <w:r w:rsidRPr="00CD696E">
        <w:rPr>
          <w:rFonts w:ascii="Calibri" w:hAnsi="Calibri" w:cs="Calibri"/>
          <w:sz w:val="20"/>
          <w:szCs w:val="20"/>
        </w:rPr>
        <w:t xml:space="preserve">De voordracht voor de vast te stellen </w:t>
      </w:r>
      <w:r w:rsidRPr="00CD696E">
        <w:rPr>
          <w:rFonts w:ascii="Calibri" w:hAnsi="Calibri" w:cs="Calibri"/>
          <w:sz w:val="20"/>
          <w:szCs w:val="20"/>
        </w:rPr>
        <w:br/>
        <w:t xml:space="preserve">algemene maatregel van bestuur is </w:t>
      </w:r>
      <w:r w:rsidRPr="00CD696E">
        <w:rPr>
          <w:rFonts w:ascii="Calibri" w:hAnsi="Calibri" w:cs="Calibri"/>
          <w:sz w:val="20"/>
          <w:szCs w:val="20"/>
        </w:rPr>
        <w:br/>
        <w:t xml:space="preserve">aan de Kamer overgelegd tot en met </w:t>
      </w:r>
      <w:r w:rsidRPr="00CD696E">
        <w:rPr>
          <w:rFonts w:ascii="Calibri" w:hAnsi="Calibri" w:cs="Calibri"/>
          <w:sz w:val="20"/>
          <w:szCs w:val="20"/>
        </w:rPr>
        <w:br/>
        <w:t>2 april 2025.</w:t>
      </w:r>
    </w:p>
    <w:p w:rsidRPr="00CD696E" w:rsidR="00CD696E" w:rsidP="00CD696E" w:rsidRDefault="00CD696E" w14:paraId="7F68E46B" w14:textId="77777777">
      <w:pPr>
        <w:pStyle w:val="Geenafstand"/>
        <w:rPr>
          <w:rFonts w:ascii="Calibri" w:hAnsi="Calibri" w:cs="Calibri"/>
          <w:sz w:val="20"/>
          <w:szCs w:val="20"/>
        </w:rPr>
      </w:pPr>
      <w:r w:rsidRPr="00CD696E">
        <w:rPr>
          <w:rFonts w:ascii="Calibri" w:hAnsi="Calibri" w:cs="Calibri"/>
          <w:sz w:val="20"/>
          <w:szCs w:val="20"/>
        </w:rPr>
        <w:t xml:space="preserve">De voordracht voor de vast te stellen </w:t>
      </w:r>
    </w:p>
    <w:p w:rsidRPr="00CD696E" w:rsidR="00CD696E" w:rsidP="00CD696E" w:rsidRDefault="00CD696E" w14:paraId="5AA613D9" w14:textId="29ECE062">
      <w:pPr>
        <w:pStyle w:val="Geenafstand"/>
        <w:rPr>
          <w:rFonts w:ascii="Calibri" w:hAnsi="Calibri" w:cs="Calibri"/>
          <w:sz w:val="20"/>
          <w:szCs w:val="20"/>
        </w:rPr>
      </w:pPr>
      <w:r w:rsidRPr="00CD696E">
        <w:rPr>
          <w:rFonts w:ascii="Calibri" w:hAnsi="Calibri" w:cs="Calibri"/>
          <w:sz w:val="20"/>
          <w:szCs w:val="20"/>
        </w:rPr>
        <w:t xml:space="preserve">algemene maatregel van bestuur kan </w:t>
      </w:r>
      <w:r w:rsidRPr="00CD696E">
        <w:rPr>
          <w:rFonts w:ascii="Calibri" w:hAnsi="Calibri" w:cs="Calibri"/>
          <w:sz w:val="20"/>
          <w:szCs w:val="20"/>
        </w:rPr>
        <w:br/>
        <w:t xml:space="preserve">niet eerder worden gedaan dan op 3 </w:t>
      </w:r>
      <w:r w:rsidRPr="00CD696E">
        <w:rPr>
          <w:rFonts w:ascii="Calibri" w:hAnsi="Calibri" w:cs="Calibri"/>
          <w:sz w:val="20"/>
          <w:szCs w:val="20"/>
        </w:rPr>
        <w:br/>
        <w:t>april 2025.</w:t>
      </w:r>
    </w:p>
    <w:p w:rsidRPr="00CD696E" w:rsidR="00CD696E" w:rsidP="00CD696E" w:rsidRDefault="00CD696E" w14:paraId="79489990" w14:textId="77777777">
      <w:pPr>
        <w:pStyle w:val="Geenafstand"/>
        <w:rPr>
          <w:rFonts w:ascii="Calibri" w:hAnsi="Calibri" w:cs="Calibri"/>
          <w:sz w:val="20"/>
          <w:szCs w:val="20"/>
        </w:rPr>
      </w:pPr>
    </w:p>
    <w:p w:rsidRPr="00CD696E" w:rsidR="00960EA3" w:rsidP="00960EA3" w:rsidRDefault="00960EA3" w14:paraId="6316B344" w14:textId="77777777">
      <w:pPr>
        <w:rPr>
          <w:rFonts w:ascii="Calibri" w:hAnsi="Calibri" w:cs="Calibri"/>
        </w:rPr>
      </w:pPr>
    </w:p>
    <w:p w:rsidRPr="00CD696E" w:rsidR="00960EA3" w:rsidP="00960EA3" w:rsidRDefault="00960EA3" w14:paraId="78E831AF" w14:textId="77777777">
      <w:pPr>
        <w:rPr>
          <w:rFonts w:ascii="Calibri" w:hAnsi="Calibri" w:cs="Calibri"/>
        </w:rPr>
      </w:pPr>
    </w:p>
    <w:p w:rsidRPr="00CD696E" w:rsidR="00960EA3" w:rsidP="00960EA3" w:rsidRDefault="00960EA3" w14:paraId="7EC6FBAF" w14:textId="77777777">
      <w:pPr>
        <w:rPr>
          <w:rFonts w:ascii="Calibri" w:hAnsi="Calibri" w:cs="Calibri"/>
        </w:rPr>
      </w:pPr>
    </w:p>
    <w:p w:rsidRPr="00CD696E" w:rsidR="00E6311E" w:rsidRDefault="00E6311E" w14:paraId="32B2652E" w14:textId="77777777">
      <w:pPr>
        <w:rPr>
          <w:rFonts w:ascii="Calibri" w:hAnsi="Calibri" w:cs="Calibri"/>
        </w:rPr>
      </w:pPr>
    </w:p>
    <w:sectPr w:rsidRPr="00CD696E" w:rsidR="00E6311E" w:rsidSect="00960EA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B876" w14:textId="77777777" w:rsidR="00960EA3" w:rsidRDefault="00960EA3" w:rsidP="00960EA3">
      <w:pPr>
        <w:spacing w:after="0" w:line="240" w:lineRule="auto"/>
      </w:pPr>
      <w:r>
        <w:separator/>
      </w:r>
    </w:p>
  </w:endnote>
  <w:endnote w:type="continuationSeparator" w:id="0">
    <w:p w14:paraId="79628DF2" w14:textId="77777777" w:rsidR="00960EA3" w:rsidRDefault="00960EA3" w:rsidP="0096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AEC3" w14:textId="77777777" w:rsidR="00960EA3" w:rsidRPr="00960EA3" w:rsidRDefault="00960EA3" w:rsidP="00960E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CA80" w14:textId="77777777" w:rsidR="00960EA3" w:rsidRPr="00960EA3" w:rsidRDefault="00960EA3" w:rsidP="00960E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2C84" w14:textId="77777777" w:rsidR="00960EA3" w:rsidRPr="00960EA3" w:rsidRDefault="00960EA3" w:rsidP="00960E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0E7C" w14:textId="77777777" w:rsidR="00960EA3" w:rsidRDefault="00960EA3" w:rsidP="00960EA3">
      <w:pPr>
        <w:spacing w:after="0" w:line="240" w:lineRule="auto"/>
      </w:pPr>
      <w:r>
        <w:separator/>
      </w:r>
    </w:p>
  </w:footnote>
  <w:footnote w:type="continuationSeparator" w:id="0">
    <w:p w14:paraId="3F9EEC56" w14:textId="77777777" w:rsidR="00960EA3" w:rsidRDefault="00960EA3" w:rsidP="00960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E852" w14:textId="77777777" w:rsidR="00960EA3" w:rsidRPr="00960EA3" w:rsidRDefault="00960EA3" w:rsidP="00960E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823F" w14:textId="77777777" w:rsidR="00960EA3" w:rsidRPr="00960EA3" w:rsidRDefault="00960EA3" w:rsidP="00960E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D890" w14:textId="77777777" w:rsidR="00960EA3" w:rsidRPr="00960EA3" w:rsidRDefault="00960EA3" w:rsidP="00960E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B2F99"/>
    <w:multiLevelType w:val="hybridMultilevel"/>
    <w:tmpl w:val="631EF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363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A3"/>
    <w:rsid w:val="0025703A"/>
    <w:rsid w:val="004562DA"/>
    <w:rsid w:val="00560175"/>
    <w:rsid w:val="00960EA3"/>
    <w:rsid w:val="00C57495"/>
    <w:rsid w:val="00CD696E"/>
    <w:rsid w:val="00E6311E"/>
    <w:rsid w:val="00FE6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658A"/>
  <w15:chartTrackingRefBased/>
  <w15:docId w15:val="{63300585-02E0-469B-887D-561B9E30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0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0E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0E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0E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0E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E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E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E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E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0E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0E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0E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0E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0E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E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E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EA3"/>
    <w:rPr>
      <w:rFonts w:eastAsiaTheme="majorEastAsia" w:cstheme="majorBidi"/>
      <w:color w:val="272727" w:themeColor="text1" w:themeTint="D8"/>
    </w:rPr>
  </w:style>
  <w:style w:type="paragraph" w:styleId="Titel">
    <w:name w:val="Title"/>
    <w:basedOn w:val="Standaard"/>
    <w:next w:val="Standaard"/>
    <w:link w:val="TitelChar"/>
    <w:uiPriority w:val="10"/>
    <w:qFormat/>
    <w:rsid w:val="00960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E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E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E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E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EA3"/>
    <w:rPr>
      <w:i/>
      <w:iCs/>
      <w:color w:val="404040" w:themeColor="text1" w:themeTint="BF"/>
    </w:rPr>
  </w:style>
  <w:style w:type="paragraph" w:styleId="Lijstalinea">
    <w:name w:val="List Paragraph"/>
    <w:basedOn w:val="Standaard"/>
    <w:uiPriority w:val="34"/>
    <w:qFormat/>
    <w:rsid w:val="00960EA3"/>
    <w:pPr>
      <w:ind w:left="720"/>
      <w:contextualSpacing/>
    </w:pPr>
  </w:style>
  <w:style w:type="character" w:styleId="Intensievebenadrukking">
    <w:name w:val="Intense Emphasis"/>
    <w:basedOn w:val="Standaardalinea-lettertype"/>
    <w:uiPriority w:val="21"/>
    <w:qFormat/>
    <w:rsid w:val="00960EA3"/>
    <w:rPr>
      <w:i/>
      <w:iCs/>
      <w:color w:val="0F4761" w:themeColor="accent1" w:themeShade="BF"/>
    </w:rPr>
  </w:style>
  <w:style w:type="paragraph" w:styleId="Duidelijkcitaat">
    <w:name w:val="Intense Quote"/>
    <w:basedOn w:val="Standaard"/>
    <w:next w:val="Standaard"/>
    <w:link w:val="DuidelijkcitaatChar"/>
    <w:uiPriority w:val="30"/>
    <w:qFormat/>
    <w:rsid w:val="00960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0EA3"/>
    <w:rPr>
      <w:i/>
      <w:iCs/>
      <w:color w:val="0F4761" w:themeColor="accent1" w:themeShade="BF"/>
    </w:rPr>
  </w:style>
  <w:style w:type="character" w:styleId="Intensieveverwijzing">
    <w:name w:val="Intense Reference"/>
    <w:basedOn w:val="Standaardalinea-lettertype"/>
    <w:uiPriority w:val="32"/>
    <w:qFormat/>
    <w:rsid w:val="00960EA3"/>
    <w:rPr>
      <w:b/>
      <w:bCs/>
      <w:smallCaps/>
      <w:color w:val="0F4761" w:themeColor="accent1" w:themeShade="BF"/>
      <w:spacing w:val="5"/>
    </w:rPr>
  </w:style>
  <w:style w:type="paragraph" w:styleId="Koptekst">
    <w:name w:val="header"/>
    <w:basedOn w:val="Standaard"/>
    <w:link w:val="KoptekstChar"/>
    <w:rsid w:val="00960EA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60EA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60EA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60EA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60EA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60EA3"/>
    <w:rPr>
      <w:rFonts w:ascii="Verdana" w:hAnsi="Verdana"/>
      <w:noProof/>
      <w:sz w:val="13"/>
      <w:szCs w:val="24"/>
      <w:lang w:eastAsia="nl-NL"/>
    </w:rPr>
  </w:style>
  <w:style w:type="paragraph" w:customStyle="1" w:styleId="Huisstijl-Gegeven">
    <w:name w:val="Huisstijl-Gegeven"/>
    <w:basedOn w:val="Standaard"/>
    <w:link w:val="Huisstijl-GegevenCharChar"/>
    <w:rsid w:val="00960EA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60EA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60EA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60EA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60EA3"/>
    <w:pPr>
      <w:spacing w:after="0"/>
    </w:pPr>
    <w:rPr>
      <w:b/>
    </w:rPr>
  </w:style>
  <w:style w:type="paragraph" w:customStyle="1" w:styleId="Huisstijl-Paginanummering">
    <w:name w:val="Huisstijl-Paginanummering"/>
    <w:basedOn w:val="Standaard"/>
    <w:rsid w:val="00960EA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60EA3"/>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CD69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459</ap:Words>
  <ap:Characters>2530</ap:Characters>
  <ap:DocSecurity>0</ap:DocSecurity>
  <ap:Lines>21</ap:Lines>
  <ap:Paragraphs>5</ap:Paragraphs>
  <ap:ScaleCrop>false</ap:ScaleCrop>
  <ap:LinksUpToDate>false</ap:LinksUpToDate>
  <ap:CharactersWithSpaces>2984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2025-03-06T14:19:00.0000000Z</dcterms:created>
  <dcterms:modified xsi:type="dcterms:W3CDTF">2025-03-06T14:19:00.0000000Z</dcterms:modified>
  <version/>
  <category/>
</coreProperties>
</file>