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5F" w:rsidRDefault="0028115F" w14:paraId="00D8EB9D" w14:textId="77777777">
      <w:bookmarkStart w:name="_GoBack" w:id="0"/>
      <w:bookmarkEnd w:id="0"/>
    </w:p>
    <w:p w:rsidR="003444B0" w:rsidP="008C2D47" w:rsidRDefault="008C2D47" w14:paraId="414D7FF7" w14:textId="3D6DE9FD">
      <w:r>
        <w:t xml:space="preserve">Tijdens het commissiedebat Inzet algoritmen en data-ethiek op 28 januari 2025, heeft het lid Ergin (DENK) gevraagd hoe het advies van de Autoriteit Persoonsgegevens (AP) </w:t>
      </w:r>
      <w:r w:rsidR="003444B0">
        <w:t>d.d. 10 oktober 2024</w:t>
      </w:r>
      <w:r w:rsidR="003444B0">
        <w:rPr>
          <w:rStyle w:val="Voetnootmarkering"/>
        </w:rPr>
        <w:footnoteReference w:id="1"/>
      </w:r>
      <w:r w:rsidR="003444B0">
        <w:t xml:space="preserve"> </w:t>
      </w:r>
      <w:r>
        <w:t>zich verhoudt tot het arrest van het Hof van Justitie van de Europese Unie (HvJEU) in de zaak ‘S</w:t>
      </w:r>
      <w:r w:rsidR="00A647F0">
        <w:t>chufa</w:t>
      </w:r>
      <w:r>
        <w:t xml:space="preserve">’. </w:t>
      </w:r>
    </w:p>
    <w:p w:rsidR="00D84EE6" w:rsidP="008C2D47" w:rsidRDefault="00CD2593" w14:paraId="67FEEEFE" w14:textId="18D25C18">
      <w:r>
        <w:t>H</w:t>
      </w:r>
      <w:r w:rsidR="00D84EE6">
        <w:t>et lid Ergin stelde</w:t>
      </w:r>
      <w:r>
        <w:t xml:space="preserve"> de vraag</w:t>
      </w:r>
      <w:r w:rsidR="008C2D47">
        <w:t xml:space="preserve"> of de Europese interpretatie van de Europese regels strikter is dan </w:t>
      </w:r>
      <w:r w:rsidR="006E5FAC">
        <w:t xml:space="preserve">de interpretatie door </w:t>
      </w:r>
      <w:r w:rsidR="008C2D47">
        <w:t xml:space="preserve">de AP in haar advies. </w:t>
      </w:r>
      <w:r w:rsidRPr="008C2D47" w:rsidR="00C5270E">
        <w:t xml:space="preserve">De staatssecretaris </w:t>
      </w:r>
      <w:r w:rsidRPr="008C2D47" w:rsidR="008F3BB9">
        <w:t xml:space="preserve">Koninkrijksrelaties </w:t>
      </w:r>
      <w:r w:rsidR="008F3BB9">
        <w:t xml:space="preserve">en </w:t>
      </w:r>
      <w:r w:rsidRPr="008C2D47" w:rsidR="00C5270E">
        <w:t>Digitalisering zeg</w:t>
      </w:r>
      <w:r w:rsidR="00C5270E">
        <w:t>de</w:t>
      </w:r>
      <w:r w:rsidRPr="008C2D47" w:rsidR="00C5270E">
        <w:t xml:space="preserve"> toe </w:t>
      </w:r>
      <w:r w:rsidR="00C5270E">
        <w:t>hierop</w:t>
      </w:r>
      <w:r w:rsidRPr="008C2D47" w:rsidR="00C5270E">
        <w:t xml:space="preserve"> schriftelijk terug te komen</w:t>
      </w:r>
      <w:r w:rsidR="00C5270E">
        <w:t xml:space="preserve">. Met deze brief </w:t>
      </w:r>
      <w:r w:rsidR="008F3BB9">
        <w:t>doe ik deze toezegging gestand</w:t>
      </w:r>
      <w:r w:rsidR="00C5270E">
        <w:t>.</w:t>
      </w:r>
    </w:p>
    <w:p w:rsidR="00D84EE6" w:rsidP="008C2D47" w:rsidRDefault="00D84EE6" w14:paraId="7EE813A1" w14:textId="77777777"/>
    <w:p w:rsidR="008C2D47" w:rsidP="008C2D47" w:rsidRDefault="008C2D47" w14:paraId="55CB3894" w14:textId="5A18C798">
      <w:r>
        <w:t>Vooropgesteld dient te worden dat het HvJEU en de AP beide uitgaan van hetzelfde Europeesrechtelijk normenkader, zoals dat is vastgelegd in de Algemene Verordening Gegevensbescherming</w:t>
      </w:r>
      <w:r w:rsidR="0004700E">
        <w:t xml:space="preserve"> (AVG)</w:t>
      </w:r>
      <w:r>
        <w:t xml:space="preserve">. Dat de AP dit kader minder strikt interpreteert dan het HvJEU, valt uit haar advies </w:t>
      </w:r>
      <w:r w:rsidR="0004700E">
        <w:t xml:space="preserve">niet </w:t>
      </w:r>
      <w:r>
        <w:t>af te leiden. Graag licht</w:t>
      </w:r>
      <w:r w:rsidR="00D84EE6">
        <w:t xml:space="preserve"> ik</w:t>
      </w:r>
      <w:r>
        <w:t xml:space="preserve"> dit toe. </w:t>
      </w:r>
    </w:p>
    <w:p w:rsidR="0004700E" w:rsidP="0004700E" w:rsidRDefault="0004700E" w14:paraId="1587207C" w14:textId="77777777"/>
    <w:p w:rsidRPr="0004700E" w:rsidR="0004700E" w:rsidP="0004700E" w:rsidRDefault="0004700E" w14:paraId="2750070A" w14:textId="2E991638">
      <w:pPr>
        <w:rPr>
          <w:b/>
          <w:bCs/>
        </w:rPr>
      </w:pPr>
      <w:r w:rsidRPr="0004700E">
        <w:rPr>
          <w:b/>
          <w:bCs/>
        </w:rPr>
        <w:t>Geautomatiseerde besluitvorming</w:t>
      </w:r>
    </w:p>
    <w:p w:rsidRPr="00EF6FB2" w:rsidR="00EF6FB2" w:rsidP="00314B10" w:rsidRDefault="0004700E" w14:paraId="34D88D9F" w14:textId="2CAAEDE9">
      <w:r>
        <w:t>Artikel 22, eerste lid, AVG verbiedt</w:t>
      </w:r>
      <w:r w:rsidR="0070561F">
        <w:t xml:space="preserve"> geautomatiseerde individuele besluitvorming. Dat betreft</w:t>
      </w:r>
      <w:r>
        <w:t xml:space="preserve"> een uitsluitend op geautomatiseerde verwerking, met inbegrip van profilering, gebaseerd besluit, waaraan ofwel voor de betrokkene rechtsgevolgen zijn verbonden ofwel dat hem anderszins in aanmerkelijk mate treft. Het HvJEU </w:t>
      </w:r>
      <w:r w:rsidRPr="007E3578">
        <w:t xml:space="preserve">oordeelde </w:t>
      </w:r>
      <w:r>
        <w:t xml:space="preserve">in het Schufa-arrest </w:t>
      </w:r>
      <w:r w:rsidRPr="007E3578">
        <w:t xml:space="preserve">dat niet alleen de </w:t>
      </w:r>
      <w:r>
        <w:t xml:space="preserve">uiteindelijke </w:t>
      </w:r>
      <w:r w:rsidRPr="007E3578">
        <w:t xml:space="preserve">beslissing zelf, maar ook de voorbereidende handelingen die leiden tot die beslissing gezien kunnen worden als geautomatiseerde besluitvorming. </w:t>
      </w:r>
    </w:p>
    <w:p w:rsidR="008C2D47" w:rsidP="008C2D47" w:rsidRDefault="008C2D47" w14:paraId="7046667F" w14:textId="77777777">
      <w:r>
        <w:t xml:space="preserve"> </w:t>
      </w:r>
    </w:p>
    <w:p w:rsidRPr="00C5270E" w:rsidR="008C2D47" w:rsidP="008C2D47" w:rsidRDefault="008C2D47" w14:paraId="57D70315" w14:textId="0D189A6E">
      <w:pPr>
        <w:rPr>
          <w:b/>
          <w:bCs/>
        </w:rPr>
      </w:pPr>
      <w:r w:rsidRPr="00C5270E">
        <w:rPr>
          <w:b/>
          <w:bCs/>
        </w:rPr>
        <w:t>Het S</w:t>
      </w:r>
      <w:r w:rsidRPr="00C5270E" w:rsidR="002B37C6">
        <w:rPr>
          <w:b/>
          <w:bCs/>
        </w:rPr>
        <w:t>chufa</w:t>
      </w:r>
      <w:r w:rsidRPr="00C5270E">
        <w:rPr>
          <w:b/>
          <w:bCs/>
        </w:rPr>
        <w:t>-arrest</w:t>
      </w:r>
      <w:r w:rsidR="00EF6FB2">
        <w:rPr>
          <w:b/>
          <w:bCs/>
        </w:rPr>
        <w:t xml:space="preserve"> </w:t>
      </w:r>
    </w:p>
    <w:p w:rsidR="00D84EE6" w:rsidP="00D84EE6" w:rsidRDefault="008C2D47" w14:paraId="36481F8B" w14:textId="3CB6623B">
      <w:r>
        <w:t xml:space="preserve">Op 7 december 2023 heeft het HvJEU </w:t>
      </w:r>
      <w:r w:rsidR="00D84EE6">
        <w:t>twee arresten gewezen in verband met de</w:t>
      </w:r>
    </w:p>
    <w:p w:rsidR="00C5270E" w:rsidP="00D84EE6" w:rsidRDefault="00D84EE6" w14:paraId="01F3B4DF" w14:textId="3BE34AAC">
      <w:r>
        <w:t xml:space="preserve">gegevensverwerking door het </w:t>
      </w:r>
      <w:r w:rsidR="00A647F0">
        <w:t xml:space="preserve">Duitse </w:t>
      </w:r>
      <w:r w:rsidRPr="00A647F0" w:rsidR="00A647F0">
        <w:t>kredietinformatiebureau Schufa Holding AG</w:t>
      </w:r>
      <w:r w:rsidR="00A647F0">
        <w:t xml:space="preserve">, dat </w:t>
      </w:r>
      <w:r w:rsidR="00F45985">
        <w:t xml:space="preserve">zijn </w:t>
      </w:r>
      <w:r w:rsidRPr="00A647F0" w:rsidR="00A647F0">
        <w:t xml:space="preserve">cliënten informatie </w:t>
      </w:r>
      <w:r w:rsidR="00A647F0">
        <w:t xml:space="preserve">verstrekt </w:t>
      </w:r>
      <w:r w:rsidRPr="00A647F0" w:rsidR="00A647F0">
        <w:t>over de kredietwaardigheid van derden</w:t>
      </w:r>
      <w:r>
        <w:t xml:space="preserve">. In </w:t>
      </w:r>
      <w:r w:rsidR="008F3BB9">
        <w:t>één van deze arresten</w:t>
      </w:r>
      <w:r>
        <w:rPr>
          <w:rStyle w:val="Voetnootmarkering"/>
        </w:rPr>
        <w:footnoteReference w:id="2"/>
      </w:r>
      <w:r w:rsidR="008C2D47">
        <w:t xml:space="preserve"> </w:t>
      </w:r>
      <w:r>
        <w:t xml:space="preserve">staat geautomatiseerde besluitvorming centraal. </w:t>
      </w:r>
      <w:r w:rsidR="00BE7419">
        <w:t xml:space="preserve">Daarbij ging het om de praktijk waarbij </w:t>
      </w:r>
      <w:r w:rsidR="00176508">
        <w:t>Schufa</w:t>
      </w:r>
      <w:r w:rsidR="002B37C6">
        <w:t xml:space="preserve">, aan de hand van </w:t>
      </w:r>
      <w:r w:rsidR="00F45985">
        <w:t xml:space="preserve">persoonlijke </w:t>
      </w:r>
      <w:r w:rsidR="002B37C6">
        <w:t xml:space="preserve">kenmerken en een wiskundig-statistische methode, </w:t>
      </w:r>
      <w:r w:rsidR="00BE7419">
        <w:t xml:space="preserve">op </w:t>
      </w:r>
      <w:r w:rsidR="002B37C6">
        <w:t>geautomatiseerd</w:t>
      </w:r>
      <w:r w:rsidR="00F45985">
        <w:t>e</w:t>
      </w:r>
      <w:r w:rsidR="002B37C6">
        <w:t xml:space="preserve"> </w:t>
      </w:r>
      <w:r w:rsidR="00BE7419">
        <w:t xml:space="preserve">wijze </w:t>
      </w:r>
      <w:r w:rsidR="002B37C6">
        <w:t>‘scores’ op</w:t>
      </w:r>
      <w:r w:rsidR="00BE7419">
        <w:t>stelde</w:t>
      </w:r>
      <w:r w:rsidR="002B37C6">
        <w:t xml:space="preserve">. </w:t>
      </w:r>
      <w:r w:rsidR="00BE7419">
        <w:t>Daar</w:t>
      </w:r>
      <w:r w:rsidR="00F45985">
        <w:t xml:space="preserve">uit volgde bijvoorbeeld </w:t>
      </w:r>
      <w:r w:rsidR="00176508">
        <w:t xml:space="preserve">hoe waarschijnlijk het is dat </w:t>
      </w:r>
      <w:r w:rsidR="00BE7419">
        <w:t xml:space="preserve">een kredietaanvrager </w:t>
      </w:r>
      <w:r w:rsidRPr="00176508" w:rsidR="00176508">
        <w:t>toekomst</w:t>
      </w:r>
      <w:r w:rsidR="00176508">
        <w:t xml:space="preserve">ige </w:t>
      </w:r>
      <w:r w:rsidRPr="00176508" w:rsidR="00176508">
        <w:t xml:space="preserve">betalingsverplichtingen </w:t>
      </w:r>
      <w:r w:rsidR="00176508">
        <w:t>zal nakome</w:t>
      </w:r>
      <w:r w:rsidRPr="00176508" w:rsidR="00176508">
        <w:t>n</w:t>
      </w:r>
      <w:r w:rsidR="00176508">
        <w:t xml:space="preserve">. </w:t>
      </w:r>
      <w:r w:rsidR="00F45985">
        <w:t xml:space="preserve">In de praktijk werd de beslissing tot kredietverlening gebaseerd op de scores. Over deze gang van zaken liet het HvJEU zich uit. </w:t>
      </w:r>
      <w:r w:rsidR="00176508">
        <w:t xml:space="preserve">Als het </w:t>
      </w:r>
      <w:r w:rsidRPr="00176508" w:rsidR="00176508">
        <w:t xml:space="preserve">hoofdzakelijk van </w:t>
      </w:r>
      <w:r w:rsidR="00F45985">
        <w:t>een</w:t>
      </w:r>
      <w:r w:rsidRPr="00176508" w:rsidR="00176508">
        <w:t xml:space="preserve"> </w:t>
      </w:r>
      <w:r w:rsidR="00BE7419">
        <w:t xml:space="preserve">geautomatiseerd </w:t>
      </w:r>
      <w:r w:rsidR="00BE7419">
        <w:lastRenderedPageBreak/>
        <w:t xml:space="preserve">gegenereerde </w:t>
      </w:r>
      <w:r w:rsidRPr="00176508" w:rsidR="00176508">
        <w:t>waarschijnlijkheids</w:t>
      </w:r>
      <w:r w:rsidR="00BE7419">
        <w:t>wa</w:t>
      </w:r>
      <w:r w:rsidRPr="00176508" w:rsidR="00176508">
        <w:t xml:space="preserve">arde afhangt </w:t>
      </w:r>
      <w:r w:rsidR="00BE7419">
        <w:t xml:space="preserve">welke beslissing wordt genomen op de aanvraag van </w:t>
      </w:r>
      <w:r w:rsidRPr="00176508" w:rsidR="00176508">
        <w:t xml:space="preserve">de </w:t>
      </w:r>
      <w:r w:rsidR="00176508">
        <w:t xml:space="preserve">desbetreffende </w:t>
      </w:r>
      <w:r w:rsidRPr="00176508" w:rsidR="00176508">
        <w:t>persoon</w:t>
      </w:r>
      <w:r w:rsidR="00176508">
        <w:t xml:space="preserve">, is naar het oordeel van het HvJEU </w:t>
      </w:r>
      <w:r w:rsidRPr="00176508" w:rsidR="00176508">
        <w:t>sprake van ‘geautomatiseerde individuele besluitvorming’</w:t>
      </w:r>
      <w:r w:rsidR="00C5270E">
        <w:t xml:space="preserve"> </w:t>
      </w:r>
      <w:r w:rsidR="00BE7419">
        <w:t>in de zin</w:t>
      </w:r>
      <w:r w:rsidRPr="00176508" w:rsidR="00176508">
        <w:t xml:space="preserve"> van artikel 22 AVG</w:t>
      </w:r>
      <w:r w:rsidR="00F45985">
        <w:t>, ook al wordt de definitieve beslissing door een mens genomen</w:t>
      </w:r>
      <w:r w:rsidRPr="00176508" w:rsidR="00176508">
        <w:t xml:space="preserve">. </w:t>
      </w:r>
    </w:p>
    <w:p w:rsidR="00C5270E" w:rsidP="00D84EE6" w:rsidRDefault="00C5270E" w14:paraId="10DA4FBD" w14:textId="77777777"/>
    <w:p w:rsidRPr="00C5270E" w:rsidR="008C2D47" w:rsidP="008C2D47" w:rsidRDefault="008C2D47" w14:paraId="252ADF1D" w14:textId="77777777">
      <w:pPr>
        <w:rPr>
          <w:b/>
          <w:bCs/>
        </w:rPr>
      </w:pPr>
      <w:r w:rsidRPr="00C5270E">
        <w:rPr>
          <w:b/>
          <w:bCs/>
        </w:rPr>
        <w:t>Het AP-advies</w:t>
      </w:r>
    </w:p>
    <w:p w:rsidR="00B35EE4" w:rsidP="008C2D47" w:rsidRDefault="008C2D47" w14:paraId="0E292A8D" w14:textId="708FB5D9">
      <w:r>
        <w:t>In haar advies geeft de AP zich</w:t>
      </w:r>
      <w:r w:rsidR="00BE7419">
        <w:t xml:space="preserve"> aantoonbaar</w:t>
      </w:r>
      <w:r w:rsidR="0039566E">
        <w:t xml:space="preserve"> </w:t>
      </w:r>
      <w:r>
        <w:t>rekenschap van het S</w:t>
      </w:r>
      <w:r w:rsidR="0039566E">
        <w:t>chufa</w:t>
      </w:r>
      <w:r>
        <w:t xml:space="preserve">-arrest. Zij </w:t>
      </w:r>
      <w:r w:rsidR="0039566E">
        <w:t>zwakt de</w:t>
      </w:r>
      <w:r w:rsidR="00B35EE4">
        <w:t xml:space="preserve"> daarin uitgesproken conclusies</w:t>
      </w:r>
      <w:r w:rsidR="0039566E">
        <w:t xml:space="preserve"> niet af</w:t>
      </w:r>
      <w:r w:rsidR="00B35EE4">
        <w:t>,</w:t>
      </w:r>
      <w:r w:rsidR="0039566E">
        <w:t xml:space="preserve"> maar </w:t>
      </w:r>
      <w:r>
        <w:t xml:space="preserve">past ze toe op de aan haar voorgelegde Nederlandse uitvoeringspraktijk. </w:t>
      </w:r>
      <w:r w:rsidR="00314B10">
        <w:t>In de kabinetsreactie d.d. 3 december 2024</w:t>
      </w:r>
      <w:r w:rsidR="00314B10">
        <w:rPr>
          <w:rStyle w:val="Voetnootmarkering"/>
        </w:rPr>
        <w:footnoteReference w:id="3"/>
      </w:r>
      <w:r w:rsidR="00314B10">
        <w:t xml:space="preserve"> bij het advies is nader ingegaan op het advies </w:t>
      </w:r>
      <w:r w:rsidR="00F1408F">
        <w:t xml:space="preserve">van de AP en de definitie </w:t>
      </w:r>
      <w:r w:rsidR="00314B10">
        <w:t xml:space="preserve">van </w:t>
      </w:r>
      <w:r w:rsidR="00F1408F">
        <w:t>‘</w:t>
      </w:r>
      <w:r w:rsidR="00314B10">
        <w:t>besluit</w:t>
      </w:r>
      <w:r w:rsidR="00F1408F">
        <w:t>’</w:t>
      </w:r>
      <w:r w:rsidR="00314B10">
        <w:t xml:space="preserve">. </w:t>
      </w:r>
      <w:r w:rsidR="0039566E">
        <w:t xml:space="preserve">De </w:t>
      </w:r>
      <w:r>
        <w:t>AP benadruk</w:t>
      </w:r>
      <w:r w:rsidR="0039566E">
        <w:t>t</w:t>
      </w:r>
      <w:r>
        <w:t xml:space="preserve"> </w:t>
      </w:r>
      <w:r w:rsidR="00F1408F">
        <w:t xml:space="preserve">in haar advies onder andere </w:t>
      </w:r>
      <w:r>
        <w:t xml:space="preserve">het belang van betekenisvolle menselijke tussenkomst bij de inzet van geautomatiseerde risicoselectie-instrumenten. </w:t>
      </w:r>
      <w:r w:rsidR="0039566E">
        <w:t xml:space="preserve">Ook dit is in lijn met het oordeel van het HvJEU, dat </w:t>
      </w:r>
      <w:r w:rsidR="00F45985">
        <w:t xml:space="preserve">als gezegd </w:t>
      </w:r>
      <w:r w:rsidR="0039566E">
        <w:t xml:space="preserve">concludeert dat sprake is van geautomatiseerde besluitvorming wanneer een besluit weliswaar door een mens genomen wordt, maar dat besluit </w:t>
      </w:r>
      <w:r w:rsidRPr="0039566E" w:rsidR="0039566E">
        <w:rPr>
          <w:i/>
          <w:iCs/>
        </w:rPr>
        <w:t>hoofdzakelijk</w:t>
      </w:r>
      <w:r w:rsidRPr="00176508" w:rsidR="0039566E">
        <w:t xml:space="preserve"> </w:t>
      </w:r>
      <w:r w:rsidR="0039566E">
        <w:t xml:space="preserve">afhangt van </w:t>
      </w:r>
      <w:r w:rsidR="00B35EE4">
        <w:t xml:space="preserve">een </w:t>
      </w:r>
      <w:r w:rsidR="0039566E">
        <w:t>voorgaande geautomatiseerde beoordeling</w:t>
      </w:r>
      <w:r w:rsidR="00314B10">
        <w:t xml:space="preserve"> zoals een waarschijnlijkheidswaarde</w:t>
      </w:r>
      <w:r w:rsidR="0039566E">
        <w:t xml:space="preserve">. Dit maakt duidelijk dat menselijke tussenkomst alleen niet voldoende is: deze moet </w:t>
      </w:r>
      <w:r>
        <w:t>betekenisvol zijn</w:t>
      </w:r>
      <w:r w:rsidR="0039566E">
        <w:t xml:space="preserve">. </w:t>
      </w:r>
      <w:r>
        <w:t xml:space="preserve">Om betekenisvol te zijn, moet degene die ‘tussenkomt’ voldoende kunnen beoordelen of selectie in een bepaald geval terecht is. Dat vereist dat de behandelaar </w:t>
      </w:r>
      <w:r w:rsidR="006E5FAC">
        <w:t>weet</w:t>
      </w:r>
      <w:r>
        <w:t xml:space="preserve"> hoe het geautomatiseerde proces werkt</w:t>
      </w:r>
      <w:r w:rsidR="006E5FAC">
        <w:t xml:space="preserve"> en welke invloed dit heeft op </w:t>
      </w:r>
      <w:r>
        <w:t xml:space="preserve">het uiteindelijke besluit. De AP stelt daarnaast een vijftal andere voorwaarden waaraan geautomatiseerde risicoselectie moet voldoen, waaronder het vooraf en periodiek onderzoeken en ondervangen van discriminatoire verwerkingen en kenbaarheid voor de betrokkene. </w:t>
      </w:r>
    </w:p>
    <w:p w:rsidR="00B35EE4" w:rsidP="008C2D47" w:rsidRDefault="00B35EE4" w14:paraId="532F6EDB" w14:textId="77777777"/>
    <w:p w:rsidR="008C2D47" w:rsidP="008C2D47" w:rsidRDefault="003444B0" w14:paraId="261166D5" w14:textId="158CA621">
      <w:r>
        <w:t>Ik zie in het advies dan ook geen aanwijzingen d</w:t>
      </w:r>
      <w:r w:rsidR="008E3C49">
        <w:t>at d</w:t>
      </w:r>
      <w:r w:rsidR="008C2D47">
        <w:t>e interpretatie van de AP van artikel 22 AVG minder strikt</w:t>
      </w:r>
      <w:r w:rsidR="008E3C49">
        <w:t xml:space="preserve"> is</w:t>
      </w:r>
      <w:r w:rsidR="008C2D47">
        <w:t xml:space="preserve"> dan d</w:t>
      </w:r>
      <w:r w:rsidR="008E3C49">
        <w:t>i</w:t>
      </w:r>
      <w:r w:rsidR="008C2D47">
        <w:t>e van het HvJEU.</w:t>
      </w:r>
      <w:r w:rsidR="00B35EE4">
        <w:t xml:space="preserve"> </w:t>
      </w:r>
      <w:r w:rsidR="008C2D47">
        <w:t xml:space="preserve"> </w:t>
      </w:r>
    </w:p>
    <w:p w:rsidR="008C2D47" w:rsidP="008C2D47" w:rsidRDefault="008C2D47" w14:paraId="04A2CAC1" w14:textId="77777777"/>
    <w:p w:rsidR="002D4D11" w:rsidP="008C2D47" w:rsidRDefault="002D4D11" w14:paraId="62018DBD" w14:textId="77777777"/>
    <w:p w:rsidR="0028115F" w:rsidRDefault="00883DC3" w14:paraId="7D94F0E0" w14:textId="77777777">
      <w:r>
        <w:t>De Staatssecretaris Rechtsbescherming,</w:t>
      </w:r>
    </w:p>
    <w:p w:rsidR="0028115F" w:rsidRDefault="0028115F" w14:paraId="55E9C745" w14:textId="77777777"/>
    <w:p w:rsidR="003444B0" w:rsidRDefault="003444B0" w14:paraId="1F6845D1" w14:textId="77777777"/>
    <w:p w:rsidR="003444B0" w:rsidRDefault="003444B0" w14:paraId="26672863" w14:textId="77777777"/>
    <w:p w:rsidR="0028115F" w:rsidRDefault="0028115F" w14:paraId="048E92B0" w14:textId="77777777"/>
    <w:p w:rsidRPr="00CD2593" w:rsidR="0028115F" w:rsidRDefault="00883DC3" w14:paraId="6C9E1DA3" w14:textId="65C2679C">
      <w:r w:rsidRPr="00CD2593">
        <w:t>T.H.D. Struycken</w:t>
      </w:r>
    </w:p>
    <w:p w:rsidRPr="00CD2593" w:rsidR="0028115F" w:rsidRDefault="0028115F" w14:paraId="08E3DCCC" w14:textId="77777777"/>
    <w:p w:rsidRPr="00CD2593" w:rsidR="0028115F" w:rsidRDefault="0028115F" w14:paraId="289A24D9" w14:textId="77777777"/>
    <w:sectPr w:rsidRPr="00CD2593" w:rsidR="0028115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AD51" w14:textId="77777777" w:rsidR="006B288F" w:rsidRDefault="006B288F">
      <w:pPr>
        <w:spacing w:line="240" w:lineRule="auto"/>
      </w:pPr>
      <w:r>
        <w:separator/>
      </w:r>
    </w:p>
  </w:endnote>
  <w:endnote w:type="continuationSeparator" w:id="0">
    <w:p w14:paraId="6219B0BE" w14:textId="77777777" w:rsidR="006B288F" w:rsidRDefault="006B2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E742" w14:textId="77777777" w:rsidR="002D4D11" w:rsidRDefault="002D4D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4AE9" w14:textId="77777777" w:rsidR="00DA2841" w:rsidRDefault="00DA284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B041" w14:textId="77777777" w:rsidR="002D4D11" w:rsidRDefault="002D4D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DF1D" w14:textId="77777777" w:rsidR="006B288F" w:rsidRDefault="006B288F">
      <w:pPr>
        <w:spacing w:line="240" w:lineRule="auto"/>
      </w:pPr>
      <w:r>
        <w:separator/>
      </w:r>
    </w:p>
  </w:footnote>
  <w:footnote w:type="continuationSeparator" w:id="0">
    <w:p w14:paraId="2692EFCD" w14:textId="77777777" w:rsidR="006B288F" w:rsidRDefault="006B288F">
      <w:pPr>
        <w:spacing w:line="240" w:lineRule="auto"/>
      </w:pPr>
      <w:r>
        <w:continuationSeparator/>
      </w:r>
    </w:p>
  </w:footnote>
  <w:footnote w:id="1">
    <w:p w14:paraId="433690F0" w14:textId="081E50B3" w:rsidR="00DA2841" w:rsidRDefault="00DA2841">
      <w:pPr>
        <w:pStyle w:val="Voetnoottekst"/>
      </w:pPr>
      <w:r>
        <w:rPr>
          <w:rStyle w:val="Voetnootmarkering"/>
        </w:rPr>
        <w:footnoteRef/>
      </w:r>
      <w:r>
        <w:t xml:space="preserve"> </w:t>
      </w:r>
      <w:r w:rsidRPr="003444B0">
        <w:rPr>
          <w:sz w:val="16"/>
          <w:szCs w:val="16"/>
        </w:rPr>
        <w:t>Advies artikel 22 AVG en geautomatiseerde selectie-instrumenten</w:t>
      </w:r>
    </w:p>
  </w:footnote>
  <w:footnote w:id="2">
    <w:p w14:paraId="29E8B150" w14:textId="7DB971A4" w:rsidR="00DA2841" w:rsidRPr="003444B0" w:rsidRDefault="00DA2841">
      <w:pPr>
        <w:pStyle w:val="Voetnoottekst"/>
        <w:rPr>
          <w:sz w:val="16"/>
          <w:szCs w:val="16"/>
        </w:rPr>
      </w:pPr>
      <w:r>
        <w:rPr>
          <w:rStyle w:val="Voetnootmarkering"/>
        </w:rPr>
        <w:footnoteRef/>
      </w:r>
      <w:r>
        <w:t xml:space="preserve"> </w:t>
      </w:r>
      <w:r w:rsidRPr="003444B0">
        <w:rPr>
          <w:sz w:val="16"/>
          <w:szCs w:val="16"/>
        </w:rPr>
        <w:t>HvJEU 7 december 2023, ECLI:EU:C:2023:957</w:t>
      </w:r>
    </w:p>
  </w:footnote>
  <w:footnote w:id="3">
    <w:p w14:paraId="3A566CF4" w14:textId="061477BA" w:rsidR="00314B10" w:rsidRPr="00EA6D8A" w:rsidRDefault="00314B10">
      <w:pPr>
        <w:pStyle w:val="Voetnoottekst"/>
        <w:rPr>
          <w:sz w:val="16"/>
          <w:szCs w:val="16"/>
        </w:rPr>
      </w:pPr>
      <w:r>
        <w:rPr>
          <w:rStyle w:val="Voetnootmarkering"/>
        </w:rPr>
        <w:footnoteRef/>
      </w:r>
      <w:r>
        <w:t xml:space="preserve"> </w:t>
      </w:r>
      <w:r w:rsidRPr="00EA6D8A">
        <w:rPr>
          <w:sz w:val="16"/>
          <w:szCs w:val="16"/>
        </w:rPr>
        <w:t>Kamerstukken II, 2023-2024, 32761 nr. 310 (Reactie advies AP inzake geautomatiseerde selectietechnieken)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D248" w14:textId="77777777" w:rsidR="002D4D11" w:rsidRDefault="002D4D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BC18" w14:textId="77777777" w:rsidR="00DA2841" w:rsidRDefault="00DA2841">
    <w:r>
      <w:rPr>
        <w:noProof/>
      </w:rPr>
      <mc:AlternateContent>
        <mc:Choice Requires="wps">
          <w:drawing>
            <wp:anchor distT="0" distB="0" distL="0" distR="0" simplePos="0" relativeHeight="251652608" behindDoc="0" locked="1" layoutInCell="1" allowOverlap="1" wp14:anchorId="5B1BCCB8" wp14:editId="5489A81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C1F5E0" w14:textId="77777777" w:rsidR="00DA2841" w:rsidRDefault="00DA2841">
                          <w:pPr>
                            <w:pStyle w:val="Referentiegegevensbold"/>
                          </w:pPr>
                          <w:r>
                            <w:t>Datum</w:t>
                          </w:r>
                        </w:p>
                        <w:p w14:paraId="6402555C" w14:textId="3E81F7BE" w:rsidR="00DA2841" w:rsidRDefault="009051B6">
                          <w:pPr>
                            <w:pStyle w:val="Referentiegegevens"/>
                          </w:pPr>
                          <w:sdt>
                            <w:sdtPr>
                              <w:id w:val="1787309060"/>
                              <w:date w:fullDate="2025-03-05T00:00:00Z">
                                <w:dateFormat w:val="d MMMM yyyy"/>
                                <w:lid w:val="nl"/>
                                <w:storeMappedDataAs w:val="dateTime"/>
                                <w:calendar w:val="gregorian"/>
                              </w:date>
                            </w:sdtPr>
                            <w:sdtEndPr/>
                            <w:sdtContent>
                              <w:r w:rsidR="006F061C">
                                <w:t>5 maart</w:t>
                              </w:r>
                              <w:r w:rsidR="00DA2841">
                                <w:t xml:space="preserve"> 2025</w:t>
                              </w:r>
                            </w:sdtContent>
                          </w:sdt>
                        </w:p>
                        <w:p w14:paraId="48919319" w14:textId="77777777" w:rsidR="00DA2841" w:rsidRDefault="00DA2841">
                          <w:pPr>
                            <w:pStyle w:val="WitregelW1"/>
                          </w:pPr>
                        </w:p>
                        <w:p w14:paraId="13C4F668" w14:textId="77777777" w:rsidR="00DA2841" w:rsidRDefault="00DA2841">
                          <w:pPr>
                            <w:pStyle w:val="Referentiegegevensbold"/>
                          </w:pPr>
                          <w:r>
                            <w:t>Onze referentie</w:t>
                          </w:r>
                        </w:p>
                        <w:p w14:paraId="062DC2D6" w14:textId="77777777" w:rsidR="00DA2841" w:rsidRDefault="00DA2841">
                          <w:pPr>
                            <w:pStyle w:val="Referentiegegevens"/>
                          </w:pPr>
                          <w:r>
                            <w:t>6228172</w:t>
                          </w:r>
                        </w:p>
                      </w:txbxContent>
                    </wps:txbx>
                    <wps:bodyPr vert="horz" wrap="square" lIns="0" tIns="0" rIns="0" bIns="0" anchor="t" anchorCtr="0"/>
                  </wps:wsp>
                </a:graphicData>
              </a:graphic>
            </wp:anchor>
          </w:drawing>
        </mc:Choice>
        <mc:Fallback>
          <w:pict>
            <v:shapetype w14:anchorId="5B1BCCB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8C1F5E0" w14:textId="77777777" w:rsidR="00DA2841" w:rsidRDefault="00DA2841">
                    <w:pPr>
                      <w:pStyle w:val="Referentiegegevensbold"/>
                    </w:pPr>
                    <w:r>
                      <w:t>Datum</w:t>
                    </w:r>
                  </w:p>
                  <w:p w14:paraId="6402555C" w14:textId="3E81F7BE" w:rsidR="00DA2841" w:rsidRDefault="009051B6">
                    <w:pPr>
                      <w:pStyle w:val="Referentiegegevens"/>
                    </w:pPr>
                    <w:sdt>
                      <w:sdtPr>
                        <w:id w:val="1787309060"/>
                        <w:date w:fullDate="2025-03-05T00:00:00Z">
                          <w:dateFormat w:val="d MMMM yyyy"/>
                          <w:lid w:val="nl"/>
                          <w:storeMappedDataAs w:val="dateTime"/>
                          <w:calendar w:val="gregorian"/>
                        </w:date>
                      </w:sdtPr>
                      <w:sdtEndPr/>
                      <w:sdtContent>
                        <w:r w:rsidR="006F061C">
                          <w:t>5 maart</w:t>
                        </w:r>
                        <w:r w:rsidR="00DA2841">
                          <w:t xml:space="preserve"> 2025</w:t>
                        </w:r>
                      </w:sdtContent>
                    </w:sdt>
                  </w:p>
                  <w:p w14:paraId="48919319" w14:textId="77777777" w:rsidR="00DA2841" w:rsidRDefault="00DA2841">
                    <w:pPr>
                      <w:pStyle w:val="WitregelW1"/>
                    </w:pPr>
                  </w:p>
                  <w:p w14:paraId="13C4F668" w14:textId="77777777" w:rsidR="00DA2841" w:rsidRDefault="00DA2841">
                    <w:pPr>
                      <w:pStyle w:val="Referentiegegevensbold"/>
                    </w:pPr>
                    <w:r>
                      <w:t>Onze referentie</w:t>
                    </w:r>
                  </w:p>
                  <w:p w14:paraId="062DC2D6" w14:textId="77777777" w:rsidR="00DA2841" w:rsidRDefault="00DA2841">
                    <w:pPr>
                      <w:pStyle w:val="Referentiegegevens"/>
                    </w:pPr>
                    <w:r>
                      <w:t>6228172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001DD0F" wp14:editId="228A617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9ED174" w14:textId="77777777" w:rsidR="00DA2841" w:rsidRDefault="00DA2841"/>
                      </w:txbxContent>
                    </wps:txbx>
                    <wps:bodyPr vert="horz" wrap="square" lIns="0" tIns="0" rIns="0" bIns="0" anchor="t" anchorCtr="0"/>
                  </wps:wsp>
                </a:graphicData>
              </a:graphic>
            </wp:anchor>
          </w:drawing>
        </mc:Choice>
        <mc:Fallback>
          <w:pict>
            <v:shape w14:anchorId="4001DD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D9ED174" w14:textId="77777777" w:rsidR="00DA2841" w:rsidRDefault="00DA284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C9E3FA" wp14:editId="293BCE2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5B015F" w14:textId="596264AB" w:rsidR="00DA2841" w:rsidRDefault="00DA2841">
                          <w:pPr>
                            <w:pStyle w:val="Referentiegegevens"/>
                          </w:pPr>
                          <w:r>
                            <w:t xml:space="preserve">Pagina </w:t>
                          </w:r>
                          <w:r>
                            <w:fldChar w:fldCharType="begin"/>
                          </w:r>
                          <w:r>
                            <w:instrText>PAGE</w:instrText>
                          </w:r>
                          <w:r>
                            <w:fldChar w:fldCharType="separate"/>
                          </w:r>
                          <w:r w:rsidR="00F27CE4">
                            <w:rPr>
                              <w:noProof/>
                            </w:rPr>
                            <w:t>2</w:t>
                          </w:r>
                          <w:r>
                            <w:fldChar w:fldCharType="end"/>
                          </w:r>
                          <w:r>
                            <w:t xml:space="preserve"> van </w:t>
                          </w:r>
                          <w:r>
                            <w:fldChar w:fldCharType="begin"/>
                          </w:r>
                          <w:r>
                            <w:instrText>NUMPAGES</w:instrText>
                          </w:r>
                          <w:r>
                            <w:fldChar w:fldCharType="separate"/>
                          </w:r>
                          <w:r w:rsidR="00F27CE4">
                            <w:rPr>
                              <w:noProof/>
                            </w:rPr>
                            <w:t>2</w:t>
                          </w:r>
                          <w:r>
                            <w:fldChar w:fldCharType="end"/>
                          </w:r>
                        </w:p>
                      </w:txbxContent>
                    </wps:txbx>
                    <wps:bodyPr vert="horz" wrap="square" lIns="0" tIns="0" rIns="0" bIns="0" anchor="t" anchorCtr="0"/>
                  </wps:wsp>
                </a:graphicData>
              </a:graphic>
            </wp:anchor>
          </w:drawing>
        </mc:Choice>
        <mc:Fallback>
          <w:pict>
            <v:shape w14:anchorId="31C9E3F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A5B015F" w14:textId="596264AB" w:rsidR="00DA2841" w:rsidRDefault="00DA2841">
                    <w:pPr>
                      <w:pStyle w:val="Referentiegegevens"/>
                    </w:pPr>
                    <w:r>
                      <w:t xml:space="preserve">Pagina </w:t>
                    </w:r>
                    <w:r>
                      <w:fldChar w:fldCharType="begin"/>
                    </w:r>
                    <w:r>
                      <w:instrText>PAGE</w:instrText>
                    </w:r>
                    <w:r>
                      <w:fldChar w:fldCharType="separate"/>
                    </w:r>
                    <w:r w:rsidR="00F27CE4">
                      <w:rPr>
                        <w:noProof/>
                      </w:rPr>
                      <w:t>2</w:t>
                    </w:r>
                    <w:r>
                      <w:fldChar w:fldCharType="end"/>
                    </w:r>
                    <w:r>
                      <w:t xml:space="preserve"> van </w:t>
                    </w:r>
                    <w:r>
                      <w:fldChar w:fldCharType="begin"/>
                    </w:r>
                    <w:r>
                      <w:instrText>NUMPAGES</w:instrText>
                    </w:r>
                    <w:r>
                      <w:fldChar w:fldCharType="separate"/>
                    </w:r>
                    <w:r w:rsidR="00F27CE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E873" w14:textId="77777777" w:rsidR="00DA2841" w:rsidRDefault="00DA2841">
    <w:pPr>
      <w:spacing w:after="6377" w:line="14" w:lineRule="exact"/>
    </w:pPr>
    <w:r>
      <w:rPr>
        <w:noProof/>
      </w:rPr>
      <mc:AlternateContent>
        <mc:Choice Requires="wps">
          <w:drawing>
            <wp:anchor distT="0" distB="0" distL="0" distR="0" simplePos="0" relativeHeight="251655680" behindDoc="0" locked="1" layoutInCell="1" allowOverlap="1" wp14:anchorId="766184D0" wp14:editId="1631120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D542E7" w14:textId="77777777" w:rsidR="002D4D11" w:rsidRDefault="00DA2841">
                          <w:r>
                            <w:t>Aan de Voorzitter van de Tweede Kamer</w:t>
                          </w:r>
                        </w:p>
                        <w:p w14:paraId="494C3688" w14:textId="08746C97" w:rsidR="00DA2841" w:rsidRDefault="00DA2841">
                          <w:r>
                            <w:t>der Staten-Generaal</w:t>
                          </w:r>
                        </w:p>
                        <w:p w14:paraId="0BD4D787" w14:textId="77777777" w:rsidR="00DA2841" w:rsidRDefault="00DA2841">
                          <w:r>
                            <w:t xml:space="preserve">Postbus 20018 </w:t>
                          </w:r>
                        </w:p>
                        <w:p w14:paraId="7F5CFA88" w14:textId="77777777" w:rsidR="00DA2841" w:rsidRDefault="00DA2841">
                          <w:r>
                            <w:t>2500 EA  DEN HAAG</w:t>
                          </w:r>
                        </w:p>
                      </w:txbxContent>
                    </wps:txbx>
                    <wps:bodyPr vert="horz" wrap="square" lIns="0" tIns="0" rIns="0" bIns="0" anchor="t" anchorCtr="0"/>
                  </wps:wsp>
                </a:graphicData>
              </a:graphic>
            </wp:anchor>
          </w:drawing>
        </mc:Choice>
        <mc:Fallback>
          <w:pict>
            <v:shapetype w14:anchorId="766184D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8D542E7" w14:textId="77777777" w:rsidR="002D4D11" w:rsidRDefault="00DA2841">
                    <w:r>
                      <w:t>Aan de Voorzitter van de Tweede Kamer</w:t>
                    </w:r>
                  </w:p>
                  <w:p w14:paraId="494C3688" w14:textId="08746C97" w:rsidR="00DA2841" w:rsidRDefault="00DA2841">
                    <w:r>
                      <w:t>der Staten-Generaal</w:t>
                    </w:r>
                  </w:p>
                  <w:p w14:paraId="0BD4D787" w14:textId="77777777" w:rsidR="00DA2841" w:rsidRDefault="00DA2841">
                    <w:r>
                      <w:t xml:space="preserve">Postbus 20018 </w:t>
                    </w:r>
                  </w:p>
                  <w:p w14:paraId="7F5CFA88" w14:textId="77777777" w:rsidR="00DA2841" w:rsidRDefault="00DA284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8E6B8A" wp14:editId="59EB30CA">
              <wp:simplePos x="0" y="0"/>
              <wp:positionH relativeFrom="margin">
                <wp:align>left</wp:align>
              </wp:positionH>
              <wp:positionV relativeFrom="page">
                <wp:posOffset>3357245</wp:posOffset>
              </wp:positionV>
              <wp:extent cx="4787900" cy="5556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5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A2841" w14:paraId="24222944" w14:textId="77777777">
                            <w:trPr>
                              <w:trHeight w:val="240"/>
                            </w:trPr>
                            <w:tc>
                              <w:tcPr>
                                <w:tcW w:w="1140" w:type="dxa"/>
                              </w:tcPr>
                              <w:p w14:paraId="12207D52" w14:textId="77777777" w:rsidR="00DA2841" w:rsidRDefault="00DA2841">
                                <w:r>
                                  <w:t>Datum</w:t>
                                </w:r>
                              </w:p>
                            </w:tc>
                            <w:tc>
                              <w:tcPr>
                                <w:tcW w:w="5918" w:type="dxa"/>
                              </w:tcPr>
                              <w:p w14:paraId="03746A64" w14:textId="2E58A7E0" w:rsidR="00DA2841" w:rsidRDefault="009051B6">
                                <w:sdt>
                                  <w:sdtPr>
                                    <w:id w:val="-633330027"/>
                                    <w:date w:fullDate="2025-03-06T00:00:00Z">
                                      <w:dateFormat w:val="d MMMM yyyy"/>
                                      <w:lid w:val="nl"/>
                                      <w:storeMappedDataAs w:val="dateTime"/>
                                      <w:calendar w:val="gregorian"/>
                                    </w:date>
                                  </w:sdtPr>
                                  <w:sdtEndPr/>
                                  <w:sdtContent>
                                    <w:r w:rsidR="002E3C26">
                                      <w:rPr>
                                        <w:lang w:val="nl"/>
                                      </w:rPr>
                                      <w:t>6 maart 2025</w:t>
                                    </w:r>
                                  </w:sdtContent>
                                </w:sdt>
                              </w:p>
                            </w:tc>
                          </w:tr>
                          <w:tr w:rsidR="00DA2841" w14:paraId="7E8F6D81" w14:textId="77777777">
                            <w:trPr>
                              <w:trHeight w:val="240"/>
                            </w:trPr>
                            <w:tc>
                              <w:tcPr>
                                <w:tcW w:w="1140" w:type="dxa"/>
                              </w:tcPr>
                              <w:p w14:paraId="4D95CC40" w14:textId="77777777" w:rsidR="00DA2841" w:rsidRDefault="00DA2841">
                                <w:r>
                                  <w:t>Betreft</w:t>
                                </w:r>
                              </w:p>
                            </w:tc>
                            <w:tc>
                              <w:tcPr>
                                <w:tcW w:w="5918" w:type="dxa"/>
                              </w:tcPr>
                              <w:p w14:paraId="06C99616" w14:textId="6CFC492B" w:rsidR="00DA2841" w:rsidRDefault="00DA2841">
                                <w:r>
                                  <w:t>Toezegging commissiedebat Inzet algoritmen en data-ethiek (Schufa-arrest)</w:t>
                                </w:r>
                              </w:p>
                            </w:tc>
                          </w:tr>
                        </w:tbl>
                        <w:p w14:paraId="5F68F1CF" w14:textId="77777777" w:rsidR="00DA2841" w:rsidRDefault="00DA284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8E6B8A" id="46feebd0-aa3c-11ea-a756-beb5f67e67be" o:spid="_x0000_s1030" type="#_x0000_t202" style="position:absolute;margin-left:0;margin-top:264.35pt;width:377pt;height:43.7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A2841" w14:paraId="24222944" w14:textId="77777777">
                      <w:trPr>
                        <w:trHeight w:val="240"/>
                      </w:trPr>
                      <w:tc>
                        <w:tcPr>
                          <w:tcW w:w="1140" w:type="dxa"/>
                        </w:tcPr>
                        <w:p w14:paraId="12207D52" w14:textId="77777777" w:rsidR="00DA2841" w:rsidRDefault="00DA2841">
                          <w:r>
                            <w:t>Datum</w:t>
                          </w:r>
                        </w:p>
                      </w:tc>
                      <w:tc>
                        <w:tcPr>
                          <w:tcW w:w="5918" w:type="dxa"/>
                        </w:tcPr>
                        <w:p w14:paraId="03746A64" w14:textId="2E58A7E0" w:rsidR="00DA2841" w:rsidRDefault="009051B6">
                          <w:sdt>
                            <w:sdtPr>
                              <w:id w:val="-633330027"/>
                              <w:date w:fullDate="2025-03-06T00:00:00Z">
                                <w:dateFormat w:val="d MMMM yyyy"/>
                                <w:lid w:val="nl"/>
                                <w:storeMappedDataAs w:val="dateTime"/>
                                <w:calendar w:val="gregorian"/>
                              </w:date>
                            </w:sdtPr>
                            <w:sdtEndPr/>
                            <w:sdtContent>
                              <w:r w:rsidR="002E3C26">
                                <w:rPr>
                                  <w:lang w:val="nl"/>
                                </w:rPr>
                                <w:t>6 maart 2025</w:t>
                              </w:r>
                            </w:sdtContent>
                          </w:sdt>
                        </w:p>
                      </w:tc>
                    </w:tr>
                    <w:tr w:rsidR="00DA2841" w14:paraId="7E8F6D81" w14:textId="77777777">
                      <w:trPr>
                        <w:trHeight w:val="240"/>
                      </w:trPr>
                      <w:tc>
                        <w:tcPr>
                          <w:tcW w:w="1140" w:type="dxa"/>
                        </w:tcPr>
                        <w:p w14:paraId="4D95CC40" w14:textId="77777777" w:rsidR="00DA2841" w:rsidRDefault="00DA2841">
                          <w:r>
                            <w:t>Betreft</w:t>
                          </w:r>
                        </w:p>
                      </w:tc>
                      <w:tc>
                        <w:tcPr>
                          <w:tcW w:w="5918" w:type="dxa"/>
                        </w:tcPr>
                        <w:p w14:paraId="06C99616" w14:textId="6CFC492B" w:rsidR="00DA2841" w:rsidRDefault="00DA2841">
                          <w:r>
                            <w:t>Toezegging commissiedebat Inzet algoritmen en data-ethiek (Schufa-arrest)</w:t>
                          </w:r>
                        </w:p>
                      </w:tc>
                    </w:tr>
                  </w:tbl>
                  <w:p w14:paraId="5F68F1CF" w14:textId="77777777" w:rsidR="00DA2841" w:rsidRDefault="00DA284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F2A579" wp14:editId="7FC2E4E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6C93A0" w14:textId="77777777" w:rsidR="00DA2841" w:rsidRDefault="00DA2841">
                          <w:pPr>
                            <w:pStyle w:val="Referentiegegevens"/>
                          </w:pPr>
                          <w:r>
                            <w:t>www.rijksoverheid.nl/jenv</w:t>
                          </w:r>
                        </w:p>
                        <w:p w14:paraId="44683DF6" w14:textId="77777777" w:rsidR="00DA2841" w:rsidRDefault="00DA2841">
                          <w:pPr>
                            <w:pStyle w:val="WitregelW2"/>
                          </w:pPr>
                        </w:p>
                        <w:p w14:paraId="6E1DE23A" w14:textId="77777777" w:rsidR="00DA2841" w:rsidRDefault="00DA2841">
                          <w:pPr>
                            <w:pStyle w:val="Referentiegegevensbold"/>
                          </w:pPr>
                          <w:r>
                            <w:t>Onze referentie</w:t>
                          </w:r>
                        </w:p>
                        <w:p w14:paraId="0B7CBF70" w14:textId="77777777" w:rsidR="00DA2841" w:rsidRDefault="00DA2841">
                          <w:pPr>
                            <w:pStyle w:val="Referentiegegevens"/>
                          </w:pPr>
                          <w:r>
                            <w:t>6228172</w:t>
                          </w:r>
                        </w:p>
                      </w:txbxContent>
                    </wps:txbx>
                    <wps:bodyPr vert="horz" wrap="square" lIns="0" tIns="0" rIns="0" bIns="0" anchor="t" anchorCtr="0"/>
                  </wps:wsp>
                </a:graphicData>
              </a:graphic>
            </wp:anchor>
          </w:drawing>
        </mc:Choice>
        <mc:Fallback>
          <w:pict>
            <v:shape w14:anchorId="28F2A57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46C93A0" w14:textId="77777777" w:rsidR="00DA2841" w:rsidRDefault="00DA2841">
                    <w:pPr>
                      <w:pStyle w:val="Referentiegegevens"/>
                    </w:pPr>
                    <w:r>
                      <w:t>www.rijksoverheid.nl/jenv</w:t>
                    </w:r>
                  </w:p>
                  <w:p w14:paraId="44683DF6" w14:textId="77777777" w:rsidR="00DA2841" w:rsidRDefault="00DA2841">
                    <w:pPr>
                      <w:pStyle w:val="WitregelW2"/>
                    </w:pPr>
                  </w:p>
                  <w:p w14:paraId="6E1DE23A" w14:textId="77777777" w:rsidR="00DA2841" w:rsidRDefault="00DA2841">
                    <w:pPr>
                      <w:pStyle w:val="Referentiegegevensbold"/>
                    </w:pPr>
                    <w:r>
                      <w:t>Onze referentie</w:t>
                    </w:r>
                  </w:p>
                  <w:p w14:paraId="0B7CBF70" w14:textId="77777777" w:rsidR="00DA2841" w:rsidRDefault="00DA2841">
                    <w:pPr>
                      <w:pStyle w:val="Referentiegegevens"/>
                    </w:pPr>
                    <w:r>
                      <w:t>6228172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D54D5C" wp14:editId="7C05A6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AA59FA" w14:textId="77777777" w:rsidR="00DA2841" w:rsidRDefault="00DA2841"/>
                      </w:txbxContent>
                    </wps:txbx>
                    <wps:bodyPr vert="horz" wrap="square" lIns="0" tIns="0" rIns="0" bIns="0" anchor="t" anchorCtr="0"/>
                  </wps:wsp>
                </a:graphicData>
              </a:graphic>
            </wp:anchor>
          </w:drawing>
        </mc:Choice>
        <mc:Fallback>
          <w:pict>
            <v:shape w14:anchorId="72D54D5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4AA59FA" w14:textId="77777777" w:rsidR="00DA2841" w:rsidRDefault="00DA284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D5363C" wp14:editId="318EA9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C6D0D3" w14:textId="7CC68DC7" w:rsidR="00DA2841" w:rsidRDefault="00DA2841">
                          <w:pPr>
                            <w:pStyle w:val="Referentiegegevens"/>
                          </w:pPr>
                          <w:r>
                            <w:t xml:space="preserve">Pagina </w:t>
                          </w:r>
                          <w:r>
                            <w:fldChar w:fldCharType="begin"/>
                          </w:r>
                          <w:r>
                            <w:instrText>PAGE</w:instrText>
                          </w:r>
                          <w:r>
                            <w:fldChar w:fldCharType="separate"/>
                          </w:r>
                          <w:r w:rsidR="009051B6">
                            <w:rPr>
                              <w:noProof/>
                            </w:rPr>
                            <w:t>1</w:t>
                          </w:r>
                          <w:r>
                            <w:fldChar w:fldCharType="end"/>
                          </w:r>
                          <w:r>
                            <w:t xml:space="preserve"> van </w:t>
                          </w:r>
                          <w:r>
                            <w:fldChar w:fldCharType="begin"/>
                          </w:r>
                          <w:r>
                            <w:instrText>NUMPAGES</w:instrText>
                          </w:r>
                          <w:r>
                            <w:fldChar w:fldCharType="separate"/>
                          </w:r>
                          <w:r w:rsidR="009051B6">
                            <w:rPr>
                              <w:noProof/>
                            </w:rPr>
                            <w:t>1</w:t>
                          </w:r>
                          <w:r>
                            <w:fldChar w:fldCharType="end"/>
                          </w:r>
                        </w:p>
                      </w:txbxContent>
                    </wps:txbx>
                    <wps:bodyPr vert="horz" wrap="square" lIns="0" tIns="0" rIns="0" bIns="0" anchor="t" anchorCtr="0"/>
                  </wps:wsp>
                </a:graphicData>
              </a:graphic>
            </wp:anchor>
          </w:drawing>
        </mc:Choice>
        <mc:Fallback>
          <w:pict>
            <v:shape w14:anchorId="7FD5363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EC6D0D3" w14:textId="7CC68DC7" w:rsidR="00DA2841" w:rsidRDefault="00DA2841">
                    <w:pPr>
                      <w:pStyle w:val="Referentiegegevens"/>
                    </w:pPr>
                    <w:r>
                      <w:t xml:space="preserve">Pagina </w:t>
                    </w:r>
                    <w:r>
                      <w:fldChar w:fldCharType="begin"/>
                    </w:r>
                    <w:r>
                      <w:instrText>PAGE</w:instrText>
                    </w:r>
                    <w:r>
                      <w:fldChar w:fldCharType="separate"/>
                    </w:r>
                    <w:r w:rsidR="009051B6">
                      <w:rPr>
                        <w:noProof/>
                      </w:rPr>
                      <w:t>1</w:t>
                    </w:r>
                    <w:r>
                      <w:fldChar w:fldCharType="end"/>
                    </w:r>
                    <w:r>
                      <w:t xml:space="preserve"> van </w:t>
                    </w:r>
                    <w:r>
                      <w:fldChar w:fldCharType="begin"/>
                    </w:r>
                    <w:r>
                      <w:instrText>NUMPAGES</w:instrText>
                    </w:r>
                    <w:r>
                      <w:fldChar w:fldCharType="separate"/>
                    </w:r>
                    <w:r w:rsidR="009051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90326BA" wp14:editId="18F189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67D679" w14:textId="77777777" w:rsidR="00DA2841" w:rsidRDefault="00DA2841">
                          <w:pPr>
                            <w:spacing w:line="240" w:lineRule="auto"/>
                          </w:pPr>
                          <w:r>
                            <w:rPr>
                              <w:noProof/>
                            </w:rPr>
                            <w:drawing>
                              <wp:inline distT="0" distB="0" distL="0" distR="0" wp14:anchorId="6A4B9013" wp14:editId="6FE31E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0326B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367D679" w14:textId="77777777" w:rsidR="00DA2841" w:rsidRDefault="00DA2841">
                    <w:pPr>
                      <w:spacing w:line="240" w:lineRule="auto"/>
                    </w:pPr>
                    <w:r>
                      <w:rPr>
                        <w:noProof/>
                      </w:rPr>
                      <w:drawing>
                        <wp:inline distT="0" distB="0" distL="0" distR="0" wp14:anchorId="6A4B9013" wp14:editId="6FE31E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2C7596" wp14:editId="15A7BA9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BD3B8D" w14:textId="77777777" w:rsidR="00DA2841" w:rsidRDefault="00DA2841">
                          <w:pPr>
                            <w:spacing w:line="240" w:lineRule="auto"/>
                          </w:pPr>
                          <w:r>
                            <w:rPr>
                              <w:noProof/>
                            </w:rPr>
                            <w:drawing>
                              <wp:inline distT="0" distB="0" distL="0" distR="0" wp14:anchorId="77201453" wp14:editId="24B8AD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2C759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0BD3B8D" w14:textId="77777777" w:rsidR="00DA2841" w:rsidRDefault="00DA2841">
                    <w:pPr>
                      <w:spacing w:line="240" w:lineRule="auto"/>
                    </w:pPr>
                    <w:r>
                      <w:rPr>
                        <w:noProof/>
                      </w:rPr>
                      <w:drawing>
                        <wp:inline distT="0" distB="0" distL="0" distR="0" wp14:anchorId="77201453" wp14:editId="24B8AD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ADBDB8" wp14:editId="4A5422A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E20A69" w14:textId="1E84847B" w:rsidR="00DA2841" w:rsidRDefault="00DA2841">
                          <w:pPr>
                            <w:pStyle w:val="Referentiegegevens"/>
                          </w:pPr>
                          <w:r>
                            <w:t xml:space="preserve">&gt; Retouradres  </w:t>
                          </w:r>
                          <w:r w:rsidR="002D4D11">
                            <w:t>Postbus 20301 2500 EH   Den Haag</w:t>
                          </w:r>
                          <w:r>
                            <w:t xml:space="preserve"> </w:t>
                          </w:r>
                        </w:p>
                      </w:txbxContent>
                    </wps:txbx>
                    <wps:bodyPr vert="horz" wrap="square" lIns="0" tIns="0" rIns="0" bIns="0" anchor="t" anchorCtr="0"/>
                  </wps:wsp>
                </a:graphicData>
              </a:graphic>
            </wp:anchor>
          </w:drawing>
        </mc:Choice>
        <mc:Fallback>
          <w:pict>
            <v:shape w14:anchorId="5EADBDB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3E20A69" w14:textId="1E84847B" w:rsidR="00DA2841" w:rsidRDefault="00DA2841">
                    <w:pPr>
                      <w:pStyle w:val="Referentiegegevens"/>
                    </w:pPr>
                    <w:r>
                      <w:t xml:space="preserve">&gt; Retouradres  </w:t>
                    </w:r>
                    <w:r w:rsidR="002D4D11">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33226E"/>
    <w:multiLevelType w:val="multilevel"/>
    <w:tmpl w:val="96E0E3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C83247B"/>
    <w:multiLevelType w:val="multilevel"/>
    <w:tmpl w:val="E47C5C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DC97B7"/>
    <w:multiLevelType w:val="multilevel"/>
    <w:tmpl w:val="80CBC9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CED51C"/>
    <w:multiLevelType w:val="multilevel"/>
    <w:tmpl w:val="A05EBB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3DA373"/>
    <w:multiLevelType w:val="multilevel"/>
    <w:tmpl w:val="11E591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27E32B2"/>
    <w:multiLevelType w:val="multilevel"/>
    <w:tmpl w:val="DC6676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47"/>
    <w:rsid w:val="0000678B"/>
    <w:rsid w:val="0004700E"/>
    <w:rsid w:val="0005738A"/>
    <w:rsid w:val="0007177B"/>
    <w:rsid w:val="00176508"/>
    <w:rsid w:val="001C75CF"/>
    <w:rsid w:val="00254520"/>
    <w:rsid w:val="0028115F"/>
    <w:rsid w:val="002B37C6"/>
    <w:rsid w:val="002C07D4"/>
    <w:rsid w:val="002D32CC"/>
    <w:rsid w:val="002D4D11"/>
    <w:rsid w:val="002E3C26"/>
    <w:rsid w:val="00314B10"/>
    <w:rsid w:val="00322AA5"/>
    <w:rsid w:val="003444B0"/>
    <w:rsid w:val="0039566E"/>
    <w:rsid w:val="00443523"/>
    <w:rsid w:val="0046127B"/>
    <w:rsid w:val="00496078"/>
    <w:rsid w:val="00546A8C"/>
    <w:rsid w:val="005977A0"/>
    <w:rsid w:val="005C4ECD"/>
    <w:rsid w:val="00615760"/>
    <w:rsid w:val="006B288F"/>
    <w:rsid w:val="006E5FAC"/>
    <w:rsid w:val="006F061C"/>
    <w:rsid w:val="0070561F"/>
    <w:rsid w:val="00712BA0"/>
    <w:rsid w:val="0073461C"/>
    <w:rsid w:val="007C2304"/>
    <w:rsid w:val="007E3578"/>
    <w:rsid w:val="00883DC3"/>
    <w:rsid w:val="008C2D47"/>
    <w:rsid w:val="008E3C49"/>
    <w:rsid w:val="008F3BB9"/>
    <w:rsid w:val="009051B6"/>
    <w:rsid w:val="00A647F0"/>
    <w:rsid w:val="00AC2769"/>
    <w:rsid w:val="00AD409B"/>
    <w:rsid w:val="00B35EE4"/>
    <w:rsid w:val="00BE7419"/>
    <w:rsid w:val="00C5270E"/>
    <w:rsid w:val="00CA3137"/>
    <w:rsid w:val="00CD2593"/>
    <w:rsid w:val="00D4587A"/>
    <w:rsid w:val="00D555F0"/>
    <w:rsid w:val="00D84EE6"/>
    <w:rsid w:val="00DA1692"/>
    <w:rsid w:val="00DA2841"/>
    <w:rsid w:val="00DD14D7"/>
    <w:rsid w:val="00DD4AFB"/>
    <w:rsid w:val="00E37108"/>
    <w:rsid w:val="00E77D10"/>
    <w:rsid w:val="00EA6D8A"/>
    <w:rsid w:val="00EC5E55"/>
    <w:rsid w:val="00EF6FB2"/>
    <w:rsid w:val="00F1408F"/>
    <w:rsid w:val="00F27CE4"/>
    <w:rsid w:val="00F45985"/>
    <w:rsid w:val="00FB0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84E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4EE6"/>
    <w:rPr>
      <w:rFonts w:ascii="Verdana" w:hAnsi="Verdana"/>
      <w:color w:val="000000"/>
    </w:rPr>
  </w:style>
  <w:style w:type="character" w:styleId="Voetnootmarkering">
    <w:name w:val="footnote reference"/>
    <w:basedOn w:val="Standaardalinea-lettertype"/>
    <w:uiPriority w:val="99"/>
    <w:semiHidden/>
    <w:unhideWhenUsed/>
    <w:rsid w:val="00D84EE6"/>
    <w:rPr>
      <w:vertAlign w:val="superscript"/>
    </w:rPr>
  </w:style>
  <w:style w:type="paragraph" w:styleId="Koptekst">
    <w:name w:val="header"/>
    <w:basedOn w:val="Standaard"/>
    <w:link w:val="KoptekstChar"/>
    <w:uiPriority w:val="99"/>
    <w:unhideWhenUsed/>
    <w:rsid w:val="00344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44B0"/>
    <w:rPr>
      <w:rFonts w:ascii="Verdana" w:hAnsi="Verdana"/>
      <w:color w:val="000000"/>
      <w:sz w:val="18"/>
      <w:szCs w:val="18"/>
    </w:rPr>
  </w:style>
  <w:style w:type="paragraph" w:styleId="Revisie">
    <w:name w:val="Revision"/>
    <w:hidden/>
    <w:uiPriority w:val="99"/>
    <w:semiHidden/>
    <w:rsid w:val="008F3BB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0561F"/>
    <w:rPr>
      <w:sz w:val="16"/>
      <w:szCs w:val="16"/>
    </w:rPr>
  </w:style>
  <w:style w:type="paragraph" w:styleId="Tekstopmerking">
    <w:name w:val="annotation text"/>
    <w:basedOn w:val="Standaard"/>
    <w:link w:val="TekstopmerkingChar"/>
    <w:uiPriority w:val="99"/>
    <w:unhideWhenUsed/>
    <w:rsid w:val="0070561F"/>
    <w:pPr>
      <w:spacing w:line="240" w:lineRule="auto"/>
    </w:pPr>
    <w:rPr>
      <w:sz w:val="20"/>
      <w:szCs w:val="20"/>
    </w:rPr>
  </w:style>
  <w:style w:type="character" w:customStyle="1" w:styleId="TekstopmerkingChar">
    <w:name w:val="Tekst opmerking Char"/>
    <w:basedOn w:val="Standaardalinea-lettertype"/>
    <w:link w:val="Tekstopmerking"/>
    <w:uiPriority w:val="99"/>
    <w:rsid w:val="0070561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0561F"/>
    <w:rPr>
      <w:b/>
      <w:bCs/>
    </w:rPr>
  </w:style>
  <w:style w:type="character" w:customStyle="1" w:styleId="OnderwerpvanopmerkingChar">
    <w:name w:val="Onderwerp van opmerking Char"/>
    <w:basedOn w:val="TekstopmerkingChar"/>
    <w:link w:val="Onderwerpvanopmerking"/>
    <w:uiPriority w:val="99"/>
    <w:semiHidden/>
    <w:rsid w:val="0070561F"/>
    <w:rPr>
      <w:rFonts w:ascii="Verdana" w:hAnsi="Verdana"/>
      <w:b/>
      <w:bCs/>
      <w:color w:val="000000"/>
    </w:rPr>
  </w:style>
  <w:style w:type="paragraph" w:styleId="Ballontekst">
    <w:name w:val="Balloon Text"/>
    <w:basedOn w:val="Standaard"/>
    <w:link w:val="BallontekstChar"/>
    <w:uiPriority w:val="99"/>
    <w:semiHidden/>
    <w:unhideWhenUsed/>
    <w:rsid w:val="0070561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0561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5081">
      <w:bodyDiv w:val="1"/>
      <w:marLeft w:val="0"/>
      <w:marRight w:val="0"/>
      <w:marTop w:val="0"/>
      <w:marBottom w:val="0"/>
      <w:divBdr>
        <w:top w:val="none" w:sz="0" w:space="0" w:color="auto"/>
        <w:left w:val="none" w:sz="0" w:space="0" w:color="auto"/>
        <w:bottom w:val="none" w:sz="0" w:space="0" w:color="auto"/>
        <w:right w:val="none" w:sz="0" w:space="0" w:color="auto"/>
      </w:divBdr>
    </w:div>
    <w:div w:id="855118744">
      <w:bodyDiv w:val="1"/>
      <w:marLeft w:val="0"/>
      <w:marRight w:val="0"/>
      <w:marTop w:val="0"/>
      <w:marBottom w:val="0"/>
      <w:divBdr>
        <w:top w:val="none" w:sz="0" w:space="0" w:color="auto"/>
        <w:left w:val="none" w:sz="0" w:space="0" w:color="auto"/>
        <w:bottom w:val="none" w:sz="0" w:space="0" w:color="auto"/>
        <w:right w:val="none" w:sz="0" w:space="0" w:color="auto"/>
      </w:divBdr>
    </w:div>
    <w:div w:id="916331655">
      <w:bodyDiv w:val="1"/>
      <w:marLeft w:val="0"/>
      <w:marRight w:val="0"/>
      <w:marTop w:val="0"/>
      <w:marBottom w:val="0"/>
      <w:divBdr>
        <w:top w:val="none" w:sz="0" w:space="0" w:color="auto"/>
        <w:left w:val="none" w:sz="0" w:space="0" w:color="auto"/>
        <w:bottom w:val="none" w:sz="0" w:space="0" w:color="auto"/>
        <w:right w:val="none" w:sz="0" w:space="0" w:color="auto"/>
      </w:divBdr>
    </w:div>
    <w:div w:id="1118067014">
      <w:bodyDiv w:val="1"/>
      <w:marLeft w:val="0"/>
      <w:marRight w:val="0"/>
      <w:marTop w:val="0"/>
      <w:marBottom w:val="0"/>
      <w:divBdr>
        <w:top w:val="none" w:sz="0" w:space="0" w:color="auto"/>
        <w:left w:val="none" w:sz="0" w:space="0" w:color="auto"/>
        <w:bottom w:val="none" w:sz="0" w:space="0" w:color="auto"/>
        <w:right w:val="none" w:sz="0" w:space="0" w:color="auto"/>
      </w:divBdr>
    </w:div>
    <w:div w:id="1669675655">
      <w:bodyDiv w:val="1"/>
      <w:marLeft w:val="0"/>
      <w:marRight w:val="0"/>
      <w:marTop w:val="0"/>
      <w:marBottom w:val="0"/>
      <w:divBdr>
        <w:top w:val="none" w:sz="0" w:space="0" w:color="auto"/>
        <w:left w:val="none" w:sz="0" w:space="0" w:color="auto"/>
        <w:bottom w:val="none" w:sz="0" w:space="0" w:color="auto"/>
        <w:right w:val="none" w:sz="0" w:space="0" w:color="auto"/>
      </w:divBdr>
    </w:div>
    <w:div w:id="201152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646</ap:Words>
  <ap:Characters>3558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Toezegging</vt:lpstr>
    </vt:vector>
  </ap:TitlesOfParts>
  <ap:LinksUpToDate>false</ap:LinksUpToDate>
  <ap:CharactersWithSpaces>4196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2025-03-06T08:57:00.0000000Z</dcterms:created>
  <dcterms:modified xsi:type="dcterms:W3CDTF">2025-03-06T08:57:00.0000000Z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Toezegging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mr. R. de Groot</vt:lpwstr>
  </property>
  <property fmtid="{D5CDD505-2E9C-101B-9397-08002B2CF9AE}" pid="14" name="Opgesteld door, Telefoonnummer">
    <vt:lpwstr/>
  </property>
  <property fmtid="{D5CDD505-2E9C-101B-9397-08002B2CF9AE}" pid="15" name="Kenmerk">
    <vt:lpwstr>6228172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