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63D46" w:rsidRDefault="00D31840" w14:paraId="12BD8472" w14:textId="77777777">
      <w:pPr>
        <w:pStyle w:val="StandaardAanhef"/>
      </w:pPr>
      <w:r>
        <w:t>Geachte voorzitter,</w:t>
      </w:r>
    </w:p>
    <w:p w:rsidR="008036E9" w:rsidRDefault="00995F6A" w14:paraId="0B8EC7E8" w14:textId="77777777">
      <w:r>
        <w:t xml:space="preserve">Op donderdag </w:t>
      </w:r>
      <w:r w:rsidR="00BE17F3">
        <w:t>13 maart</w:t>
      </w:r>
      <w:r>
        <w:t xml:space="preserve"> </w:t>
      </w:r>
      <w:r w:rsidR="00107E9E">
        <w:t>is</w:t>
      </w:r>
      <w:r>
        <w:t xml:space="preserve"> een commissiedebat Belastingdienst </w:t>
      </w:r>
      <w:r w:rsidR="00107E9E">
        <w:t>gepland</w:t>
      </w:r>
      <w:r>
        <w:t>. Ik kijk ernaar uit om met uw Kamer de stand van zaken bij de Belastingdienst te bespreken. In mijn Kamerbrief van 11 december 2024 heb ik u toegezegd een stand-van-zakenbrief toe te zenden waarin ik u informeer over de voortgang op een aantal actuele en lopende onderwerpen.</w:t>
      </w:r>
      <w:r w:rsidR="00DD2A8B">
        <w:rPr>
          <w:rStyle w:val="Voetnootmarkering"/>
        </w:rPr>
        <w:footnoteReference w:id="2"/>
      </w:r>
      <w:r w:rsidRPr="00995F6A">
        <w:t xml:space="preserve"> </w:t>
      </w:r>
      <w:r>
        <w:t xml:space="preserve">Deze onderwerpen </w:t>
      </w:r>
      <w:r w:rsidR="008F5D00">
        <w:t>kunt u in bijlage 1 vinden</w:t>
      </w:r>
      <w:r>
        <w:t>.</w:t>
      </w:r>
      <w:r w:rsidR="00B6098B">
        <w:t xml:space="preserve"> </w:t>
      </w:r>
    </w:p>
    <w:p w:rsidR="008036E9" w:rsidRDefault="008036E9" w14:paraId="7F97D57C" w14:textId="77777777"/>
    <w:p w:rsidR="0001629D" w:rsidP="0003516D" w:rsidRDefault="008530EE" w14:paraId="7EE5FDD0" w14:textId="77777777">
      <w:r>
        <w:t>Zoals bekend heeft de</w:t>
      </w:r>
      <w:r w:rsidR="00595D19">
        <w:t xml:space="preserve"> Belastingdienst een </w:t>
      </w:r>
      <w:r w:rsidR="0085716B">
        <w:t>uitdagende</w:t>
      </w:r>
      <w:r w:rsidR="00595D19">
        <w:t xml:space="preserve"> tijd achter de rug. Daarom ligt de focus </w:t>
      </w:r>
      <w:r w:rsidR="0085716B">
        <w:t xml:space="preserve">in het heden </w:t>
      </w:r>
      <w:r w:rsidR="00595D19">
        <w:t xml:space="preserve">op het brengen van rust voor de organisatie. </w:t>
      </w:r>
      <w:r w:rsidR="0003516D">
        <w:t>De inzet is gericht op</w:t>
      </w:r>
      <w:r w:rsidR="00595D19">
        <w:t xml:space="preserve"> </w:t>
      </w:r>
      <w:r>
        <w:t>de basis</w:t>
      </w:r>
      <w:r w:rsidR="00595D19">
        <w:t xml:space="preserve"> op orde </w:t>
      </w:r>
      <w:r w:rsidR="0085716B">
        <w:t>brengen</w:t>
      </w:r>
      <w:r w:rsidR="00595D19">
        <w:t xml:space="preserve"> en houden. </w:t>
      </w:r>
      <w:r>
        <w:t>Met effect, o</w:t>
      </w:r>
      <w:r w:rsidR="0085716B">
        <w:t>p dit moment</w:t>
      </w:r>
      <w:r w:rsidR="00595D19">
        <w:t xml:space="preserve"> staat de Belastingdienst er beter </w:t>
      </w:r>
      <w:r w:rsidR="00470B30">
        <w:t>voor</w:t>
      </w:r>
      <w:r w:rsidR="00595D19">
        <w:t xml:space="preserve"> dan enkele jaren geleden.</w:t>
      </w:r>
      <w:r w:rsidR="0040368C">
        <w:t xml:space="preserve"> Elke dag wordt er </w:t>
      </w:r>
      <w:r w:rsidR="0003516D">
        <w:t>nagenoeg probleemloos</w:t>
      </w:r>
      <w:r w:rsidR="0040368C">
        <w:t xml:space="preserve"> ruim 1 miljard euro opgehaald om </w:t>
      </w:r>
      <w:r w:rsidR="00470B30">
        <w:t>onze</w:t>
      </w:r>
      <w:r w:rsidR="0040368C">
        <w:t xml:space="preserve"> publieke voorzieningen te financieren. </w:t>
      </w:r>
      <w:r w:rsidR="0001629D">
        <w:t xml:space="preserve">Daarmee loopt er dagelijks 10% van het Nederlandse betaalverkeer naar of vanaf de Belastingdienst. </w:t>
      </w:r>
    </w:p>
    <w:p w:rsidR="0001629D" w:rsidP="0003516D" w:rsidRDefault="0001629D" w14:paraId="584719DC" w14:textId="77777777"/>
    <w:p w:rsidR="0003516D" w:rsidP="0003516D" w:rsidRDefault="0001629D" w14:paraId="3AB7EC28" w14:textId="77777777">
      <w:r>
        <w:t xml:space="preserve">Het op orde brengen van de basis zorgt voor perspectief. </w:t>
      </w:r>
      <w:r w:rsidR="0003516D">
        <w:t>Er ligt een meerjarige planning voor de modernisering van de ICT-systemen. De personeelsbez</w:t>
      </w:r>
      <w:r w:rsidR="00C724D6">
        <w:t>e</w:t>
      </w:r>
      <w:r w:rsidR="0003516D">
        <w:t>tting is op orde gebracht en de wervingsdoelstelling wordt gehaald. Burgers en bedrijven kunnen steeds eenvoudiger aangifte doen en worden sneller met vragen geholpen via onder andere de voor</w:t>
      </w:r>
      <w:r w:rsidR="00C724D6">
        <w:t xml:space="preserve">af </w:t>
      </w:r>
      <w:r w:rsidR="0003516D">
        <w:t xml:space="preserve">ingevulde aangifte, videobellen en hulp aan extra balies en steunpunten. Over de voortgang op ICT, personeel en dienstverlening zal ik u hieronder nader informeren. </w:t>
      </w:r>
    </w:p>
    <w:p w:rsidR="0040368C" w:rsidRDefault="0040368C" w14:paraId="3CEB8F33" w14:textId="77777777"/>
    <w:p w:rsidR="00595D19" w:rsidRDefault="0003516D" w14:paraId="33E17B1C" w14:textId="77777777">
      <w:r>
        <w:t xml:space="preserve">Deze inspanningen zijn niet alleen goed voor de </w:t>
      </w:r>
      <w:r w:rsidR="0001629D">
        <w:t>organisatie</w:t>
      </w:r>
      <w:r>
        <w:t xml:space="preserve"> zelf, iedereen heeft baat bij een goed functionerende en toegankelijke Belastingdienst. </w:t>
      </w:r>
      <w:r w:rsidR="0001629D">
        <w:t>Daarom blijft de Belastingdienst</w:t>
      </w:r>
      <w:r>
        <w:t xml:space="preserve"> </w:t>
      </w:r>
      <w:r w:rsidR="0001629D">
        <w:t>- met een</w:t>
      </w:r>
      <w:r w:rsidRPr="0003516D" w:rsidR="0001629D">
        <w:t xml:space="preserve"> mix van proactieve dienstverlening en hulp, toezicht en handhaving</w:t>
      </w:r>
      <w:r w:rsidR="0001629D">
        <w:t xml:space="preserve"> - </w:t>
      </w:r>
      <w:r w:rsidRPr="0003516D">
        <w:t xml:space="preserve">de burger en ondernemer centraal zetten. </w:t>
      </w:r>
      <w:r>
        <w:t>Zo</w:t>
      </w:r>
      <w:r w:rsidRPr="0003516D">
        <w:t xml:space="preserve"> zorgen </w:t>
      </w:r>
      <w:r>
        <w:t xml:space="preserve">we </w:t>
      </w:r>
      <w:r w:rsidRPr="0003516D">
        <w:t xml:space="preserve">ervoor dat we helpen waar </w:t>
      </w:r>
      <w:r w:rsidR="0001629D">
        <w:t>het</w:t>
      </w:r>
      <w:r w:rsidRPr="0003516D">
        <w:t xml:space="preserve"> kan en fouten vaststellen waar dat moet. </w:t>
      </w:r>
      <w:r w:rsidR="0001629D">
        <w:t xml:space="preserve">Dat is waar de Belastingdienst voor </w:t>
      </w:r>
      <w:r w:rsidR="008530EE">
        <w:t xml:space="preserve">staat en </w:t>
      </w:r>
      <w:r w:rsidR="0001629D">
        <w:t xml:space="preserve">wil </w:t>
      </w:r>
      <w:r w:rsidR="008530EE">
        <w:t xml:space="preserve">blijven </w:t>
      </w:r>
      <w:r w:rsidR="0001629D">
        <w:t>staan.</w:t>
      </w:r>
    </w:p>
    <w:p w:rsidR="0003516D" w:rsidRDefault="0003516D" w14:paraId="6C3CA401" w14:textId="77777777"/>
    <w:p w:rsidR="00995F6A" w:rsidRDefault="00554E97" w14:paraId="6D6CBB76" w14:textId="77777777">
      <w:r>
        <w:lastRenderedPageBreak/>
        <w:t>Met deze brief ontvangt u</w:t>
      </w:r>
      <w:r w:rsidR="00B6098B">
        <w:t>w Kamer ook het rapport van de Adviescommissie Analytics</w:t>
      </w:r>
      <w:r w:rsidR="00995F6A">
        <w:t xml:space="preserve"> </w:t>
      </w:r>
      <w:r w:rsidR="001C6E39">
        <w:t>en een rapport over ‘</w:t>
      </w:r>
      <w:proofErr w:type="spellStart"/>
      <w:r w:rsidR="001C6E39">
        <w:t>rulings</w:t>
      </w:r>
      <w:proofErr w:type="spellEnd"/>
      <w:r w:rsidR="001C6E39">
        <w:t xml:space="preserve"> met een internationaal karakter’. Deze rapporten worden in de bijlage met actuele onderwerpen nader toegelicht.</w:t>
      </w:r>
      <w:r w:rsidR="00995F6A">
        <w:t xml:space="preserve"> </w:t>
      </w:r>
    </w:p>
    <w:p w:rsidR="00200C73" w:rsidRDefault="00200C73" w14:paraId="7F609CDE" w14:textId="77777777"/>
    <w:p w:rsidR="00200C73" w:rsidRDefault="009441DB" w14:paraId="386EEC5B" w14:textId="77777777">
      <w:bookmarkStart w:name="_Hlk189646309" w:id="0"/>
      <w:r>
        <w:t xml:space="preserve">In deze brief zal ik eerst ingaan op het </w:t>
      </w:r>
      <w:r w:rsidR="00EB2842">
        <w:t xml:space="preserve">belang van een toekomstbestendige organisatie </w:t>
      </w:r>
      <w:r w:rsidR="005E4749">
        <w:t>en op wat er nodig is om de Belastingdienst klaar</w:t>
      </w:r>
      <w:r w:rsidR="00EB2842">
        <w:t xml:space="preserve"> te </w:t>
      </w:r>
      <w:r w:rsidR="005E4749">
        <w:t>maken voor de toekomst</w:t>
      </w:r>
      <w:r>
        <w:t xml:space="preserve">. </w:t>
      </w:r>
      <w:r w:rsidR="008036E9">
        <w:t xml:space="preserve">Ook </w:t>
      </w:r>
      <w:r w:rsidR="00F94FB2">
        <w:t xml:space="preserve">ga ik </w:t>
      </w:r>
      <w:r w:rsidR="001E6603">
        <w:t>nader</w:t>
      </w:r>
      <w:r w:rsidR="00F94FB2">
        <w:t xml:space="preserve"> in op de Algemene Verordening Gegevensbescherming (AVG) bij de Belastingdienst.</w:t>
      </w:r>
      <w:r w:rsidR="00CC7D09">
        <w:rPr>
          <w:rStyle w:val="Voetnootmarkering"/>
        </w:rPr>
        <w:footnoteReference w:id="3"/>
      </w:r>
      <w:r w:rsidR="00F94FB2">
        <w:t xml:space="preserve"> </w:t>
      </w:r>
    </w:p>
    <w:bookmarkEnd w:id="0"/>
    <w:p w:rsidR="00446A53" w:rsidRDefault="00446A53" w14:paraId="126E34B4" w14:textId="77777777"/>
    <w:p w:rsidR="00C71B4C" w:rsidP="0083253E" w:rsidRDefault="00446A53" w14:paraId="28E8A878" w14:textId="77777777">
      <w:r>
        <w:rPr>
          <w:b/>
          <w:bCs/>
        </w:rPr>
        <w:t>Een toekomstbestendige Belastingdienst</w:t>
      </w:r>
      <w:r>
        <w:rPr>
          <w:b/>
          <w:bCs/>
        </w:rPr>
        <w:br/>
      </w:r>
      <w:r w:rsidR="00FF35D3">
        <w:t>Een toekomstbestendige Belastingdienst is een voorwaarde voor de fiscale agenda van de toekom</w:t>
      </w:r>
      <w:r w:rsidR="00EE42E8">
        <w:t>s</w:t>
      </w:r>
      <w:r w:rsidR="00FF35D3">
        <w:t xml:space="preserve">t én voor </w:t>
      </w:r>
      <w:r w:rsidR="005E697E">
        <w:t>de continuïteit van</w:t>
      </w:r>
      <w:r w:rsidR="00FF35D3">
        <w:t xml:space="preserve"> robuuste belastingheffing en </w:t>
      </w:r>
      <w:r w:rsidR="006308C7">
        <w:t>-</w:t>
      </w:r>
      <w:r w:rsidR="00FF35D3">
        <w:t>inning. Mijn ambtsvoorganger heeft een toekomstbestendige Belastingdienst genoemd als één van zijn prioriteiten</w:t>
      </w:r>
      <w:r w:rsidR="006308C7">
        <w:t xml:space="preserve"> in de Fiscale Strategische Agenda, die met uw Kamer is gedeeld</w:t>
      </w:r>
      <w:r w:rsidR="00FF35D3">
        <w:t>.</w:t>
      </w:r>
      <w:r w:rsidR="00FF35D3">
        <w:rPr>
          <w:rStyle w:val="Voetnootmarkering"/>
        </w:rPr>
        <w:footnoteReference w:id="4"/>
      </w:r>
      <w:r w:rsidR="00FF35D3">
        <w:t xml:space="preserve"> In mijn brief van 11 december 2024 heb ik dit onderschreven en ben ik ingegaan op wat er in mijn ogen nodig is om dit te bereiken.</w:t>
      </w:r>
      <w:r w:rsidR="0083253E">
        <w:t xml:space="preserve"> </w:t>
      </w:r>
    </w:p>
    <w:p w:rsidR="0083253E" w:rsidP="0083253E" w:rsidRDefault="0083253E" w14:paraId="0093DD96" w14:textId="77777777"/>
    <w:p w:rsidR="0083253E" w:rsidP="0083253E" w:rsidRDefault="0083253E" w14:paraId="43A87CBD" w14:textId="77777777">
      <w:r>
        <w:t>Het klaarmaken van de Belastingdienst voor de toekomst betekent dat</w:t>
      </w:r>
      <w:r w:rsidR="00787E11">
        <w:t xml:space="preserve"> er</w:t>
      </w:r>
      <w:r>
        <w:t xml:space="preserve"> </w:t>
      </w:r>
      <w:r w:rsidR="00554E97">
        <w:t xml:space="preserve">voldoende aandacht moet blijven voor de uitdagingen </w:t>
      </w:r>
      <w:r>
        <w:t xml:space="preserve">op het gebied van </w:t>
      </w:r>
      <w:r w:rsidR="00F464EF">
        <w:t xml:space="preserve">ICT en </w:t>
      </w:r>
      <w:r>
        <w:t>personeel. En ook aan het borgen en verder verbeteren van de hoogwaardige dienstverlening die de Belastingdienst biedt aan burgers en bedrijven. Daarmee wordt een fundament gelegd voor de toekomst. Ik zal hieronder kort stilstaan bij deze drie opgaven.</w:t>
      </w:r>
      <w:r w:rsidR="00A67955">
        <w:t xml:space="preserve"> </w:t>
      </w:r>
    </w:p>
    <w:p w:rsidR="00314E0E" w:rsidRDefault="00314E0E" w14:paraId="31C62FCF" w14:textId="77777777"/>
    <w:p w:rsidRPr="00D5263E" w:rsidR="00314E0E" w:rsidRDefault="00314E0E" w14:paraId="1B24F2A4" w14:textId="77777777">
      <w:pPr>
        <w:rPr>
          <w:i/>
          <w:iCs/>
          <w:u w:val="single"/>
        </w:rPr>
      </w:pPr>
      <w:r w:rsidRPr="00D5263E">
        <w:rPr>
          <w:i/>
          <w:iCs/>
          <w:u w:val="single"/>
        </w:rPr>
        <w:t>Modernisering IC</w:t>
      </w:r>
      <w:r w:rsidRPr="00D5263E" w:rsidR="00497ACD">
        <w:rPr>
          <w:i/>
          <w:iCs/>
          <w:u w:val="single"/>
        </w:rPr>
        <w:t>T</w:t>
      </w:r>
    </w:p>
    <w:p w:rsidR="005E697E" w:rsidP="00EF3FEF" w:rsidRDefault="00224B94" w14:paraId="737D3A44" w14:textId="77777777">
      <w:r>
        <w:t xml:space="preserve">Binnen de Belastingdienst gaat er veel aandacht uit naar de modernisering van het ICT-landschap. Zonder </w:t>
      </w:r>
      <w:r w:rsidR="005E697E">
        <w:t xml:space="preserve">dit </w:t>
      </w:r>
      <w:r>
        <w:t>betrouwbar</w:t>
      </w:r>
      <w:r w:rsidR="005E697E">
        <w:t>e en</w:t>
      </w:r>
      <w:r>
        <w:t xml:space="preserve"> stabiel</w:t>
      </w:r>
      <w:r w:rsidR="005E697E">
        <w:t>e</w:t>
      </w:r>
      <w:r>
        <w:t xml:space="preserve"> ICT-landschap kan de Belastingdienst zijn taken niet vervullen.</w:t>
      </w:r>
      <w:r w:rsidR="009448A1">
        <w:t xml:space="preserve"> </w:t>
      </w:r>
      <w:r w:rsidR="00EF3FEF">
        <w:t xml:space="preserve">Jaarlijks worden er miljoenen aangiften verwerkt met behulp van massale processen die voor een groot deel al volledig automatisch worden uitgevoerd met behulp van robuuste en stabiele ICT-systemen. </w:t>
      </w:r>
    </w:p>
    <w:p w:rsidR="005E697E" w:rsidP="00EF3FEF" w:rsidRDefault="005E697E" w14:paraId="263147DA" w14:textId="77777777"/>
    <w:p w:rsidR="00E24969" w:rsidP="00EF3FEF" w:rsidRDefault="005E697E" w14:paraId="4B9E477E" w14:textId="77777777">
      <w:r>
        <w:t xml:space="preserve">De noodzaak </w:t>
      </w:r>
      <w:r w:rsidR="00B93271">
        <w:t xml:space="preserve">om deze ICT-systemen te moderniseren blijft groot. </w:t>
      </w:r>
      <w:r w:rsidR="00E24969">
        <w:t xml:space="preserve">Omdat </w:t>
      </w:r>
      <w:r w:rsidR="00E734FB">
        <w:t xml:space="preserve">binnen en buiten de Belastingdienst </w:t>
      </w:r>
      <w:r w:rsidR="00E24969">
        <w:t>de kennis van verouderde systemen steeds schaarser wordt</w:t>
      </w:r>
      <w:r w:rsidR="00844410">
        <w:t>,</w:t>
      </w:r>
      <w:r w:rsidR="00E24969">
        <w:t xml:space="preserve"> blijft het noodzakelijk dat de modernisering volgens planning wordt voortgezet. </w:t>
      </w:r>
      <w:r w:rsidR="00B93271">
        <w:t>Daarmee worden de systemen wendbaarder</w:t>
      </w:r>
      <w:r w:rsidR="0016657A">
        <w:t>, zodat</w:t>
      </w:r>
      <w:r w:rsidR="00B93271">
        <w:t xml:space="preserve"> </w:t>
      </w:r>
      <w:r w:rsidR="00EF3FEF">
        <w:t xml:space="preserve">de Belastingdienst beleidswensen in de toekomst eenvoudiger </w:t>
      </w:r>
      <w:r w:rsidR="0016657A">
        <w:t xml:space="preserve">kan </w:t>
      </w:r>
      <w:r w:rsidR="00EF3FEF">
        <w:t xml:space="preserve">implementeren. </w:t>
      </w:r>
      <w:r w:rsidR="00554E97">
        <w:t xml:space="preserve">Bovendien is dit een voorwaarde voor toekomstige hervormingen van het belastingstelsel en kan de Belastingdienst met een modern en wendbaar ICT-landschap de dienstverlening verder verbeteren. </w:t>
      </w:r>
    </w:p>
    <w:p w:rsidR="00E24969" w:rsidP="00EF3FEF" w:rsidRDefault="00E24969" w14:paraId="122989B0" w14:textId="77777777"/>
    <w:p w:rsidR="00554E97" w:rsidP="00EF3FEF" w:rsidRDefault="00E24969" w14:paraId="5E93E167" w14:textId="77777777">
      <w:r>
        <w:t>Omdat de hoeveelheid veranderwensen altijd de capaciteit van de Belastingdienst</w:t>
      </w:r>
      <w:r w:rsidRPr="00E734FB" w:rsidR="00E734FB">
        <w:t xml:space="preserve"> </w:t>
      </w:r>
      <w:r w:rsidR="00E734FB">
        <w:t>overstijgt</w:t>
      </w:r>
      <w:r w:rsidR="00844410">
        <w:t>,</w:t>
      </w:r>
      <w:r w:rsidR="00E734FB">
        <w:t xml:space="preserve"> </w:t>
      </w:r>
      <w:r>
        <w:t>moet de Belastingdienst strategische en breed gedragen keuzes blijven maken. Een deel van de ruimte die in de nabije toekomst ontstaat</w:t>
      </w:r>
      <w:r w:rsidR="00844410">
        <w:t>,</w:t>
      </w:r>
      <w:r>
        <w:t xml:space="preserve"> is bijvoorbeeld nodig voor essentiële verbeteringen in de dienstverlening aan burgers en bedrijven</w:t>
      </w:r>
      <w:r w:rsidR="00844410">
        <w:t>,</w:t>
      </w:r>
      <w:r>
        <w:t xml:space="preserve"> en in het toezicht.</w:t>
      </w:r>
    </w:p>
    <w:p w:rsidR="00554E97" w:rsidP="00EF3FEF" w:rsidRDefault="00554E97" w14:paraId="6A3B1CA9" w14:textId="77777777"/>
    <w:p w:rsidR="0039625D" w:rsidP="0039625D" w:rsidRDefault="0039625D" w14:paraId="78C75CFA" w14:textId="77777777">
      <w:r>
        <w:t>Het huidige beeld is</w:t>
      </w:r>
      <w:r w:rsidR="00745914">
        <w:t xml:space="preserve"> </w:t>
      </w:r>
      <w:r>
        <w:t>dat voor de meeste ketens het overgrote deel van het achterstallig onderhoud eind 2026 zal zijn afgerond</w:t>
      </w:r>
      <w:r w:rsidR="00A64E96">
        <w:t xml:space="preserve">, zoals ik u eerder heb </w:t>
      </w:r>
      <w:r w:rsidR="00A64E96">
        <w:lastRenderedPageBreak/>
        <w:t>bericht</w:t>
      </w:r>
      <w:r w:rsidR="00143EF9">
        <w:t>.</w:t>
      </w:r>
      <w:r w:rsidR="00143EF9">
        <w:rPr>
          <w:rStyle w:val="Voetnootmarkering"/>
        </w:rPr>
        <w:footnoteReference w:id="5"/>
      </w:r>
      <w:r>
        <w:t xml:space="preserve"> In enkele ketens</w:t>
      </w:r>
      <w:r w:rsidR="00D853B9">
        <w:t xml:space="preserve"> (Inkomensheffingen, Loonheffing</w:t>
      </w:r>
      <w:r w:rsidR="00844410">
        <w:t>en</w:t>
      </w:r>
      <w:r w:rsidR="00D853B9">
        <w:t xml:space="preserve">, Omzetbelasting en </w:t>
      </w:r>
      <w:proofErr w:type="spellStart"/>
      <w:r w:rsidR="00D853B9">
        <w:t>Innings</w:t>
      </w:r>
      <w:proofErr w:type="spellEnd"/>
      <w:r w:rsidR="00D853B9">
        <w:t xml:space="preserve"> &amp; Betalingsverkeer)</w:t>
      </w:r>
      <w:r>
        <w:t xml:space="preserve"> loopt deze opgave langer door.</w:t>
      </w:r>
      <w:r w:rsidR="00C3632E">
        <w:t xml:space="preserve"> In </w:t>
      </w:r>
      <w:r w:rsidR="001F27AE">
        <w:t xml:space="preserve">bijlage </w:t>
      </w:r>
      <w:r w:rsidR="00554E97">
        <w:t xml:space="preserve">1 </w:t>
      </w:r>
      <w:r w:rsidR="001F27AE">
        <w:t xml:space="preserve">zal ik u nader informeren over het </w:t>
      </w:r>
      <w:proofErr w:type="spellStart"/>
      <w:r w:rsidR="001F27AE">
        <w:t>uitfaseren</w:t>
      </w:r>
      <w:proofErr w:type="spellEnd"/>
      <w:r w:rsidR="001F27AE">
        <w:t xml:space="preserve"> van de verouderde ontwikkelingssoftware </w:t>
      </w:r>
      <w:proofErr w:type="spellStart"/>
      <w:r w:rsidR="001F27AE">
        <w:t>Cool:Gen</w:t>
      </w:r>
      <w:proofErr w:type="spellEnd"/>
      <w:r w:rsidR="00D853B9">
        <w:t xml:space="preserve"> en</w:t>
      </w:r>
      <w:r w:rsidR="00813585">
        <w:t xml:space="preserve"> </w:t>
      </w:r>
      <w:r w:rsidR="0083253E">
        <w:t xml:space="preserve">over </w:t>
      </w:r>
      <w:r w:rsidR="001F27AE">
        <w:t>de voortgang van de aanbesteding van de pakketoplossing voor de keten Omzetbelasting</w:t>
      </w:r>
      <w:r w:rsidR="00B93271">
        <w:t>. Ook informeer ik uw Kamer</w:t>
      </w:r>
      <w:r w:rsidR="00813585">
        <w:t xml:space="preserve"> over de succesvolle modernisering van het ICT-landschap voor de motorrijtuigenbelasting. </w:t>
      </w:r>
    </w:p>
    <w:p w:rsidRPr="00497ACD" w:rsidR="00314E0E" w:rsidRDefault="00314E0E" w14:paraId="1346DE01" w14:textId="77777777">
      <w:pPr>
        <w:rPr>
          <w:i/>
          <w:iCs/>
        </w:rPr>
      </w:pPr>
    </w:p>
    <w:p w:rsidR="00314E0E" w:rsidRDefault="00314E0E" w14:paraId="20BF9785" w14:textId="77777777">
      <w:pPr>
        <w:rPr>
          <w:i/>
          <w:iCs/>
          <w:u w:val="single"/>
        </w:rPr>
      </w:pPr>
      <w:r w:rsidRPr="00D5263E">
        <w:rPr>
          <w:i/>
          <w:iCs/>
          <w:u w:val="single"/>
        </w:rPr>
        <w:t>Personeel</w:t>
      </w:r>
    </w:p>
    <w:p w:rsidRPr="00EE42E8" w:rsidR="00E24969" w:rsidP="00E24969" w:rsidRDefault="009E28CE" w14:paraId="712483E8" w14:textId="77777777">
      <w:r w:rsidRPr="00EE42E8">
        <w:t xml:space="preserve">De Belastingdienst wil een organisatie zijn waar medewerkers trots op zijn en waar medewerkers werken vanuit plezier en vakmanschap. </w:t>
      </w:r>
      <w:r w:rsidRPr="00EE42E8" w:rsidR="00EE42E8">
        <w:t xml:space="preserve">In mijn brief van 11 december 2024 bent u geïnformeerd over de acties die de Belastingdienst </w:t>
      </w:r>
      <w:r w:rsidR="00E24969">
        <w:t>neemt om de personeelsdoelstellingen te realiseren</w:t>
      </w:r>
      <w:r w:rsidRPr="00EE42E8" w:rsidR="00EE42E8">
        <w:t>. In 2024 is het de Belastingdienst gelukt om voldoende personeel te werven</w:t>
      </w:r>
      <w:r w:rsidR="00E24969">
        <w:t xml:space="preserve"> en alle formatieplaatsen te vullen.</w:t>
      </w:r>
      <w:r w:rsidRPr="00EE42E8" w:rsidR="00EE42E8">
        <w:t xml:space="preserve"> Dat onderschrijft dat de Belastingdienst als een aantrekkelijke werkgever wordt gezien. </w:t>
      </w:r>
      <w:r w:rsidRPr="00EE42E8" w:rsidR="00E24969">
        <w:t xml:space="preserve">Uit onderzoek onder medewerkers blijkt dat zij steeds positiever zijn over de Belastingdienst als werkgever. </w:t>
      </w:r>
      <w:r w:rsidR="00E24969">
        <w:t>Ook staat de  Belastingdienst op plek 6 in de lijst van favoriete werkgevers, een stijging van 4 plaatsen ten opzichte van vorig jaar.</w:t>
      </w:r>
      <w:r w:rsidRPr="00E24969" w:rsidR="00E24969">
        <w:t xml:space="preserve"> </w:t>
      </w:r>
    </w:p>
    <w:p w:rsidR="00E24969" w:rsidP="00EE42E8" w:rsidRDefault="00E24969" w14:paraId="20E55D22" w14:textId="77777777"/>
    <w:p w:rsidRPr="00EE42E8" w:rsidR="00EE42E8" w:rsidP="00EE42E8" w:rsidRDefault="00EE42E8" w14:paraId="1A32B2F3" w14:textId="77777777">
      <w:r w:rsidRPr="00EE42E8">
        <w:t>Ondanks de continue</w:t>
      </w:r>
      <w:r w:rsidRPr="00EE42E8">
        <w:rPr>
          <w:b/>
          <w:bCs/>
        </w:rPr>
        <w:t> </w:t>
      </w:r>
      <w:r w:rsidRPr="00EE42E8">
        <w:t>instroom van nieuwe medewerkers blijft het beschikken over voldoende, vakbekwaam en vitaal personeel één van de belangrijkste opgaven voor de Belastingdienst. De komende jaren stromen naar verwachting veel medewerkers uit door het bereiken van de pensioengerechtigde leeftijd</w:t>
      </w:r>
      <w:r>
        <w:t>.</w:t>
      </w:r>
      <w:r>
        <w:rPr>
          <w:rStyle w:val="Voetnootmarkering"/>
        </w:rPr>
        <w:footnoteReference w:id="6"/>
      </w:r>
      <w:r w:rsidRPr="00EE42E8">
        <w:t xml:space="preserve"> Hoewel </w:t>
      </w:r>
      <w:r w:rsidR="00086BF7">
        <w:t>de Belastingdienst</w:t>
      </w:r>
      <w:r w:rsidRPr="00EE42E8">
        <w:t xml:space="preserve"> onverminderd doorgaa</w:t>
      </w:r>
      <w:r w:rsidR="00086BF7">
        <w:t>t</w:t>
      </w:r>
      <w:r w:rsidRPr="00EE42E8">
        <w:t xml:space="preserve"> met het werven van medewerkers, verschuift het zwaartepunt van de inspanningen naar het behoud en het vergroten van de inzetbaarheid van medewerkers. In het Jaarplan 2025 </w:t>
      </w:r>
      <w:r w:rsidR="00471B98">
        <w:t>bent</w:t>
      </w:r>
      <w:r w:rsidR="005305B8">
        <w:t xml:space="preserve"> </w:t>
      </w:r>
      <w:r w:rsidR="00471B98">
        <w:t xml:space="preserve">u </w:t>
      </w:r>
      <w:r w:rsidR="00E24969">
        <w:t>geïnformeerd over de</w:t>
      </w:r>
      <w:r w:rsidR="00471B98">
        <w:t xml:space="preserve"> acties die de Belastingdienst hiervoor neemt</w:t>
      </w:r>
      <w:r w:rsidRPr="00EE42E8">
        <w:t xml:space="preserve">, zoals vernieuwde opleidingsmethoden en een nieuw arbodienstverleningsmodel. </w:t>
      </w:r>
      <w:r w:rsidR="0016657A">
        <w:t xml:space="preserve">Ook is de Belastingdienst gestart met nieuw beleid om het ziekteverzuim, dat nog te hoog is, naar beneden te brengen. </w:t>
      </w:r>
      <w:r w:rsidRPr="00EE42E8">
        <w:t xml:space="preserve">De strategische personeelsplanning </w:t>
      </w:r>
      <w:r w:rsidR="009E28CE">
        <w:t xml:space="preserve">blijft inzicht geven in </w:t>
      </w:r>
      <w:r w:rsidRPr="00EE42E8">
        <w:t>wat de organisatie nodig heeft om in de dienstverlening aan burgers en bedrijven te blijven voorzien.</w:t>
      </w:r>
    </w:p>
    <w:p w:rsidRPr="00EE42E8" w:rsidR="00EE42E8" w:rsidP="00EE42E8" w:rsidRDefault="00EE42E8" w14:paraId="2607E6B3" w14:textId="77777777">
      <w:r w:rsidRPr="00EE42E8">
        <w:t> </w:t>
      </w:r>
    </w:p>
    <w:p w:rsidRPr="00EE42E8" w:rsidR="00EE42E8" w:rsidP="00EE42E8" w:rsidRDefault="00EE42E8" w14:paraId="182A3360" w14:textId="77777777">
      <w:r w:rsidRPr="00EE42E8">
        <w:t>Ik vraag uw Kamer oog te blijven houden voor de personele opgave van de Belastingdienst. </w:t>
      </w:r>
      <w:r w:rsidR="001E6603">
        <w:t>De</w:t>
      </w:r>
      <w:r w:rsidRPr="00EE42E8">
        <w:t xml:space="preserve"> personele bezetting van de Belastingdienst blijft</w:t>
      </w:r>
      <w:r w:rsidR="001E6603">
        <w:t xml:space="preserve"> naar verwachting</w:t>
      </w:r>
      <w:r w:rsidRPr="00EE42E8">
        <w:t xml:space="preserve"> ook in de toekomst onder druk staan</w:t>
      </w:r>
      <w:r w:rsidR="001E6603">
        <w:t>,</w:t>
      </w:r>
      <w:r w:rsidRPr="00EE42E8">
        <w:t xml:space="preserve"> terwijl de opgaven voor de Belastingdienst blijven </w:t>
      </w:r>
      <w:r w:rsidR="001E6603">
        <w:t>toenemen</w:t>
      </w:r>
      <w:r w:rsidRPr="00EE42E8">
        <w:t xml:space="preserve">. Extra werkzaamheden voortkomend uit nieuwe en gewijzigde </w:t>
      </w:r>
      <w:r w:rsidR="001E6603">
        <w:t>(</w:t>
      </w:r>
      <w:proofErr w:type="spellStart"/>
      <w:r w:rsidR="001E6603">
        <w:t>inter</w:t>
      </w:r>
      <w:proofErr w:type="spellEnd"/>
      <w:r w:rsidR="001E6603">
        <w:t xml:space="preserve">)nationale </w:t>
      </w:r>
      <w:r w:rsidRPr="00EE42E8">
        <w:t>wet- en regelgeving</w:t>
      </w:r>
      <w:r w:rsidR="001E6603">
        <w:t xml:space="preserve"> en rechterlijke uitspraken</w:t>
      </w:r>
      <w:r w:rsidRPr="00EE42E8">
        <w:t>, zoals</w:t>
      </w:r>
      <w:r w:rsidR="001E6603">
        <w:t xml:space="preserve"> rond</w:t>
      </w:r>
      <w:r w:rsidRPr="00EE42E8">
        <w:t xml:space="preserve"> box 3</w:t>
      </w:r>
      <w:r w:rsidR="001E6603">
        <w:t xml:space="preserve">, </w:t>
      </w:r>
      <w:r w:rsidRPr="00EE42E8">
        <w:t>het inzagerecht in het fiscaal dossier</w:t>
      </w:r>
      <w:r w:rsidR="001E6603">
        <w:t xml:space="preserve"> en DAC</w:t>
      </w:r>
      <w:r w:rsidRPr="00EE42E8">
        <w:t xml:space="preserve"> </w:t>
      </w:r>
      <w:r w:rsidR="001E6603">
        <w:t>zijn voorbeelden hiervan</w:t>
      </w:r>
      <w:r w:rsidRPr="00EE42E8">
        <w:t>.</w:t>
      </w:r>
    </w:p>
    <w:p w:rsidR="00314E0E" w:rsidRDefault="00314E0E" w14:paraId="2601B541" w14:textId="77777777">
      <w:pPr>
        <w:rPr>
          <w:i/>
          <w:iCs/>
        </w:rPr>
      </w:pPr>
    </w:p>
    <w:p w:rsidR="00314E0E" w:rsidRDefault="00314E0E" w14:paraId="2A934E1D" w14:textId="77777777">
      <w:r w:rsidRPr="00D5263E">
        <w:rPr>
          <w:i/>
          <w:iCs/>
          <w:u w:val="single"/>
        </w:rPr>
        <w:t>Dienstverlening</w:t>
      </w:r>
      <w:r w:rsidR="00524009">
        <w:rPr>
          <w:i/>
          <w:iCs/>
          <w:u w:val="single"/>
        </w:rPr>
        <w:t xml:space="preserve">, </w:t>
      </w:r>
      <w:r w:rsidR="00D84714">
        <w:rPr>
          <w:i/>
          <w:iCs/>
          <w:u w:val="single"/>
        </w:rPr>
        <w:t>toezicht</w:t>
      </w:r>
      <w:r w:rsidR="00524009">
        <w:rPr>
          <w:i/>
          <w:iCs/>
          <w:u w:val="single"/>
        </w:rPr>
        <w:t xml:space="preserve"> en opsporing</w:t>
      </w:r>
    </w:p>
    <w:p w:rsidR="0033742E" w:rsidRDefault="0080056A" w14:paraId="70287DA8" w14:textId="77777777">
      <w:r>
        <w:t xml:space="preserve">De ambitie van de </w:t>
      </w:r>
      <w:r w:rsidR="004022DF">
        <w:t xml:space="preserve">Belastingdienst is om een organisatie te zijn waar burgers en bedrijven vertrouwen in hebben. Daarom zet de Belastingdienst in zijn werk burgers en bedrijven centraal. </w:t>
      </w:r>
      <w:r w:rsidR="0033742E">
        <w:t xml:space="preserve">De dienstverlening wordt voortdurend afgestemd op de behoeften van burgers en bedrijven. </w:t>
      </w:r>
      <w:r w:rsidR="004022DF">
        <w:t xml:space="preserve">Om de ruim tien miljoen </w:t>
      </w:r>
      <w:r w:rsidR="00A25C19">
        <w:t xml:space="preserve">belastingplichtige </w:t>
      </w:r>
      <w:r w:rsidR="004022DF">
        <w:t>burgers en bedrijven goed van dienst te kunnen zijn</w:t>
      </w:r>
      <w:r w:rsidR="00844410">
        <w:t>,</w:t>
      </w:r>
      <w:r w:rsidR="004022DF">
        <w:t xml:space="preserve"> kiest de Belastingdienst voor een zo optimaal mogelijk samenspel van grootschalige </w:t>
      </w:r>
      <w:r w:rsidR="004022DF">
        <w:lastRenderedPageBreak/>
        <w:t xml:space="preserve">geautomatiseerde processen en – waar nodig – op de persoon toegesneden laagdrempelige ondersteuning. </w:t>
      </w:r>
    </w:p>
    <w:p w:rsidR="00E6001E" w:rsidRDefault="00E6001E" w14:paraId="5C698F0A" w14:textId="77777777"/>
    <w:p w:rsidR="00925A2C" w:rsidP="00E6001E" w:rsidRDefault="00E6001E" w14:paraId="58A159F5" w14:textId="77777777">
      <w:r>
        <w:t xml:space="preserve">De campagneboodschap tijdens de aangiftecampagne van 2025 </w:t>
      </w:r>
      <w:r w:rsidR="00C533D8">
        <w:t>luidt daarom als volgt:</w:t>
      </w:r>
      <w:r>
        <w:t xml:space="preserve"> ‘</w:t>
      </w:r>
      <w:r w:rsidRPr="00E6001E">
        <w:t>Doe aangifte op jouw manier. Met of zonder hulp.’</w:t>
      </w:r>
      <w:r>
        <w:t xml:space="preserve"> Want hulp is er voor iedereen; in de buurt, telefonisch </w:t>
      </w:r>
      <w:r w:rsidR="00DE376E">
        <w:t>én</w:t>
      </w:r>
      <w:r>
        <w:t xml:space="preserve"> online. </w:t>
      </w:r>
      <w:r w:rsidR="00C533D8">
        <w:t>De Belastingdienst wil daarmee – naast de groep die extra hulp nodig - ook een bredere groep aanspreken die zich door betere informatieverstrekking meer gesteund voelt bij het doen van aangifte. Naast telefonische hulp, hulp via videobellen en hulp aan de fysieke balies en steunpunten helpt de Belastingdienst burgers ook op laagdrempeligere manieren door bijvoorbeeld hulp online aan te bieden via video’s en animaties.</w:t>
      </w:r>
    </w:p>
    <w:p w:rsidR="0033742E" w:rsidRDefault="0033742E" w14:paraId="4104F85A" w14:textId="77777777"/>
    <w:p w:rsidRPr="007A65D3" w:rsidR="00E6001E" w:rsidP="00E6001E" w:rsidRDefault="00A245BE" w14:paraId="76B86132" w14:textId="77777777">
      <w:r w:rsidRPr="007A65D3">
        <w:t xml:space="preserve">Daarmee </w:t>
      </w:r>
      <w:r w:rsidRPr="007A65D3" w:rsidR="00815D2D">
        <w:t>wordt</w:t>
      </w:r>
      <w:r w:rsidRPr="007A65D3" w:rsidR="00371C4E">
        <w:t xml:space="preserve"> </w:t>
      </w:r>
      <w:r w:rsidRPr="007A65D3">
        <w:t xml:space="preserve">het </w:t>
      </w:r>
      <w:r w:rsidRPr="007A65D3" w:rsidR="00371C4E">
        <w:t xml:space="preserve">voor burgers en bedrijven steeds makkelijker om belastingzaken snel en eenvoudig te regelen. </w:t>
      </w:r>
      <w:r w:rsidRPr="007A65D3" w:rsidR="00815D2D">
        <w:t xml:space="preserve">Zo kunnen burgers </w:t>
      </w:r>
      <w:r w:rsidRPr="007A65D3" w:rsidR="007A4B17">
        <w:t xml:space="preserve">nu ook hun motorrijtuigenbelasting regelen in het digitale portaal </w:t>
      </w:r>
      <w:r w:rsidR="00844410">
        <w:t>‘</w:t>
      </w:r>
      <w:r w:rsidRPr="007A65D3" w:rsidR="007A4B17">
        <w:t>Overzicht betalen en ontvangen</w:t>
      </w:r>
      <w:r w:rsidR="00844410">
        <w:t>’</w:t>
      </w:r>
      <w:r w:rsidRPr="007A65D3" w:rsidR="007A4B17">
        <w:t xml:space="preserve"> en kunnen burgers en bedrijven </w:t>
      </w:r>
      <w:r w:rsidRPr="007A65D3" w:rsidR="00815D2D">
        <w:t xml:space="preserve">in steeds meer gevallen een </w:t>
      </w:r>
      <w:r w:rsidRPr="007A65D3" w:rsidR="00F04F08">
        <w:t xml:space="preserve">openstaand bedrag </w:t>
      </w:r>
      <w:r w:rsidRPr="007A65D3" w:rsidR="00815D2D">
        <w:t xml:space="preserve">direct betalen via </w:t>
      </w:r>
      <w:proofErr w:type="spellStart"/>
      <w:r w:rsidRPr="007A65D3" w:rsidR="00815D2D">
        <w:t>iDeal</w:t>
      </w:r>
      <w:proofErr w:type="spellEnd"/>
      <w:r w:rsidRPr="007A65D3" w:rsidR="00815D2D">
        <w:t xml:space="preserve">. </w:t>
      </w:r>
      <w:r w:rsidRPr="007A65D3" w:rsidR="00371C4E">
        <w:t xml:space="preserve">Voor wie het nodig heeft </w:t>
      </w:r>
      <w:r w:rsidRPr="007A65D3" w:rsidR="00815D2D">
        <w:t>blijft</w:t>
      </w:r>
      <w:r w:rsidRPr="007A65D3" w:rsidR="00371C4E">
        <w:t xml:space="preserve"> extra ondersteuning </w:t>
      </w:r>
      <w:r w:rsidRPr="007A65D3" w:rsidR="00815D2D">
        <w:t xml:space="preserve">altijd </w:t>
      </w:r>
      <w:r w:rsidRPr="007A65D3" w:rsidR="00371C4E">
        <w:t>mogelijk.</w:t>
      </w:r>
      <w:r w:rsidRPr="007A65D3" w:rsidR="0033742E">
        <w:t xml:space="preserve"> </w:t>
      </w:r>
      <w:r w:rsidRPr="007A65D3" w:rsidR="00C533D8">
        <w:t xml:space="preserve">Want naast telefonische hulp via de </w:t>
      </w:r>
      <w:proofErr w:type="spellStart"/>
      <w:r w:rsidRPr="007A65D3" w:rsidR="00C533D8">
        <w:t>Belasting</w:t>
      </w:r>
      <w:r w:rsidR="00DE376E">
        <w:t>T</w:t>
      </w:r>
      <w:r w:rsidRPr="007A65D3" w:rsidR="00C533D8">
        <w:t>elefoon</w:t>
      </w:r>
      <w:proofErr w:type="spellEnd"/>
      <w:r w:rsidRPr="007A65D3" w:rsidR="00C533D8">
        <w:t xml:space="preserve"> kunnen burgers nu op </w:t>
      </w:r>
      <w:r w:rsidRPr="007A65D3" w:rsidR="00371C4E">
        <w:t>3</w:t>
      </w:r>
      <w:r w:rsidRPr="007A65D3" w:rsidR="009B6EC6">
        <w:t>8</w:t>
      </w:r>
      <w:r w:rsidRPr="007A65D3" w:rsidR="00371C4E">
        <w:t xml:space="preserve"> locaties</w:t>
      </w:r>
      <w:r w:rsidRPr="007A65D3" w:rsidR="00815D2D">
        <w:t xml:space="preserve"> in het land</w:t>
      </w:r>
      <w:r w:rsidRPr="007A65D3" w:rsidR="00371C4E">
        <w:t xml:space="preserve"> terecht voor persoonlijke </w:t>
      </w:r>
      <w:r w:rsidRPr="007A65D3" w:rsidR="00815D2D">
        <w:t>ondersteuning</w:t>
      </w:r>
      <w:r w:rsidRPr="007A65D3" w:rsidR="009B6EC6">
        <w:t xml:space="preserve">, waaronder bij een mobiele balie in de vorm van een </w:t>
      </w:r>
      <w:proofErr w:type="spellStart"/>
      <w:r w:rsidRPr="007A65D3" w:rsidR="009B6EC6">
        <w:t>dienstverleningsbus</w:t>
      </w:r>
      <w:proofErr w:type="spellEnd"/>
      <w:r w:rsidRPr="007A65D3" w:rsidR="00815D2D">
        <w:t>.</w:t>
      </w:r>
      <w:r w:rsidRPr="00253C13" w:rsidR="00815D2D">
        <w:rPr>
          <w:rStyle w:val="Verwijzingopmerking"/>
          <w:sz w:val="18"/>
          <w:szCs w:val="18"/>
        </w:rPr>
        <w:t xml:space="preserve"> </w:t>
      </w:r>
      <w:r w:rsidRPr="00253C13" w:rsidR="00E6001E">
        <w:rPr>
          <w:rStyle w:val="Verwijzingopmerking"/>
          <w:sz w:val="18"/>
          <w:szCs w:val="18"/>
        </w:rPr>
        <w:t>Tijdens de aangiftecampagne staat deze bus op 14 verschillende locaties in het land. Belastingdienstmedewerkers</w:t>
      </w:r>
      <w:r w:rsidRPr="007A65D3" w:rsidR="00E6001E">
        <w:t xml:space="preserve"> helpen </w:t>
      </w:r>
      <w:r w:rsidR="00357729">
        <w:t xml:space="preserve">bij de </w:t>
      </w:r>
      <w:proofErr w:type="spellStart"/>
      <w:r w:rsidR="00357729">
        <w:t>dienstverleningsbus</w:t>
      </w:r>
      <w:proofErr w:type="spellEnd"/>
      <w:r w:rsidRPr="007A65D3" w:rsidR="00E6001E">
        <w:t xml:space="preserve"> </w:t>
      </w:r>
      <w:r w:rsidR="00DE376E">
        <w:t>burgers</w:t>
      </w:r>
      <w:r w:rsidRPr="007A65D3" w:rsidR="00E6001E">
        <w:t xml:space="preserve"> met algemene vragen en brengen de mogelijkheden voor hulp bij het doen van de aangifte inkomstenbelasting onder de aandacht.</w:t>
      </w:r>
    </w:p>
    <w:p w:rsidR="00E6001E" w:rsidP="00371C4E" w:rsidRDefault="00E6001E" w14:paraId="1A75A677" w14:textId="77777777">
      <w:pPr>
        <w:rPr>
          <w:rStyle w:val="Verwijzingopmerking"/>
        </w:rPr>
      </w:pPr>
    </w:p>
    <w:p w:rsidR="00817258" w:rsidRDefault="003B7020" w14:paraId="2E7FDAE7" w14:textId="77777777">
      <w:r>
        <w:t xml:space="preserve">De Belastingdienst wil dat burgers en bedrijven </w:t>
      </w:r>
      <w:r w:rsidR="00924084">
        <w:t xml:space="preserve">zoveel mogelijk uit zichzelf hun fiscale verplichtingen nakomen en zet daarbij in </w:t>
      </w:r>
      <w:r w:rsidR="009D1348">
        <w:t xml:space="preserve">op het voorkomen van fouten in een vroeg stadium. </w:t>
      </w:r>
      <w:r w:rsidR="00817258">
        <w:t xml:space="preserve">Het voorkomen van fouten </w:t>
      </w:r>
      <w:r w:rsidR="00D84714">
        <w:t>heeft</w:t>
      </w:r>
      <w:r w:rsidR="007313B1">
        <w:t xml:space="preserve"> namelijk</w:t>
      </w:r>
      <w:r w:rsidR="00D84714">
        <w:t xml:space="preserve"> een groter effect op de naleving dan het achteraf herstellen van fouten. Een aangifte die in één keer goed is scheelt bovendien een hoop extra werk. </w:t>
      </w:r>
      <w:r w:rsidR="00EB1ED9">
        <w:t xml:space="preserve">Niet alleen voor burgers en bedrijven, maar ook voor de Belastingdienst. </w:t>
      </w:r>
    </w:p>
    <w:p w:rsidR="003353A9" w:rsidP="003353A9" w:rsidRDefault="003353A9" w14:paraId="79FDA82E" w14:textId="77777777">
      <w:pPr>
        <w:pStyle w:val="StandaardSlotzin"/>
      </w:pPr>
      <w:r w:rsidRPr="00BA4C51">
        <w:t>De inzet van het totaal aan instrumenten in de dienstverlening, toezicht en</w:t>
      </w:r>
      <w:r>
        <w:t xml:space="preserve"> </w:t>
      </w:r>
      <w:r w:rsidRPr="00BA4C51">
        <w:t>opsporing vormt de handhaving van de Belastingdienst, de</w:t>
      </w:r>
      <w:r>
        <w:t xml:space="preserve"> zogenoemde</w:t>
      </w:r>
      <w:r w:rsidRPr="00BA4C51">
        <w:t xml:space="preserve"> handhavingsmix.</w:t>
      </w:r>
      <w:r>
        <w:t xml:space="preserve"> </w:t>
      </w:r>
      <w:r w:rsidRPr="00433AB4">
        <w:t>De</w:t>
      </w:r>
      <w:r w:rsidR="00283D26">
        <w:t>ze</w:t>
      </w:r>
      <w:r w:rsidRPr="00433AB4">
        <w:t xml:space="preserve"> handhavingsmix is afgestemd op wat er nodig is om de naleving zoveel mogelijk te bevorderen, waarbij dienstverlenende en preventieve maatregelen </w:t>
      </w:r>
      <w:r w:rsidR="001F3F70">
        <w:t xml:space="preserve">altijd </w:t>
      </w:r>
      <w:r w:rsidRPr="00433AB4">
        <w:t>de voorkeur hebben</w:t>
      </w:r>
      <w:r w:rsidRPr="00B06B41">
        <w:t>.</w:t>
      </w:r>
      <w:r>
        <w:t xml:space="preserve"> </w:t>
      </w:r>
      <w:r w:rsidRPr="00EB21F2">
        <w:t>Het aandeel van het toezicht achteraf in de handhavingsmix is een afweging tussen de inzet van de schaarse middelen en het effect op de compliance</w:t>
      </w:r>
      <w:r w:rsidR="00A202C2">
        <w:t>.</w:t>
      </w:r>
    </w:p>
    <w:p w:rsidR="00CA3352" w:rsidP="00CA3352" w:rsidRDefault="00CA3352" w14:paraId="1329EBDE" w14:textId="77777777"/>
    <w:p w:rsidR="009B7BD2" w:rsidRDefault="009B7BD2" w14:paraId="4A4A6091" w14:textId="77777777">
      <w:pPr>
        <w:rPr>
          <w:b/>
          <w:bCs/>
        </w:rPr>
      </w:pPr>
      <w:r>
        <w:rPr>
          <w:b/>
          <w:bCs/>
        </w:rPr>
        <w:t>Prioriteiten, actuele onderwerpen, toezeggingen en moties</w:t>
      </w:r>
    </w:p>
    <w:p w:rsidRPr="00D05E4E" w:rsidR="009B7BD2" w:rsidP="00195826" w:rsidRDefault="009B7BD2" w14:paraId="22676801" w14:textId="77777777">
      <w:r w:rsidRPr="00D05E4E">
        <w:t xml:space="preserve">In bijlage 1 ‘Actuele onderwerpen, moties en toezeggingen’ informeer ik uw Kamer over een aantal </w:t>
      </w:r>
      <w:r w:rsidR="001F3F70">
        <w:t xml:space="preserve">belangrijke </w:t>
      </w:r>
      <w:r w:rsidRPr="00D05E4E">
        <w:t>onderwerpen</w:t>
      </w:r>
      <w:r w:rsidR="006B2C7A">
        <w:t>, waaronder</w:t>
      </w:r>
      <w:r w:rsidRPr="006B2C7A" w:rsidR="006B2C7A">
        <w:t xml:space="preserve"> </w:t>
      </w:r>
      <w:r w:rsidR="006B2C7A">
        <w:t>de laatste stand van zaken met betrekking tot coronabelastingschulden</w:t>
      </w:r>
      <w:r w:rsidR="00AD6DA2">
        <w:t xml:space="preserve"> </w:t>
      </w:r>
      <w:r w:rsidR="006B2C7A">
        <w:t xml:space="preserve">en de voortgang op openstaande moties en toezeggingen. </w:t>
      </w:r>
      <w:r w:rsidRPr="00D05E4E">
        <w:t xml:space="preserve">Deze zijn ingedeeld aan de hand van de vier strategische prioriteiten uit de </w:t>
      </w:r>
      <w:proofErr w:type="spellStart"/>
      <w:r w:rsidRPr="00D05E4E">
        <w:t>Meerjarenstrategie</w:t>
      </w:r>
      <w:proofErr w:type="spellEnd"/>
      <w:r w:rsidRPr="00D05E4E">
        <w:t xml:space="preserve"> Belastingdienst 2025-2030</w:t>
      </w:r>
      <w:r w:rsidRPr="00D05E4E" w:rsidR="00FF7422">
        <w:t xml:space="preserve">: </w:t>
      </w:r>
      <w:bookmarkStart w:name="_Hlk190093664" w:id="1"/>
      <w:r w:rsidRPr="00D05E4E" w:rsidR="00FF7422">
        <w:t>verbinding met de samenleving; de basis op orde brengen én houden; dienstverlening, toezicht en opsporing continu verbeteren; en werken met plezier en vanuit vakmanschap.</w:t>
      </w:r>
      <w:r w:rsidR="006B2C7A">
        <w:t xml:space="preserve"> </w:t>
      </w:r>
      <w:bookmarkEnd w:id="1"/>
    </w:p>
    <w:p w:rsidR="00457AD2" w:rsidP="00A27703" w:rsidRDefault="00457AD2" w14:paraId="740DB338" w14:textId="77777777">
      <w:pPr>
        <w:rPr>
          <w:rFonts w:cstheme="minorHAnsi"/>
        </w:rPr>
      </w:pPr>
      <w:bookmarkStart w:name="_Hlk189733346" w:id="2"/>
    </w:p>
    <w:bookmarkEnd w:id="2"/>
    <w:p w:rsidR="00C27874" w:rsidP="00630843" w:rsidRDefault="00F335D3" w14:paraId="4CA168C6" w14:textId="77777777">
      <w:pPr>
        <w:rPr>
          <w:rFonts w:cs="Arial"/>
          <w:b/>
          <w:bCs/>
        </w:rPr>
      </w:pPr>
      <w:r>
        <w:rPr>
          <w:rFonts w:cs="Arial"/>
          <w:b/>
          <w:bCs/>
        </w:rPr>
        <w:t xml:space="preserve">Overige brieven van de Belastingdienst </w:t>
      </w:r>
    </w:p>
    <w:p w:rsidRPr="006C57BD" w:rsidR="00707830" w:rsidRDefault="00C27874" w14:paraId="673D5077" w14:textId="77777777">
      <w:pPr>
        <w:rPr>
          <w:rFonts w:cs="Arial"/>
        </w:rPr>
      </w:pPr>
      <w:r>
        <w:rPr>
          <w:rFonts w:cs="Arial"/>
        </w:rPr>
        <w:t>Met het oog op het commissiedebat</w:t>
      </w:r>
      <w:r w:rsidR="00283D26">
        <w:rPr>
          <w:rFonts w:cs="Arial"/>
        </w:rPr>
        <w:t xml:space="preserve"> Belastingdienst</w:t>
      </w:r>
      <w:r>
        <w:rPr>
          <w:rFonts w:cs="Arial"/>
        </w:rPr>
        <w:t xml:space="preserve"> breng ik graag </w:t>
      </w:r>
      <w:r w:rsidR="00F464EF">
        <w:rPr>
          <w:rFonts w:cs="Arial"/>
        </w:rPr>
        <w:t xml:space="preserve">onder de aandacht dat uw Kamer voorafgaand aan het commissiedebat twee andere </w:t>
      </w:r>
      <w:r w:rsidR="00F464EF">
        <w:rPr>
          <w:rFonts w:cs="Arial"/>
        </w:rPr>
        <w:lastRenderedPageBreak/>
        <w:t>brieven van mij</w:t>
      </w:r>
      <w:r>
        <w:rPr>
          <w:rFonts w:cs="Arial"/>
        </w:rPr>
        <w:t xml:space="preserve"> </w:t>
      </w:r>
      <w:r w:rsidR="0055098F">
        <w:rPr>
          <w:rFonts w:cs="Arial"/>
        </w:rPr>
        <w:t>ontvangt</w:t>
      </w:r>
      <w:r w:rsidR="00F464EF">
        <w:rPr>
          <w:rFonts w:cs="Arial"/>
        </w:rPr>
        <w:t>.</w:t>
      </w:r>
      <w:r w:rsidR="0055098F">
        <w:rPr>
          <w:rFonts w:cs="Arial"/>
        </w:rPr>
        <w:t xml:space="preserve"> </w:t>
      </w:r>
      <w:r w:rsidR="00F464EF">
        <w:rPr>
          <w:rFonts w:cs="Arial"/>
        </w:rPr>
        <w:t>Dit betreft</w:t>
      </w:r>
      <w:r w:rsidR="0055098F">
        <w:rPr>
          <w:rFonts w:cs="Arial"/>
        </w:rPr>
        <w:t xml:space="preserve"> een </w:t>
      </w:r>
      <w:bookmarkStart w:name="_Hlk190093573" w:id="3"/>
      <w:r w:rsidR="0055098F">
        <w:rPr>
          <w:rFonts w:cs="Arial"/>
        </w:rPr>
        <w:t>Kamerbrief</w:t>
      </w:r>
      <w:r>
        <w:rPr>
          <w:rFonts w:cs="Arial"/>
        </w:rPr>
        <w:t xml:space="preserve"> over het rapport met betrekking tot het gebruik van het Risico Analyse Model (RAM)</w:t>
      </w:r>
      <w:bookmarkEnd w:id="3"/>
      <w:r w:rsidR="00F464EF">
        <w:rPr>
          <w:rFonts w:cs="Arial"/>
        </w:rPr>
        <w:t xml:space="preserve"> en</w:t>
      </w:r>
      <w:r>
        <w:rPr>
          <w:rFonts w:cs="Arial"/>
        </w:rPr>
        <w:t xml:space="preserve"> een Kamerbrief over toezicht bij de Belastingdienst.</w:t>
      </w:r>
    </w:p>
    <w:p w:rsidR="006C57BD" w:rsidRDefault="006C57BD" w14:paraId="3644CB95" w14:textId="77777777">
      <w:pPr>
        <w:rPr>
          <w:b/>
          <w:bCs/>
        </w:rPr>
      </w:pPr>
    </w:p>
    <w:p w:rsidR="00200C73" w:rsidRDefault="008B1EB2" w14:paraId="0842F19E" w14:textId="77777777">
      <w:pPr>
        <w:rPr>
          <w:b/>
          <w:bCs/>
        </w:rPr>
      </w:pPr>
      <w:r>
        <w:rPr>
          <w:b/>
          <w:bCs/>
        </w:rPr>
        <w:t>Tot slot</w:t>
      </w:r>
    </w:p>
    <w:p w:rsidR="00563D46" w:rsidRDefault="008B1EB2" w14:paraId="0B3BEFC0" w14:textId="77777777">
      <w:r>
        <w:t>De Belastingdienst</w:t>
      </w:r>
      <w:r w:rsidR="00200C73">
        <w:t xml:space="preserve"> staat voor een financieel gezond Nederland en voor een organisatie </w:t>
      </w:r>
      <w:r w:rsidR="009615B4">
        <w:t xml:space="preserve">waarop </w:t>
      </w:r>
      <w:r w:rsidR="00200C73">
        <w:t>burgers en bedrijven kunnen vertrouwen</w:t>
      </w:r>
      <w:r w:rsidR="00CD78A8">
        <w:t xml:space="preserve"> en</w:t>
      </w:r>
      <w:r w:rsidR="00E81A52">
        <w:t xml:space="preserve"> waar</w:t>
      </w:r>
      <w:r w:rsidR="00CD78A8">
        <w:t xml:space="preserve"> medewerkers trots op zijn</w:t>
      </w:r>
      <w:r w:rsidR="00200C73">
        <w:t xml:space="preserve">. Het werk van de Belastingdienst is erop gericht om </w:t>
      </w:r>
      <w:r w:rsidR="00BE118D">
        <w:t>eerlijk en zorgvuldig belasting te heffen en te innen. In de afgelopen jaren heeft de Belastingdienst voortgang gerealiseerd</w:t>
      </w:r>
      <w:r w:rsidR="00695967">
        <w:t xml:space="preserve"> op de brede opgaven op het gebied van ICT, personeel en dienstverlening</w:t>
      </w:r>
      <w:r w:rsidR="00BE118D">
        <w:t xml:space="preserve">. </w:t>
      </w:r>
      <w:r w:rsidR="00601C36">
        <w:t>D</w:t>
      </w:r>
      <w:r w:rsidR="00BE118D">
        <w:t xml:space="preserve">e organisatie staat nog steeds voor een aantal </w:t>
      </w:r>
      <w:r w:rsidR="001F3F70">
        <w:t xml:space="preserve">belangrijke </w:t>
      </w:r>
      <w:r w:rsidR="00BE118D">
        <w:t>opdrachten voor de toekomst. Om deze te volbrengen heeft d</w:t>
      </w:r>
      <w:r w:rsidR="00200C73">
        <w:t xml:space="preserve">e Belastingdienst </w:t>
      </w:r>
      <w:r w:rsidR="000A631A">
        <w:t>stabiliteit en continuïteit nodig</w:t>
      </w:r>
      <w:r w:rsidR="00200C73">
        <w:t xml:space="preserve">, zodat de organisatie de basis op orde kan brengen en houden. </w:t>
      </w:r>
      <w:r w:rsidR="009441DB">
        <w:t xml:space="preserve">Ik kijk ernaar uit om hierover met u in gesprek te gaan tijdens het commissiedebat van </w:t>
      </w:r>
      <w:r w:rsidR="00BE17F3">
        <w:t>13 maart</w:t>
      </w:r>
      <w:r w:rsidR="009441DB">
        <w:t>.</w:t>
      </w:r>
    </w:p>
    <w:p w:rsidR="006C57BD" w:rsidRDefault="006C57BD" w14:paraId="156958D1" w14:textId="77777777"/>
    <w:p w:rsidR="00563D46" w:rsidRDefault="00D31840" w14:paraId="05810905" w14:textId="77777777">
      <w:pPr>
        <w:pStyle w:val="StandaardSlotzin"/>
      </w:pPr>
      <w:r>
        <w:t>Hoogachtend,</w:t>
      </w:r>
    </w:p>
    <w:p w:rsidR="00563D46" w:rsidRDefault="00563D46" w14:paraId="4243B60B" w14:textId="77777777"/>
    <w:p w:rsidR="006C57BD" w:rsidP="006C57BD" w:rsidRDefault="006C57BD" w14:paraId="3AABAACC" w14:textId="77777777">
      <w:r>
        <w:t>de staatssecretaris van Financiën -  Fiscaliteit, Belastingdienst en Douane,</w:t>
      </w:r>
      <w:r>
        <w:br/>
      </w:r>
      <w:r>
        <w:br/>
      </w:r>
    </w:p>
    <w:p w:rsidR="006C57BD" w:rsidP="006C57BD" w:rsidRDefault="006C57BD" w14:paraId="66C4360A" w14:textId="77777777"/>
    <w:p w:rsidR="006C57BD" w:rsidP="006C57BD" w:rsidRDefault="006C57BD" w14:paraId="105A06FC" w14:textId="77777777"/>
    <w:p w:rsidR="00563D46" w:rsidP="006C57BD" w:rsidRDefault="006C57BD" w14:paraId="68CAB3DB" w14:textId="77777777">
      <w:pPr>
        <w:pStyle w:val="Verdana7"/>
      </w:pPr>
      <w:r>
        <w:br/>
      </w:r>
      <w:r w:rsidRPr="006C57BD">
        <w:rPr>
          <w:sz w:val="18"/>
          <w:szCs w:val="18"/>
        </w:rPr>
        <w:t>T. van Oostenbruggen</w:t>
      </w:r>
    </w:p>
    <w:sectPr w:rsidR="00563D46">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A55AC" w14:textId="77777777" w:rsidR="00110D2A" w:rsidRDefault="00110D2A">
      <w:pPr>
        <w:spacing w:line="240" w:lineRule="auto"/>
      </w:pPr>
      <w:r>
        <w:separator/>
      </w:r>
    </w:p>
  </w:endnote>
  <w:endnote w:type="continuationSeparator" w:id="0">
    <w:p w14:paraId="0A636DC2" w14:textId="77777777" w:rsidR="00110D2A" w:rsidRDefault="00110D2A">
      <w:pPr>
        <w:spacing w:line="240" w:lineRule="auto"/>
      </w:pPr>
      <w:r>
        <w:continuationSeparator/>
      </w:r>
    </w:p>
  </w:endnote>
  <w:endnote w:type="continuationNotice" w:id="1">
    <w:p w14:paraId="1128112B" w14:textId="77777777" w:rsidR="00110D2A" w:rsidRDefault="00110D2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CA46A" w14:textId="77777777" w:rsidR="00110D2A" w:rsidRDefault="00110D2A">
      <w:pPr>
        <w:spacing w:line="240" w:lineRule="auto"/>
      </w:pPr>
      <w:r>
        <w:separator/>
      </w:r>
    </w:p>
  </w:footnote>
  <w:footnote w:type="continuationSeparator" w:id="0">
    <w:p w14:paraId="41A9592B" w14:textId="77777777" w:rsidR="00110D2A" w:rsidRDefault="00110D2A">
      <w:pPr>
        <w:spacing w:line="240" w:lineRule="auto"/>
      </w:pPr>
      <w:r>
        <w:continuationSeparator/>
      </w:r>
    </w:p>
  </w:footnote>
  <w:footnote w:type="continuationNotice" w:id="1">
    <w:p w14:paraId="49AC9A84" w14:textId="77777777" w:rsidR="00110D2A" w:rsidRDefault="00110D2A">
      <w:pPr>
        <w:spacing w:line="240" w:lineRule="auto"/>
      </w:pPr>
    </w:p>
  </w:footnote>
  <w:footnote w:id="2">
    <w:p w14:paraId="5A1542FE" w14:textId="77777777" w:rsidR="00DD2A8B" w:rsidRPr="00D5263E" w:rsidRDefault="00DD2A8B">
      <w:pPr>
        <w:pStyle w:val="Voetnoottekst"/>
        <w:rPr>
          <w:sz w:val="14"/>
          <w:szCs w:val="14"/>
        </w:rPr>
      </w:pPr>
      <w:r w:rsidRPr="00D5263E">
        <w:rPr>
          <w:rStyle w:val="Voetnootmarkering"/>
          <w:sz w:val="14"/>
          <w:szCs w:val="14"/>
        </w:rPr>
        <w:footnoteRef/>
      </w:r>
      <w:r w:rsidRPr="00D5263E">
        <w:rPr>
          <w:sz w:val="14"/>
          <w:szCs w:val="14"/>
        </w:rPr>
        <w:t xml:space="preserve"> Kamerstukken II 2024/25, 31066, nr. 1446</w:t>
      </w:r>
    </w:p>
  </w:footnote>
  <w:footnote w:id="3">
    <w:p w14:paraId="7CB7ED1A" w14:textId="77777777" w:rsidR="00CC7D09" w:rsidRPr="006946CD" w:rsidRDefault="00CC7D09">
      <w:pPr>
        <w:pStyle w:val="Voetnoottekst"/>
        <w:rPr>
          <w:sz w:val="16"/>
          <w:szCs w:val="16"/>
        </w:rPr>
      </w:pPr>
      <w:r w:rsidRPr="006946CD">
        <w:rPr>
          <w:rStyle w:val="Voetnootmarkering"/>
          <w:sz w:val="14"/>
          <w:szCs w:val="14"/>
        </w:rPr>
        <w:footnoteRef/>
      </w:r>
      <w:r w:rsidRPr="006946CD">
        <w:rPr>
          <w:sz w:val="14"/>
          <w:szCs w:val="14"/>
        </w:rPr>
        <w:t xml:space="preserve"> Zie daarvoor Hoofdstuk </w:t>
      </w:r>
      <w:r w:rsidR="00371C01">
        <w:rPr>
          <w:sz w:val="14"/>
          <w:szCs w:val="14"/>
        </w:rPr>
        <w:t>II,</w:t>
      </w:r>
      <w:r w:rsidRPr="006946CD">
        <w:rPr>
          <w:sz w:val="14"/>
          <w:szCs w:val="14"/>
        </w:rPr>
        <w:t xml:space="preserve"> paragraaf g in bijlage 1</w:t>
      </w:r>
      <w:r w:rsidR="00C97B35" w:rsidRPr="006946CD">
        <w:rPr>
          <w:sz w:val="14"/>
          <w:szCs w:val="14"/>
        </w:rPr>
        <w:t xml:space="preserve"> ‘Actuele onderwerpen, moties en toezeggingen’</w:t>
      </w:r>
    </w:p>
  </w:footnote>
  <w:footnote w:id="4">
    <w:p w14:paraId="370FEEB0" w14:textId="77777777" w:rsidR="00FF35D3" w:rsidRPr="00D5263E" w:rsidRDefault="00FF35D3" w:rsidP="00FF35D3">
      <w:pPr>
        <w:pStyle w:val="Voetnoottekst"/>
        <w:rPr>
          <w:sz w:val="14"/>
          <w:szCs w:val="14"/>
        </w:rPr>
      </w:pPr>
      <w:r w:rsidRPr="00D5263E">
        <w:rPr>
          <w:rStyle w:val="Voetnootmarkering"/>
          <w:sz w:val="14"/>
          <w:szCs w:val="14"/>
        </w:rPr>
        <w:footnoteRef/>
      </w:r>
      <w:r w:rsidRPr="00D5263E">
        <w:rPr>
          <w:sz w:val="14"/>
          <w:szCs w:val="14"/>
        </w:rPr>
        <w:t xml:space="preserve"> Kamerstukken II 2024/25, 32140, nr. 207</w:t>
      </w:r>
    </w:p>
  </w:footnote>
  <w:footnote w:id="5">
    <w:p w14:paraId="7944B3AB" w14:textId="77777777" w:rsidR="009549A0" w:rsidRPr="00EE42E8" w:rsidRDefault="00143EF9">
      <w:pPr>
        <w:pStyle w:val="Voetnoottekst"/>
        <w:rPr>
          <w:sz w:val="14"/>
          <w:szCs w:val="14"/>
        </w:rPr>
      </w:pPr>
      <w:r w:rsidRPr="00D7556E">
        <w:rPr>
          <w:rStyle w:val="Voetnootmarkering"/>
          <w:sz w:val="14"/>
          <w:szCs w:val="14"/>
        </w:rPr>
        <w:footnoteRef/>
      </w:r>
      <w:r w:rsidRPr="00143EF9">
        <w:rPr>
          <w:sz w:val="14"/>
          <w:szCs w:val="14"/>
        </w:rPr>
        <w:t xml:space="preserve"> Voor het laatst in Kamerstukken II, 2024/25, 31066, nr. 1446</w:t>
      </w:r>
    </w:p>
    <w:p w14:paraId="5BADB03D" w14:textId="77777777" w:rsidR="00143EF9" w:rsidRPr="00D7556E" w:rsidRDefault="00D9662C">
      <w:pPr>
        <w:pStyle w:val="Voetnoottekst"/>
        <w:rPr>
          <w:sz w:val="14"/>
          <w:szCs w:val="14"/>
        </w:rPr>
      </w:pPr>
      <w:r w:rsidRPr="00D5263E">
        <w:rPr>
          <w:sz w:val="14"/>
          <w:szCs w:val="14"/>
        </w:rPr>
        <w:t xml:space="preserve"> </w:t>
      </w:r>
      <w:r w:rsidR="009222F1" w:rsidRPr="00EE42E8">
        <w:rPr>
          <w:sz w:val="14"/>
          <w:szCs w:val="14"/>
        </w:rPr>
        <w:t>Kamerstukken II 2024/25, 31066, nr. 1446</w:t>
      </w:r>
    </w:p>
  </w:footnote>
  <w:footnote w:id="6">
    <w:p w14:paraId="314EFD96" w14:textId="77777777" w:rsidR="00EE42E8" w:rsidRPr="00EE42E8" w:rsidRDefault="00EE42E8">
      <w:pPr>
        <w:pStyle w:val="Voetnoottekst"/>
        <w:rPr>
          <w:sz w:val="14"/>
          <w:szCs w:val="14"/>
        </w:rPr>
      </w:pPr>
      <w:r w:rsidRPr="00EE42E8">
        <w:rPr>
          <w:rStyle w:val="Voetnootmarkering"/>
          <w:sz w:val="14"/>
          <w:szCs w:val="14"/>
        </w:rPr>
        <w:footnoteRef/>
      </w:r>
      <w:r w:rsidRPr="00EE42E8">
        <w:rPr>
          <w:sz w:val="14"/>
          <w:szCs w:val="14"/>
        </w:rPr>
        <w:t xml:space="preserve"> In </w:t>
      </w:r>
      <w:r w:rsidR="00D217F9">
        <w:rPr>
          <w:sz w:val="14"/>
          <w:szCs w:val="14"/>
        </w:rPr>
        <w:t xml:space="preserve">hoofdstuk IV van </w:t>
      </w:r>
      <w:r w:rsidR="00D217F9" w:rsidRPr="006946CD">
        <w:rPr>
          <w:sz w:val="14"/>
          <w:szCs w:val="14"/>
        </w:rPr>
        <w:t>bijlage 1 ‘Actuele onderwerpen, moties en toezeggingen’</w:t>
      </w:r>
      <w:r w:rsidR="00D217F9">
        <w:rPr>
          <w:sz w:val="14"/>
          <w:szCs w:val="14"/>
        </w:rPr>
        <w:t xml:space="preserve"> </w:t>
      </w:r>
      <w:r w:rsidRPr="00EE42E8">
        <w:rPr>
          <w:sz w:val="14"/>
          <w:szCs w:val="14"/>
        </w:rPr>
        <w:t xml:space="preserve">is meer informatie opgenomen over personeel, inclusief cijfers over de verwachte uitstroom.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5D527" w14:textId="77777777" w:rsidR="00563D46" w:rsidRDefault="00D31840">
    <w:r>
      <w:rPr>
        <w:noProof/>
      </w:rPr>
      <mc:AlternateContent>
        <mc:Choice Requires="wps">
          <w:drawing>
            <wp:anchor distT="0" distB="0" distL="0" distR="0" simplePos="0" relativeHeight="251658240" behindDoc="0" locked="1" layoutInCell="1" allowOverlap="1" wp14:anchorId="03543DDF" wp14:editId="51D6488A">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DB97421" w14:textId="77777777" w:rsidR="00563D46" w:rsidRDefault="00D31840">
                          <w:pPr>
                            <w:pStyle w:val="StandaardReferentiegegevensKop"/>
                          </w:pPr>
                          <w:r>
                            <w:t>Bestuurlijke en Politieke Zaken</w:t>
                          </w:r>
                        </w:p>
                        <w:p w14:paraId="4EA90BC6" w14:textId="77777777" w:rsidR="00563D46" w:rsidRDefault="00563D46">
                          <w:pPr>
                            <w:pStyle w:val="WitregelW1"/>
                          </w:pPr>
                        </w:p>
                        <w:p w14:paraId="46359973" w14:textId="77777777" w:rsidR="00563D46" w:rsidRDefault="00D31840">
                          <w:pPr>
                            <w:pStyle w:val="StandaardReferentiegegevensKop"/>
                          </w:pPr>
                          <w:r>
                            <w:t>Ons kenmerk</w:t>
                          </w:r>
                        </w:p>
                        <w:p w14:paraId="114CA78C" w14:textId="77777777" w:rsidR="00E34A5D" w:rsidRDefault="0059451E">
                          <w:pPr>
                            <w:pStyle w:val="StandaardReferentiegegevens"/>
                          </w:pPr>
                          <w:r>
                            <w:fldChar w:fldCharType="begin"/>
                          </w:r>
                          <w:r>
                            <w:instrText xml:space="preserve"> DOCPROPERTY  "Kenmerk"  \* MERGEFORMAT </w:instrText>
                          </w:r>
                          <w:r>
                            <w:fldChar w:fldCharType="separate"/>
                          </w:r>
                          <w:r w:rsidR="00344729">
                            <w:t>2025-0000055100</w:t>
                          </w:r>
                          <w:r>
                            <w:fldChar w:fldCharType="end"/>
                          </w:r>
                        </w:p>
                      </w:txbxContent>
                    </wps:txbx>
                    <wps:bodyPr vert="horz" wrap="square" lIns="0" tIns="0" rIns="0" bIns="0" anchor="t" anchorCtr="0"/>
                  </wps:wsp>
                </a:graphicData>
              </a:graphic>
            </wp:anchor>
          </w:drawing>
        </mc:Choice>
        <mc:Fallback>
          <w:pict>
            <v:shapetype w14:anchorId="03543DDF"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DB97421" w14:textId="77777777" w:rsidR="00563D46" w:rsidRDefault="00D31840">
                    <w:pPr>
                      <w:pStyle w:val="StandaardReferentiegegevensKop"/>
                    </w:pPr>
                    <w:r>
                      <w:t>Bestuurlijke en Politieke Zaken</w:t>
                    </w:r>
                  </w:p>
                  <w:p w14:paraId="4EA90BC6" w14:textId="77777777" w:rsidR="00563D46" w:rsidRDefault="00563D46">
                    <w:pPr>
                      <w:pStyle w:val="WitregelW1"/>
                    </w:pPr>
                  </w:p>
                  <w:p w14:paraId="46359973" w14:textId="77777777" w:rsidR="00563D46" w:rsidRDefault="00D31840">
                    <w:pPr>
                      <w:pStyle w:val="StandaardReferentiegegevensKop"/>
                    </w:pPr>
                    <w:r>
                      <w:t>Ons kenmerk</w:t>
                    </w:r>
                  </w:p>
                  <w:p w14:paraId="114CA78C" w14:textId="77777777" w:rsidR="00E34A5D" w:rsidRDefault="0059451E">
                    <w:pPr>
                      <w:pStyle w:val="StandaardReferentiegegevens"/>
                    </w:pPr>
                    <w:r>
                      <w:fldChar w:fldCharType="begin"/>
                    </w:r>
                    <w:r>
                      <w:instrText xml:space="preserve"> DOCPROPERTY  "Kenmerk"  \* MERGEFORMAT </w:instrText>
                    </w:r>
                    <w:r>
                      <w:fldChar w:fldCharType="separate"/>
                    </w:r>
                    <w:r w:rsidR="00344729">
                      <w:t>2025-0000055100</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24A9AD46" wp14:editId="1C690BC8">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D983369" w14:textId="77777777" w:rsidR="00E34A5D" w:rsidRDefault="0059451E">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4A9AD46" id="bd4a94a5-03a6-11ee-8f29-0242ac130005" o:spid="_x0000_s1027" type="#_x0000_t202" style="position:absolute;margin-left:466.2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D983369" w14:textId="77777777" w:rsidR="00E34A5D" w:rsidRDefault="0059451E">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04F5B7B9" wp14:editId="6195F34C">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7B8EAD8F" w14:textId="77777777" w:rsidR="00E34A5D" w:rsidRDefault="0059451E">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4F5B7B9" id="bd5d94d9-03a6-11ee-8f29-0242ac130005" o:spid="_x0000_s1028" type="#_x0000_t202" style="position:absolute;margin-left:79.35pt;margin-top:802.95pt;width:141.7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7B8EAD8F" w14:textId="77777777" w:rsidR="00E34A5D" w:rsidRDefault="0059451E">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40C4" w14:textId="77777777" w:rsidR="00563D46" w:rsidRDefault="00D31840">
    <w:pPr>
      <w:spacing w:after="7029" w:line="14" w:lineRule="exact"/>
    </w:pPr>
    <w:r>
      <w:rPr>
        <w:noProof/>
      </w:rPr>
      <mc:AlternateContent>
        <mc:Choice Requires="wps">
          <w:drawing>
            <wp:anchor distT="0" distB="0" distL="0" distR="0" simplePos="0" relativeHeight="251658243" behindDoc="0" locked="1" layoutInCell="1" allowOverlap="1" wp14:anchorId="50A38233" wp14:editId="2BC6C555">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CB34B6A" w14:textId="77777777" w:rsidR="00563D46" w:rsidRDefault="00D31840">
                          <w:pPr>
                            <w:spacing w:line="240" w:lineRule="auto"/>
                          </w:pPr>
                          <w:r>
                            <w:rPr>
                              <w:noProof/>
                            </w:rPr>
                            <w:drawing>
                              <wp:inline distT="0" distB="0" distL="0" distR="0" wp14:anchorId="65FE6631" wp14:editId="6BA345B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0A38233"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7CB34B6A" w14:textId="77777777" w:rsidR="00563D46" w:rsidRDefault="00D31840">
                    <w:pPr>
                      <w:spacing w:line="240" w:lineRule="auto"/>
                    </w:pPr>
                    <w:r>
                      <w:rPr>
                        <w:noProof/>
                      </w:rPr>
                      <w:drawing>
                        <wp:inline distT="0" distB="0" distL="0" distR="0" wp14:anchorId="65FE6631" wp14:editId="6BA345B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038D0973" wp14:editId="54B043C3">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98AFDF8" w14:textId="77777777" w:rsidR="00F93BF2" w:rsidRDefault="00F93BF2"/>
                      </w:txbxContent>
                    </wps:txbx>
                    <wps:bodyPr vert="horz" wrap="square" lIns="0" tIns="0" rIns="0" bIns="0" anchor="t" anchorCtr="0"/>
                  </wps:wsp>
                </a:graphicData>
              </a:graphic>
            </wp:anchor>
          </w:drawing>
        </mc:Choice>
        <mc:Fallback>
          <w:pict>
            <v:shape w14:anchorId="038D0973" id="bd5d5767-03a6-11ee-8f29-0242ac130005" o:spid="_x0000_s1030" type="#_x0000_t202" style="position:absolute;margin-left:279.2pt;margin-top:0;width:36.85pt;height:105.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798AFDF8" w14:textId="77777777" w:rsidR="00F93BF2" w:rsidRDefault="00F93BF2"/>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09247885" wp14:editId="57303046">
              <wp:simplePos x="0" y="0"/>
              <wp:positionH relativeFrom="page">
                <wp:posOffset>5931535</wp:posOffset>
              </wp:positionH>
              <wp:positionV relativeFrom="page">
                <wp:posOffset>1963420</wp:posOffset>
              </wp:positionV>
              <wp:extent cx="1228090" cy="4468495"/>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4468495"/>
                      </a:xfrm>
                      <a:prstGeom prst="rect">
                        <a:avLst/>
                      </a:prstGeom>
                      <a:noFill/>
                    </wps:spPr>
                    <wps:txbx>
                      <w:txbxContent>
                        <w:p w14:paraId="3A40D5E9" w14:textId="77777777" w:rsidR="00563D46" w:rsidRDefault="00D40A7E">
                          <w:pPr>
                            <w:pStyle w:val="StandaardReferentiegegevensKop"/>
                          </w:pPr>
                          <w:r>
                            <w:t>DG Belastingdienst</w:t>
                          </w:r>
                          <w:r>
                            <w:br/>
                            <w:t>Bestuurlijke en Politieke Zaken</w:t>
                          </w:r>
                        </w:p>
                        <w:p w14:paraId="645B12D3" w14:textId="77777777" w:rsidR="00563D46" w:rsidRDefault="00563D46">
                          <w:pPr>
                            <w:pStyle w:val="WitregelW1"/>
                          </w:pPr>
                        </w:p>
                        <w:p w14:paraId="14EE17EC" w14:textId="77777777" w:rsidR="00563D46" w:rsidRDefault="00D31840">
                          <w:pPr>
                            <w:pStyle w:val="StandaardReferentiegegevens"/>
                          </w:pPr>
                          <w:r>
                            <w:t>Korte Voorhout 7</w:t>
                          </w:r>
                        </w:p>
                        <w:p w14:paraId="0D188876" w14:textId="77777777" w:rsidR="00563D46" w:rsidRDefault="00D31840">
                          <w:pPr>
                            <w:pStyle w:val="StandaardReferentiegegevens"/>
                          </w:pPr>
                          <w:r>
                            <w:t>2511 CW  's-Gravenhage</w:t>
                          </w:r>
                        </w:p>
                        <w:p w14:paraId="0137D48A" w14:textId="77777777" w:rsidR="00563D46" w:rsidRDefault="00D31840">
                          <w:pPr>
                            <w:pStyle w:val="StandaardReferentiegegevens"/>
                          </w:pPr>
                          <w:r>
                            <w:t>POSTBUS 20201</w:t>
                          </w:r>
                        </w:p>
                        <w:p w14:paraId="55E1520D" w14:textId="77777777" w:rsidR="00563D46" w:rsidRPr="00315BA5" w:rsidRDefault="00D31840">
                          <w:pPr>
                            <w:pStyle w:val="StandaardReferentiegegevens"/>
                            <w:rPr>
                              <w:lang w:val="es-ES"/>
                            </w:rPr>
                          </w:pPr>
                          <w:r w:rsidRPr="00315BA5">
                            <w:rPr>
                              <w:lang w:val="es-ES"/>
                            </w:rPr>
                            <w:t>2500 EE  's-</w:t>
                          </w:r>
                          <w:proofErr w:type="spellStart"/>
                          <w:r w:rsidRPr="00315BA5">
                            <w:rPr>
                              <w:lang w:val="es-ES"/>
                            </w:rPr>
                            <w:t>Gravenhage</w:t>
                          </w:r>
                          <w:proofErr w:type="spellEnd"/>
                        </w:p>
                        <w:p w14:paraId="4015A519" w14:textId="77777777" w:rsidR="00563D46" w:rsidRPr="00315BA5" w:rsidRDefault="00D31840">
                          <w:pPr>
                            <w:pStyle w:val="StandaardReferentiegegevens"/>
                            <w:rPr>
                              <w:lang w:val="es-ES"/>
                            </w:rPr>
                          </w:pPr>
                          <w:r w:rsidRPr="00315BA5">
                            <w:rPr>
                              <w:lang w:val="es-ES"/>
                            </w:rPr>
                            <w:t>www.rijksoverheid.nl/fin</w:t>
                          </w:r>
                        </w:p>
                        <w:p w14:paraId="196B965D" w14:textId="77777777" w:rsidR="00563D46" w:rsidRPr="00315BA5" w:rsidRDefault="00563D46">
                          <w:pPr>
                            <w:pStyle w:val="WitregelW2"/>
                            <w:rPr>
                              <w:lang w:val="es-ES"/>
                            </w:rPr>
                          </w:pPr>
                        </w:p>
                        <w:p w14:paraId="4F741EF0" w14:textId="77777777" w:rsidR="00563D46" w:rsidRDefault="00D31840">
                          <w:pPr>
                            <w:pStyle w:val="StandaardReferentiegegevensKop"/>
                          </w:pPr>
                          <w:r>
                            <w:t>Ons kenmerk</w:t>
                          </w:r>
                        </w:p>
                        <w:p w14:paraId="34D3BD06" w14:textId="77777777" w:rsidR="00E34A5D" w:rsidRDefault="0059451E">
                          <w:pPr>
                            <w:pStyle w:val="StandaardReferentiegegevens"/>
                          </w:pPr>
                          <w:r>
                            <w:fldChar w:fldCharType="begin"/>
                          </w:r>
                          <w:r>
                            <w:instrText xml:space="preserve"> DOCPROPERTY  "Kenmerk"  \* MERGEFORMAT </w:instrText>
                          </w:r>
                          <w:r>
                            <w:fldChar w:fldCharType="separate"/>
                          </w:r>
                          <w:r w:rsidR="00344729">
                            <w:t>2025-0000055100</w:t>
                          </w:r>
                          <w:r>
                            <w:fldChar w:fldCharType="end"/>
                          </w:r>
                        </w:p>
                        <w:p w14:paraId="3A074EDF" w14:textId="77777777" w:rsidR="00563D46" w:rsidRDefault="00563D46">
                          <w:pPr>
                            <w:pStyle w:val="WitregelW1"/>
                          </w:pPr>
                        </w:p>
                        <w:p w14:paraId="4569839F" w14:textId="77777777" w:rsidR="00563D46" w:rsidRDefault="00D31840">
                          <w:pPr>
                            <w:pStyle w:val="StandaardReferentiegegevensKop"/>
                          </w:pPr>
                          <w:r>
                            <w:t>Uw brief (kenmerk)</w:t>
                          </w:r>
                        </w:p>
                        <w:p w14:paraId="7BEB56F4" w14:textId="77777777" w:rsidR="00E34A5D" w:rsidRDefault="0059451E">
                          <w:pPr>
                            <w:pStyle w:val="StandaardReferentiegegevens"/>
                          </w:pPr>
                          <w:r>
                            <w:fldChar w:fldCharType="begin"/>
                          </w:r>
                          <w:r>
                            <w:instrText xml:space="preserve"> DOCPROPERTY  "UwKenmerk"  \* MERGEFORMAT </w:instrText>
                          </w:r>
                          <w:r>
                            <w:fldChar w:fldCharType="end"/>
                          </w:r>
                        </w:p>
                        <w:p w14:paraId="0E73D9F0" w14:textId="77777777" w:rsidR="00563D46" w:rsidRDefault="00563D46">
                          <w:pPr>
                            <w:pStyle w:val="WitregelW1"/>
                          </w:pPr>
                        </w:p>
                        <w:p w14:paraId="0D7C7314" w14:textId="77777777" w:rsidR="00563D46" w:rsidRDefault="00D31840" w:rsidP="007311AF">
                          <w:pPr>
                            <w:pStyle w:val="StandaardReferentiegegevensKop"/>
                          </w:pPr>
                          <w:r>
                            <w:t>Bijlagen</w:t>
                          </w:r>
                        </w:p>
                        <w:p w14:paraId="7A578427" w14:textId="77777777" w:rsidR="00563D46" w:rsidRPr="00D5263E" w:rsidRDefault="00D5263E" w:rsidP="00D5263E">
                          <w:pPr>
                            <w:pStyle w:val="StandaardReferentiegegevens"/>
                            <w:rPr>
                              <w:sz w:val="14"/>
                              <w:szCs w:val="14"/>
                            </w:rPr>
                          </w:pPr>
                          <w:r>
                            <w:rPr>
                              <w:sz w:val="14"/>
                              <w:szCs w:val="14"/>
                            </w:rPr>
                            <w:t xml:space="preserve">1. </w:t>
                          </w:r>
                          <w:r w:rsidR="00D31840" w:rsidRPr="00D5263E">
                            <w:rPr>
                              <w:sz w:val="14"/>
                              <w:szCs w:val="14"/>
                            </w:rPr>
                            <w:t>Actuele onderwerpen, moties en toezeggingen</w:t>
                          </w:r>
                        </w:p>
                        <w:p w14:paraId="0A75CDB9" w14:textId="77777777" w:rsidR="00D5263E" w:rsidRPr="00D5263E" w:rsidRDefault="00D5263E" w:rsidP="00D5263E">
                          <w:pPr>
                            <w:rPr>
                              <w:sz w:val="14"/>
                              <w:szCs w:val="14"/>
                            </w:rPr>
                          </w:pPr>
                          <w:r w:rsidRPr="00D5263E">
                            <w:rPr>
                              <w:sz w:val="14"/>
                              <w:szCs w:val="14"/>
                            </w:rPr>
                            <w:t>2. Aanvulling eindrapportage Motie Snels</w:t>
                          </w:r>
                        </w:p>
                        <w:p w14:paraId="6461E7EE" w14:textId="77777777" w:rsidR="00D5263E" w:rsidRPr="00D5263E" w:rsidRDefault="00D5263E" w:rsidP="00D5263E">
                          <w:pPr>
                            <w:rPr>
                              <w:sz w:val="14"/>
                              <w:szCs w:val="14"/>
                            </w:rPr>
                          </w:pPr>
                          <w:bookmarkStart w:id="4" w:name="_Hlk190093751"/>
                          <w:r w:rsidRPr="00D5263E">
                            <w:rPr>
                              <w:sz w:val="14"/>
                              <w:szCs w:val="14"/>
                            </w:rPr>
                            <w:t>3. Adviezen AP</w:t>
                          </w:r>
                        </w:p>
                        <w:p w14:paraId="1B0B785E" w14:textId="77777777" w:rsidR="00D5263E" w:rsidRPr="00D5263E" w:rsidRDefault="00D5263E" w:rsidP="00D5263E">
                          <w:pPr>
                            <w:rPr>
                              <w:sz w:val="14"/>
                              <w:szCs w:val="14"/>
                            </w:rPr>
                          </w:pPr>
                          <w:r w:rsidRPr="00D5263E">
                            <w:rPr>
                              <w:sz w:val="14"/>
                              <w:szCs w:val="14"/>
                            </w:rPr>
                            <w:t>4. Jaarplan 2025 AP</w:t>
                          </w:r>
                        </w:p>
                        <w:p w14:paraId="22157F00" w14:textId="77777777" w:rsidR="007311AF" w:rsidRPr="00D5263E" w:rsidRDefault="00D5263E" w:rsidP="00D5263E">
                          <w:pPr>
                            <w:rPr>
                              <w:sz w:val="14"/>
                              <w:szCs w:val="14"/>
                            </w:rPr>
                          </w:pPr>
                          <w:r w:rsidRPr="00D5263E">
                            <w:rPr>
                              <w:sz w:val="14"/>
                              <w:szCs w:val="14"/>
                            </w:rPr>
                            <w:t xml:space="preserve">5. </w:t>
                          </w:r>
                          <w:r w:rsidR="007311AF" w:rsidRPr="00D5263E">
                            <w:rPr>
                              <w:sz w:val="14"/>
                              <w:szCs w:val="14"/>
                            </w:rPr>
                            <w:t xml:space="preserve">Rapport Adviescommissie Analytics bias- en </w:t>
                          </w:r>
                          <w:proofErr w:type="spellStart"/>
                          <w:r w:rsidR="007311AF" w:rsidRPr="00D5263E">
                            <w:rPr>
                              <w:sz w:val="14"/>
                              <w:szCs w:val="14"/>
                            </w:rPr>
                            <w:t>fairnesstoetsing</w:t>
                          </w:r>
                          <w:proofErr w:type="spellEnd"/>
                        </w:p>
                        <w:p w14:paraId="2DB5D61A" w14:textId="77777777" w:rsidR="007311AF" w:rsidRPr="00D5263E" w:rsidRDefault="00D5263E" w:rsidP="00D5263E">
                          <w:pPr>
                            <w:rPr>
                              <w:sz w:val="14"/>
                              <w:szCs w:val="14"/>
                            </w:rPr>
                          </w:pPr>
                          <w:r w:rsidRPr="00D5263E">
                            <w:rPr>
                              <w:sz w:val="14"/>
                              <w:szCs w:val="14"/>
                            </w:rPr>
                            <w:t>6.</w:t>
                          </w:r>
                          <w:r w:rsidR="007311AF" w:rsidRPr="00D5263E">
                            <w:rPr>
                              <w:sz w:val="14"/>
                              <w:szCs w:val="14"/>
                            </w:rPr>
                            <w:t>Managementreactie</w:t>
                          </w:r>
                        </w:p>
                        <w:p w14:paraId="33E378A4" w14:textId="77777777" w:rsidR="00BE118D" w:rsidRPr="00D5263E" w:rsidRDefault="00D5263E" w:rsidP="00D5263E">
                          <w:pPr>
                            <w:rPr>
                              <w:sz w:val="14"/>
                              <w:szCs w:val="14"/>
                            </w:rPr>
                          </w:pPr>
                          <w:r w:rsidRPr="00D5263E">
                            <w:rPr>
                              <w:sz w:val="14"/>
                              <w:szCs w:val="14"/>
                            </w:rPr>
                            <w:t>7.</w:t>
                          </w:r>
                          <w:r w:rsidR="007311AF" w:rsidRPr="00D5263E">
                            <w:rPr>
                              <w:sz w:val="14"/>
                              <w:szCs w:val="14"/>
                            </w:rPr>
                            <w:t xml:space="preserve">Rapport </w:t>
                          </w:r>
                          <w:proofErr w:type="spellStart"/>
                          <w:r w:rsidR="007311AF" w:rsidRPr="00D5263E">
                            <w:rPr>
                              <w:sz w:val="14"/>
                              <w:szCs w:val="14"/>
                            </w:rPr>
                            <w:t>rulings</w:t>
                          </w:r>
                          <w:proofErr w:type="spellEnd"/>
                          <w:r w:rsidR="007311AF" w:rsidRPr="00D5263E">
                            <w:rPr>
                              <w:sz w:val="14"/>
                              <w:szCs w:val="14"/>
                            </w:rPr>
                            <w:t xml:space="preserve"> met een internationaal karakter</w:t>
                          </w:r>
                        </w:p>
                        <w:bookmarkEnd w:id="4"/>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9247885" id="bd4a91e7-03a6-11ee-8f29-0242ac130005" o:spid="_x0000_s1031" type="#_x0000_t202" style="position:absolute;margin-left:467.05pt;margin-top:154.6pt;width:96.7pt;height:351.85pt;z-index:251658245;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" filled="f" stroked="f">
              <v:textbox inset="0,0,0,0">
                <w:txbxContent>
                  <w:p w14:paraId="3A40D5E9" w14:textId="77777777" w:rsidR="00563D46" w:rsidRDefault="00D40A7E">
                    <w:pPr>
                      <w:pStyle w:val="StandaardReferentiegegevensKop"/>
                    </w:pPr>
                    <w:r>
                      <w:t>DG Belastingdienst</w:t>
                    </w:r>
                    <w:r>
                      <w:br/>
                      <w:t>Bestuurlijke en Politieke Zaken</w:t>
                    </w:r>
                  </w:p>
                  <w:p w14:paraId="645B12D3" w14:textId="77777777" w:rsidR="00563D46" w:rsidRDefault="00563D46">
                    <w:pPr>
                      <w:pStyle w:val="WitregelW1"/>
                    </w:pPr>
                  </w:p>
                  <w:p w14:paraId="14EE17EC" w14:textId="77777777" w:rsidR="00563D46" w:rsidRDefault="00D31840">
                    <w:pPr>
                      <w:pStyle w:val="StandaardReferentiegegevens"/>
                    </w:pPr>
                    <w:r>
                      <w:t>Korte Voorhout 7</w:t>
                    </w:r>
                  </w:p>
                  <w:p w14:paraId="0D188876" w14:textId="77777777" w:rsidR="00563D46" w:rsidRDefault="00D31840">
                    <w:pPr>
                      <w:pStyle w:val="StandaardReferentiegegevens"/>
                    </w:pPr>
                    <w:r>
                      <w:t>2511 CW  's-Gravenhage</w:t>
                    </w:r>
                  </w:p>
                  <w:p w14:paraId="0137D48A" w14:textId="77777777" w:rsidR="00563D46" w:rsidRDefault="00D31840">
                    <w:pPr>
                      <w:pStyle w:val="StandaardReferentiegegevens"/>
                    </w:pPr>
                    <w:r>
                      <w:t>POSTBUS 20201</w:t>
                    </w:r>
                  </w:p>
                  <w:p w14:paraId="55E1520D" w14:textId="77777777" w:rsidR="00563D46" w:rsidRPr="00315BA5" w:rsidRDefault="00D31840">
                    <w:pPr>
                      <w:pStyle w:val="StandaardReferentiegegevens"/>
                      <w:rPr>
                        <w:lang w:val="es-ES"/>
                      </w:rPr>
                    </w:pPr>
                    <w:r w:rsidRPr="00315BA5">
                      <w:rPr>
                        <w:lang w:val="es-ES"/>
                      </w:rPr>
                      <w:t>2500 EE  's-</w:t>
                    </w:r>
                    <w:proofErr w:type="spellStart"/>
                    <w:r w:rsidRPr="00315BA5">
                      <w:rPr>
                        <w:lang w:val="es-ES"/>
                      </w:rPr>
                      <w:t>Gravenhage</w:t>
                    </w:r>
                    <w:proofErr w:type="spellEnd"/>
                  </w:p>
                  <w:p w14:paraId="4015A519" w14:textId="77777777" w:rsidR="00563D46" w:rsidRPr="00315BA5" w:rsidRDefault="00D31840">
                    <w:pPr>
                      <w:pStyle w:val="StandaardReferentiegegevens"/>
                      <w:rPr>
                        <w:lang w:val="es-ES"/>
                      </w:rPr>
                    </w:pPr>
                    <w:r w:rsidRPr="00315BA5">
                      <w:rPr>
                        <w:lang w:val="es-ES"/>
                      </w:rPr>
                      <w:t>www.rijksoverheid.nl/fin</w:t>
                    </w:r>
                  </w:p>
                  <w:p w14:paraId="196B965D" w14:textId="77777777" w:rsidR="00563D46" w:rsidRPr="00315BA5" w:rsidRDefault="00563D46">
                    <w:pPr>
                      <w:pStyle w:val="WitregelW2"/>
                      <w:rPr>
                        <w:lang w:val="es-ES"/>
                      </w:rPr>
                    </w:pPr>
                  </w:p>
                  <w:p w14:paraId="4F741EF0" w14:textId="77777777" w:rsidR="00563D46" w:rsidRDefault="00D31840">
                    <w:pPr>
                      <w:pStyle w:val="StandaardReferentiegegevensKop"/>
                    </w:pPr>
                    <w:r>
                      <w:t>Ons kenmerk</w:t>
                    </w:r>
                  </w:p>
                  <w:p w14:paraId="34D3BD06" w14:textId="77777777" w:rsidR="00E34A5D" w:rsidRDefault="0059451E">
                    <w:pPr>
                      <w:pStyle w:val="StandaardReferentiegegevens"/>
                    </w:pPr>
                    <w:r>
                      <w:fldChar w:fldCharType="begin"/>
                    </w:r>
                    <w:r>
                      <w:instrText xml:space="preserve"> DOCPROPERTY  "Kenmerk"  \* MERGEFORMAT </w:instrText>
                    </w:r>
                    <w:r>
                      <w:fldChar w:fldCharType="separate"/>
                    </w:r>
                    <w:r w:rsidR="00344729">
                      <w:t>2025-0000055100</w:t>
                    </w:r>
                    <w:r>
                      <w:fldChar w:fldCharType="end"/>
                    </w:r>
                  </w:p>
                  <w:p w14:paraId="3A074EDF" w14:textId="77777777" w:rsidR="00563D46" w:rsidRDefault="00563D46">
                    <w:pPr>
                      <w:pStyle w:val="WitregelW1"/>
                    </w:pPr>
                  </w:p>
                  <w:p w14:paraId="4569839F" w14:textId="77777777" w:rsidR="00563D46" w:rsidRDefault="00D31840">
                    <w:pPr>
                      <w:pStyle w:val="StandaardReferentiegegevensKop"/>
                    </w:pPr>
                    <w:r>
                      <w:t>Uw brief (kenmerk)</w:t>
                    </w:r>
                  </w:p>
                  <w:p w14:paraId="7BEB56F4" w14:textId="77777777" w:rsidR="00E34A5D" w:rsidRDefault="0059451E">
                    <w:pPr>
                      <w:pStyle w:val="StandaardReferentiegegevens"/>
                    </w:pPr>
                    <w:r>
                      <w:fldChar w:fldCharType="begin"/>
                    </w:r>
                    <w:r>
                      <w:instrText xml:space="preserve"> DOCPROPERTY  "UwKenmerk"  \* MERGEFORMAT </w:instrText>
                    </w:r>
                    <w:r>
                      <w:fldChar w:fldCharType="end"/>
                    </w:r>
                  </w:p>
                  <w:p w14:paraId="0E73D9F0" w14:textId="77777777" w:rsidR="00563D46" w:rsidRDefault="00563D46">
                    <w:pPr>
                      <w:pStyle w:val="WitregelW1"/>
                    </w:pPr>
                  </w:p>
                  <w:p w14:paraId="0D7C7314" w14:textId="77777777" w:rsidR="00563D46" w:rsidRDefault="00D31840" w:rsidP="007311AF">
                    <w:pPr>
                      <w:pStyle w:val="StandaardReferentiegegevensKop"/>
                    </w:pPr>
                    <w:r>
                      <w:t>Bijlagen</w:t>
                    </w:r>
                  </w:p>
                  <w:p w14:paraId="7A578427" w14:textId="77777777" w:rsidR="00563D46" w:rsidRPr="00D5263E" w:rsidRDefault="00D5263E" w:rsidP="00D5263E">
                    <w:pPr>
                      <w:pStyle w:val="StandaardReferentiegegevens"/>
                      <w:rPr>
                        <w:sz w:val="14"/>
                        <w:szCs w:val="14"/>
                      </w:rPr>
                    </w:pPr>
                    <w:r>
                      <w:rPr>
                        <w:sz w:val="14"/>
                        <w:szCs w:val="14"/>
                      </w:rPr>
                      <w:t xml:space="preserve">1. </w:t>
                    </w:r>
                    <w:r w:rsidR="00D31840" w:rsidRPr="00D5263E">
                      <w:rPr>
                        <w:sz w:val="14"/>
                        <w:szCs w:val="14"/>
                      </w:rPr>
                      <w:t>Actuele onderwerpen, moties en toezeggingen</w:t>
                    </w:r>
                  </w:p>
                  <w:p w14:paraId="0A75CDB9" w14:textId="77777777" w:rsidR="00D5263E" w:rsidRPr="00D5263E" w:rsidRDefault="00D5263E" w:rsidP="00D5263E">
                    <w:pPr>
                      <w:rPr>
                        <w:sz w:val="14"/>
                        <w:szCs w:val="14"/>
                      </w:rPr>
                    </w:pPr>
                    <w:r w:rsidRPr="00D5263E">
                      <w:rPr>
                        <w:sz w:val="14"/>
                        <w:szCs w:val="14"/>
                      </w:rPr>
                      <w:t>2. Aanvulling eindrapportage Motie Snels</w:t>
                    </w:r>
                  </w:p>
                  <w:p w14:paraId="6461E7EE" w14:textId="77777777" w:rsidR="00D5263E" w:rsidRPr="00D5263E" w:rsidRDefault="00D5263E" w:rsidP="00D5263E">
                    <w:pPr>
                      <w:rPr>
                        <w:sz w:val="14"/>
                        <w:szCs w:val="14"/>
                      </w:rPr>
                    </w:pPr>
                    <w:bookmarkStart w:id="5" w:name="_Hlk190093751"/>
                    <w:r w:rsidRPr="00D5263E">
                      <w:rPr>
                        <w:sz w:val="14"/>
                        <w:szCs w:val="14"/>
                      </w:rPr>
                      <w:t>3. Adviezen AP</w:t>
                    </w:r>
                  </w:p>
                  <w:p w14:paraId="1B0B785E" w14:textId="77777777" w:rsidR="00D5263E" w:rsidRPr="00D5263E" w:rsidRDefault="00D5263E" w:rsidP="00D5263E">
                    <w:pPr>
                      <w:rPr>
                        <w:sz w:val="14"/>
                        <w:szCs w:val="14"/>
                      </w:rPr>
                    </w:pPr>
                    <w:r w:rsidRPr="00D5263E">
                      <w:rPr>
                        <w:sz w:val="14"/>
                        <w:szCs w:val="14"/>
                      </w:rPr>
                      <w:t>4. Jaarplan 2025 AP</w:t>
                    </w:r>
                  </w:p>
                  <w:p w14:paraId="22157F00" w14:textId="77777777" w:rsidR="007311AF" w:rsidRPr="00D5263E" w:rsidRDefault="00D5263E" w:rsidP="00D5263E">
                    <w:pPr>
                      <w:rPr>
                        <w:sz w:val="14"/>
                        <w:szCs w:val="14"/>
                      </w:rPr>
                    </w:pPr>
                    <w:r w:rsidRPr="00D5263E">
                      <w:rPr>
                        <w:sz w:val="14"/>
                        <w:szCs w:val="14"/>
                      </w:rPr>
                      <w:t xml:space="preserve">5. </w:t>
                    </w:r>
                    <w:r w:rsidR="007311AF" w:rsidRPr="00D5263E">
                      <w:rPr>
                        <w:sz w:val="14"/>
                        <w:szCs w:val="14"/>
                      </w:rPr>
                      <w:t xml:space="preserve">Rapport Adviescommissie Analytics bias- en </w:t>
                    </w:r>
                    <w:proofErr w:type="spellStart"/>
                    <w:r w:rsidR="007311AF" w:rsidRPr="00D5263E">
                      <w:rPr>
                        <w:sz w:val="14"/>
                        <w:szCs w:val="14"/>
                      </w:rPr>
                      <w:t>fairnesstoetsing</w:t>
                    </w:r>
                    <w:proofErr w:type="spellEnd"/>
                  </w:p>
                  <w:p w14:paraId="2DB5D61A" w14:textId="77777777" w:rsidR="007311AF" w:rsidRPr="00D5263E" w:rsidRDefault="00D5263E" w:rsidP="00D5263E">
                    <w:pPr>
                      <w:rPr>
                        <w:sz w:val="14"/>
                        <w:szCs w:val="14"/>
                      </w:rPr>
                    </w:pPr>
                    <w:r w:rsidRPr="00D5263E">
                      <w:rPr>
                        <w:sz w:val="14"/>
                        <w:szCs w:val="14"/>
                      </w:rPr>
                      <w:t>6.</w:t>
                    </w:r>
                    <w:r w:rsidR="007311AF" w:rsidRPr="00D5263E">
                      <w:rPr>
                        <w:sz w:val="14"/>
                        <w:szCs w:val="14"/>
                      </w:rPr>
                      <w:t>Managementreactie</w:t>
                    </w:r>
                  </w:p>
                  <w:p w14:paraId="33E378A4" w14:textId="77777777" w:rsidR="00BE118D" w:rsidRPr="00D5263E" w:rsidRDefault="00D5263E" w:rsidP="00D5263E">
                    <w:pPr>
                      <w:rPr>
                        <w:sz w:val="14"/>
                        <w:szCs w:val="14"/>
                      </w:rPr>
                    </w:pPr>
                    <w:r w:rsidRPr="00D5263E">
                      <w:rPr>
                        <w:sz w:val="14"/>
                        <w:szCs w:val="14"/>
                      </w:rPr>
                      <w:t>7.</w:t>
                    </w:r>
                    <w:r w:rsidR="007311AF" w:rsidRPr="00D5263E">
                      <w:rPr>
                        <w:sz w:val="14"/>
                        <w:szCs w:val="14"/>
                      </w:rPr>
                      <w:t xml:space="preserve">Rapport </w:t>
                    </w:r>
                    <w:proofErr w:type="spellStart"/>
                    <w:r w:rsidR="007311AF" w:rsidRPr="00D5263E">
                      <w:rPr>
                        <w:sz w:val="14"/>
                        <w:szCs w:val="14"/>
                      </w:rPr>
                      <w:t>rulings</w:t>
                    </w:r>
                    <w:proofErr w:type="spellEnd"/>
                    <w:r w:rsidR="007311AF" w:rsidRPr="00D5263E">
                      <w:rPr>
                        <w:sz w:val="14"/>
                        <w:szCs w:val="14"/>
                      </w:rPr>
                      <w:t xml:space="preserve"> met een internationaal karakter</w:t>
                    </w:r>
                  </w:p>
                  <w:bookmarkEnd w:id="5"/>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6EB8E2D7" wp14:editId="45E34425">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85A2AF8" w14:textId="77777777" w:rsidR="00563D46" w:rsidRDefault="00D31840">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6EB8E2D7" id="bd4a901e-03a6-11ee-8f29-0242ac130005" o:spid="_x0000_s1032" type="#_x0000_t202" style="position:absolute;margin-left:79.35pt;margin-top:133.2pt;width:280.45pt;height:11.2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385A2AF8" w14:textId="77777777" w:rsidR="00563D46" w:rsidRDefault="00D31840">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3ABA2AF7" wp14:editId="130F124F">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1D71EC2D" w14:textId="77777777" w:rsidR="0059451E" w:rsidRDefault="0059451E" w:rsidP="0059451E">
                          <w:r>
                            <w:t>Voorzitter van de Tweede Kamer der Staten-Generaal</w:t>
                          </w:r>
                          <w:r>
                            <w:br/>
                            <w:t>Postbus 20018</w:t>
                          </w:r>
                          <w:r>
                            <w:br/>
                            <w:t>2500 EA  DEN HAAG</w:t>
                          </w:r>
                          <w:r>
                            <w:br/>
                          </w:r>
                        </w:p>
                        <w:p w14:paraId="0F21CD6C" w14:textId="77777777" w:rsidR="00E34A5D" w:rsidRDefault="0059451E">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ABA2AF7" id="bd4a90ba-03a6-11ee-8f29-0242ac130005" o:spid="_x0000_s1033" type="#_x0000_t202" style="position:absolute;margin-left:79.35pt;margin-top:153.05pt;width:329.2pt;height:84.7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1D71EC2D" w14:textId="77777777" w:rsidR="0059451E" w:rsidRDefault="0059451E" w:rsidP="0059451E">
                    <w:r>
                      <w:t>Voorzitter van de Tweede Kamer der Staten-Generaal</w:t>
                    </w:r>
                    <w:r>
                      <w:br/>
                      <w:t>Postbus 20018</w:t>
                    </w:r>
                    <w:r>
                      <w:br/>
                      <w:t>2500 EA  DEN HAAG</w:t>
                    </w:r>
                    <w:r>
                      <w:br/>
                    </w:r>
                  </w:p>
                  <w:p w14:paraId="0F21CD6C" w14:textId="77777777" w:rsidR="00E34A5D" w:rsidRDefault="0059451E">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443E2C9A" wp14:editId="2041E9DD">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6BEEAAC" w14:textId="77777777" w:rsidR="00E34A5D" w:rsidRDefault="0059451E">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43E2C9A" id="bd4a9275-03a6-11ee-8f29-0242ac130005" o:spid="_x0000_s1034" type="#_x0000_t202" style="position:absolute;margin-left:466.25pt;margin-top:805pt;width:99.2pt;height:14.1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06BEEAAC" w14:textId="77777777" w:rsidR="00E34A5D" w:rsidRDefault="0059451E">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1BB57591" wp14:editId="1B6BEA95">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63D46" w14:paraId="712CAD4D" w14:textId="77777777">
                            <w:trPr>
                              <w:trHeight w:val="200"/>
                            </w:trPr>
                            <w:tc>
                              <w:tcPr>
                                <w:tcW w:w="1140" w:type="dxa"/>
                              </w:tcPr>
                              <w:p w14:paraId="03FFD013" w14:textId="77777777" w:rsidR="00563D46" w:rsidRDefault="00563D46"/>
                            </w:tc>
                            <w:tc>
                              <w:tcPr>
                                <w:tcW w:w="5400" w:type="dxa"/>
                              </w:tcPr>
                              <w:p w14:paraId="07DE2B38" w14:textId="77777777" w:rsidR="00563D46" w:rsidRDefault="00563D46"/>
                            </w:tc>
                          </w:tr>
                          <w:tr w:rsidR="00563D46" w14:paraId="5F1DF3D2" w14:textId="77777777">
                            <w:trPr>
                              <w:trHeight w:val="240"/>
                            </w:trPr>
                            <w:tc>
                              <w:tcPr>
                                <w:tcW w:w="1140" w:type="dxa"/>
                              </w:tcPr>
                              <w:p w14:paraId="5A015862" w14:textId="77777777" w:rsidR="00563D46" w:rsidRDefault="00D31840">
                                <w:r>
                                  <w:t>Datum</w:t>
                                </w:r>
                              </w:p>
                            </w:tc>
                            <w:tc>
                              <w:tcPr>
                                <w:tcW w:w="5400" w:type="dxa"/>
                              </w:tcPr>
                              <w:p w14:paraId="00A899B9" w14:textId="4974DC28" w:rsidR="00563D46" w:rsidRDefault="00344729">
                                <w:r>
                                  <w:t>6 maart 2025</w:t>
                                </w:r>
                              </w:p>
                            </w:tc>
                          </w:tr>
                          <w:tr w:rsidR="00563D46" w14:paraId="59E2D2B8" w14:textId="77777777">
                            <w:trPr>
                              <w:trHeight w:val="240"/>
                            </w:trPr>
                            <w:tc>
                              <w:tcPr>
                                <w:tcW w:w="1140" w:type="dxa"/>
                              </w:tcPr>
                              <w:p w14:paraId="1B1FA02D" w14:textId="77777777" w:rsidR="00563D46" w:rsidRDefault="00D31840">
                                <w:r>
                                  <w:t>Betreft</w:t>
                                </w:r>
                              </w:p>
                            </w:tc>
                            <w:tc>
                              <w:tcPr>
                                <w:tcW w:w="5400" w:type="dxa"/>
                              </w:tcPr>
                              <w:p w14:paraId="275097F8" w14:textId="77777777" w:rsidR="00E34A5D" w:rsidRDefault="0059451E">
                                <w:r>
                                  <w:fldChar w:fldCharType="begin"/>
                                </w:r>
                                <w:r>
                                  <w:instrText xml:space="preserve"> DOCPROPERTY  "Onderwerp"  \* MERGEFORMAT </w:instrText>
                                </w:r>
                                <w:r>
                                  <w:fldChar w:fldCharType="separate"/>
                                </w:r>
                                <w:r w:rsidR="00344729">
                                  <w:t>Stand-van-zaken Belastingdienst</w:t>
                                </w:r>
                                <w:r>
                                  <w:fldChar w:fldCharType="end"/>
                                </w:r>
                              </w:p>
                            </w:tc>
                          </w:tr>
                          <w:tr w:rsidR="00563D46" w14:paraId="2F2C3D5E" w14:textId="77777777">
                            <w:trPr>
                              <w:trHeight w:val="200"/>
                            </w:trPr>
                            <w:tc>
                              <w:tcPr>
                                <w:tcW w:w="1140" w:type="dxa"/>
                              </w:tcPr>
                              <w:p w14:paraId="6DBABD93" w14:textId="77777777" w:rsidR="00563D46" w:rsidRDefault="00563D46"/>
                            </w:tc>
                            <w:tc>
                              <w:tcPr>
                                <w:tcW w:w="4738" w:type="dxa"/>
                              </w:tcPr>
                              <w:p w14:paraId="30079D59" w14:textId="77777777" w:rsidR="00563D46" w:rsidRDefault="00563D46"/>
                            </w:tc>
                          </w:tr>
                        </w:tbl>
                        <w:p w14:paraId="4F3B176A" w14:textId="77777777" w:rsidR="00F93BF2" w:rsidRDefault="00F93BF2"/>
                      </w:txbxContent>
                    </wps:txbx>
                    <wps:bodyPr vert="horz" wrap="square" lIns="0" tIns="0" rIns="0" bIns="0" anchor="t" anchorCtr="0"/>
                  </wps:wsp>
                </a:graphicData>
              </a:graphic>
            </wp:anchor>
          </w:drawing>
        </mc:Choice>
        <mc:Fallback>
          <w:pict>
            <v:shape w14:anchorId="1BB57591" id="bd4aaf7a-03a6-11ee-8f29-0242ac130005" o:spid="_x0000_s1035" type="#_x0000_t202" style="position:absolute;margin-left:79.35pt;margin-top:286.25pt;width:323.25pt;height:59.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563D46" w14:paraId="712CAD4D" w14:textId="77777777">
                      <w:trPr>
                        <w:trHeight w:val="200"/>
                      </w:trPr>
                      <w:tc>
                        <w:tcPr>
                          <w:tcW w:w="1140" w:type="dxa"/>
                        </w:tcPr>
                        <w:p w14:paraId="03FFD013" w14:textId="77777777" w:rsidR="00563D46" w:rsidRDefault="00563D46"/>
                      </w:tc>
                      <w:tc>
                        <w:tcPr>
                          <w:tcW w:w="5400" w:type="dxa"/>
                        </w:tcPr>
                        <w:p w14:paraId="07DE2B38" w14:textId="77777777" w:rsidR="00563D46" w:rsidRDefault="00563D46"/>
                      </w:tc>
                    </w:tr>
                    <w:tr w:rsidR="00563D46" w14:paraId="5F1DF3D2" w14:textId="77777777">
                      <w:trPr>
                        <w:trHeight w:val="240"/>
                      </w:trPr>
                      <w:tc>
                        <w:tcPr>
                          <w:tcW w:w="1140" w:type="dxa"/>
                        </w:tcPr>
                        <w:p w14:paraId="5A015862" w14:textId="77777777" w:rsidR="00563D46" w:rsidRDefault="00D31840">
                          <w:r>
                            <w:t>Datum</w:t>
                          </w:r>
                        </w:p>
                      </w:tc>
                      <w:tc>
                        <w:tcPr>
                          <w:tcW w:w="5400" w:type="dxa"/>
                        </w:tcPr>
                        <w:p w14:paraId="00A899B9" w14:textId="4974DC28" w:rsidR="00563D46" w:rsidRDefault="00344729">
                          <w:r>
                            <w:t>6 maart 2025</w:t>
                          </w:r>
                        </w:p>
                      </w:tc>
                    </w:tr>
                    <w:tr w:rsidR="00563D46" w14:paraId="59E2D2B8" w14:textId="77777777">
                      <w:trPr>
                        <w:trHeight w:val="240"/>
                      </w:trPr>
                      <w:tc>
                        <w:tcPr>
                          <w:tcW w:w="1140" w:type="dxa"/>
                        </w:tcPr>
                        <w:p w14:paraId="1B1FA02D" w14:textId="77777777" w:rsidR="00563D46" w:rsidRDefault="00D31840">
                          <w:r>
                            <w:t>Betreft</w:t>
                          </w:r>
                        </w:p>
                      </w:tc>
                      <w:tc>
                        <w:tcPr>
                          <w:tcW w:w="5400" w:type="dxa"/>
                        </w:tcPr>
                        <w:p w14:paraId="275097F8" w14:textId="77777777" w:rsidR="00E34A5D" w:rsidRDefault="0059451E">
                          <w:r>
                            <w:fldChar w:fldCharType="begin"/>
                          </w:r>
                          <w:r>
                            <w:instrText xml:space="preserve"> DOCPROPERTY  "Onderwerp"  \* MERGEFORMAT </w:instrText>
                          </w:r>
                          <w:r>
                            <w:fldChar w:fldCharType="separate"/>
                          </w:r>
                          <w:r w:rsidR="00344729">
                            <w:t>Stand-van-zaken Belastingdienst</w:t>
                          </w:r>
                          <w:r>
                            <w:fldChar w:fldCharType="end"/>
                          </w:r>
                        </w:p>
                      </w:tc>
                    </w:tr>
                    <w:tr w:rsidR="00563D46" w14:paraId="2F2C3D5E" w14:textId="77777777">
                      <w:trPr>
                        <w:trHeight w:val="200"/>
                      </w:trPr>
                      <w:tc>
                        <w:tcPr>
                          <w:tcW w:w="1140" w:type="dxa"/>
                        </w:tcPr>
                        <w:p w14:paraId="6DBABD93" w14:textId="77777777" w:rsidR="00563D46" w:rsidRDefault="00563D46"/>
                      </w:tc>
                      <w:tc>
                        <w:tcPr>
                          <w:tcW w:w="4738" w:type="dxa"/>
                        </w:tcPr>
                        <w:p w14:paraId="30079D59" w14:textId="77777777" w:rsidR="00563D46" w:rsidRDefault="00563D46"/>
                      </w:tc>
                    </w:tr>
                  </w:tbl>
                  <w:p w14:paraId="4F3B176A" w14:textId="77777777" w:rsidR="00F93BF2" w:rsidRDefault="00F93BF2"/>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161324BB" wp14:editId="7774E229">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36AA44D1" w14:textId="77777777" w:rsidR="00E34A5D" w:rsidRDefault="0059451E">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61324BB" id="bd5d814d-03a6-11ee-8f29-0242ac130005" o:spid="_x0000_s1036" type="#_x0000_t202" style="position:absolute;margin-left:79.35pt;margin-top:802.95pt;width:141.75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36AA44D1" w14:textId="77777777" w:rsidR="00E34A5D" w:rsidRDefault="0059451E">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064C45"/>
    <w:multiLevelType w:val="multilevel"/>
    <w:tmpl w:val="ED316961"/>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B8E57DC"/>
    <w:multiLevelType w:val="multilevel"/>
    <w:tmpl w:val="0A7F9A3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AFC9E2B"/>
    <w:multiLevelType w:val="multilevel"/>
    <w:tmpl w:val="AD80D7A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D5FE6519"/>
    <w:multiLevelType w:val="multilevel"/>
    <w:tmpl w:val="8BA551A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F8F79EB"/>
    <w:multiLevelType w:val="hybridMultilevel"/>
    <w:tmpl w:val="F81AA0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7C11446"/>
    <w:multiLevelType w:val="multilevel"/>
    <w:tmpl w:val="CE385016"/>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DA32B5"/>
    <w:multiLevelType w:val="hybridMultilevel"/>
    <w:tmpl w:val="3EC43EF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523EAE75"/>
    <w:multiLevelType w:val="multilevel"/>
    <w:tmpl w:val="CCF08041"/>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522581"/>
    <w:multiLevelType w:val="hybridMultilevel"/>
    <w:tmpl w:val="4912A24C"/>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4DA0364"/>
    <w:multiLevelType w:val="hybridMultilevel"/>
    <w:tmpl w:val="9330327E"/>
    <w:lvl w:ilvl="0" w:tplc="66B222AA">
      <w:start w:val="1"/>
      <w:numFmt w:val="decimal"/>
      <w:lvlText w:val="%1."/>
      <w:lvlJc w:val="left"/>
      <w:pPr>
        <w:ind w:left="1020" w:hanging="360"/>
      </w:pPr>
    </w:lvl>
    <w:lvl w:ilvl="1" w:tplc="435A2784">
      <w:start w:val="1"/>
      <w:numFmt w:val="decimal"/>
      <w:lvlText w:val="%2."/>
      <w:lvlJc w:val="left"/>
      <w:pPr>
        <w:ind w:left="1020" w:hanging="360"/>
      </w:pPr>
    </w:lvl>
    <w:lvl w:ilvl="2" w:tplc="73725F78">
      <w:start w:val="1"/>
      <w:numFmt w:val="decimal"/>
      <w:lvlText w:val="%3."/>
      <w:lvlJc w:val="left"/>
      <w:pPr>
        <w:ind w:left="1020" w:hanging="360"/>
      </w:pPr>
    </w:lvl>
    <w:lvl w:ilvl="3" w:tplc="1AACA944">
      <w:start w:val="1"/>
      <w:numFmt w:val="decimal"/>
      <w:lvlText w:val="%4."/>
      <w:lvlJc w:val="left"/>
      <w:pPr>
        <w:ind w:left="1020" w:hanging="360"/>
      </w:pPr>
    </w:lvl>
    <w:lvl w:ilvl="4" w:tplc="1898C37A">
      <w:start w:val="1"/>
      <w:numFmt w:val="decimal"/>
      <w:lvlText w:val="%5."/>
      <w:lvlJc w:val="left"/>
      <w:pPr>
        <w:ind w:left="1020" w:hanging="360"/>
      </w:pPr>
    </w:lvl>
    <w:lvl w:ilvl="5" w:tplc="BDDC1152">
      <w:start w:val="1"/>
      <w:numFmt w:val="decimal"/>
      <w:lvlText w:val="%6."/>
      <w:lvlJc w:val="left"/>
      <w:pPr>
        <w:ind w:left="1020" w:hanging="360"/>
      </w:pPr>
    </w:lvl>
    <w:lvl w:ilvl="6" w:tplc="EBDE521E">
      <w:start w:val="1"/>
      <w:numFmt w:val="decimal"/>
      <w:lvlText w:val="%7."/>
      <w:lvlJc w:val="left"/>
      <w:pPr>
        <w:ind w:left="1020" w:hanging="360"/>
      </w:pPr>
    </w:lvl>
    <w:lvl w:ilvl="7" w:tplc="CE285168">
      <w:start w:val="1"/>
      <w:numFmt w:val="decimal"/>
      <w:lvlText w:val="%8."/>
      <w:lvlJc w:val="left"/>
      <w:pPr>
        <w:ind w:left="1020" w:hanging="360"/>
      </w:pPr>
    </w:lvl>
    <w:lvl w:ilvl="8" w:tplc="97B6BBF2">
      <w:start w:val="1"/>
      <w:numFmt w:val="decimal"/>
      <w:lvlText w:val="%9."/>
      <w:lvlJc w:val="left"/>
      <w:pPr>
        <w:ind w:left="1020" w:hanging="360"/>
      </w:pPr>
    </w:lvl>
  </w:abstractNum>
  <w:abstractNum w:abstractNumId="10" w15:restartNumberingAfterBreak="0">
    <w:nsid w:val="667F7122"/>
    <w:multiLevelType w:val="hybridMultilevel"/>
    <w:tmpl w:val="82B02DB6"/>
    <w:lvl w:ilvl="0" w:tplc="A448FCF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58875410">
    <w:abstractNumId w:val="5"/>
  </w:num>
  <w:num w:numId="2" w16cid:durableId="1029841075">
    <w:abstractNumId w:val="7"/>
  </w:num>
  <w:num w:numId="3" w16cid:durableId="1376152978">
    <w:abstractNumId w:val="2"/>
  </w:num>
  <w:num w:numId="4" w16cid:durableId="893811532">
    <w:abstractNumId w:val="3"/>
  </w:num>
  <w:num w:numId="5" w16cid:durableId="1423645986">
    <w:abstractNumId w:val="0"/>
  </w:num>
  <w:num w:numId="6" w16cid:durableId="1090585696">
    <w:abstractNumId w:val="1"/>
  </w:num>
  <w:num w:numId="7" w16cid:durableId="1502427666">
    <w:abstractNumId w:val="9"/>
  </w:num>
  <w:num w:numId="8" w16cid:durableId="1279293218">
    <w:abstractNumId w:val="4"/>
  </w:num>
  <w:num w:numId="9" w16cid:durableId="1488130583">
    <w:abstractNumId w:val="6"/>
  </w:num>
  <w:num w:numId="10" w16cid:durableId="1893615049">
    <w:abstractNumId w:val="8"/>
  </w:num>
  <w:num w:numId="11" w16cid:durableId="2019190406">
    <w:abstractNumId w:val="10"/>
  </w:num>
  <w:num w:numId="12" w16cid:durableId="12548505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D46"/>
    <w:rsid w:val="000071BC"/>
    <w:rsid w:val="0000754A"/>
    <w:rsid w:val="0001629D"/>
    <w:rsid w:val="00020515"/>
    <w:rsid w:val="000244D1"/>
    <w:rsid w:val="000259D4"/>
    <w:rsid w:val="0003516D"/>
    <w:rsid w:val="00040314"/>
    <w:rsid w:val="00043150"/>
    <w:rsid w:val="00052F1A"/>
    <w:rsid w:val="00063E61"/>
    <w:rsid w:val="000707A2"/>
    <w:rsid w:val="00077144"/>
    <w:rsid w:val="00086BF7"/>
    <w:rsid w:val="00090F04"/>
    <w:rsid w:val="0009513D"/>
    <w:rsid w:val="000A12B2"/>
    <w:rsid w:val="000A631A"/>
    <w:rsid w:val="000A709E"/>
    <w:rsid w:val="000B5B61"/>
    <w:rsid w:val="000B6406"/>
    <w:rsid w:val="000B7B92"/>
    <w:rsid w:val="000D256F"/>
    <w:rsid w:val="000E1E8E"/>
    <w:rsid w:val="0010393B"/>
    <w:rsid w:val="00107E9E"/>
    <w:rsid w:val="00110158"/>
    <w:rsid w:val="00110AE5"/>
    <w:rsid w:val="00110D2A"/>
    <w:rsid w:val="00114763"/>
    <w:rsid w:val="0012072A"/>
    <w:rsid w:val="001221EF"/>
    <w:rsid w:val="00137B20"/>
    <w:rsid w:val="00143EF9"/>
    <w:rsid w:val="00144401"/>
    <w:rsid w:val="00156361"/>
    <w:rsid w:val="00163203"/>
    <w:rsid w:val="0016657A"/>
    <w:rsid w:val="00167CD9"/>
    <w:rsid w:val="001839F3"/>
    <w:rsid w:val="00185872"/>
    <w:rsid w:val="00195826"/>
    <w:rsid w:val="001C31E8"/>
    <w:rsid w:val="001C5D5B"/>
    <w:rsid w:val="001C6E39"/>
    <w:rsid w:val="001D17DA"/>
    <w:rsid w:val="001D70C7"/>
    <w:rsid w:val="001D72C0"/>
    <w:rsid w:val="001E4669"/>
    <w:rsid w:val="001E6603"/>
    <w:rsid w:val="001F27AE"/>
    <w:rsid w:val="001F3F70"/>
    <w:rsid w:val="001F716D"/>
    <w:rsid w:val="001F776D"/>
    <w:rsid w:val="00200C73"/>
    <w:rsid w:val="00210DF3"/>
    <w:rsid w:val="002134DE"/>
    <w:rsid w:val="00224B94"/>
    <w:rsid w:val="00234744"/>
    <w:rsid w:val="002523DF"/>
    <w:rsid w:val="00253C13"/>
    <w:rsid w:val="00255ECC"/>
    <w:rsid w:val="002639C2"/>
    <w:rsid w:val="00263D56"/>
    <w:rsid w:val="00270B41"/>
    <w:rsid w:val="002725CF"/>
    <w:rsid w:val="002752C8"/>
    <w:rsid w:val="00283D26"/>
    <w:rsid w:val="00284A47"/>
    <w:rsid w:val="00285985"/>
    <w:rsid w:val="00291869"/>
    <w:rsid w:val="002A4E12"/>
    <w:rsid w:val="002B362D"/>
    <w:rsid w:val="002C57BB"/>
    <w:rsid w:val="002C7144"/>
    <w:rsid w:val="002D2CB8"/>
    <w:rsid w:val="002E24A6"/>
    <w:rsid w:val="002E30C9"/>
    <w:rsid w:val="002F0DC2"/>
    <w:rsid w:val="0030324C"/>
    <w:rsid w:val="00304D1A"/>
    <w:rsid w:val="00314E0E"/>
    <w:rsid w:val="00315BA5"/>
    <w:rsid w:val="00316CFA"/>
    <w:rsid w:val="00320563"/>
    <w:rsid w:val="00331C91"/>
    <w:rsid w:val="00332E00"/>
    <w:rsid w:val="00333B99"/>
    <w:rsid w:val="003353A9"/>
    <w:rsid w:val="0033742E"/>
    <w:rsid w:val="003401B5"/>
    <w:rsid w:val="00341D45"/>
    <w:rsid w:val="00344729"/>
    <w:rsid w:val="00353390"/>
    <w:rsid w:val="00357729"/>
    <w:rsid w:val="00360015"/>
    <w:rsid w:val="00361BAD"/>
    <w:rsid w:val="00362CCF"/>
    <w:rsid w:val="00366E38"/>
    <w:rsid w:val="00371C01"/>
    <w:rsid w:val="00371C4E"/>
    <w:rsid w:val="0037444B"/>
    <w:rsid w:val="0038384E"/>
    <w:rsid w:val="00383C74"/>
    <w:rsid w:val="00386F28"/>
    <w:rsid w:val="003939A1"/>
    <w:rsid w:val="0039625D"/>
    <w:rsid w:val="00397CE2"/>
    <w:rsid w:val="003A5F65"/>
    <w:rsid w:val="003A6A1D"/>
    <w:rsid w:val="003B7020"/>
    <w:rsid w:val="003C4878"/>
    <w:rsid w:val="003C578B"/>
    <w:rsid w:val="003D3B7D"/>
    <w:rsid w:val="003E2DA5"/>
    <w:rsid w:val="003E756F"/>
    <w:rsid w:val="003F0425"/>
    <w:rsid w:val="004022DF"/>
    <w:rsid w:val="0040368C"/>
    <w:rsid w:val="00404D07"/>
    <w:rsid w:val="004145D1"/>
    <w:rsid w:val="0042352B"/>
    <w:rsid w:val="00424291"/>
    <w:rsid w:val="0043343E"/>
    <w:rsid w:val="00446A53"/>
    <w:rsid w:val="0045701D"/>
    <w:rsid w:val="00457AD2"/>
    <w:rsid w:val="00470B30"/>
    <w:rsid w:val="00471B98"/>
    <w:rsid w:val="00487C1B"/>
    <w:rsid w:val="0049767E"/>
    <w:rsid w:val="00497ACD"/>
    <w:rsid w:val="004A5977"/>
    <w:rsid w:val="004B05E9"/>
    <w:rsid w:val="004B56FD"/>
    <w:rsid w:val="004B5FA1"/>
    <w:rsid w:val="004C4050"/>
    <w:rsid w:val="004C41E9"/>
    <w:rsid w:val="004D4A64"/>
    <w:rsid w:val="004D6BC1"/>
    <w:rsid w:val="004D7B95"/>
    <w:rsid w:val="004F112D"/>
    <w:rsid w:val="004F2075"/>
    <w:rsid w:val="004F6F21"/>
    <w:rsid w:val="00505833"/>
    <w:rsid w:val="00510C8A"/>
    <w:rsid w:val="00512309"/>
    <w:rsid w:val="00524009"/>
    <w:rsid w:val="005305B8"/>
    <w:rsid w:val="00535F73"/>
    <w:rsid w:val="00537930"/>
    <w:rsid w:val="00540FAB"/>
    <w:rsid w:val="00540FF9"/>
    <w:rsid w:val="00546720"/>
    <w:rsid w:val="0055098F"/>
    <w:rsid w:val="00554E97"/>
    <w:rsid w:val="00563D46"/>
    <w:rsid w:val="0057010A"/>
    <w:rsid w:val="00582F73"/>
    <w:rsid w:val="005861DA"/>
    <w:rsid w:val="0059451E"/>
    <w:rsid w:val="00595D19"/>
    <w:rsid w:val="005A461D"/>
    <w:rsid w:val="005A5E77"/>
    <w:rsid w:val="005B6103"/>
    <w:rsid w:val="005C4CCC"/>
    <w:rsid w:val="005C4FA9"/>
    <w:rsid w:val="005D5BD8"/>
    <w:rsid w:val="005E0B7D"/>
    <w:rsid w:val="005E4749"/>
    <w:rsid w:val="005E697E"/>
    <w:rsid w:val="005E7C27"/>
    <w:rsid w:val="005F5685"/>
    <w:rsid w:val="00601C36"/>
    <w:rsid w:val="00605C98"/>
    <w:rsid w:val="00610F5D"/>
    <w:rsid w:val="00613092"/>
    <w:rsid w:val="00623785"/>
    <w:rsid w:val="00630843"/>
    <w:rsid w:val="006308C7"/>
    <w:rsid w:val="006372B9"/>
    <w:rsid w:val="00656EAA"/>
    <w:rsid w:val="0066047F"/>
    <w:rsid w:val="00660D35"/>
    <w:rsid w:val="00663F50"/>
    <w:rsid w:val="00664745"/>
    <w:rsid w:val="0067260D"/>
    <w:rsid w:val="00675331"/>
    <w:rsid w:val="006779AF"/>
    <w:rsid w:val="006946CD"/>
    <w:rsid w:val="00695967"/>
    <w:rsid w:val="006A487B"/>
    <w:rsid w:val="006B2C7A"/>
    <w:rsid w:val="006B49EF"/>
    <w:rsid w:val="006B5B30"/>
    <w:rsid w:val="006C2979"/>
    <w:rsid w:val="006C3B43"/>
    <w:rsid w:val="006C4D4F"/>
    <w:rsid w:val="006C57BD"/>
    <w:rsid w:val="006E3636"/>
    <w:rsid w:val="00706454"/>
    <w:rsid w:val="007070B0"/>
    <w:rsid w:val="00707830"/>
    <w:rsid w:val="00712ED4"/>
    <w:rsid w:val="00713E8D"/>
    <w:rsid w:val="007311AF"/>
    <w:rsid w:val="007313B1"/>
    <w:rsid w:val="00733978"/>
    <w:rsid w:val="0073420D"/>
    <w:rsid w:val="00736032"/>
    <w:rsid w:val="007365A3"/>
    <w:rsid w:val="007426BD"/>
    <w:rsid w:val="00745914"/>
    <w:rsid w:val="007569EB"/>
    <w:rsid w:val="00774FF3"/>
    <w:rsid w:val="00786F38"/>
    <w:rsid w:val="00787E11"/>
    <w:rsid w:val="007A4B17"/>
    <w:rsid w:val="007A65D3"/>
    <w:rsid w:val="007A75C2"/>
    <w:rsid w:val="007B689C"/>
    <w:rsid w:val="007C6B32"/>
    <w:rsid w:val="007D5545"/>
    <w:rsid w:val="007D61EB"/>
    <w:rsid w:val="007E46F8"/>
    <w:rsid w:val="007E6DC0"/>
    <w:rsid w:val="007E7DFF"/>
    <w:rsid w:val="007F2973"/>
    <w:rsid w:val="0080056A"/>
    <w:rsid w:val="00802EBA"/>
    <w:rsid w:val="008036E9"/>
    <w:rsid w:val="008044AD"/>
    <w:rsid w:val="008044EC"/>
    <w:rsid w:val="00806694"/>
    <w:rsid w:val="00807B63"/>
    <w:rsid w:val="00813585"/>
    <w:rsid w:val="00815A05"/>
    <w:rsid w:val="00815D2D"/>
    <w:rsid w:val="00817258"/>
    <w:rsid w:val="00821758"/>
    <w:rsid w:val="00825669"/>
    <w:rsid w:val="0083253E"/>
    <w:rsid w:val="0083286E"/>
    <w:rsid w:val="00844410"/>
    <w:rsid w:val="008530EE"/>
    <w:rsid w:val="0085716B"/>
    <w:rsid w:val="00865088"/>
    <w:rsid w:val="00870A93"/>
    <w:rsid w:val="0087162B"/>
    <w:rsid w:val="00871936"/>
    <w:rsid w:val="008763F9"/>
    <w:rsid w:val="0088726D"/>
    <w:rsid w:val="00896A4D"/>
    <w:rsid w:val="008A373B"/>
    <w:rsid w:val="008A70A0"/>
    <w:rsid w:val="008B1EB2"/>
    <w:rsid w:val="008C45EB"/>
    <w:rsid w:val="008C71B7"/>
    <w:rsid w:val="008D0C2F"/>
    <w:rsid w:val="008D58B4"/>
    <w:rsid w:val="008E0207"/>
    <w:rsid w:val="008E161F"/>
    <w:rsid w:val="008E5258"/>
    <w:rsid w:val="008F01A7"/>
    <w:rsid w:val="008F57AC"/>
    <w:rsid w:val="008F5D00"/>
    <w:rsid w:val="00904F95"/>
    <w:rsid w:val="00915043"/>
    <w:rsid w:val="009208CC"/>
    <w:rsid w:val="009222F1"/>
    <w:rsid w:val="00922AE3"/>
    <w:rsid w:val="00924084"/>
    <w:rsid w:val="00925A2C"/>
    <w:rsid w:val="009378DD"/>
    <w:rsid w:val="00940418"/>
    <w:rsid w:val="009441DB"/>
    <w:rsid w:val="009448A1"/>
    <w:rsid w:val="00947750"/>
    <w:rsid w:val="009549A0"/>
    <w:rsid w:val="009615B4"/>
    <w:rsid w:val="009622AF"/>
    <w:rsid w:val="00964714"/>
    <w:rsid w:val="0097035C"/>
    <w:rsid w:val="00970659"/>
    <w:rsid w:val="00981140"/>
    <w:rsid w:val="00995099"/>
    <w:rsid w:val="00995F6A"/>
    <w:rsid w:val="009972D9"/>
    <w:rsid w:val="009B49EA"/>
    <w:rsid w:val="009B6EC6"/>
    <w:rsid w:val="009B7BD2"/>
    <w:rsid w:val="009C142D"/>
    <w:rsid w:val="009C68F8"/>
    <w:rsid w:val="009C78CB"/>
    <w:rsid w:val="009D1348"/>
    <w:rsid w:val="009D46B4"/>
    <w:rsid w:val="009E28CE"/>
    <w:rsid w:val="009E7F0A"/>
    <w:rsid w:val="009F1B61"/>
    <w:rsid w:val="00A021AA"/>
    <w:rsid w:val="00A11BEF"/>
    <w:rsid w:val="00A123D4"/>
    <w:rsid w:val="00A202C2"/>
    <w:rsid w:val="00A245BE"/>
    <w:rsid w:val="00A25C19"/>
    <w:rsid w:val="00A27703"/>
    <w:rsid w:val="00A310A6"/>
    <w:rsid w:val="00A4499C"/>
    <w:rsid w:val="00A60B22"/>
    <w:rsid w:val="00A64E96"/>
    <w:rsid w:val="00A66A9D"/>
    <w:rsid w:val="00A67955"/>
    <w:rsid w:val="00A679F2"/>
    <w:rsid w:val="00A824B5"/>
    <w:rsid w:val="00A82750"/>
    <w:rsid w:val="00A870E3"/>
    <w:rsid w:val="00A90B54"/>
    <w:rsid w:val="00AB2EF9"/>
    <w:rsid w:val="00AC4A51"/>
    <w:rsid w:val="00AC6F8F"/>
    <w:rsid w:val="00AD6DA2"/>
    <w:rsid w:val="00AD757E"/>
    <w:rsid w:val="00AE1C9F"/>
    <w:rsid w:val="00AE4A1D"/>
    <w:rsid w:val="00AE4A50"/>
    <w:rsid w:val="00AF3EF3"/>
    <w:rsid w:val="00AF67E7"/>
    <w:rsid w:val="00B00472"/>
    <w:rsid w:val="00B12260"/>
    <w:rsid w:val="00B16E40"/>
    <w:rsid w:val="00B533A1"/>
    <w:rsid w:val="00B6098B"/>
    <w:rsid w:val="00B61536"/>
    <w:rsid w:val="00B635DB"/>
    <w:rsid w:val="00B707F3"/>
    <w:rsid w:val="00B93271"/>
    <w:rsid w:val="00BA2376"/>
    <w:rsid w:val="00BA3940"/>
    <w:rsid w:val="00BA4C51"/>
    <w:rsid w:val="00BA71D7"/>
    <w:rsid w:val="00BB13D3"/>
    <w:rsid w:val="00BB2D55"/>
    <w:rsid w:val="00BB4D9B"/>
    <w:rsid w:val="00BD4AA5"/>
    <w:rsid w:val="00BD6534"/>
    <w:rsid w:val="00BD7AE6"/>
    <w:rsid w:val="00BD7B79"/>
    <w:rsid w:val="00BE118D"/>
    <w:rsid w:val="00BE17F3"/>
    <w:rsid w:val="00BF4F92"/>
    <w:rsid w:val="00C12232"/>
    <w:rsid w:val="00C22EAF"/>
    <w:rsid w:val="00C27874"/>
    <w:rsid w:val="00C3571B"/>
    <w:rsid w:val="00C3632E"/>
    <w:rsid w:val="00C37841"/>
    <w:rsid w:val="00C533D8"/>
    <w:rsid w:val="00C64FDD"/>
    <w:rsid w:val="00C64FF9"/>
    <w:rsid w:val="00C67F2F"/>
    <w:rsid w:val="00C71B4C"/>
    <w:rsid w:val="00C724D6"/>
    <w:rsid w:val="00C9464B"/>
    <w:rsid w:val="00C97B35"/>
    <w:rsid w:val="00CA1352"/>
    <w:rsid w:val="00CA32C2"/>
    <w:rsid w:val="00CA3352"/>
    <w:rsid w:val="00CC7D09"/>
    <w:rsid w:val="00CD1FBB"/>
    <w:rsid w:val="00CD78A8"/>
    <w:rsid w:val="00CE5370"/>
    <w:rsid w:val="00CF6845"/>
    <w:rsid w:val="00D036E5"/>
    <w:rsid w:val="00D05E4E"/>
    <w:rsid w:val="00D204EB"/>
    <w:rsid w:val="00D217F9"/>
    <w:rsid w:val="00D276DF"/>
    <w:rsid w:val="00D31840"/>
    <w:rsid w:val="00D40A7E"/>
    <w:rsid w:val="00D509E3"/>
    <w:rsid w:val="00D519CB"/>
    <w:rsid w:val="00D5263E"/>
    <w:rsid w:val="00D52F0D"/>
    <w:rsid w:val="00D6653D"/>
    <w:rsid w:val="00D7556E"/>
    <w:rsid w:val="00D84714"/>
    <w:rsid w:val="00D853B9"/>
    <w:rsid w:val="00D92930"/>
    <w:rsid w:val="00D9662C"/>
    <w:rsid w:val="00DA7D51"/>
    <w:rsid w:val="00DB056B"/>
    <w:rsid w:val="00DB79BB"/>
    <w:rsid w:val="00DD2A8B"/>
    <w:rsid w:val="00DD5E49"/>
    <w:rsid w:val="00DE03C3"/>
    <w:rsid w:val="00DE1015"/>
    <w:rsid w:val="00DE376E"/>
    <w:rsid w:val="00DF6CA7"/>
    <w:rsid w:val="00E007E7"/>
    <w:rsid w:val="00E03599"/>
    <w:rsid w:val="00E05C2F"/>
    <w:rsid w:val="00E0733E"/>
    <w:rsid w:val="00E144A0"/>
    <w:rsid w:val="00E24969"/>
    <w:rsid w:val="00E34A5D"/>
    <w:rsid w:val="00E51D6E"/>
    <w:rsid w:val="00E6001E"/>
    <w:rsid w:val="00E734FB"/>
    <w:rsid w:val="00E81A52"/>
    <w:rsid w:val="00E953BD"/>
    <w:rsid w:val="00EA03B3"/>
    <w:rsid w:val="00EA7C64"/>
    <w:rsid w:val="00EB1ED9"/>
    <w:rsid w:val="00EB2842"/>
    <w:rsid w:val="00EB3084"/>
    <w:rsid w:val="00EB378F"/>
    <w:rsid w:val="00EB4EC9"/>
    <w:rsid w:val="00EC0A67"/>
    <w:rsid w:val="00EC1FBE"/>
    <w:rsid w:val="00EC22A5"/>
    <w:rsid w:val="00EC73FE"/>
    <w:rsid w:val="00EC7CD0"/>
    <w:rsid w:val="00EE42E8"/>
    <w:rsid w:val="00EE7B65"/>
    <w:rsid w:val="00EF1EC8"/>
    <w:rsid w:val="00EF3FEF"/>
    <w:rsid w:val="00F04F08"/>
    <w:rsid w:val="00F0668F"/>
    <w:rsid w:val="00F126F8"/>
    <w:rsid w:val="00F1400C"/>
    <w:rsid w:val="00F335D3"/>
    <w:rsid w:val="00F464EF"/>
    <w:rsid w:val="00F52295"/>
    <w:rsid w:val="00F56D07"/>
    <w:rsid w:val="00F91275"/>
    <w:rsid w:val="00F93BF2"/>
    <w:rsid w:val="00F9448C"/>
    <w:rsid w:val="00F94FB2"/>
    <w:rsid w:val="00FA07F8"/>
    <w:rsid w:val="00FA7DFE"/>
    <w:rsid w:val="00FB77B4"/>
    <w:rsid w:val="00FB7E58"/>
    <w:rsid w:val="00FC6E65"/>
    <w:rsid w:val="00FC7089"/>
    <w:rsid w:val="00FD6F47"/>
    <w:rsid w:val="00FE264D"/>
    <w:rsid w:val="00FE7394"/>
    <w:rsid w:val="00FE7595"/>
    <w:rsid w:val="00FF35D3"/>
    <w:rsid w:val="00FF74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9DA2D"/>
  <w15:docId w15:val="{E0146BAA-AC2F-4C53-AA57-F013F0319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95F6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95F6A"/>
    <w:rPr>
      <w:rFonts w:ascii="Verdana" w:hAnsi="Verdana"/>
      <w:color w:val="000000"/>
      <w:sz w:val="18"/>
      <w:szCs w:val="18"/>
    </w:rPr>
  </w:style>
  <w:style w:type="paragraph" w:styleId="Voettekst">
    <w:name w:val="footer"/>
    <w:basedOn w:val="Standaard"/>
    <w:link w:val="VoettekstChar"/>
    <w:uiPriority w:val="99"/>
    <w:unhideWhenUsed/>
    <w:rsid w:val="00995F6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95F6A"/>
    <w:rPr>
      <w:rFonts w:ascii="Verdana" w:hAnsi="Verdana"/>
      <w:color w:val="000000"/>
      <w:sz w:val="18"/>
      <w:szCs w:val="18"/>
    </w:rPr>
  </w:style>
  <w:style w:type="paragraph" w:styleId="Voetnoottekst">
    <w:name w:val="footnote text"/>
    <w:basedOn w:val="Standaard"/>
    <w:link w:val="VoetnoottekstChar"/>
    <w:uiPriority w:val="99"/>
    <w:semiHidden/>
    <w:unhideWhenUsed/>
    <w:rsid w:val="008B1EB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B1EB2"/>
    <w:rPr>
      <w:rFonts w:ascii="Verdana" w:hAnsi="Verdana"/>
      <w:color w:val="000000"/>
    </w:rPr>
  </w:style>
  <w:style w:type="character" w:styleId="Voetnootmarkering">
    <w:name w:val="footnote reference"/>
    <w:basedOn w:val="Standaardalinea-lettertype"/>
    <w:uiPriority w:val="99"/>
    <w:semiHidden/>
    <w:unhideWhenUsed/>
    <w:rsid w:val="008B1EB2"/>
    <w:rPr>
      <w:vertAlign w:val="superscript"/>
    </w:rPr>
  </w:style>
  <w:style w:type="character" w:styleId="Verwijzingopmerking">
    <w:name w:val="annotation reference"/>
    <w:basedOn w:val="Standaardalinea-lettertype"/>
    <w:uiPriority w:val="99"/>
    <w:semiHidden/>
    <w:unhideWhenUsed/>
    <w:rsid w:val="00315BA5"/>
    <w:rPr>
      <w:sz w:val="16"/>
      <w:szCs w:val="16"/>
    </w:rPr>
  </w:style>
  <w:style w:type="paragraph" w:styleId="Tekstopmerking">
    <w:name w:val="annotation text"/>
    <w:basedOn w:val="Standaard"/>
    <w:link w:val="TekstopmerkingChar"/>
    <w:uiPriority w:val="99"/>
    <w:unhideWhenUsed/>
    <w:rsid w:val="00315BA5"/>
    <w:pPr>
      <w:spacing w:line="240" w:lineRule="auto"/>
    </w:pPr>
    <w:rPr>
      <w:sz w:val="20"/>
      <w:szCs w:val="20"/>
    </w:rPr>
  </w:style>
  <w:style w:type="character" w:customStyle="1" w:styleId="TekstopmerkingChar">
    <w:name w:val="Tekst opmerking Char"/>
    <w:basedOn w:val="Standaardalinea-lettertype"/>
    <w:link w:val="Tekstopmerking"/>
    <w:uiPriority w:val="99"/>
    <w:rsid w:val="00315BA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15BA5"/>
    <w:rPr>
      <w:b/>
      <w:bCs/>
    </w:rPr>
  </w:style>
  <w:style w:type="character" w:customStyle="1" w:styleId="OnderwerpvanopmerkingChar">
    <w:name w:val="Onderwerp van opmerking Char"/>
    <w:basedOn w:val="TekstopmerkingChar"/>
    <w:link w:val="Onderwerpvanopmerking"/>
    <w:uiPriority w:val="99"/>
    <w:semiHidden/>
    <w:rsid w:val="00315BA5"/>
    <w:rPr>
      <w:rFonts w:ascii="Verdana" w:hAnsi="Verdana"/>
      <w:b/>
      <w:bCs/>
      <w:color w:val="000000"/>
    </w:rPr>
  </w:style>
  <w:style w:type="paragraph" w:styleId="Revisie">
    <w:name w:val="Revision"/>
    <w:hidden/>
    <w:uiPriority w:val="99"/>
    <w:semiHidden/>
    <w:rsid w:val="00EC22A5"/>
    <w:pPr>
      <w:autoSpaceDN/>
      <w:textAlignment w:val="auto"/>
    </w:pPr>
    <w:rPr>
      <w:rFonts w:ascii="Verdana" w:hAnsi="Verdana"/>
      <w:color w:val="000000"/>
      <w:sz w:val="18"/>
      <w:szCs w:val="18"/>
    </w:rPr>
  </w:style>
  <w:style w:type="paragraph" w:styleId="Normaalweb">
    <w:name w:val="Normal (Web)"/>
    <w:basedOn w:val="Standaard"/>
    <w:uiPriority w:val="99"/>
    <w:semiHidden/>
    <w:unhideWhenUsed/>
    <w:rsid w:val="00540FF9"/>
    <w:rPr>
      <w:rFonts w:ascii="Times New Roman" w:hAnsi="Times New Roman" w:cs="Times New Roman"/>
      <w:sz w:val="24"/>
      <w:szCs w:val="24"/>
    </w:rPr>
  </w:style>
  <w:style w:type="paragraph" w:styleId="Lijstalinea">
    <w:name w:val="List Paragraph"/>
    <w:basedOn w:val="Standaard"/>
    <w:uiPriority w:val="34"/>
    <w:qFormat/>
    <w:rsid w:val="00630843"/>
    <w:pPr>
      <w:autoSpaceDN/>
      <w:spacing w:line="240"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character" w:customStyle="1" w:styleId="cf01">
    <w:name w:val="cf01"/>
    <w:basedOn w:val="Standaardalinea-lettertype"/>
    <w:rsid w:val="00A27703"/>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D7556E"/>
    <w:rPr>
      <w:color w:val="605E5C"/>
      <w:shd w:val="clear" w:color="auto" w:fill="E1DFDD"/>
    </w:rPr>
  </w:style>
  <w:style w:type="paragraph" w:styleId="Geenafstand">
    <w:name w:val="No Spacing"/>
    <w:uiPriority w:val="1"/>
    <w:qFormat/>
    <w:rsid w:val="0003516D"/>
    <w:pPr>
      <w:autoSpaceDN/>
      <w:textAlignment w:val="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69234">
      <w:bodyDiv w:val="1"/>
      <w:marLeft w:val="0"/>
      <w:marRight w:val="0"/>
      <w:marTop w:val="0"/>
      <w:marBottom w:val="0"/>
      <w:divBdr>
        <w:top w:val="none" w:sz="0" w:space="0" w:color="auto"/>
        <w:left w:val="none" w:sz="0" w:space="0" w:color="auto"/>
        <w:bottom w:val="none" w:sz="0" w:space="0" w:color="auto"/>
        <w:right w:val="none" w:sz="0" w:space="0" w:color="auto"/>
      </w:divBdr>
    </w:div>
    <w:div w:id="291523443">
      <w:bodyDiv w:val="1"/>
      <w:marLeft w:val="0"/>
      <w:marRight w:val="0"/>
      <w:marTop w:val="0"/>
      <w:marBottom w:val="0"/>
      <w:divBdr>
        <w:top w:val="none" w:sz="0" w:space="0" w:color="auto"/>
        <w:left w:val="none" w:sz="0" w:space="0" w:color="auto"/>
        <w:bottom w:val="none" w:sz="0" w:space="0" w:color="auto"/>
        <w:right w:val="none" w:sz="0" w:space="0" w:color="auto"/>
      </w:divBdr>
    </w:div>
    <w:div w:id="505443247">
      <w:bodyDiv w:val="1"/>
      <w:marLeft w:val="0"/>
      <w:marRight w:val="0"/>
      <w:marTop w:val="0"/>
      <w:marBottom w:val="0"/>
      <w:divBdr>
        <w:top w:val="none" w:sz="0" w:space="0" w:color="auto"/>
        <w:left w:val="none" w:sz="0" w:space="0" w:color="auto"/>
        <w:bottom w:val="none" w:sz="0" w:space="0" w:color="auto"/>
        <w:right w:val="none" w:sz="0" w:space="0" w:color="auto"/>
      </w:divBdr>
    </w:div>
    <w:div w:id="777140923">
      <w:bodyDiv w:val="1"/>
      <w:marLeft w:val="0"/>
      <w:marRight w:val="0"/>
      <w:marTop w:val="0"/>
      <w:marBottom w:val="0"/>
      <w:divBdr>
        <w:top w:val="none" w:sz="0" w:space="0" w:color="auto"/>
        <w:left w:val="none" w:sz="0" w:space="0" w:color="auto"/>
        <w:bottom w:val="none" w:sz="0" w:space="0" w:color="auto"/>
        <w:right w:val="none" w:sz="0" w:space="0" w:color="auto"/>
      </w:divBdr>
    </w:div>
    <w:div w:id="1404793796">
      <w:bodyDiv w:val="1"/>
      <w:marLeft w:val="0"/>
      <w:marRight w:val="0"/>
      <w:marTop w:val="0"/>
      <w:marBottom w:val="0"/>
      <w:divBdr>
        <w:top w:val="none" w:sz="0" w:space="0" w:color="auto"/>
        <w:left w:val="none" w:sz="0" w:space="0" w:color="auto"/>
        <w:bottom w:val="none" w:sz="0" w:space="0" w:color="auto"/>
        <w:right w:val="none" w:sz="0" w:space="0" w:color="auto"/>
      </w:divBdr>
    </w:div>
    <w:div w:id="1660425653">
      <w:bodyDiv w:val="1"/>
      <w:marLeft w:val="0"/>
      <w:marRight w:val="0"/>
      <w:marTop w:val="0"/>
      <w:marBottom w:val="0"/>
      <w:divBdr>
        <w:top w:val="none" w:sz="0" w:space="0" w:color="auto"/>
        <w:left w:val="none" w:sz="0" w:space="0" w:color="auto"/>
        <w:bottom w:val="none" w:sz="0" w:space="0" w:color="auto"/>
        <w:right w:val="none" w:sz="0" w:space="0" w:color="auto"/>
      </w:divBdr>
    </w:div>
    <w:div w:id="1725567899">
      <w:bodyDiv w:val="1"/>
      <w:marLeft w:val="0"/>
      <w:marRight w:val="0"/>
      <w:marTop w:val="0"/>
      <w:marBottom w:val="0"/>
      <w:divBdr>
        <w:top w:val="none" w:sz="0" w:space="0" w:color="auto"/>
        <w:left w:val="none" w:sz="0" w:space="0" w:color="auto"/>
        <w:bottom w:val="none" w:sz="0" w:space="0" w:color="auto"/>
        <w:right w:val="none" w:sz="0" w:space="0" w:color="auto"/>
      </w:divBdr>
    </w:div>
    <w:div w:id="1779249517">
      <w:bodyDiv w:val="1"/>
      <w:marLeft w:val="0"/>
      <w:marRight w:val="0"/>
      <w:marTop w:val="0"/>
      <w:marBottom w:val="0"/>
      <w:divBdr>
        <w:top w:val="none" w:sz="0" w:space="0" w:color="auto"/>
        <w:left w:val="none" w:sz="0" w:space="0" w:color="auto"/>
        <w:bottom w:val="none" w:sz="0" w:space="0" w:color="auto"/>
        <w:right w:val="none" w:sz="0" w:space="0" w:color="auto"/>
      </w:divBdr>
    </w:div>
    <w:div w:id="1869249496">
      <w:bodyDiv w:val="1"/>
      <w:marLeft w:val="0"/>
      <w:marRight w:val="0"/>
      <w:marTop w:val="0"/>
      <w:marBottom w:val="0"/>
      <w:divBdr>
        <w:top w:val="none" w:sz="0" w:space="0" w:color="auto"/>
        <w:left w:val="none" w:sz="0" w:space="0" w:color="auto"/>
        <w:bottom w:val="none" w:sz="0" w:space="0" w:color="auto"/>
        <w:right w:val="none" w:sz="0" w:space="0" w:color="auto"/>
      </w:divBdr>
    </w:div>
    <w:div w:id="2078168178">
      <w:bodyDiv w:val="1"/>
      <w:marLeft w:val="0"/>
      <w:marRight w:val="0"/>
      <w:marTop w:val="0"/>
      <w:marBottom w:val="0"/>
      <w:divBdr>
        <w:top w:val="none" w:sz="0" w:space="0" w:color="auto"/>
        <w:left w:val="none" w:sz="0" w:space="0" w:color="auto"/>
        <w:bottom w:val="none" w:sz="0" w:space="0" w:color="auto"/>
        <w:right w:val="none" w:sz="0" w:space="0" w:color="auto"/>
      </w:divBdr>
    </w:div>
    <w:div w:id="2119789105">
      <w:bodyDiv w:val="1"/>
      <w:marLeft w:val="0"/>
      <w:marRight w:val="0"/>
      <w:marTop w:val="0"/>
      <w:marBottom w:val="0"/>
      <w:divBdr>
        <w:top w:val="none" w:sz="0" w:space="0" w:color="auto"/>
        <w:left w:val="none" w:sz="0" w:space="0" w:color="auto"/>
        <w:bottom w:val="none" w:sz="0" w:space="0" w:color="auto"/>
        <w:right w:val="none" w:sz="0" w:space="0" w:color="auto"/>
      </w:divBdr>
    </w:div>
    <w:div w:id="2133284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5"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1887</ap:Words>
  <ap:Characters>10381</ap:Characters>
  <ap:DocSecurity>0</ap:DocSecurity>
  <ap:Lines>86</ap:Lines>
  <ap:Paragraphs>24</ap:Paragraphs>
  <ap:ScaleCrop>false</ap:ScaleCrop>
  <ap:HeadingPairs>
    <vt:vector baseType="variant" size="2">
      <vt:variant>
        <vt:lpstr>Titel</vt:lpstr>
      </vt:variant>
      <vt:variant>
        <vt:i4>1</vt:i4>
      </vt:variant>
    </vt:vector>
  </ap:HeadingPairs>
  <ap:TitlesOfParts>
    <vt:vector baseType="lpstr" size="1">
      <vt:lpstr>Brief aan Eerste of Tweede Kamer - Stand-van-zaken Belastingdienst</vt:lpstr>
    </vt:vector>
  </ap:TitlesOfParts>
  <ap:LinksUpToDate>false</ap:LinksUpToDate>
  <ap:CharactersWithSpaces>12244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2025-03-06T13:29:00.0000000Z</dcterms:created>
  <dcterms:modified xsi:type="dcterms:W3CDTF">2025-03-06T13:29:00.0000000Z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Stand-van-zaken Belastingdienst</vt:lpwstr>
  </property>
  <property fmtid="{D5CDD505-2E9C-101B-9397-08002B2CF9AE}" pid="5" name="Publicatiedatum">
    <vt:lpwstr/>
  </property>
  <property fmtid="{D5CDD505-2E9C-101B-9397-08002B2CF9AE}" pid="6" name="Verantwoordelijke organisatie">
    <vt:lpwstr>Bestuurlijke en Politieke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10 januari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2025-0000055100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Stand-van-zaken Belastingdienst</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2025-01-10T15:20:22Z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9a37acf5-1087-48c7-9ac1-ec508bda1994</vt:lpwstr>
  </property>
  <property fmtid="{D5CDD505-2E9C-101B-9397-08002B2CF9AE}" pid="37" name="MSIP_Label_e00462cb-1b47-485e-830d-87ca0cc9766d_ContentBits">
    <vt:lpwstr>0</vt:lpwstr>
  </property>
  <property fmtid="{D5CDD505-2E9C-101B-9397-08002B2CF9AE}" pid="38" name="ContentTypeId">
    <vt:lpwstr>0x010100DF1D8B481E9D2349AF99EE7E24F6D494</vt:lpwstr>
  </property>
</Properties>
</file>