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E65" w:rsidR="007A14BA" w:rsidP="007A14BA" w:rsidRDefault="007A14BA" w14:paraId="24D4CF72" w14:textId="77777777">
      <w:pPr>
        <w:ind w:left="1410" w:hanging="1410"/>
        <w:rPr>
          <w:rFonts w:ascii="Times New Roman" w:hAnsi="Times New Roman"/>
        </w:rPr>
      </w:pPr>
      <w:r>
        <w:rPr>
          <w:rFonts w:ascii="Times New Roman" w:hAnsi="Times New Roman" w:cs="Times New Roman"/>
          <w:b/>
          <w:bCs/>
        </w:rPr>
        <w:t>36 365</w:t>
      </w:r>
      <w:r>
        <w:rPr>
          <w:rFonts w:ascii="Times New Roman" w:hAnsi="Times New Roman" w:cs="Times New Roman"/>
          <w:b/>
          <w:bCs/>
        </w:rPr>
        <w:tab/>
      </w:r>
      <w:r>
        <w:rPr>
          <w:rFonts w:ascii="Times New Roman" w:hAnsi="Times New Roman" w:cs="Times New Roman"/>
          <w:b/>
          <w:bCs/>
        </w:rPr>
        <w:tab/>
      </w:r>
      <w:r w:rsidRPr="007A14BA">
        <w:rPr>
          <w:rFonts w:ascii="Times New Roman" w:hAnsi="Times New Roman"/>
          <w:b/>
          <w:bCs/>
        </w:rPr>
        <w:t>EU-voorstellen: Herziening EU-geneesmiddelenwetgeving COM (2023) 192, 193, 222 en 231</w:t>
      </w:r>
    </w:p>
    <w:p w:rsidRPr="00E2248F" w:rsidR="007A14BA" w:rsidP="007A14BA" w:rsidRDefault="007A14BA" w14:paraId="2673CB29" w14:textId="7743C7E7">
      <w:pPr>
        <w:pStyle w:val="Kop1"/>
        <w:ind w:left="-5"/>
        <w:rPr>
          <w:rFonts w:ascii="Times New Roman" w:hAnsi="Times New Roman" w:cs="Times New Roman"/>
          <w:b/>
          <w:bCs/>
          <w:color w:val="auto"/>
          <w:sz w:val="24"/>
          <w:szCs w:val="24"/>
        </w:rPr>
      </w:pPr>
      <w:r w:rsidRPr="00E2248F">
        <w:rPr>
          <w:rFonts w:ascii="Times New Roman" w:hAnsi="Times New Roman" w:cs="Times New Roman"/>
          <w:b/>
          <w:bCs/>
          <w:color w:val="auto"/>
          <w:sz w:val="24"/>
          <w:szCs w:val="24"/>
        </w:rPr>
        <w:t>Nr.</w:t>
      </w:r>
      <w:r>
        <w:rPr>
          <w:rFonts w:ascii="Times New Roman" w:hAnsi="Times New Roman" w:cs="Times New Roman"/>
          <w:b/>
          <w:bCs/>
          <w:color w:val="auto"/>
          <w:sz w:val="24"/>
          <w:szCs w:val="24"/>
        </w:rPr>
        <w:t xml:space="preserve"> </w:t>
      </w:r>
      <w:r w:rsidR="00B13A86">
        <w:rPr>
          <w:rFonts w:ascii="Times New Roman" w:hAnsi="Times New Roman" w:cs="Times New Roman"/>
          <w:b/>
          <w:bCs/>
          <w:color w:val="auto"/>
          <w:sz w:val="24"/>
          <w:szCs w:val="24"/>
        </w:rPr>
        <w:t>4</w:t>
      </w:r>
      <w:r w:rsidRPr="00E2248F">
        <w:rPr>
          <w:rFonts w:ascii="Times New Roman" w:hAnsi="Times New Roman" w:cs="Times New Roman"/>
          <w:b/>
          <w:bCs/>
          <w:color w:val="auto"/>
          <w:sz w:val="24"/>
          <w:szCs w:val="24"/>
        </w:rPr>
        <w:tab/>
      </w:r>
      <w:r w:rsidRPr="00E2248F">
        <w:rPr>
          <w:rFonts w:ascii="Times New Roman" w:hAnsi="Times New Roman" w:cs="Times New Roman"/>
          <w:b/>
          <w:bCs/>
          <w:color w:val="auto"/>
          <w:sz w:val="24"/>
          <w:szCs w:val="24"/>
        </w:rPr>
        <w:tab/>
        <w:t>Verslag van de rapporteurs</w:t>
      </w:r>
      <w:r w:rsidRPr="00E2248F">
        <w:rPr>
          <w:rFonts w:ascii="Times New Roman" w:hAnsi="Times New Roman" w:cs="Times New Roman"/>
          <w:b/>
          <w:bCs/>
          <w:color w:val="auto"/>
          <w:sz w:val="24"/>
          <w:szCs w:val="24"/>
        </w:rPr>
        <w:br/>
        <w:t xml:space="preserve"> </w:t>
      </w:r>
      <w:r w:rsidRPr="00E2248F">
        <w:rPr>
          <w:rFonts w:ascii="Times New Roman" w:hAnsi="Times New Roman" w:cs="Times New Roman"/>
          <w:b/>
          <w:bCs/>
          <w:color w:val="auto"/>
          <w:sz w:val="24"/>
          <w:szCs w:val="24"/>
        </w:rPr>
        <w:tab/>
      </w:r>
      <w:r w:rsidRPr="00E2248F">
        <w:rPr>
          <w:rFonts w:ascii="Times New Roman" w:hAnsi="Times New Roman" w:cs="Times New Roman"/>
          <w:b/>
          <w:bCs/>
          <w:color w:val="auto"/>
          <w:sz w:val="24"/>
          <w:szCs w:val="24"/>
        </w:rPr>
        <w:tab/>
      </w:r>
      <w:r w:rsidRPr="00E2248F">
        <w:rPr>
          <w:rFonts w:ascii="Times New Roman" w:hAnsi="Times New Roman" w:cs="Times New Roman"/>
          <w:color w:val="auto"/>
          <w:sz w:val="24"/>
          <w:szCs w:val="24"/>
        </w:rPr>
        <w:t>Vastgesteld 7 maart 2025</w:t>
      </w:r>
    </w:p>
    <w:p w:rsidRPr="007A14BA" w:rsidR="00B533A3" w:rsidP="007A14BA" w:rsidRDefault="007A14BA" w14:paraId="0633919D" w14:textId="13271A64">
      <w:pP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br/>
      </w:r>
      <w:r w:rsidRPr="007A14BA" w:rsidR="00B533A3">
        <w:rPr>
          <w:rFonts w:ascii="Times New Roman" w:hAnsi="Times New Roman" w:cs="Times New Roman"/>
          <w:b/>
          <w:bCs/>
        </w:rPr>
        <w:t>Tussentijdsverslag rapporteurschap Europese geneesmiddelenwetgeving</w:t>
      </w:r>
    </w:p>
    <w:p w:rsidRPr="007A14BA" w:rsidR="009A497F" w:rsidP="007A14BA" w:rsidRDefault="009A497F" w14:paraId="11B22A12" w14:textId="7B428F01">
      <w:pPr>
        <w:rPr>
          <w:rFonts w:ascii="Times New Roman" w:hAnsi="Times New Roman" w:cs="Times New Roman"/>
        </w:rPr>
      </w:pPr>
      <w:r w:rsidRPr="007A14BA">
        <w:rPr>
          <w:rFonts w:ascii="Times New Roman" w:hAnsi="Times New Roman" w:cs="Times New Roman"/>
        </w:rPr>
        <w:t xml:space="preserve">In april 2023 heeft de Europese Commissie een voorstel gedaan voor de herziening van de huidige Europese geneesmiddelenwetgeving. </w:t>
      </w:r>
      <w:r w:rsidRPr="007A14BA" w:rsidR="00360517">
        <w:rPr>
          <w:rFonts w:ascii="Times New Roman" w:hAnsi="Times New Roman" w:cs="Times New Roman"/>
        </w:rPr>
        <w:t xml:space="preserve">Dit </w:t>
      </w:r>
      <w:r w:rsidRPr="007A14BA" w:rsidR="003F11F2">
        <w:rPr>
          <w:rFonts w:ascii="Times New Roman" w:hAnsi="Times New Roman" w:cs="Times New Roman"/>
        </w:rPr>
        <w:t>‘</w:t>
      </w:r>
      <w:r w:rsidRPr="007A14BA" w:rsidR="00360517">
        <w:rPr>
          <w:rFonts w:ascii="Times New Roman" w:hAnsi="Times New Roman" w:cs="Times New Roman"/>
        </w:rPr>
        <w:t>geneesmiddelenpakket</w:t>
      </w:r>
      <w:r w:rsidRPr="007A14BA" w:rsidR="003F11F2">
        <w:rPr>
          <w:rFonts w:ascii="Times New Roman" w:hAnsi="Times New Roman" w:cs="Times New Roman"/>
        </w:rPr>
        <w:t>’</w:t>
      </w:r>
      <w:r w:rsidRPr="007A14BA" w:rsidR="00360517">
        <w:rPr>
          <w:rFonts w:ascii="Times New Roman" w:hAnsi="Times New Roman" w:cs="Times New Roman"/>
        </w:rPr>
        <w:t xml:space="preserve"> bestaat uit </w:t>
      </w:r>
      <w:r w:rsidRPr="007A14BA">
        <w:rPr>
          <w:rFonts w:ascii="Times New Roman" w:hAnsi="Times New Roman" w:cs="Times New Roman"/>
        </w:rPr>
        <w:t>een voorstel voor een richtlijn</w:t>
      </w:r>
      <w:r w:rsidRPr="007A14BA">
        <w:rPr>
          <w:rFonts w:ascii="Times New Roman" w:hAnsi="Times New Roman" w:cs="Times New Roman"/>
          <w:vertAlign w:val="superscript"/>
        </w:rPr>
        <w:footnoteReference w:id="2"/>
      </w:r>
      <w:r w:rsidRPr="007A14BA">
        <w:rPr>
          <w:rFonts w:ascii="Times New Roman" w:hAnsi="Times New Roman" w:cs="Times New Roman"/>
        </w:rPr>
        <w:t xml:space="preserve"> en een verordening</w:t>
      </w:r>
      <w:r w:rsidRPr="007A14BA">
        <w:rPr>
          <w:rFonts w:ascii="Times New Roman" w:hAnsi="Times New Roman" w:cs="Times New Roman"/>
          <w:vertAlign w:val="superscript"/>
        </w:rPr>
        <w:footnoteReference w:id="3"/>
      </w:r>
      <w:r w:rsidRPr="007A14BA">
        <w:rPr>
          <w:rFonts w:ascii="Times New Roman" w:hAnsi="Times New Roman" w:cs="Times New Roman"/>
        </w:rPr>
        <w:t xml:space="preserve">.  De vaste commissie voor Volksgezondheid, Welzijn en Sport heeft ons aangesteld als rapporteurs voor </w:t>
      </w:r>
      <w:r w:rsidRPr="007A14BA" w:rsidR="003F11F2">
        <w:rPr>
          <w:rFonts w:ascii="Times New Roman" w:hAnsi="Times New Roman" w:cs="Times New Roman"/>
        </w:rPr>
        <w:t>het</w:t>
      </w:r>
      <w:r w:rsidRPr="007A14BA">
        <w:rPr>
          <w:rFonts w:ascii="Times New Roman" w:hAnsi="Times New Roman" w:cs="Times New Roman"/>
        </w:rPr>
        <w:t xml:space="preserve"> Europese geneesmiddelenpakket.</w:t>
      </w:r>
    </w:p>
    <w:p w:rsidRPr="007A14BA" w:rsidR="00360517" w:rsidP="007A14BA" w:rsidRDefault="00360517" w14:paraId="4B63A773" w14:textId="055BA4FB">
      <w:pPr>
        <w:rPr>
          <w:rFonts w:ascii="Times New Roman" w:hAnsi="Times New Roman" w:cs="Times New Roman"/>
        </w:rPr>
      </w:pPr>
      <w:r w:rsidRPr="007A14BA">
        <w:rPr>
          <w:rFonts w:ascii="Times New Roman" w:hAnsi="Times New Roman" w:cs="Times New Roman"/>
        </w:rPr>
        <w:t xml:space="preserve">Wij brengen tussentijds verslag uit over de activiteiten die wij tot op heden hebben ondernomen als rapporteurs en doen </w:t>
      </w:r>
      <w:r w:rsidRPr="007A14BA" w:rsidR="00777552">
        <w:rPr>
          <w:rFonts w:ascii="Times New Roman" w:hAnsi="Times New Roman" w:cs="Times New Roman"/>
        </w:rPr>
        <w:t>een aantal aanbevelingen</w:t>
      </w:r>
      <w:r w:rsidRPr="007A14BA" w:rsidR="003F11F2">
        <w:rPr>
          <w:rFonts w:ascii="Times New Roman" w:hAnsi="Times New Roman" w:cs="Times New Roman"/>
        </w:rPr>
        <w:t xml:space="preserve"> voor</w:t>
      </w:r>
      <w:r w:rsidRPr="007A14BA" w:rsidR="00777552">
        <w:rPr>
          <w:rFonts w:ascii="Times New Roman" w:hAnsi="Times New Roman" w:cs="Times New Roman"/>
        </w:rPr>
        <w:t xml:space="preserve"> de behandeling van de wetgeving in de Tweede Kamer</w:t>
      </w:r>
      <w:r w:rsidRPr="007A14BA">
        <w:rPr>
          <w:rFonts w:ascii="Times New Roman" w:hAnsi="Times New Roman" w:cs="Times New Roman"/>
        </w:rPr>
        <w:t xml:space="preserve">. Het betreft een verslag over de tot dusver gevoerde </w:t>
      </w:r>
      <w:r w:rsidRPr="007A14BA" w:rsidR="005162E0">
        <w:rPr>
          <w:rFonts w:ascii="Times New Roman" w:hAnsi="Times New Roman" w:cs="Times New Roman"/>
        </w:rPr>
        <w:t>gesprekken</w:t>
      </w:r>
      <w:r w:rsidRPr="007A14BA">
        <w:rPr>
          <w:rFonts w:ascii="Times New Roman" w:hAnsi="Times New Roman" w:cs="Times New Roman"/>
        </w:rPr>
        <w:t>.</w:t>
      </w:r>
    </w:p>
    <w:p w:rsidRPr="007A14BA" w:rsidR="0095138D" w:rsidP="007A14BA" w:rsidRDefault="0095138D" w14:paraId="6265183B" w14:textId="77836160">
      <w:pPr>
        <w:rPr>
          <w:rFonts w:ascii="Times New Roman" w:hAnsi="Times New Roman" w:cs="Times New Roman"/>
          <w:b/>
          <w:bCs/>
        </w:rPr>
      </w:pPr>
      <w:r w:rsidRPr="007A14BA">
        <w:rPr>
          <w:rFonts w:ascii="Times New Roman" w:hAnsi="Times New Roman" w:cs="Times New Roman"/>
          <w:b/>
          <w:bCs/>
        </w:rPr>
        <w:t>Aanbevelingen van de rapporteurs</w:t>
      </w:r>
    </w:p>
    <w:p w:rsidRPr="007A14BA" w:rsidR="001C56D3" w:rsidP="007A14BA" w:rsidRDefault="001C56D3" w14:paraId="73FBFE0F" w14:textId="27D4DE24">
      <w:pPr>
        <w:pStyle w:val="Lijstalinea"/>
        <w:numPr>
          <w:ilvl w:val="0"/>
          <w:numId w:val="3"/>
        </w:numPr>
        <w:rPr>
          <w:rFonts w:ascii="Times New Roman" w:hAnsi="Times New Roman" w:cs="Times New Roman"/>
        </w:rPr>
      </w:pPr>
      <w:r w:rsidRPr="007A14BA">
        <w:rPr>
          <w:rFonts w:ascii="Times New Roman" w:hAnsi="Times New Roman" w:cs="Times New Roman"/>
        </w:rPr>
        <w:t>De vaste commissie VWS kan de inhoud van dit tussentijdse verslag desgewenst betrekken bij aankomende commissiedebatten en schriftelijke overleggen over de EU-Gezondheidsraad</w:t>
      </w:r>
      <w:r w:rsidRPr="007A14BA" w:rsidR="003F11F2">
        <w:rPr>
          <w:rFonts w:ascii="Times New Roman" w:hAnsi="Times New Roman" w:cs="Times New Roman"/>
        </w:rPr>
        <w:t>,</w:t>
      </w:r>
      <w:r w:rsidRPr="007A14BA">
        <w:rPr>
          <w:rFonts w:ascii="Times New Roman" w:hAnsi="Times New Roman" w:cs="Times New Roman"/>
        </w:rPr>
        <w:t xml:space="preserve"> waar de voortgang over de onderhandelingen in de Raad aan de orde zal komen.</w:t>
      </w:r>
    </w:p>
    <w:p w:rsidRPr="007A14BA" w:rsidR="00535542" w:rsidP="007A14BA" w:rsidRDefault="00C34773" w14:paraId="48BD4DC1" w14:textId="0AF1A2DC">
      <w:pPr>
        <w:pStyle w:val="Lijstalinea"/>
        <w:numPr>
          <w:ilvl w:val="0"/>
          <w:numId w:val="3"/>
        </w:numPr>
        <w:rPr>
          <w:rFonts w:ascii="Times New Roman" w:hAnsi="Times New Roman" w:cs="Times New Roman"/>
        </w:rPr>
      </w:pPr>
      <w:r w:rsidRPr="007A14BA">
        <w:rPr>
          <w:rFonts w:ascii="Times New Roman" w:hAnsi="Times New Roman" w:cs="Times New Roman"/>
        </w:rPr>
        <w:t xml:space="preserve">De vaste commissie VWS kan ertoe besluiten om de </w:t>
      </w:r>
      <w:r w:rsidRPr="007A14BA">
        <w:rPr>
          <w:rFonts w:ascii="Times New Roman" w:hAnsi="Times New Roman" w:cs="Times New Roman"/>
          <w:i/>
          <w:iCs/>
        </w:rPr>
        <w:t>Critical Medicines Act</w:t>
      </w:r>
      <w:r w:rsidRPr="007A14BA">
        <w:rPr>
          <w:rFonts w:ascii="Times New Roman" w:hAnsi="Times New Roman" w:cs="Times New Roman"/>
        </w:rPr>
        <w:t xml:space="preserve"> prioritair te verklaren.</w:t>
      </w:r>
    </w:p>
    <w:p w:rsidRPr="007A14BA" w:rsidR="00535542" w:rsidP="007A14BA" w:rsidRDefault="0095138D" w14:paraId="20F43480" w14:textId="666D35C4">
      <w:pPr>
        <w:rPr>
          <w:rFonts w:ascii="Times New Roman" w:hAnsi="Times New Roman" w:cs="Times New Roman"/>
          <w:b/>
          <w:bCs/>
        </w:rPr>
      </w:pPr>
      <w:r w:rsidRPr="007A14BA">
        <w:rPr>
          <w:rFonts w:ascii="Times New Roman" w:hAnsi="Times New Roman" w:cs="Times New Roman"/>
          <w:b/>
          <w:bCs/>
        </w:rPr>
        <w:t xml:space="preserve">Doel van het </w:t>
      </w:r>
      <w:r w:rsidRPr="007A14BA" w:rsidR="00CA0867">
        <w:rPr>
          <w:rFonts w:ascii="Times New Roman" w:hAnsi="Times New Roman" w:cs="Times New Roman"/>
          <w:b/>
          <w:bCs/>
        </w:rPr>
        <w:t>EU-</w:t>
      </w:r>
      <w:r w:rsidRPr="007A14BA">
        <w:rPr>
          <w:rFonts w:ascii="Times New Roman" w:hAnsi="Times New Roman" w:cs="Times New Roman"/>
          <w:b/>
          <w:bCs/>
        </w:rPr>
        <w:t xml:space="preserve">rapporteurschap </w:t>
      </w:r>
    </w:p>
    <w:p w:rsidRPr="007A14BA" w:rsidR="00882DA3" w:rsidP="007A14BA" w:rsidRDefault="00CA0867" w14:paraId="77CD8963" w14:textId="77777777">
      <w:pPr>
        <w:rPr>
          <w:rFonts w:ascii="Times New Roman" w:hAnsi="Times New Roman" w:cs="Times New Roman"/>
        </w:rPr>
      </w:pPr>
      <w:r w:rsidRPr="007A14BA">
        <w:rPr>
          <w:rFonts w:ascii="Times New Roman" w:hAnsi="Times New Roman" w:cs="Times New Roman"/>
        </w:rPr>
        <w:t>Dit rapporteurschap is ingesteld om de informatiepositie van de Tweede Kamer</w:t>
      </w:r>
      <w:r w:rsidRPr="007A14BA" w:rsidR="003268F3">
        <w:rPr>
          <w:rFonts w:ascii="Times New Roman" w:hAnsi="Times New Roman" w:cs="Times New Roman"/>
        </w:rPr>
        <w:t xml:space="preserve"> met betrekking tot de Europese geneesmiddelenwetgeving te verbeteren. </w:t>
      </w:r>
    </w:p>
    <w:p w:rsidRPr="007A14BA" w:rsidR="009E404C" w:rsidP="007A14BA" w:rsidRDefault="00510812" w14:paraId="477FC49A" w14:textId="77777777">
      <w:pPr>
        <w:rPr>
          <w:rFonts w:ascii="Times New Roman" w:hAnsi="Times New Roman" w:cs="Times New Roman"/>
        </w:rPr>
      </w:pPr>
      <w:r w:rsidRPr="007A14BA">
        <w:rPr>
          <w:rFonts w:ascii="Times New Roman" w:hAnsi="Times New Roman" w:cs="Times New Roman"/>
        </w:rPr>
        <w:t>Het Europese geneesmiddelenpakket reguleert de goedkeuring, veiligheid en beschikbaarheid van geneesmiddelen binnen de EU, met als doel de volksgezondheid te beschermen. Het bevordert ook innovatie en de toegankelijkheid van geneesmiddelen door middel van regelgeving, toezicht en stimulering van onderzoek.</w:t>
      </w:r>
    </w:p>
    <w:p w:rsidRPr="007A14BA" w:rsidR="0095138D" w:rsidP="007A14BA" w:rsidRDefault="00510812" w14:paraId="32291895" w14:textId="2EE454AB">
      <w:pPr>
        <w:rPr>
          <w:rFonts w:ascii="Times New Roman" w:hAnsi="Times New Roman" w:cs="Times New Roman"/>
        </w:rPr>
      </w:pPr>
      <w:r w:rsidRPr="007A14BA">
        <w:rPr>
          <w:rFonts w:ascii="Times New Roman" w:hAnsi="Times New Roman" w:cs="Times New Roman"/>
        </w:rPr>
        <w:t xml:space="preserve"> </w:t>
      </w:r>
      <w:r w:rsidRPr="007A14BA" w:rsidR="0095138D">
        <w:rPr>
          <w:rFonts w:ascii="Times New Roman" w:hAnsi="Times New Roman" w:cs="Times New Roman"/>
        </w:rPr>
        <w:t xml:space="preserve">Het rapporteurschap richt zich op </w:t>
      </w:r>
      <w:r w:rsidRPr="007A14BA" w:rsidR="00CA0867">
        <w:rPr>
          <w:rFonts w:ascii="Times New Roman" w:hAnsi="Times New Roman" w:cs="Times New Roman"/>
        </w:rPr>
        <w:t>de volgende doelstellingen van</w:t>
      </w:r>
      <w:r w:rsidRPr="007A14BA" w:rsidR="0095138D">
        <w:rPr>
          <w:rFonts w:ascii="Times New Roman" w:hAnsi="Times New Roman" w:cs="Times New Roman"/>
        </w:rPr>
        <w:t xml:space="preserve"> het geneesmiddelenpakket: de betaalbaarheid, toegankelijkheid en tekorten van geneesmiddelen, strategische autonomie, </w:t>
      </w:r>
      <w:r w:rsidRPr="007A14BA" w:rsidR="0095138D">
        <w:rPr>
          <w:rFonts w:ascii="Times New Roman" w:hAnsi="Times New Roman" w:cs="Times New Roman"/>
        </w:rPr>
        <w:lastRenderedPageBreak/>
        <w:t xml:space="preserve">behoud en versterking van kennis en innovatie, verantwoord gebruik van geneesmiddelen en antimicrobiële resistentie. </w:t>
      </w:r>
      <w:r w:rsidRPr="007A14BA" w:rsidR="003268F3">
        <w:rPr>
          <w:rFonts w:ascii="Times New Roman" w:hAnsi="Times New Roman" w:cs="Times New Roman"/>
        </w:rPr>
        <w:t>De focus van</w:t>
      </w:r>
      <w:r w:rsidRPr="007A14BA" w:rsidR="00CA0867">
        <w:rPr>
          <w:rFonts w:ascii="Times New Roman" w:hAnsi="Times New Roman" w:cs="Times New Roman"/>
        </w:rPr>
        <w:t xml:space="preserve"> het rapporteurschap</w:t>
      </w:r>
      <w:r w:rsidRPr="007A14BA" w:rsidR="003268F3">
        <w:rPr>
          <w:rFonts w:ascii="Times New Roman" w:hAnsi="Times New Roman" w:cs="Times New Roman"/>
        </w:rPr>
        <w:t xml:space="preserve"> is </w:t>
      </w:r>
      <w:r w:rsidRPr="007A14BA" w:rsidR="006C1BE0">
        <w:rPr>
          <w:rFonts w:ascii="Times New Roman" w:hAnsi="Times New Roman" w:cs="Times New Roman"/>
        </w:rPr>
        <w:t xml:space="preserve">naast </w:t>
      </w:r>
      <w:r w:rsidRPr="007A14BA" w:rsidR="003268F3">
        <w:rPr>
          <w:rFonts w:ascii="Times New Roman" w:hAnsi="Times New Roman" w:cs="Times New Roman"/>
        </w:rPr>
        <w:t xml:space="preserve">het Europese geneesmiddelenpakket </w:t>
      </w:r>
      <w:r w:rsidRPr="007A14BA" w:rsidR="00CA0867">
        <w:rPr>
          <w:rFonts w:ascii="Times New Roman" w:hAnsi="Times New Roman" w:cs="Times New Roman"/>
        </w:rPr>
        <w:t>de verkenning van een</w:t>
      </w:r>
      <w:r w:rsidRPr="007A14BA" w:rsidR="00CA0867">
        <w:rPr>
          <w:rFonts w:ascii="Times New Roman" w:hAnsi="Times New Roman" w:cs="Times New Roman"/>
          <w:i/>
          <w:iCs/>
        </w:rPr>
        <w:t xml:space="preserve"> Critical Medicines Act</w:t>
      </w:r>
      <w:r w:rsidRPr="007A14BA" w:rsidR="006C1BE0">
        <w:rPr>
          <w:rFonts w:ascii="Times New Roman" w:hAnsi="Times New Roman" w:cs="Times New Roman"/>
        </w:rPr>
        <w:t xml:space="preserve">. De </w:t>
      </w:r>
      <w:r w:rsidRPr="007A14BA" w:rsidR="006C1BE0">
        <w:rPr>
          <w:rFonts w:ascii="Times New Roman" w:hAnsi="Times New Roman" w:cs="Times New Roman"/>
          <w:i/>
          <w:iCs/>
        </w:rPr>
        <w:t xml:space="preserve">Critical Medicines Act </w:t>
      </w:r>
      <w:r w:rsidRPr="007A14BA" w:rsidR="00CA0867">
        <w:rPr>
          <w:rFonts w:ascii="Times New Roman" w:hAnsi="Times New Roman" w:cs="Times New Roman"/>
        </w:rPr>
        <w:t xml:space="preserve">zal naar verwachting op 11 maart 2025 worden gepubliceerd. </w:t>
      </w:r>
    </w:p>
    <w:p w:rsidRPr="007A14BA" w:rsidR="00106E56" w:rsidP="007A14BA" w:rsidRDefault="00106E56" w14:paraId="762C7166" w14:textId="77777777">
      <w:pPr>
        <w:rPr>
          <w:rFonts w:ascii="Times New Roman" w:hAnsi="Times New Roman" w:cs="Times New Roman"/>
        </w:rPr>
      </w:pPr>
    </w:p>
    <w:p w:rsidRPr="007A14BA" w:rsidR="00CA0867" w:rsidP="007A14BA" w:rsidRDefault="00360517" w14:paraId="7E5253E0" w14:textId="04F8C649">
      <w:pPr>
        <w:rPr>
          <w:rFonts w:ascii="Times New Roman" w:hAnsi="Times New Roman" w:cs="Times New Roman"/>
          <w:b/>
          <w:bCs/>
        </w:rPr>
      </w:pPr>
      <w:r w:rsidRPr="007A14BA">
        <w:rPr>
          <w:rFonts w:ascii="Times New Roman" w:hAnsi="Times New Roman" w:cs="Times New Roman"/>
          <w:b/>
          <w:bCs/>
        </w:rPr>
        <w:t>Terugkoppeling over de ondernomen activiteiten</w:t>
      </w:r>
    </w:p>
    <w:p w:rsidRPr="007A14BA" w:rsidR="00360517" w:rsidP="007A14BA" w:rsidRDefault="00777552" w14:paraId="4EF76E8A" w14:textId="62EE17F3">
      <w:pPr>
        <w:rPr>
          <w:rFonts w:ascii="Times New Roman" w:hAnsi="Times New Roman" w:cs="Times New Roman"/>
          <w:i/>
          <w:iCs/>
        </w:rPr>
      </w:pPr>
      <w:r w:rsidRPr="007A14BA">
        <w:rPr>
          <w:rFonts w:ascii="Times New Roman" w:hAnsi="Times New Roman" w:cs="Times New Roman"/>
          <w:i/>
          <w:iCs/>
        </w:rPr>
        <w:t>Gesprekken met publieke organisaties en stakeholders</w:t>
      </w:r>
    </w:p>
    <w:p w:rsidRPr="007A14BA" w:rsidR="00360517" w:rsidP="007A14BA" w:rsidRDefault="00360517" w14:paraId="540B0854" w14:textId="405821F6">
      <w:pPr>
        <w:rPr>
          <w:rFonts w:ascii="Times New Roman" w:hAnsi="Times New Roman" w:cs="Times New Roman"/>
        </w:rPr>
      </w:pPr>
      <w:r w:rsidRPr="007A14BA">
        <w:rPr>
          <w:rFonts w:ascii="Times New Roman" w:hAnsi="Times New Roman" w:cs="Times New Roman"/>
        </w:rPr>
        <w:t xml:space="preserve">We hebben als rapporteurs </w:t>
      </w:r>
      <w:r w:rsidRPr="007A14BA" w:rsidR="00F059F0">
        <w:rPr>
          <w:rFonts w:ascii="Times New Roman" w:hAnsi="Times New Roman" w:cs="Times New Roman"/>
        </w:rPr>
        <w:t xml:space="preserve">drie </w:t>
      </w:r>
      <w:r w:rsidRPr="007A14BA">
        <w:rPr>
          <w:rFonts w:ascii="Times New Roman" w:hAnsi="Times New Roman" w:cs="Times New Roman"/>
        </w:rPr>
        <w:t xml:space="preserve">gesprekken gevoerd met </w:t>
      </w:r>
      <w:r w:rsidRPr="007A14BA" w:rsidR="00273061">
        <w:rPr>
          <w:rFonts w:ascii="Times New Roman" w:hAnsi="Times New Roman" w:cs="Times New Roman"/>
        </w:rPr>
        <w:t xml:space="preserve">vijf </w:t>
      </w:r>
      <w:r w:rsidRPr="007A14BA" w:rsidR="00012D5D">
        <w:rPr>
          <w:rFonts w:ascii="Times New Roman" w:hAnsi="Times New Roman" w:cs="Times New Roman"/>
        </w:rPr>
        <w:t xml:space="preserve">vertegenwoordigers van </w:t>
      </w:r>
      <w:r w:rsidRPr="007A14BA">
        <w:rPr>
          <w:rFonts w:ascii="Times New Roman" w:hAnsi="Times New Roman" w:cs="Times New Roman"/>
        </w:rPr>
        <w:t xml:space="preserve">stakeholders om input op te halen over de wetgeving. Deze gesprekken zijn in te delen in twee categorieën: een gesprek met publieke organisaties en gesprekken met stakeholders die betrokken zijn bij </w:t>
      </w:r>
      <w:r w:rsidRPr="007A14BA" w:rsidR="00123B8B">
        <w:rPr>
          <w:rFonts w:ascii="Times New Roman" w:hAnsi="Times New Roman" w:cs="Times New Roman"/>
        </w:rPr>
        <w:t xml:space="preserve">een </w:t>
      </w:r>
      <w:r w:rsidRPr="007A14BA" w:rsidR="002E71E2">
        <w:rPr>
          <w:rFonts w:ascii="Times New Roman" w:hAnsi="Times New Roman" w:cs="Times New Roman"/>
        </w:rPr>
        <w:t xml:space="preserve">van </w:t>
      </w:r>
      <w:r w:rsidRPr="007A14BA" w:rsidR="00123B8B">
        <w:rPr>
          <w:rFonts w:ascii="Times New Roman" w:hAnsi="Times New Roman" w:cs="Times New Roman"/>
        </w:rPr>
        <w:t xml:space="preserve">de doelstellingen: toegankelijkheid en tekorten, en het behoud en versterken van kennis en innovatie. Voor de tweede categorie hebben we gesprekken gevoerd met vertegenwoordigers van </w:t>
      </w:r>
      <w:r w:rsidRPr="007A14BA" w:rsidR="0060653B">
        <w:rPr>
          <w:rFonts w:ascii="Times New Roman" w:hAnsi="Times New Roman" w:cs="Times New Roman"/>
        </w:rPr>
        <w:t>BG Pharma</w:t>
      </w:r>
      <w:r w:rsidRPr="007A14BA" w:rsidR="00123B8B">
        <w:rPr>
          <w:rFonts w:ascii="Times New Roman" w:hAnsi="Times New Roman" w:cs="Times New Roman"/>
        </w:rPr>
        <w:t xml:space="preserve"> en van </w:t>
      </w:r>
      <w:r w:rsidRPr="007A14BA" w:rsidR="0060653B">
        <w:rPr>
          <w:rFonts w:ascii="Times New Roman" w:hAnsi="Times New Roman" w:cs="Times New Roman"/>
        </w:rPr>
        <w:t>FAST</w:t>
      </w:r>
      <w:r w:rsidRPr="007A14BA" w:rsidR="00123B8B">
        <w:rPr>
          <w:rFonts w:ascii="Times New Roman" w:hAnsi="Times New Roman" w:cs="Times New Roman"/>
        </w:rPr>
        <w:t xml:space="preserve">. </w:t>
      </w:r>
    </w:p>
    <w:p w:rsidRPr="007A14BA" w:rsidR="00123B8B" w:rsidP="007A14BA" w:rsidRDefault="00123B8B" w14:paraId="523B4384" w14:textId="77777777">
      <w:pPr>
        <w:rPr>
          <w:rFonts w:ascii="Times New Roman" w:hAnsi="Times New Roman" w:cs="Times New Roman"/>
          <w:b/>
          <w:bCs/>
        </w:rPr>
      </w:pPr>
    </w:p>
    <w:p w:rsidRPr="007A14BA" w:rsidR="00CA0867" w:rsidP="007A14BA" w:rsidRDefault="00CA0867" w14:paraId="4340812A" w14:textId="7FC55223">
      <w:pPr>
        <w:rPr>
          <w:rFonts w:ascii="Times New Roman" w:hAnsi="Times New Roman" w:cs="Times New Roman"/>
          <w:b/>
          <w:bCs/>
        </w:rPr>
      </w:pPr>
      <w:r w:rsidRPr="007A14BA">
        <w:rPr>
          <w:rFonts w:ascii="Times New Roman" w:hAnsi="Times New Roman" w:cs="Times New Roman"/>
          <w:b/>
          <w:bCs/>
        </w:rPr>
        <w:t xml:space="preserve">Bevindingen van de rapporteurs </w:t>
      </w:r>
    </w:p>
    <w:p w:rsidRPr="007A14BA" w:rsidR="00DB4AFB" w:rsidP="007A14BA" w:rsidRDefault="007C38F1" w14:paraId="6989A999" w14:textId="583B9695">
      <w:pPr>
        <w:rPr>
          <w:rFonts w:ascii="Times New Roman" w:hAnsi="Times New Roman" w:cs="Times New Roman"/>
          <w:i/>
          <w:iCs/>
        </w:rPr>
      </w:pPr>
      <w:r w:rsidRPr="007A14BA">
        <w:rPr>
          <w:rFonts w:ascii="Times New Roman" w:hAnsi="Times New Roman" w:cs="Times New Roman"/>
          <w:i/>
          <w:iCs/>
        </w:rPr>
        <w:t>Algemeen</w:t>
      </w:r>
    </w:p>
    <w:p w:rsidRPr="007A14BA" w:rsidR="002E71E2" w:rsidP="007A14BA" w:rsidRDefault="00DB4AFB" w14:paraId="09800BA3" w14:textId="6F685CDF">
      <w:pPr>
        <w:rPr>
          <w:rFonts w:ascii="Times New Roman" w:hAnsi="Times New Roman" w:cs="Times New Roman"/>
        </w:rPr>
      </w:pPr>
      <w:r w:rsidRPr="007A14BA">
        <w:rPr>
          <w:rFonts w:ascii="Times New Roman" w:hAnsi="Times New Roman" w:cs="Times New Roman"/>
        </w:rPr>
        <w:t>Het</w:t>
      </w:r>
      <w:r w:rsidRPr="007A14BA" w:rsidR="00852B8E">
        <w:rPr>
          <w:rFonts w:ascii="Times New Roman" w:hAnsi="Times New Roman" w:cs="Times New Roman"/>
        </w:rPr>
        <w:t xml:space="preserve"> </w:t>
      </w:r>
      <w:r w:rsidRPr="007A14BA">
        <w:rPr>
          <w:rFonts w:ascii="Times New Roman" w:hAnsi="Times New Roman" w:cs="Times New Roman"/>
        </w:rPr>
        <w:t xml:space="preserve">geneesmiddelenpakket ziet toe op het versimpelen van de huidige Europese geneesmiddelenwetgeving, daarnaast bundelt het de regelgeving over weesgeneesmiddelen en geneesmiddelen voor pediatrisch gebruik. Verder brengt de wetgeving stimulansen aan voor de ontwikkeling van bepaalde soorten geneesmiddelen. Tot slot richt de wetgeving zich op het verminderen van de impact op milieu, </w:t>
      </w:r>
      <w:r w:rsidRPr="007A14BA" w:rsidR="00936402">
        <w:rPr>
          <w:rFonts w:ascii="Times New Roman" w:hAnsi="Times New Roman" w:cs="Times New Roman"/>
        </w:rPr>
        <w:t>stimuleert</w:t>
      </w:r>
      <w:r w:rsidRPr="007A14BA">
        <w:rPr>
          <w:rFonts w:ascii="Times New Roman" w:hAnsi="Times New Roman" w:cs="Times New Roman"/>
        </w:rPr>
        <w:t xml:space="preserve"> het EU-brede markttoelating van geneesmiddelen en het toekomstbestendig maken van de wetgeving.  </w:t>
      </w:r>
    </w:p>
    <w:p w:rsidRPr="007A14BA" w:rsidR="001C465D" w:rsidP="007A14BA" w:rsidRDefault="00505028" w14:paraId="592A52E6" w14:textId="33771FD1">
      <w:pPr>
        <w:rPr>
          <w:rFonts w:ascii="Times New Roman" w:hAnsi="Times New Roman" w:cs="Times New Roman"/>
        </w:rPr>
      </w:pPr>
      <w:r w:rsidRPr="007A14BA">
        <w:rPr>
          <w:rFonts w:ascii="Times New Roman" w:hAnsi="Times New Roman" w:cs="Times New Roman"/>
        </w:rPr>
        <w:t>De stakeholders die we hebben gesproken zijn over het algemeen positief over de voorgestelde wetgeving</w:t>
      </w:r>
      <w:r w:rsidRPr="007A14BA" w:rsidR="007C38F1">
        <w:rPr>
          <w:rFonts w:ascii="Times New Roman" w:hAnsi="Times New Roman" w:cs="Times New Roman"/>
        </w:rPr>
        <w:t xml:space="preserve">. Ze hebben de voorkeur om de wetgeving niet verder te matigen in de onderhandelingen, met een afgezwakte versie zouden de doelstellingen onvoldoende worden behaald. </w:t>
      </w:r>
    </w:p>
    <w:p w:rsidRPr="007A14BA" w:rsidR="00B50075" w:rsidP="007A14BA" w:rsidRDefault="00B50075" w14:paraId="0113E8A2" w14:textId="77777777">
      <w:pPr>
        <w:rPr>
          <w:rFonts w:ascii="Times New Roman" w:hAnsi="Times New Roman" w:cs="Times New Roman"/>
        </w:rPr>
      </w:pPr>
    </w:p>
    <w:p w:rsidRPr="007A14BA" w:rsidR="00936402" w:rsidP="007A14BA" w:rsidRDefault="00BA658C" w14:paraId="7FBF9ED0" w14:textId="61296DE9">
      <w:pPr>
        <w:rPr>
          <w:rFonts w:ascii="Times New Roman" w:hAnsi="Times New Roman" w:cs="Times New Roman"/>
          <w:i/>
          <w:iCs/>
        </w:rPr>
      </w:pPr>
      <w:r w:rsidRPr="007A14BA">
        <w:rPr>
          <w:rFonts w:ascii="Times New Roman" w:hAnsi="Times New Roman" w:cs="Times New Roman"/>
          <w:i/>
          <w:iCs/>
        </w:rPr>
        <w:t>Innovatie</w:t>
      </w:r>
    </w:p>
    <w:p w:rsidRPr="007A14BA" w:rsidR="00E47604" w:rsidP="007A14BA" w:rsidRDefault="00F347C6" w14:paraId="6A07613D" w14:textId="5C4F50AF">
      <w:pPr>
        <w:rPr>
          <w:rFonts w:ascii="Times New Roman" w:hAnsi="Times New Roman" w:cs="Times New Roman"/>
        </w:rPr>
      </w:pPr>
      <w:r w:rsidRPr="007A14BA">
        <w:rPr>
          <w:rFonts w:ascii="Times New Roman" w:hAnsi="Times New Roman" w:cs="Times New Roman"/>
        </w:rPr>
        <w:t>De herziening ziet toe op toekomstbestendige wetgeving door flexibiliteit in te bouwen voor nieuwe technieken v</w:t>
      </w:r>
      <w:r w:rsidRPr="007A14BA" w:rsidR="00AD29C9">
        <w:rPr>
          <w:rFonts w:ascii="Times New Roman" w:hAnsi="Times New Roman" w:cs="Times New Roman"/>
        </w:rPr>
        <w:t xml:space="preserve">an </w:t>
      </w:r>
      <w:r w:rsidRPr="007A14BA">
        <w:rPr>
          <w:rFonts w:ascii="Times New Roman" w:hAnsi="Times New Roman" w:cs="Times New Roman"/>
        </w:rPr>
        <w:t>geneesmiddelenontwikkeling</w:t>
      </w:r>
      <w:r w:rsidRPr="007A14BA" w:rsidR="00B7462E">
        <w:rPr>
          <w:rFonts w:ascii="Times New Roman" w:hAnsi="Times New Roman" w:cs="Times New Roman"/>
        </w:rPr>
        <w:t xml:space="preserve">. </w:t>
      </w:r>
      <w:r w:rsidRPr="007A14BA" w:rsidR="004547D1">
        <w:rPr>
          <w:rFonts w:ascii="Times New Roman" w:hAnsi="Times New Roman" w:cs="Times New Roman"/>
        </w:rPr>
        <w:t xml:space="preserve">Deze flexibiliteit wordt aangebracht door </w:t>
      </w:r>
      <w:r w:rsidRPr="007A14BA">
        <w:rPr>
          <w:rFonts w:ascii="Times New Roman" w:hAnsi="Times New Roman" w:cs="Times New Roman"/>
        </w:rPr>
        <w:t>aanpassingen te doen in het proces van markttoegang met onder andere</w:t>
      </w:r>
      <w:r w:rsidRPr="007A14BA" w:rsidR="000B6112">
        <w:rPr>
          <w:rFonts w:ascii="Times New Roman" w:hAnsi="Times New Roman" w:cs="Times New Roman"/>
        </w:rPr>
        <w:t xml:space="preserve"> testomgevingen (</w:t>
      </w:r>
      <w:r w:rsidRPr="007A14BA">
        <w:rPr>
          <w:rFonts w:ascii="Times New Roman" w:hAnsi="Times New Roman" w:cs="Times New Roman"/>
          <w:i/>
          <w:iCs/>
        </w:rPr>
        <w:t>regulatory sand</w:t>
      </w:r>
      <w:r w:rsidRPr="007A14BA" w:rsidR="00E47604">
        <w:rPr>
          <w:rFonts w:ascii="Times New Roman" w:hAnsi="Times New Roman" w:cs="Times New Roman"/>
          <w:i/>
          <w:iCs/>
        </w:rPr>
        <w:t>boxes</w:t>
      </w:r>
      <w:r w:rsidRPr="007A14BA" w:rsidR="000B6112">
        <w:rPr>
          <w:rFonts w:ascii="Times New Roman" w:hAnsi="Times New Roman" w:cs="Times New Roman"/>
          <w:i/>
          <w:iCs/>
        </w:rPr>
        <w:t>)</w:t>
      </w:r>
      <w:r w:rsidRPr="007A14BA" w:rsidR="00E47604">
        <w:rPr>
          <w:rFonts w:ascii="Times New Roman" w:hAnsi="Times New Roman" w:cs="Times New Roman"/>
        </w:rPr>
        <w:t xml:space="preserve"> waarin ontwikkelaars kunnen experimenteren met nieuwe innovatieve geneesmiddelen. </w:t>
      </w:r>
    </w:p>
    <w:p w:rsidRPr="007A14BA" w:rsidR="00117423" w:rsidP="007A14BA" w:rsidRDefault="00DE29B6" w14:paraId="678E44F1" w14:textId="58B9FE6A">
      <w:pPr>
        <w:rPr>
          <w:rFonts w:ascii="Times New Roman" w:hAnsi="Times New Roman" w:cs="Times New Roman"/>
        </w:rPr>
      </w:pPr>
      <w:r w:rsidRPr="007A14BA">
        <w:rPr>
          <w:rFonts w:ascii="Times New Roman" w:hAnsi="Times New Roman" w:cs="Times New Roman"/>
        </w:rPr>
        <w:t xml:space="preserve">Nederland loopt volgens een van de gesprekspartners </w:t>
      </w:r>
      <w:r w:rsidRPr="007A14BA" w:rsidR="009A497F">
        <w:rPr>
          <w:rFonts w:ascii="Times New Roman" w:hAnsi="Times New Roman" w:cs="Times New Roman"/>
        </w:rPr>
        <w:t xml:space="preserve">voorop </w:t>
      </w:r>
      <w:r w:rsidRPr="007A14BA">
        <w:rPr>
          <w:rFonts w:ascii="Times New Roman" w:hAnsi="Times New Roman" w:cs="Times New Roman"/>
        </w:rPr>
        <w:t xml:space="preserve">met betrekking tot </w:t>
      </w:r>
      <w:r w:rsidRPr="007A14BA">
        <w:rPr>
          <w:rFonts w:ascii="Times New Roman" w:hAnsi="Times New Roman" w:cs="Times New Roman"/>
          <w:i/>
          <w:iCs/>
        </w:rPr>
        <w:t>repurposing</w:t>
      </w:r>
      <w:r w:rsidRPr="007A14BA" w:rsidR="009A497F">
        <w:rPr>
          <w:rFonts w:ascii="Times New Roman" w:hAnsi="Times New Roman" w:cs="Times New Roman"/>
          <w:i/>
          <w:iCs/>
        </w:rPr>
        <w:t xml:space="preserve">, </w:t>
      </w:r>
      <w:r w:rsidRPr="007A14BA" w:rsidR="009A497F">
        <w:rPr>
          <w:rFonts w:ascii="Times New Roman" w:hAnsi="Times New Roman" w:cs="Times New Roman"/>
        </w:rPr>
        <w:t>het opnieuw evalueren van een geneesmiddel voor de behandeling van een andere aandoening,</w:t>
      </w:r>
      <w:r w:rsidRPr="007A14BA" w:rsidR="009A497F">
        <w:rPr>
          <w:rFonts w:ascii="Times New Roman" w:hAnsi="Times New Roman" w:cs="Times New Roman"/>
          <w:i/>
          <w:iCs/>
        </w:rPr>
        <w:t xml:space="preserve"> </w:t>
      </w:r>
      <w:r w:rsidRPr="007A14BA">
        <w:rPr>
          <w:rFonts w:ascii="Times New Roman" w:hAnsi="Times New Roman" w:cs="Times New Roman"/>
        </w:rPr>
        <w:t>en onvervulde medische behoefte</w:t>
      </w:r>
      <w:r w:rsidRPr="007A14BA" w:rsidR="00AD29C9">
        <w:rPr>
          <w:rFonts w:ascii="Times New Roman" w:hAnsi="Times New Roman" w:cs="Times New Roman"/>
        </w:rPr>
        <w:t>n</w:t>
      </w:r>
      <w:r w:rsidRPr="007A14BA" w:rsidR="009A497F">
        <w:rPr>
          <w:rFonts w:ascii="Times New Roman" w:hAnsi="Times New Roman" w:cs="Times New Roman"/>
        </w:rPr>
        <w:t xml:space="preserve">. </w:t>
      </w:r>
      <w:r w:rsidRPr="007A14BA" w:rsidR="00AD29C9">
        <w:rPr>
          <w:rFonts w:ascii="Times New Roman" w:hAnsi="Times New Roman" w:cs="Times New Roman"/>
        </w:rPr>
        <w:t xml:space="preserve">De wetgeving ziet onder andere toe op </w:t>
      </w:r>
      <w:r w:rsidRPr="007A14BA" w:rsidR="00AD29C9">
        <w:rPr>
          <w:rFonts w:ascii="Times New Roman" w:hAnsi="Times New Roman" w:cs="Times New Roman"/>
          <w:i/>
          <w:iCs/>
        </w:rPr>
        <w:t>personalized medicines</w:t>
      </w:r>
      <w:r w:rsidRPr="007A14BA" w:rsidR="00C83971">
        <w:rPr>
          <w:rFonts w:ascii="Times New Roman" w:hAnsi="Times New Roman" w:cs="Times New Roman"/>
        </w:rPr>
        <w:t xml:space="preserve"> met een</w:t>
      </w:r>
      <w:r w:rsidRPr="007A14BA" w:rsidR="00117423">
        <w:rPr>
          <w:rFonts w:ascii="Times New Roman" w:hAnsi="Times New Roman" w:cs="Times New Roman"/>
        </w:rPr>
        <w:t xml:space="preserve"> eerste poging om een systeem te </w:t>
      </w:r>
      <w:r w:rsidRPr="007A14BA" w:rsidR="00F0582A">
        <w:rPr>
          <w:rFonts w:ascii="Times New Roman" w:hAnsi="Times New Roman" w:cs="Times New Roman"/>
        </w:rPr>
        <w:t>creëren</w:t>
      </w:r>
      <w:r w:rsidRPr="007A14BA" w:rsidR="00117423">
        <w:rPr>
          <w:rFonts w:ascii="Times New Roman" w:hAnsi="Times New Roman" w:cs="Times New Roman"/>
        </w:rPr>
        <w:t xml:space="preserve"> waarin dergelijke </w:t>
      </w:r>
      <w:r w:rsidRPr="007A14BA" w:rsidR="000B2240">
        <w:rPr>
          <w:rFonts w:ascii="Times New Roman" w:hAnsi="Times New Roman" w:cs="Times New Roman"/>
        </w:rPr>
        <w:lastRenderedPageBreak/>
        <w:t>geneesmiddelen</w:t>
      </w:r>
      <w:r w:rsidRPr="007A14BA" w:rsidR="00117423">
        <w:rPr>
          <w:rFonts w:ascii="Times New Roman" w:hAnsi="Times New Roman" w:cs="Times New Roman"/>
        </w:rPr>
        <w:t xml:space="preserve"> ontwikkel</w:t>
      </w:r>
      <w:r w:rsidRPr="007A14BA" w:rsidR="00DC2732">
        <w:rPr>
          <w:rFonts w:ascii="Times New Roman" w:hAnsi="Times New Roman" w:cs="Times New Roman"/>
        </w:rPr>
        <w:t>d</w:t>
      </w:r>
      <w:r w:rsidRPr="007A14BA" w:rsidR="00117423">
        <w:rPr>
          <w:rFonts w:ascii="Times New Roman" w:hAnsi="Times New Roman" w:cs="Times New Roman"/>
        </w:rPr>
        <w:t xml:space="preserve"> kunnen worden. </w:t>
      </w:r>
      <w:r w:rsidRPr="007A14BA" w:rsidR="000B2240">
        <w:rPr>
          <w:rFonts w:ascii="Times New Roman" w:hAnsi="Times New Roman" w:cs="Times New Roman"/>
        </w:rPr>
        <w:t xml:space="preserve">Volgens een gesprekspartner </w:t>
      </w:r>
      <w:r w:rsidRPr="007A14BA" w:rsidR="000B6112">
        <w:rPr>
          <w:rFonts w:ascii="Times New Roman" w:hAnsi="Times New Roman" w:cs="Times New Roman"/>
        </w:rPr>
        <w:t xml:space="preserve">zou de wetgeving nog specifieker de ontwikkeling van bepaalde soort innovatieve geneesmiddelen moeten stimuleren. Met </w:t>
      </w:r>
      <w:r w:rsidRPr="007A14BA" w:rsidR="000B2240">
        <w:rPr>
          <w:rFonts w:ascii="Times New Roman" w:hAnsi="Times New Roman" w:cs="Times New Roman"/>
        </w:rPr>
        <w:t xml:space="preserve">name bij geneesmiddelen voor zeldzame ziekten, </w:t>
      </w:r>
      <w:r w:rsidRPr="007A14BA" w:rsidR="000B2240">
        <w:rPr>
          <w:rFonts w:ascii="Times New Roman" w:hAnsi="Times New Roman" w:cs="Times New Roman"/>
          <w:i/>
          <w:iCs/>
        </w:rPr>
        <w:t>repurposing</w:t>
      </w:r>
      <w:r w:rsidRPr="007A14BA" w:rsidR="000B2240">
        <w:rPr>
          <w:rFonts w:ascii="Times New Roman" w:hAnsi="Times New Roman" w:cs="Times New Roman"/>
        </w:rPr>
        <w:t xml:space="preserve"> en </w:t>
      </w:r>
      <w:r w:rsidRPr="007A14BA" w:rsidR="00767C8B">
        <w:rPr>
          <w:rFonts w:ascii="Times New Roman" w:hAnsi="Times New Roman" w:cs="Times New Roman"/>
        </w:rPr>
        <w:lastRenderedPageBreak/>
        <w:t>geneesmiddelen waarbij gebruik wordt gemaakt van RNA-technologie</w:t>
      </w:r>
      <w:r w:rsidRPr="007A14BA" w:rsidR="00913F54">
        <w:rPr>
          <w:rStyle w:val="Voetnootmarkering"/>
          <w:rFonts w:ascii="Times New Roman" w:hAnsi="Times New Roman" w:cs="Times New Roman"/>
        </w:rPr>
        <w:footnoteReference w:id="4"/>
      </w:r>
      <w:r w:rsidRPr="007A14BA" w:rsidR="00767C8B">
        <w:rPr>
          <w:rFonts w:ascii="Times New Roman" w:hAnsi="Times New Roman" w:cs="Times New Roman"/>
        </w:rPr>
        <w:t xml:space="preserve">. </w:t>
      </w:r>
      <w:r w:rsidRPr="007A14BA" w:rsidR="000B2240">
        <w:rPr>
          <w:rFonts w:ascii="Times New Roman" w:hAnsi="Times New Roman" w:cs="Times New Roman"/>
        </w:rPr>
        <w:t xml:space="preserve">Verder moet er </w:t>
      </w:r>
      <w:r w:rsidRPr="007A14BA" w:rsidR="00DC2732">
        <w:rPr>
          <w:rFonts w:ascii="Times New Roman" w:hAnsi="Times New Roman" w:cs="Times New Roman"/>
        </w:rPr>
        <w:t xml:space="preserve">volgens deze gesprekspartner </w:t>
      </w:r>
      <w:r w:rsidRPr="007A14BA" w:rsidR="000B2240">
        <w:rPr>
          <w:rFonts w:ascii="Times New Roman" w:hAnsi="Times New Roman" w:cs="Times New Roman"/>
        </w:rPr>
        <w:t>vooral zoveel mogelijk ruimte overblijven om te experimenteren</w:t>
      </w:r>
      <w:r w:rsidRPr="007A14BA" w:rsidR="00767C8B">
        <w:rPr>
          <w:rFonts w:ascii="Times New Roman" w:hAnsi="Times New Roman" w:cs="Times New Roman"/>
        </w:rPr>
        <w:t xml:space="preserve"> en blijft investeren noodzakelijk</w:t>
      </w:r>
      <w:r w:rsidRPr="007A14BA" w:rsidR="000B2240">
        <w:rPr>
          <w:rFonts w:ascii="Times New Roman" w:hAnsi="Times New Roman" w:cs="Times New Roman"/>
        </w:rPr>
        <w:t xml:space="preserve">. </w:t>
      </w:r>
    </w:p>
    <w:p w:rsidRPr="007A14BA" w:rsidR="00117423" w:rsidP="007A14BA" w:rsidRDefault="00913F54" w14:paraId="58FD2D5F" w14:textId="70BCE245">
      <w:pPr>
        <w:rPr>
          <w:rFonts w:ascii="Times New Roman" w:hAnsi="Times New Roman" w:cs="Times New Roman"/>
        </w:rPr>
      </w:pPr>
      <w:r w:rsidRPr="007A14BA">
        <w:rPr>
          <w:rFonts w:ascii="Times New Roman" w:hAnsi="Times New Roman" w:cs="Times New Roman"/>
        </w:rPr>
        <w:t>Een aantal gesprekspartners verwacht dat d</w:t>
      </w:r>
      <w:r w:rsidRPr="007A14BA" w:rsidR="00117423">
        <w:rPr>
          <w:rFonts w:ascii="Times New Roman" w:hAnsi="Times New Roman" w:cs="Times New Roman"/>
        </w:rPr>
        <w:t>e Europese ruimte voor gezondheidsgegevens</w:t>
      </w:r>
      <w:r w:rsidRPr="007A14BA" w:rsidR="00434C1F">
        <w:rPr>
          <w:rStyle w:val="Voetnootmarkering"/>
          <w:rFonts w:ascii="Times New Roman" w:hAnsi="Times New Roman" w:cs="Times New Roman"/>
        </w:rPr>
        <w:footnoteReference w:id="5"/>
      </w:r>
      <w:r w:rsidRPr="007A14BA" w:rsidR="00117423">
        <w:rPr>
          <w:rFonts w:ascii="Times New Roman" w:hAnsi="Times New Roman" w:cs="Times New Roman"/>
        </w:rPr>
        <w:t xml:space="preserve"> </w:t>
      </w:r>
      <w:r w:rsidRPr="007A14BA" w:rsidR="002E71E2">
        <w:rPr>
          <w:rFonts w:ascii="Times New Roman" w:hAnsi="Times New Roman" w:cs="Times New Roman"/>
        </w:rPr>
        <w:t xml:space="preserve">(EHDS) </w:t>
      </w:r>
      <w:r w:rsidRPr="007A14BA">
        <w:rPr>
          <w:rFonts w:ascii="Times New Roman" w:hAnsi="Times New Roman" w:cs="Times New Roman"/>
        </w:rPr>
        <w:t xml:space="preserve">zal </w:t>
      </w:r>
      <w:r w:rsidRPr="007A14BA" w:rsidR="00117423">
        <w:rPr>
          <w:rFonts w:ascii="Times New Roman" w:hAnsi="Times New Roman" w:cs="Times New Roman"/>
        </w:rPr>
        <w:t>bijdragen aan innovatie</w:t>
      </w:r>
      <w:r w:rsidRPr="007A14BA" w:rsidR="00DC2732">
        <w:rPr>
          <w:rFonts w:ascii="Times New Roman" w:hAnsi="Times New Roman" w:cs="Times New Roman"/>
        </w:rPr>
        <w:t>.</w:t>
      </w:r>
      <w:r w:rsidRPr="007A14BA" w:rsidR="008B2964">
        <w:rPr>
          <w:rFonts w:ascii="Times New Roman" w:hAnsi="Times New Roman" w:cs="Times New Roman"/>
        </w:rPr>
        <w:t xml:space="preserve"> </w:t>
      </w:r>
      <w:r w:rsidRPr="007A14BA">
        <w:rPr>
          <w:rFonts w:ascii="Times New Roman" w:hAnsi="Times New Roman" w:cs="Times New Roman"/>
        </w:rPr>
        <w:t>De gesprekspartners benadrukten dat o</w:t>
      </w:r>
      <w:r w:rsidRPr="007A14BA" w:rsidR="008B2964">
        <w:rPr>
          <w:rFonts w:ascii="Times New Roman" w:hAnsi="Times New Roman" w:cs="Times New Roman"/>
        </w:rPr>
        <w:t>nafhankelijke databronnen noodzakelijk</w:t>
      </w:r>
      <w:r w:rsidRPr="007A14BA">
        <w:rPr>
          <w:rFonts w:ascii="Times New Roman" w:hAnsi="Times New Roman" w:cs="Times New Roman"/>
        </w:rPr>
        <w:t xml:space="preserve"> zijn</w:t>
      </w:r>
      <w:r w:rsidRPr="007A14BA" w:rsidR="008B2964">
        <w:rPr>
          <w:rFonts w:ascii="Times New Roman" w:hAnsi="Times New Roman" w:cs="Times New Roman"/>
        </w:rPr>
        <w:t xml:space="preserve"> voor innovatie. Het gebrek aan toegang tot kwalitatieve data is een van de grootste problemen voor geneesmiddelontwikkelaars. Een andere belangrijke positieve ontwikkeling is de </w:t>
      </w:r>
      <w:r w:rsidRPr="007A14BA" w:rsidR="00117423">
        <w:rPr>
          <w:rFonts w:ascii="Times New Roman" w:hAnsi="Times New Roman" w:cs="Times New Roman"/>
        </w:rPr>
        <w:t xml:space="preserve">harmonisatie van de Health </w:t>
      </w:r>
      <w:r w:rsidRPr="007A14BA" w:rsidR="0022640C">
        <w:rPr>
          <w:rFonts w:ascii="Times New Roman" w:hAnsi="Times New Roman" w:cs="Times New Roman"/>
        </w:rPr>
        <w:t>T</w:t>
      </w:r>
      <w:r w:rsidRPr="007A14BA" w:rsidR="00117423">
        <w:rPr>
          <w:rFonts w:ascii="Times New Roman" w:hAnsi="Times New Roman" w:cs="Times New Roman"/>
        </w:rPr>
        <w:t xml:space="preserve">echnology </w:t>
      </w:r>
      <w:r w:rsidRPr="007A14BA" w:rsidR="0022640C">
        <w:rPr>
          <w:rFonts w:ascii="Times New Roman" w:hAnsi="Times New Roman" w:cs="Times New Roman"/>
        </w:rPr>
        <w:t>A</w:t>
      </w:r>
      <w:r w:rsidRPr="007A14BA" w:rsidR="00117423">
        <w:rPr>
          <w:rFonts w:ascii="Times New Roman" w:hAnsi="Times New Roman" w:cs="Times New Roman"/>
        </w:rPr>
        <w:t>ssessements</w:t>
      </w:r>
      <w:r w:rsidRPr="007A14BA" w:rsidR="008B2964">
        <w:rPr>
          <w:rFonts w:ascii="Times New Roman" w:hAnsi="Times New Roman" w:cs="Times New Roman"/>
        </w:rPr>
        <w:t xml:space="preserve"> (HTA)</w:t>
      </w:r>
      <w:r w:rsidRPr="007A14BA" w:rsidR="00187468">
        <w:rPr>
          <w:rStyle w:val="Voetnootmarkering"/>
          <w:rFonts w:ascii="Times New Roman" w:hAnsi="Times New Roman" w:cs="Times New Roman"/>
        </w:rPr>
        <w:footnoteReference w:id="6"/>
      </w:r>
      <w:r w:rsidRPr="007A14BA" w:rsidR="008B2964">
        <w:rPr>
          <w:rFonts w:ascii="Times New Roman" w:hAnsi="Times New Roman" w:cs="Times New Roman"/>
        </w:rPr>
        <w:t>.</w:t>
      </w:r>
    </w:p>
    <w:p w:rsidRPr="007A14BA" w:rsidR="009A497F" w:rsidP="007A14BA" w:rsidRDefault="009A497F" w14:paraId="5BD979F5" w14:textId="77777777">
      <w:pPr>
        <w:rPr>
          <w:rFonts w:ascii="Times New Roman" w:hAnsi="Times New Roman" w:cs="Times New Roman"/>
        </w:rPr>
      </w:pPr>
    </w:p>
    <w:p w:rsidRPr="007A14BA" w:rsidR="00BA658C" w:rsidP="007A14BA" w:rsidRDefault="004D2A98" w14:paraId="54E4E990" w14:textId="4050AB32">
      <w:pPr>
        <w:rPr>
          <w:rFonts w:ascii="Times New Roman" w:hAnsi="Times New Roman" w:cs="Times New Roman"/>
          <w:i/>
          <w:iCs/>
        </w:rPr>
      </w:pPr>
      <w:r w:rsidRPr="007A14BA">
        <w:rPr>
          <w:rFonts w:ascii="Times New Roman" w:hAnsi="Times New Roman" w:cs="Times New Roman"/>
          <w:i/>
          <w:iCs/>
        </w:rPr>
        <w:t>Regulato</w:t>
      </w:r>
      <w:r w:rsidRPr="007A14BA" w:rsidR="00EC26D2">
        <w:rPr>
          <w:rFonts w:ascii="Times New Roman" w:hAnsi="Times New Roman" w:cs="Times New Roman"/>
          <w:i/>
          <w:iCs/>
        </w:rPr>
        <w:t>ire</w:t>
      </w:r>
      <w:r w:rsidRPr="007A14BA">
        <w:rPr>
          <w:rFonts w:ascii="Times New Roman" w:hAnsi="Times New Roman" w:cs="Times New Roman"/>
          <w:i/>
          <w:iCs/>
        </w:rPr>
        <w:t xml:space="preserve"> bescherming van geneesmiddelen</w:t>
      </w:r>
    </w:p>
    <w:p w:rsidRPr="007A14BA" w:rsidR="00A30C39" w:rsidP="007A14BA" w:rsidRDefault="0048726E" w14:paraId="321FB6B3" w14:textId="516BDF18">
      <w:pPr>
        <w:rPr>
          <w:rFonts w:ascii="Times New Roman" w:hAnsi="Times New Roman" w:cs="Times New Roman"/>
        </w:rPr>
      </w:pPr>
      <w:r w:rsidRPr="007A14BA">
        <w:rPr>
          <w:rFonts w:ascii="Times New Roman" w:hAnsi="Times New Roman" w:cs="Times New Roman"/>
        </w:rPr>
        <w:t>De Europese Commissie stelt in het geneesmiddelenpakket voor het</w:t>
      </w:r>
      <w:r w:rsidRPr="007A14BA" w:rsidR="00B837CA">
        <w:rPr>
          <w:rFonts w:ascii="Times New Roman" w:hAnsi="Times New Roman" w:cs="Times New Roman"/>
        </w:rPr>
        <w:t xml:space="preserve"> </w:t>
      </w:r>
      <w:r w:rsidRPr="007A14BA" w:rsidR="00E47604">
        <w:rPr>
          <w:rFonts w:ascii="Times New Roman" w:hAnsi="Times New Roman" w:cs="Times New Roman"/>
        </w:rPr>
        <w:t xml:space="preserve">proces van markttoegang </w:t>
      </w:r>
      <w:r w:rsidRPr="007A14BA" w:rsidR="004D2A98">
        <w:rPr>
          <w:rFonts w:ascii="Times New Roman" w:hAnsi="Times New Roman" w:cs="Times New Roman"/>
        </w:rPr>
        <w:t>voor generieke geneesmiddelen</w:t>
      </w:r>
      <w:r w:rsidRPr="007A14BA">
        <w:rPr>
          <w:rFonts w:ascii="Times New Roman" w:hAnsi="Times New Roman" w:cs="Times New Roman"/>
        </w:rPr>
        <w:t xml:space="preserve"> aan te passen</w:t>
      </w:r>
      <w:r w:rsidRPr="007A14BA" w:rsidR="00B837CA">
        <w:rPr>
          <w:rFonts w:ascii="Times New Roman" w:hAnsi="Times New Roman" w:cs="Times New Roman"/>
        </w:rPr>
        <w:t>.</w:t>
      </w:r>
      <w:r w:rsidRPr="007A14BA" w:rsidR="00510812">
        <w:rPr>
          <w:rFonts w:ascii="Times New Roman" w:hAnsi="Times New Roman" w:cs="Times New Roman"/>
        </w:rPr>
        <w:t xml:space="preserve"> </w:t>
      </w:r>
    </w:p>
    <w:tbl>
      <w:tblPr>
        <w:tblStyle w:val="Tabelraster"/>
        <w:tblpPr w:leftFromText="141" w:rightFromText="141" w:vertAnchor="text" w:horzAnchor="margin" w:tblpY="3494"/>
        <w:tblW w:w="0" w:type="auto"/>
        <w:tblLook w:val="04A0" w:firstRow="1" w:lastRow="0" w:firstColumn="1" w:lastColumn="0" w:noHBand="0" w:noVBand="1"/>
      </w:tblPr>
      <w:tblGrid>
        <w:gridCol w:w="3020"/>
        <w:gridCol w:w="3021"/>
        <w:gridCol w:w="3021"/>
      </w:tblGrid>
      <w:tr w:rsidRPr="007A14BA" w:rsidR="00837FFE" w:rsidTr="00837FFE" w14:paraId="7696B328" w14:textId="77777777">
        <w:tc>
          <w:tcPr>
            <w:tcW w:w="3020" w:type="dxa"/>
          </w:tcPr>
          <w:p w:rsidRPr="007A14BA" w:rsidR="00837FFE" w:rsidP="007A14BA" w:rsidRDefault="00837FFE" w14:paraId="7414D3FB" w14:textId="77777777">
            <w:pPr>
              <w:rPr>
                <w:rFonts w:ascii="Times New Roman" w:hAnsi="Times New Roman" w:cs="Times New Roman"/>
                <w:b/>
                <w:bCs/>
              </w:rPr>
            </w:pPr>
            <w:r w:rsidRPr="007A14BA">
              <w:rPr>
                <w:rFonts w:ascii="Times New Roman" w:hAnsi="Times New Roman" w:cs="Times New Roman"/>
                <w:b/>
                <w:bCs/>
              </w:rPr>
              <w:t xml:space="preserve">Beschermingstype </w:t>
            </w:r>
          </w:p>
        </w:tc>
        <w:tc>
          <w:tcPr>
            <w:tcW w:w="3021" w:type="dxa"/>
          </w:tcPr>
          <w:p w:rsidRPr="007A14BA" w:rsidR="00837FFE" w:rsidP="007A14BA" w:rsidRDefault="00837FFE" w14:paraId="5E15407D" w14:textId="77777777">
            <w:pPr>
              <w:rPr>
                <w:rFonts w:ascii="Times New Roman" w:hAnsi="Times New Roman" w:cs="Times New Roman"/>
                <w:b/>
                <w:bCs/>
              </w:rPr>
            </w:pPr>
            <w:r w:rsidRPr="007A14BA">
              <w:rPr>
                <w:rFonts w:ascii="Times New Roman" w:hAnsi="Times New Roman" w:cs="Times New Roman"/>
                <w:b/>
                <w:bCs/>
              </w:rPr>
              <w:t xml:space="preserve">Huidig systeem </w:t>
            </w:r>
          </w:p>
        </w:tc>
        <w:tc>
          <w:tcPr>
            <w:tcW w:w="3021" w:type="dxa"/>
          </w:tcPr>
          <w:p w:rsidRPr="007A14BA" w:rsidR="00837FFE" w:rsidP="007A14BA" w:rsidRDefault="00837FFE" w14:paraId="7057E26F" w14:textId="77777777">
            <w:pPr>
              <w:rPr>
                <w:rFonts w:ascii="Times New Roman" w:hAnsi="Times New Roman" w:cs="Times New Roman"/>
                <w:b/>
                <w:bCs/>
              </w:rPr>
            </w:pPr>
            <w:r w:rsidRPr="007A14BA">
              <w:rPr>
                <w:rFonts w:ascii="Times New Roman" w:hAnsi="Times New Roman" w:cs="Times New Roman"/>
                <w:b/>
                <w:bCs/>
              </w:rPr>
              <w:t>Voorstel Europese Commissie</w:t>
            </w:r>
          </w:p>
        </w:tc>
      </w:tr>
      <w:tr w:rsidRPr="007A14BA" w:rsidR="00837FFE" w:rsidTr="00837FFE" w14:paraId="4BF46B16" w14:textId="77777777">
        <w:tc>
          <w:tcPr>
            <w:tcW w:w="3020" w:type="dxa"/>
          </w:tcPr>
          <w:p w:rsidRPr="007A14BA" w:rsidR="00837FFE" w:rsidP="007A14BA" w:rsidRDefault="00837FFE" w14:paraId="0E640909" w14:textId="77777777">
            <w:pPr>
              <w:rPr>
                <w:rFonts w:ascii="Times New Roman" w:hAnsi="Times New Roman" w:cs="Times New Roman"/>
                <w:b/>
                <w:bCs/>
              </w:rPr>
            </w:pPr>
            <w:r w:rsidRPr="007A14BA">
              <w:rPr>
                <w:rFonts w:ascii="Times New Roman" w:hAnsi="Times New Roman" w:cs="Times New Roman"/>
                <w:b/>
                <w:bCs/>
              </w:rPr>
              <w:t>Databescherming</w:t>
            </w:r>
            <w:r w:rsidRPr="007A14BA">
              <w:rPr>
                <w:rStyle w:val="Voetnootmarkering"/>
                <w:rFonts w:ascii="Times New Roman" w:hAnsi="Times New Roman" w:cs="Times New Roman"/>
                <w:b/>
                <w:bCs/>
              </w:rPr>
              <w:footnoteReference w:id="7"/>
            </w:r>
          </w:p>
        </w:tc>
        <w:tc>
          <w:tcPr>
            <w:tcW w:w="3021" w:type="dxa"/>
          </w:tcPr>
          <w:p w:rsidRPr="007A14BA" w:rsidR="00837FFE" w:rsidP="007A14BA" w:rsidRDefault="00837FFE" w14:paraId="2EBB495B" w14:textId="77777777">
            <w:pPr>
              <w:rPr>
                <w:rFonts w:ascii="Times New Roman" w:hAnsi="Times New Roman" w:cs="Times New Roman"/>
              </w:rPr>
            </w:pPr>
            <w:r w:rsidRPr="007A14BA">
              <w:rPr>
                <w:rFonts w:ascii="Times New Roman" w:hAnsi="Times New Roman" w:cs="Times New Roman"/>
              </w:rPr>
              <w:t xml:space="preserve">8 jaar </w:t>
            </w:r>
          </w:p>
        </w:tc>
        <w:tc>
          <w:tcPr>
            <w:tcW w:w="3021" w:type="dxa"/>
          </w:tcPr>
          <w:p w:rsidRPr="007A14BA" w:rsidR="00837FFE" w:rsidP="007A14BA" w:rsidRDefault="00837FFE" w14:paraId="61F9EC8B" w14:textId="77777777">
            <w:pPr>
              <w:rPr>
                <w:rFonts w:ascii="Times New Roman" w:hAnsi="Times New Roman" w:cs="Times New Roman"/>
              </w:rPr>
            </w:pPr>
            <w:r w:rsidRPr="007A14BA">
              <w:rPr>
                <w:rFonts w:ascii="Times New Roman" w:hAnsi="Times New Roman" w:cs="Times New Roman"/>
              </w:rPr>
              <w:t xml:space="preserve">6 jaar </w:t>
            </w:r>
          </w:p>
        </w:tc>
      </w:tr>
      <w:tr w:rsidRPr="007A14BA" w:rsidR="00837FFE" w:rsidTr="00837FFE" w14:paraId="0A677166" w14:textId="77777777">
        <w:tc>
          <w:tcPr>
            <w:tcW w:w="3020" w:type="dxa"/>
          </w:tcPr>
          <w:p w:rsidRPr="007A14BA" w:rsidR="00837FFE" w:rsidP="007A14BA" w:rsidRDefault="00837FFE" w14:paraId="7ABCF59E" w14:textId="77777777">
            <w:pPr>
              <w:rPr>
                <w:rFonts w:ascii="Times New Roman" w:hAnsi="Times New Roman" w:cs="Times New Roman"/>
                <w:b/>
                <w:bCs/>
              </w:rPr>
            </w:pPr>
            <w:r w:rsidRPr="007A14BA">
              <w:rPr>
                <w:rFonts w:ascii="Times New Roman" w:hAnsi="Times New Roman" w:cs="Times New Roman"/>
                <w:b/>
                <w:bCs/>
              </w:rPr>
              <w:t xml:space="preserve">Uitbreiding databescherming onder bepaalde voorwaarden </w:t>
            </w:r>
          </w:p>
        </w:tc>
        <w:tc>
          <w:tcPr>
            <w:tcW w:w="3021" w:type="dxa"/>
          </w:tcPr>
          <w:p w:rsidRPr="007A14BA" w:rsidR="00837FFE" w:rsidP="007A14BA" w:rsidRDefault="00837FFE" w14:paraId="3E27AB4E" w14:textId="692789AF">
            <w:pPr>
              <w:pStyle w:val="Lijstalinea"/>
              <w:numPr>
                <w:ilvl w:val="0"/>
                <w:numId w:val="5"/>
              </w:numPr>
              <w:rPr>
                <w:rFonts w:ascii="Times New Roman" w:hAnsi="Times New Roman" w:cs="Times New Roman"/>
              </w:rPr>
            </w:pPr>
            <w:r w:rsidRPr="007A14BA">
              <w:rPr>
                <w:rFonts w:ascii="Times New Roman" w:hAnsi="Times New Roman" w:cs="Times New Roman"/>
              </w:rPr>
              <w:t xml:space="preserve">Significante bijdrage </w:t>
            </w:r>
            <w:r w:rsidRPr="007A14BA" w:rsidR="005F4E4C">
              <w:rPr>
                <w:rFonts w:ascii="Times New Roman" w:hAnsi="Times New Roman" w:cs="Times New Roman"/>
              </w:rPr>
              <w:t>aan innovatie</w:t>
            </w:r>
            <w:r w:rsidRPr="007A14BA">
              <w:rPr>
                <w:rFonts w:ascii="Times New Roman" w:hAnsi="Times New Roman" w:cs="Times New Roman"/>
              </w:rPr>
              <w:t xml:space="preserve"> (1 jaar)</w:t>
            </w:r>
          </w:p>
        </w:tc>
        <w:tc>
          <w:tcPr>
            <w:tcW w:w="3021" w:type="dxa"/>
          </w:tcPr>
          <w:p w:rsidRPr="007A14BA" w:rsidR="00837FFE" w:rsidP="007A14BA" w:rsidRDefault="00837FFE" w14:paraId="12E3A163" w14:textId="77777777">
            <w:pPr>
              <w:pStyle w:val="Lijstalinea"/>
              <w:numPr>
                <w:ilvl w:val="0"/>
                <w:numId w:val="5"/>
              </w:numPr>
              <w:rPr>
                <w:rFonts w:ascii="Times New Roman" w:hAnsi="Times New Roman" w:cs="Times New Roman"/>
              </w:rPr>
            </w:pPr>
            <w:r w:rsidRPr="007A14BA">
              <w:rPr>
                <w:rFonts w:ascii="Times New Roman" w:hAnsi="Times New Roman" w:cs="Times New Roman"/>
              </w:rPr>
              <w:t>Onvervulde medische behoeften (6 maanden)</w:t>
            </w:r>
          </w:p>
          <w:p w:rsidRPr="007A14BA" w:rsidR="00837FFE" w:rsidP="007A14BA" w:rsidRDefault="00837FFE" w14:paraId="41B30278" w14:textId="77777777">
            <w:pPr>
              <w:pStyle w:val="Lijstalinea"/>
              <w:numPr>
                <w:ilvl w:val="0"/>
                <w:numId w:val="5"/>
              </w:numPr>
              <w:rPr>
                <w:rFonts w:ascii="Times New Roman" w:hAnsi="Times New Roman" w:cs="Times New Roman"/>
              </w:rPr>
            </w:pPr>
            <w:r w:rsidRPr="007A14BA">
              <w:rPr>
                <w:rFonts w:ascii="Times New Roman" w:hAnsi="Times New Roman" w:cs="Times New Roman"/>
              </w:rPr>
              <w:t>Vergelijkende klinische studie (6 maanden)</w:t>
            </w:r>
          </w:p>
          <w:p w:rsidRPr="007A14BA" w:rsidR="00837FFE" w:rsidP="007A14BA" w:rsidRDefault="00837FFE" w14:paraId="0B729595" w14:textId="77777777">
            <w:pPr>
              <w:pStyle w:val="Lijstalinea"/>
              <w:numPr>
                <w:ilvl w:val="0"/>
                <w:numId w:val="5"/>
              </w:numPr>
              <w:rPr>
                <w:rFonts w:ascii="Times New Roman" w:hAnsi="Times New Roman" w:cs="Times New Roman"/>
              </w:rPr>
            </w:pPr>
            <w:r w:rsidRPr="007A14BA">
              <w:rPr>
                <w:rFonts w:ascii="Times New Roman" w:hAnsi="Times New Roman" w:cs="Times New Roman"/>
              </w:rPr>
              <w:t>Weesgeneesmiddelen (2 jaar)</w:t>
            </w:r>
          </w:p>
          <w:p w:rsidRPr="007A14BA" w:rsidR="00837FFE" w:rsidP="007A14BA" w:rsidRDefault="00837FFE" w14:paraId="45E11C64" w14:textId="77777777">
            <w:pPr>
              <w:pStyle w:val="Lijstalinea"/>
              <w:numPr>
                <w:ilvl w:val="0"/>
                <w:numId w:val="5"/>
              </w:numPr>
              <w:rPr>
                <w:rFonts w:ascii="Times New Roman" w:hAnsi="Times New Roman" w:cs="Times New Roman"/>
              </w:rPr>
            </w:pPr>
            <w:r w:rsidRPr="007A14BA">
              <w:rPr>
                <w:rFonts w:ascii="Times New Roman" w:hAnsi="Times New Roman" w:cs="Times New Roman"/>
              </w:rPr>
              <w:lastRenderedPageBreak/>
              <w:t xml:space="preserve">Uitzonderlijke klinische bijdrage (1 jaar) </w:t>
            </w:r>
          </w:p>
          <w:p w:rsidRPr="007A14BA" w:rsidR="00837FFE" w:rsidP="007A14BA" w:rsidRDefault="00837FFE" w14:paraId="680B090F" w14:textId="77777777">
            <w:pPr>
              <w:pStyle w:val="Lijstalinea"/>
              <w:numPr>
                <w:ilvl w:val="0"/>
                <w:numId w:val="5"/>
              </w:numPr>
              <w:rPr>
                <w:rFonts w:ascii="Times New Roman" w:hAnsi="Times New Roman" w:cs="Times New Roman"/>
              </w:rPr>
            </w:pPr>
            <w:r w:rsidRPr="007A14BA">
              <w:rPr>
                <w:rFonts w:ascii="Times New Roman" w:hAnsi="Times New Roman" w:cs="Times New Roman"/>
              </w:rPr>
              <w:t>EU-brede toegang (2 jaar)</w:t>
            </w:r>
          </w:p>
        </w:tc>
      </w:tr>
      <w:tr w:rsidRPr="007A14BA" w:rsidR="00837FFE" w:rsidTr="00837FFE" w14:paraId="2E1E9648" w14:textId="77777777">
        <w:tc>
          <w:tcPr>
            <w:tcW w:w="3020" w:type="dxa"/>
          </w:tcPr>
          <w:p w:rsidRPr="007A14BA" w:rsidR="00837FFE" w:rsidP="007A14BA" w:rsidRDefault="00837FFE" w14:paraId="3D760D94" w14:textId="77777777">
            <w:pPr>
              <w:rPr>
                <w:rFonts w:ascii="Times New Roman" w:hAnsi="Times New Roman" w:cs="Times New Roman"/>
                <w:b/>
                <w:bCs/>
              </w:rPr>
            </w:pPr>
            <w:r w:rsidRPr="007A14BA">
              <w:rPr>
                <w:rFonts w:ascii="Times New Roman" w:hAnsi="Times New Roman" w:cs="Times New Roman"/>
                <w:b/>
                <w:bCs/>
              </w:rPr>
              <w:lastRenderedPageBreak/>
              <w:t>Marktexclusiviteit</w:t>
            </w:r>
            <w:r w:rsidRPr="007A14BA">
              <w:rPr>
                <w:rStyle w:val="Voetnootmarkering"/>
                <w:rFonts w:ascii="Times New Roman" w:hAnsi="Times New Roman" w:cs="Times New Roman"/>
                <w:b/>
                <w:bCs/>
              </w:rPr>
              <w:footnoteReference w:id="8"/>
            </w:r>
            <w:r w:rsidRPr="007A14BA">
              <w:rPr>
                <w:rFonts w:ascii="Times New Roman" w:hAnsi="Times New Roman" w:cs="Times New Roman"/>
                <w:b/>
                <w:bCs/>
              </w:rPr>
              <w:t xml:space="preserve"> </w:t>
            </w:r>
          </w:p>
        </w:tc>
        <w:tc>
          <w:tcPr>
            <w:tcW w:w="3021" w:type="dxa"/>
          </w:tcPr>
          <w:p w:rsidRPr="007A14BA" w:rsidR="00837FFE" w:rsidP="007A14BA" w:rsidRDefault="00837FFE" w14:paraId="74F3B117" w14:textId="77777777">
            <w:pPr>
              <w:rPr>
                <w:rFonts w:ascii="Times New Roman" w:hAnsi="Times New Roman" w:cs="Times New Roman"/>
              </w:rPr>
            </w:pPr>
            <w:r w:rsidRPr="007A14BA">
              <w:rPr>
                <w:rFonts w:ascii="Times New Roman" w:hAnsi="Times New Roman" w:cs="Times New Roman"/>
              </w:rPr>
              <w:t xml:space="preserve">2 jaar </w:t>
            </w:r>
          </w:p>
        </w:tc>
        <w:tc>
          <w:tcPr>
            <w:tcW w:w="3021" w:type="dxa"/>
          </w:tcPr>
          <w:p w:rsidRPr="007A14BA" w:rsidR="00837FFE" w:rsidP="007A14BA" w:rsidRDefault="00837FFE" w14:paraId="43DDC6C0" w14:textId="77777777">
            <w:pPr>
              <w:rPr>
                <w:rFonts w:ascii="Times New Roman" w:hAnsi="Times New Roman" w:cs="Times New Roman"/>
              </w:rPr>
            </w:pPr>
            <w:r w:rsidRPr="007A14BA">
              <w:rPr>
                <w:rFonts w:ascii="Times New Roman" w:hAnsi="Times New Roman" w:cs="Times New Roman"/>
              </w:rPr>
              <w:t xml:space="preserve">2 jaar </w:t>
            </w:r>
          </w:p>
        </w:tc>
      </w:tr>
      <w:tr w:rsidRPr="007A14BA" w:rsidR="00837FFE" w:rsidTr="00837FFE" w14:paraId="397F3EC8" w14:textId="77777777">
        <w:tc>
          <w:tcPr>
            <w:tcW w:w="3020" w:type="dxa"/>
          </w:tcPr>
          <w:p w:rsidRPr="007A14BA" w:rsidR="00837FFE" w:rsidP="007A14BA" w:rsidRDefault="00837FFE" w14:paraId="66781C86" w14:textId="77777777">
            <w:pPr>
              <w:rPr>
                <w:rFonts w:ascii="Times New Roman" w:hAnsi="Times New Roman" w:cs="Times New Roman"/>
                <w:b/>
                <w:bCs/>
              </w:rPr>
            </w:pPr>
            <w:r w:rsidRPr="007A14BA">
              <w:rPr>
                <w:rFonts w:ascii="Times New Roman" w:hAnsi="Times New Roman" w:cs="Times New Roman"/>
                <w:b/>
                <w:bCs/>
              </w:rPr>
              <w:t xml:space="preserve">Maximale totale beschermingsperiode </w:t>
            </w:r>
          </w:p>
        </w:tc>
        <w:tc>
          <w:tcPr>
            <w:tcW w:w="3021" w:type="dxa"/>
          </w:tcPr>
          <w:p w:rsidRPr="007A14BA" w:rsidR="00837FFE" w:rsidP="007A14BA" w:rsidRDefault="00837FFE" w14:paraId="28EB2EC0" w14:textId="77777777">
            <w:pPr>
              <w:rPr>
                <w:rFonts w:ascii="Times New Roman" w:hAnsi="Times New Roman" w:cs="Times New Roman"/>
              </w:rPr>
            </w:pPr>
            <w:r w:rsidRPr="007A14BA">
              <w:rPr>
                <w:rFonts w:ascii="Times New Roman" w:hAnsi="Times New Roman" w:cs="Times New Roman"/>
              </w:rPr>
              <w:t xml:space="preserve">11 jaar </w:t>
            </w:r>
          </w:p>
        </w:tc>
        <w:tc>
          <w:tcPr>
            <w:tcW w:w="3021" w:type="dxa"/>
          </w:tcPr>
          <w:p w:rsidRPr="007A14BA" w:rsidR="00837FFE" w:rsidP="007A14BA" w:rsidRDefault="00837FFE" w14:paraId="616D4F12" w14:textId="77777777">
            <w:pPr>
              <w:rPr>
                <w:rFonts w:ascii="Times New Roman" w:hAnsi="Times New Roman" w:cs="Times New Roman"/>
              </w:rPr>
            </w:pPr>
            <w:r w:rsidRPr="007A14BA">
              <w:rPr>
                <w:rFonts w:ascii="Times New Roman" w:hAnsi="Times New Roman" w:cs="Times New Roman"/>
              </w:rPr>
              <w:t xml:space="preserve">11 jaar </w:t>
            </w:r>
          </w:p>
        </w:tc>
      </w:tr>
    </w:tbl>
    <w:p w:rsidRPr="007A14BA" w:rsidR="0C13700D" w:rsidP="007A14BA" w:rsidRDefault="0C13700D" w14:paraId="0FE25EFC" w14:textId="44761628">
      <w:pPr>
        <w:rPr>
          <w:rFonts w:ascii="Times New Roman" w:hAnsi="Times New Roman" w:cs="Times New Roman"/>
        </w:rPr>
      </w:pPr>
    </w:p>
    <w:p w:rsidRPr="007A14BA" w:rsidR="00A30C39" w:rsidP="007A14BA" w:rsidRDefault="00A30C39" w14:paraId="267E5B0A" w14:textId="12FA9F64">
      <w:pPr>
        <w:rPr>
          <w:rFonts w:ascii="Times New Roman" w:hAnsi="Times New Roman" w:cs="Times New Roman"/>
        </w:rPr>
      </w:pPr>
      <w:r w:rsidRPr="007A14BA">
        <w:rPr>
          <w:rFonts w:ascii="Times New Roman" w:hAnsi="Times New Roman" w:cs="Times New Roman"/>
        </w:rPr>
        <w:t xml:space="preserve">Het voorstel van de Europese Commissie is om de </w:t>
      </w:r>
      <w:r w:rsidRPr="007A14BA" w:rsidR="00434C1F">
        <w:rPr>
          <w:rFonts w:ascii="Times New Roman" w:hAnsi="Times New Roman" w:cs="Times New Roman"/>
        </w:rPr>
        <w:t>data- en marktbeschermingsperiode</w:t>
      </w:r>
      <w:r w:rsidRPr="007A14BA" w:rsidR="002E71E2">
        <w:rPr>
          <w:rFonts w:ascii="Times New Roman" w:hAnsi="Times New Roman" w:cs="Times New Roman"/>
        </w:rPr>
        <w:t>n</w:t>
      </w:r>
      <w:r w:rsidRPr="007A14BA" w:rsidR="00B837CA">
        <w:rPr>
          <w:rFonts w:ascii="Times New Roman" w:hAnsi="Times New Roman" w:cs="Times New Roman"/>
        </w:rPr>
        <w:t xml:space="preserve"> </w:t>
      </w:r>
      <w:r w:rsidRPr="007A14BA" w:rsidR="00434C1F">
        <w:rPr>
          <w:rFonts w:ascii="Times New Roman" w:hAnsi="Times New Roman" w:cs="Times New Roman"/>
        </w:rPr>
        <w:t>voor nieuwe geneesmiddelen</w:t>
      </w:r>
      <w:r w:rsidRPr="007A14BA">
        <w:rPr>
          <w:rFonts w:ascii="Times New Roman" w:hAnsi="Times New Roman" w:cs="Times New Roman"/>
        </w:rPr>
        <w:t xml:space="preserve"> te wijzigen</w:t>
      </w:r>
      <w:r w:rsidRPr="007A14BA" w:rsidR="00B837CA">
        <w:rPr>
          <w:rFonts w:ascii="Times New Roman" w:hAnsi="Times New Roman" w:cs="Times New Roman"/>
        </w:rPr>
        <w:t>.</w:t>
      </w:r>
      <w:r w:rsidRPr="007A14BA">
        <w:rPr>
          <w:rFonts w:ascii="Times New Roman" w:hAnsi="Times New Roman" w:cs="Times New Roman"/>
        </w:rPr>
        <w:t xml:space="preserve"> </w:t>
      </w:r>
      <w:r w:rsidRPr="007A14BA" w:rsidR="00127873">
        <w:rPr>
          <w:rFonts w:ascii="Times New Roman" w:hAnsi="Times New Roman" w:cs="Times New Roman"/>
        </w:rPr>
        <w:t>Dit gebeurt onder andere met een gemoduleerd systeem waarin een aantal stimulansen worden aangebracht in de beschermingsperioden om ervoor te zorgen dat geneesmiddelen voor bepaalde aandoeningen of geneesmiddelen die onder bepaalde omstandigheden worden ontwikkel</w:t>
      </w:r>
      <w:r w:rsidRPr="007A14BA" w:rsidR="00AF0F15">
        <w:rPr>
          <w:rFonts w:ascii="Times New Roman" w:hAnsi="Times New Roman" w:cs="Times New Roman"/>
        </w:rPr>
        <w:t>d</w:t>
      </w:r>
      <w:r w:rsidRPr="007A14BA" w:rsidR="00127873">
        <w:rPr>
          <w:rFonts w:ascii="Times New Roman" w:hAnsi="Times New Roman" w:cs="Times New Roman"/>
        </w:rPr>
        <w:t xml:space="preserve"> meer geïnnoveerd gaat worden. Onder een aantal voorwaarden kan de beschermingsperiode worden verlengd. Het gemoduleerde systeem en de lengte van de beschermingsperioden zijn cruciale punten in de onderhandelingen. Deze raken namelijk aan het verdienvermogen van de farmaceutische industrie. Vooral de lidstaten met een grote farmaceutische industrie hebben de voorkeur om het huidige systeem voor markttoegang te behouden zoals het is.  De onderstaande tabel biedt een overzicht van het huidige systeem en het voorstel van de Europese Commissie. </w:t>
      </w:r>
    </w:p>
    <w:p w:rsidRPr="007A14BA" w:rsidR="00837FFE" w:rsidP="007A14BA" w:rsidRDefault="00837FFE" w14:paraId="7D46E4D9" w14:textId="77777777">
      <w:pPr>
        <w:rPr>
          <w:rFonts w:ascii="Times New Roman" w:hAnsi="Times New Roman" w:cs="Times New Roman"/>
        </w:rPr>
      </w:pPr>
    </w:p>
    <w:p w:rsidRPr="007A14BA" w:rsidR="006A5C05" w:rsidP="007A14BA" w:rsidRDefault="00E067A0" w14:paraId="5B3812AB" w14:textId="54157FDC">
      <w:pPr>
        <w:rPr>
          <w:rFonts w:ascii="Times New Roman" w:hAnsi="Times New Roman" w:cs="Times New Roman"/>
        </w:rPr>
      </w:pPr>
      <w:r w:rsidRPr="007A14BA">
        <w:rPr>
          <w:rFonts w:ascii="Times New Roman" w:hAnsi="Times New Roman" w:cs="Times New Roman"/>
        </w:rPr>
        <w:t xml:space="preserve">Een voorbeeld van </w:t>
      </w:r>
      <w:r w:rsidRPr="007A14BA" w:rsidR="003A5C9D">
        <w:rPr>
          <w:rFonts w:ascii="Times New Roman" w:hAnsi="Times New Roman" w:cs="Times New Roman"/>
        </w:rPr>
        <w:t xml:space="preserve">wetgeving waar een </w:t>
      </w:r>
      <w:r w:rsidRPr="007A14BA" w:rsidR="00E25385">
        <w:rPr>
          <w:rFonts w:ascii="Times New Roman" w:hAnsi="Times New Roman" w:cs="Times New Roman"/>
        </w:rPr>
        <w:t xml:space="preserve">dergelijk gemoduleerd systeem </w:t>
      </w:r>
      <w:r w:rsidRPr="007A14BA" w:rsidR="002E71E2">
        <w:rPr>
          <w:rFonts w:ascii="Times New Roman" w:hAnsi="Times New Roman" w:cs="Times New Roman"/>
        </w:rPr>
        <w:t xml:space="preserve">al is ingevoerd, </w:t>
      </w:r>
      <w:r w:rsidRPr="007A14BA" w:rsidR="003A5C9D">
        <w:rPr>
          <w:rFonts w:ascii="Times New Roman" w:hAnsi="Times New Roman" w:cs="Times New Roman"/>
        </w:rPr>
        <w:t>is de wetgeving voor veterinaire geneesmiddelen</w:t>
      </w:r>
      <w:r w:rsidRPr="007A14BA" w:rsidR="00E25385">
        <w:rPr>
          <w:rStyle w:val="Voetnootmarkering"/>
          <w:rFonts w:ascii="Times New Roman" w:hAnsi="Times New Roman" w:cs="Times New Roman"/>
        </w:rPr>
        <w:footnoteReference w:id="9"/>
      </w:r>
      <w:r w:rsidRPr="007A14BA" w:rsidR="003A5C9D">
        <w:rPr>
          <w:rFonts w:ascii="Times New Roman" w:hAnsi="Times New Roman" w:cs="Times New Roman"/>
        </w:rPr>
        <w:t xml:space="preserve">. </w:t>
      </w:r>
      <w:r w:rsidRPr="007A14BA" w:rsidR="00E23D7D">
        <w:rPr>
          <w:rFonts w:ascii="Times New Roman" w:hAnsi="Times New Roman" w:cs="Times New Roman"/>
        </w:rPr>
        <w:t xml:space="preserve">Een aantal </w:t>
      </w:r>
      <w:r w:rsidRPr="007A14BA" w:rsidR="00B837CA">
        <w:rPr>
          <w:rFonts w:ascii="Times New Roman" w:hAnsi="Times New Roman" w:cs="Times New Roman"/>
        </w:rPr>
        <w:t xml:space="preserve">gesprekspartners </w:t>
      </w:r>
      <w:r w:rsidRPr="007A14BA" w:rsidR="00E23D7D">
        <w:rPr>
          <w:rFonts w:ascii="Times New Roman" w:hAnsi="Times New Roman" w:cs="Times New Roman"/>
        </w:rPr>
        <w:t>vroegen zich af</w:t>
      </w:r>
      <w:r w:rsidRPr="007A14BA" w:rsidR="00B837CA">
        <w:rPr>
          <w:rFonts w:ascii="Times New Roman" w:hAnsi="Times New Roman" w:cs="Times New Roman"/>
        </w:rPr>
        <w:t xml:space="preserve"> of </w:t>
      </w:r>
      <w:r w:rsidRPr="007A14BA" w:rsidR="002E71E2">
        <w:rPr>
          <w:rFonts w:ascii="Times New Roman" w:hAnsi="Times New Roman" w:cs="Times New Roman"/>
        </w:rPr>
        <w:t xml:space="preserve">er resultaten bekend zijn </w:t>
      </w:r>
      <w:r w:rsidRPr="007A14BA" w:rsidR="007E3C4B">
        <w:rPr>
          <w:rFonts w:ascii="Times New Roman" w:hAnsi="Times New Roman" w:cs="Times New Roman"/>
        </w:rPr>
        <w:t xml:space="preserve">en </w:t>
      </w:r>
      <w:r w:rsidRPr="007A14BA" w:rsidR="002E71E2">
        <w:rPr>
          <w:rFonts w:ascii="Times New Roman" w:hAnsi="Times New Roman" w:cs="Times New Roman"/>
        </w:rPr>
        <w:t>of dit</w:t>
      </w:r>
      <w:r w:rsidRPr="007A14BA" w:rsidR="00B837CA">
        <w:rPr>
          <w:rFonts w:ascii="Times New Roman" w:hAnsi="Times New Roman" w:cs="Times New Roman"/>
        </w:rPr>
        <w:t xml:space="preserve"> gemoduleerde systeem bijdraagt aan de doelstellingen</w:t>
      </w:r>
      <w:r w:rsidRPr="007A14BA" w:rsidR="002E71E2">
        <w:rPr>
          <w:rFonts w:ascii="Times New Roman" w:hAnsi="Times New Roman" w:cs="Times New Roman"/>
        </w:rPr>
        <w:t xml:space="preserve"> van meer innovatie en beschikbaarheid</w:t>
      </w:r>
      <w:r w:rsidRPr="007A14BA" w:rsidR="00B837CA">
        <w:rPr>
          <w:rFonts w:ascii="Times New Roman" w:hAnsi="Times New Roman" w:cs="Times New Roman"/>
        </w:rPr>
        <w:t xml:space="preserve">. </w:t>
      </w:r>
    </w:p>
    <w:p w:rsidRPr="007A14BA" w:rsidR="00123B8B" w:rsidP="007A14BA" w:rsidRDefault="00123B8B" w14:paraId="1C7A0EF4" w14:textId="77777777">
      <w:pPr>
        <w:rPr>
          <w:rFonts w:ascii="Times New Roman" w:hAnsi="Times New Roman" w:cs="Times New Roman"/>
        </w:rPr>
      </w:pPr>
    </w:p>
    <w:p w:rsidRPr="007A14BA" w:rsidR="006A5C05" w:rsidP="007A14BA" w:rsidRDefault="006A5C05" w14:paraId="3CC8B58F" w14:textId="77777777">
      <w:pPr>
        <w:rPr>
          <w:rFonts w:ascii="Times New Roman" w:hAnsi="Times New Roman" w:cs="Times New Roman"/>
          <w:i/>
          <w:iCs/>
        </w:rPr>
      </w:pPr>
      <w:r w:rsidRPr="007A14BA">
        <w:rPr>
          <w:rFonts w:ascii="Times New Roman" w:hAnsi="Times New Roman" w:cs="Times New Roman"/>
          <w:i/>
          <w:iCs/>
        </w:rPr>
        <w:t xml:space="preserve">Voucher </w:t>
      </w:r>
    </w:p>
    <w:p w:rsidRPr="007A14BA" w:rsidR="00E23D7D" w:rsidP="007A14BA" w:rsidRDefault="006A5C05" w14:paraId="30E74C9B" w14:textId="3C7775E6">
      <w:pPr>
        <w:rPr>
          <w:rFonts w:ascii="Times New Roman" w:hAnsi="Times New Roman" w:cs="Times New Roman"/>
        </w:rPr>
      </w:pPr>
      <w:r w:rsidRPr="007A14BA">
        <w:rPr>
          <w:rFonts w:ascii="Times New Roman" w:hAnsi="Times New Roman" w:cs="Times New Roman"/>
        </w:rPr>
        <w:t>De Europese Commissie doet een voorstel om</w:t>
      </w:r>
      <w:r w:rsidRPr="007A14BA" w:rsidR="006431DB">
        <w:rPr>
          <w:rFonts w:ascii="Times New Roman" w:hAnsi="Times New Roman" w:cs="Times New Roman"/>
        </w:rPr>
        <w:t xml:space="preserve"> de ontwikkeling van</w:t>
      </w:r>
      <w:r w:rsidRPr="007A14BA">
        <w:rPr>
          <w:rFonts w:ascii="Times New Roman" w:hAnsi="Times New Roman" w:cs="Times New Roman"/>
        </w:rPr>
        <w:t xml:space="preserve"> nieuwe antimicrobiële geneesmiddelen te </w:t>
      </w:r>
      <w:r w:rsidRPr="007A14BA" w:rsidR="006431DB">
        <w:rPr>
          <w:rFonts w:ascii="Times New Roman" w:hAnsi="Times New Roman" w:cs="Times New Roman"/>
        </w:rPr>
        <w:t xml:space="preserve">stimuleren </w:t>
      </w:r>
      <w:r w:rsidRPr="007A14BA" w:rsidR="002E71E2">
        <w:rPr>
          <w:rFonts w:ascii="Times New Roman" w:hAnsi="Times New Roman" w:cs="Times New Roman"/>
        </w:rPr>
        <w:t xml:space="preserve">met behulp van </w:t>
      </w:r>
      <w:r w:rsidRPr="007A14BA">
        <w:rPr>
          <w:rFonts w:ascii="Times New Roman" w:hAnsi="Times New Roman" w:cs="Times New Roman"/>
        </w:rPr>
        <w:t xml:space="preserve">een </w:t>
      </w:r>
      <w:r w:rsidRPr="007A14BA" w:rsidR="002E71E2">
        <w:rPr>
          <w:rFonts w:ascii="Times New Roman" w:hAnsi="Times New Roman" w:cs="Times New Roman"/>
        </w:rPr>
        <w:t xml:space="preserve">potentieel </w:t>
      </w:r>
      <w:r w:rsidRPr="007A14BA">
        <w:rPr>
          <w:rFonts w:ascii="Times New Roman" w:hAnsi="Times New Roman" w:cs="Times New Roman"/>
        </w:rPr>
        <w:t xml:space="preserve">nieuw verdienmodel. </w:t>
      </w:r>
      <w:r w:rsidRPr="007A14BA" w:rsidR="006431DB">
        <w:rPr>
          <w:rFonts w:ascii="Times New Roman" w:hAnsi="Times New Roman" w:cs="Times New Roman"/>
        </w:rPr>
        <w:t xml:space="preserve">Voor de ontwikkeling van de antimicrobiële geneesmiddelen kunnen ontwikkelaars een voucher ontvangen. </w:t>
      </w:r>
      <w:r w:rsidRPr="007A14BA" w:rsidR="005F4E4C">
        <w:rPr>
          <w:rFonts w:ascii="Times New Roman" w:hAnsi="Times New Roman" w:cs="Times New Roman"/>
        </w:rPr>
        <w:t>De voucher</w:t>
      </w:r>
      <w:r w:rsidRPr="007A14BA" w:rsidR="006431DB">
        <w:rPr>
          <w:rFonts w:ascii="Times New Roman" w:hAnsi="Times New Roman" w:cs="Times New Roman"/>
        </w:rPr>
        <w:t xml:space="preserve"> is een extra jaar databescherming waard en is overdraagbaar aan andere geneesmiddelontwikkelaars. Door het voucher overdraagbaar te maken hoopt de Europese Commissie de ontwikkeling van nieuwe antimicrobiële geneesmiddelen te stimuleren. </w:t>
      </w:r>
      <w:r w:rsidRPr="007A14BA" w:rsidR="002E71E2">
        <w:rPr>
          <w:rFonts w:ascii="Times New Roman" w:hAnsi="Times New Roman" w:cs="Times New Roman"/>
        </w:rPr>
        <w:t>De ontwikkelingskosten van g</w:t>
      </w:r>
      <w:r w:rsidRPr="007A14BA" w:rsidR="006431DB">
        <w:rPr>
          <w:rFonts w:ascii="Times New Roman" w:hAnsi="Times New Roman" w:cs="Times New Roman"/>
        </w:rPr>
        <w:t xml:space="preserve">eneesmiddelen in deze categorie zijn namelijk vaak niet </w:t>
      </w:r>
      <w:r w:rsidRPr="007A14BA" w:rsidR="002E71E2">
        <w:rPr>
          <w:rFonts w:ascii="Times New Roman" w:hAnsi="Times New Roman" w:cs="Times New Roman"/>
        </w:rPr>
        <w:t xml:space="preserve">helemaal </w:t>
      </w:r>
      <w:r w:rsidRPr="007A14BA" w:rsidR="006431DB">
        <w:rPr>
          <w:rFonts w:ascii="Times New Roman" w:hAnsi="Times New Roman" w:cs="Times New Roman"/>
        </w:rPr>
        <w:t>terug te v</w:t>
      </w:r>
      <w:r w:rsidRPr="007A14BA" w:rsidR="00AF5AA8">
        <w:rPr>
          <w:rFonts w:ascii="Times New Roman" w:hAnsi="Times New Roman" w:cs="Times New Roman"/>
        </w:rPr>
        <w:t xml:space="preserve">erdienen </w:t>
      </w:r>
      <w:r w:rsidRPr="007A14BA" w:rsidR="002E71E2">
        <w:rPr>
          <w:rFonts w:ascii="Times New Roman" w:hAnsi="Times New Roman" w:cs="Times New Roman"/>
        </w:rPr>
        <w:t>in de beschermperiode. M</w:t>
      </w:r>
      <w:r w:rsidRPr="007A14BA" w:rsidR="00AF5AA8">
        <w:rPr>
          <w:rFonts w:ascii="Times New Roman" w:hAnsi="Times New Roman" w:cs="Times New Roman"/>
        </w:rPr>
        <w:t>et het extra jaar dat wordt verkregen door de vouchers</w:t>
      </w:r>
      <w:r w:rsidRPr="007A14BA" w:rsidR="002E71E2">
        <w:rPr>
          <w:rFonts w:ascii="Times New Roman" w:hAnsi="Times New Roman" w:cs="Times New Roman"/>
        </w:rPr>
        <w:t xml:space="preserve"> zou dit wel mogelijk worden</w:t>
      </w:r>
      <w:r w:rsidRPr="007A14BA" w:rsidR="00AF5AA8">
        <w:rPr>
          <w:rFonts w:ascii="Times New Roman" w:hAnsi="Times New Roman" w:cs="Times New Roman"/>
        </w:rPr>
        <w:t>.</w:t>
      </w:r>
      <w:r w:rsidRPr="007A14BA" w:rsidR="006431DB">
        <w:rPr>
          <w:rFonts w:ascii="Times New Roman" w:hAnsi="Times New Roman" w:cs="Times New Roman"/>
        </w:rPr>
        <w:t xml:space="preserve"> </w:t>
      </w:r>
      <w:r w:rsidRPr="007A14BA">
        <w:rPr>
          <w:rFonts w:ascii="Times New Roman" w:hAnsi="Times New Roman" w:cs="Times New Roman"/>
        </w:rPr>
        <w:t xml:space="preserve"> </w:t>
      </w:r>
      <w:r w:rsidRPr="007A14BA" w:rsidR="00E23D7D">
        <w:rPr>
          <w:rFonts w:ascii="Times New Roman" w:hAnsi="Times New Roman" w:cs="Times New Roman"/>
        </w:rPr>
        <w:t>Ondanks dat de gesprekspartners geen alternatieven konden bedenken</w:t>
      </w:r>
      <w:r w:rsidRPr="007A14BA" w:rsidR="002E71E2">
        <w:rPr>
          <w:rFonts w:ascii="Times New Roman" w:hAnsi="Times New Roman" w:cs="Times New Roman"/>
        </w:rPr>
        <w:t xml:space="preserve">, zien we </w:t>
      </w:r>
      <w:r w:rsidRPr="007A14BA" w:rsidR="00E23D7D">
        <w:rPr>
          <w:rFonts w:ascii="Times New Roman" w:hAnsi="Times New Roman" w:cs="Times New Roman"/>
        </w:rPr>
        <w:t>wel grote risico’s</w:t>
      </w:r>
      <w:r w:rsidRPr="007A14BA" w:rsidR="002E71E2">
        <w:rPr>
          <w:rFonts w:ascii="Times New Roman" w:hAnsi="Times New Roman" w:cs="Times New Roman"/>
        </w:rPr>
        <w:t xml:space="preserve"> met dit vouchersysteem</w:t>
      </w:r>
      <w:r w:rsidRPr="007A14BA" w:rsidR="00E23D7D">
        <w:rPr>
          <w:rFonts w:ascii="Times New Roman" w:hAnsi="Times New Roman" w:cs="Times New Roman"/>
        </w:rPr>
        <w:t xml:space="preserve">. </w:t>
      </w:r>
      <w:r w:rsidRPr="007A14BA" w:rsidR="00A30C39">
        <w:rPr>
          <w:rFonts w:ascii="Times New Roman" w:hAnsi="Times New Roman" w:cs="Times New Roman"/>
        </w:rPr>
        <w:t xml:space="preserve">Zo zouden de vouchers niet bijdragen aan </w:t>
      </w:r>
      <w:r w:rsidRPr="007A14BA" w:rsidR="007A6F61">
        <w:rPr>
          <w:rFonts w:ascii="Times New Roman" w:hAnsi="Times New Roman" w:cs="Times New Roman"/>
        </w:rPr>
        <w:t xml:space="preserve">brede markttoegang van nieuwe antimicrobiële </w:t>
      </w:r>
      <w:r w:rsidRPr="007A14BA" w:rsidR="007A6F61">
        <w:rPr>
          <w:rFonts w:ascii="Times New Roman" w:hAnsi="Times New Roman" w:cs="Times New Roman"/>
        </w:rPr>
        <w:lastRenderedPageBreak/>
        <w:t xml:space="preserve">geneesmiddelen, daarnaast zou </w:t>
      </w:r>
      <w:r w:rsidRPr="007A14BA" w:rsidR="005F4E4C">
        <w:rPr>
          <w:rFonts w:ascii="Times New Roman" w:hAnsi="Times New Roman" w:cs="Times New Roman"/>
        </w:rPr>
        <w:t>de voucher</w:t>
      </w:r>
      <w:r w:rsidRPr="007A14BA" w:rsidR="007A6F61">
        <w:rPr>
          <w:rFonts w:ascii="Times New Roman" w:hAnsi="Times New Roman" w:cs="Times New Roman"/>
        </w:rPr>
        <w:t xml:space="preserve"> </w:t>
      </w:r>
      <w:r w:rsidRPr="007A14BA" w:rsidR="005F4E4C">
        <w:rPr>
          <w:rFonts w:ascii="Times New Roman" w:hAnsi="Times New Roman" w:cs="Times New Roman"/>
        </w:rPr>
        <w:t>te veel</w:t>
      </w:r>
      <w:r w:rsidRPr="007A14BA" w:rsidR="007A6F61">
        <w:rPr>
          <w:rFonts w:ascii="Times New Roman" w:hAnsi="Times New Roman" w:cs="Times New Roman"/>
        </w:rPr>
        <w:t xml:space="preserve"> invloed hebben op de markt en de concurrentie tussen </w:t>
      </w:r>
      <w:r w:rsidRPr="007A14BA" w:rsidR="00F142FF">
        <w:rPr>
          <w:rFonts w:ascii="Times New Roman" w:hAnsi="Times New Roman" w:cs="Times New Roman"/>
        </w:rPr>
        <w:t>geneesmiddelenontwikkelaars. De</w:t>
      </w:r>
      <w:r w:rsidRPr="007A14BA" w:rsidR="00E23D7D">
        <w:rPr>
          <w:rFonts w:ascii="Times New Roman" w:hAnsi="Times New Roman" w:cs="Times New Roman"/>
        </w:rPr>
        <w:t xml:space="preserve"> </w:t>
      </w:r>
      <w:r w:rsidRPr="007A14BA" w:rsidR="00FD3672">
        <w:rPr>
          <w:rFonts w:ascii="Times New Roman" w:hAnsi="Times New Roman" w:cs="Times New Roman"/>
        </w:rPr>
        <w:t xml:space="preserve">farmaceutische </w:t>
      </w:r>
      <w:r w:rsidRPr="007A14BA" w:rsidR="00E23D7D">
        <w:rPr>
          <w:rFonts w:ascii="Times New Roman" w:hAnsi="Times New Roman" w:cs="Times New Roman"/>
        </w:rPr>
        <w:t xml:space="preserve">industrie </w:t>
      </w:r>
      <w:r w:rsidRPr="007A14BA" w:rsidR="00FD3672">
        <w:rPr>
          <w:rFonts w:ascii="Times New Roman" w:hAnsi="Times New Roman" w:cs="Times New Roman"/>
        </w:rPr>
        <w:t xml:space="preserve">staat </w:t>
      </w:r>
      <w:r w:rsidRPr="007A14BA" w:rsidR="00E23D7D">
        <w:rPr>
          <w:rFonts w:ascii="Times New Roman" w:hAnsi="Times New Roman" w:cs="Times New Roman"/>
        </w:rPr>
        <w:t xml:space="preserve">positief </w:t>
      </w:r>
      <w:r w:rsidRPr="007A14BA" w:rsidR="00FD3672">
        <w:rPr>
          <w:rFonts w:ascii="Times New Roman" w:hAnsi="Times New Roman" w:cs="Times New Roman"/>
        </w:rPr>
        <w:t>ten opzichte van dit onderdeel van de wetgeving</w:t>
      </w:r>
      <w:r w:rsidRPr="007A14BA" w:rsidR="00E23D7D">
        <w:rPr>
          <w:rFonts w:ascii="Times New Roman" w:hAnsi="Times New Roman" w:cs="Times New Roman"/>
        </w:rPr>
        <w:t>.</w:t>
      </w:r>
      <w:r w:rsidRPr="007A14BA" w:rsidR="00F7008A">
        <w:rPr>
          <w:rFonts w:ascii="Times New Roman" w:hAnsi="Times New Roman" w:cs="Times New Roman"/>
        </w:rPr>
        <w:t xml:space="preserve"> </w:t>
      </w:r>
    </w:p>
    <w:p w:rsidRPr="007A14BA" w:rsidR="00767C8B" w:rsidP="007A14BA" w:rsidRDefault="00767C8B" w14:paraId="162C03E5" w14:textId="77777777">
      <w:pPr>
        <w:rPr>
          <w:rFonts w:ascii="Times New Roman" w:hAnsi="Times New Roman" w:cs="Times New Roman"/>
        </w:rPr>
      </w:pPr>
    </w:p>
    <w:p w:rsidRPr="007A14BA" w:rsidR="00B837CA" w:rsidP="007A14BA" w:rsidRDefault="00B837CA" w14:paraId="72391691" w14:textId="77777777">
      <w:pPr>
        <w:rPr>
          <w:rFonts w:ascii="Times New Roman" w:hAnsi="Times New Roman" w:cs="Times New Roman"/>
          <w:i/>
          <w:iCs/>
        </w:rPr>
      </w:pPr>
      <w:r w:rsidRPr="007A14BA">
        <w:rPr>
          <w:rFonts w:ascii="Times New Roman" w:hAnsi="Times New Roman" w:cs="Times New Roman"/>
          <w:i/>
          <w:iCs/>
        </w:rPr>
        <w:t xml:space="preserve">Beschikbaarheid </w:t>
      </w:r>
    </w:p>
    <w:p w:rsidRPr="007A14BA" w:rsidR="00B837CA" w:rsidP="007A14BA" w:rsidRDefault="00B837CA" w14:paraId="1323C013" w14:textId="4A701185">
      <w:pPr>
        <w:rPr>
          <w:rFonts w:ascii="Times New Roman" w:hAnsi="Times New Roman" w:cs="Times New Roman"/>
        </w:rPr>
      </w:pPr>
      <w:r w:rsidRPr="007A14BA">
        <w:rPr>
          <w:rFonts w:ascii="Times New Roman" w:hAnsi="Times New Roman" w:cs="Times New Roman"/>
        </w:rPr>
        <w:t>De wetgeving zet in op het vergroten van beschikbaarheid van geneesmiddelen op de markt</w:t>
      </w:r>
      <w:r w:rsidRPr="007A14BA" w:rsidR="00FD3672">
        <w:rPr>
          <w:rFonts w:ascii="Times New Roman" w:hAnsi="Times New Roman" w:cs="Times New Roman"/>
        </w:rPr>
        <w:t>. H</w:t>
      </w:r>
      <w:r w:rsidRPr="007A14BA">
        <w:rPr>
          <w:rFonts w:ascii="Times New Roman" w:hAnsi="Times New Roman" w:cs="Times New Roman"/>
        </w:rPr>
        <w:t xml:space="preserve">ieronder valt ook een strengere meldplicht bij tekorten, een verplichting tot het nemen van maatregelen, het gebruik van elektronische bijsluiters en de </w:t>
      </w:r>
      <w:r w:rsidRPr="007A14BA" w:rsidR="005F4E4C">
        <w:rPr>
          <w:rFonts w:ascii="Times New Roman" w:hAnsi="Times New Roman" w:cs="Times New Roman"/>
        </w:rPr>
        <w:t>her uitgifte</w:t>
      </w:r>
      <w:r w:rsidRPr="007A14BA">
        <w:rPr>
          <w:rFonts w:ascii="Times New Roman" w:hAnsi="Times New Roman" w:cs="Times New Roman"/>
        </w:rPr>
        <w:t xml:space="preserve"> van niet</w:t>
      </w:r>
      <w:r w:rsidRPr="007A14BA" w:rsidR="00FD3672">
        <w:rPr>
          <w:rFonts w:ascii="Times New Roman" w:hAnsi="Times New Roman" w:cs="Times New Roman"/>
        </w:rPr>
        <w:t>-</w:t>
      </w:r>
      <w:r w:rsidRPr="007A14BA">
        <w:rPr>
          <w:rFonts w:ascii="Times New Roman" w:hAnsi="Times New Roman" w:cs="Times New Roman"/>
        </w:rPr>
        <w:t>gebruikte geneesmiddelen.</w:t>
      </w:r>
      <w:r w:rsidRPr="007A14BA" w:rsidR="00334EB4">
        <w:rPr>
          <w:rFonts w:ascii="Times New Roman" w:hAnsi="Times New Roman" w:cs="Times New Roman"/>
        </w:rPr>
        <w:t xml:space="preserve"> </w:t>
      </w:r>
      <w:r w:rsidRPr="007A14BA">
        <w:rPr>
          <w:rFonts w:ascii="Times New Roman" w:hAnsi="Times New Roman" w:cs="Times New Roman"/>
        </w:rPr>
        <w:t>De beschikbaarheid van geneesmiddelen staat</w:t>
      </w:r>
      <w:r w:rsidRPr="007A14BA" w:rsidR="00AE69B6">
        <w:rPr>
          <w:rFonts w:ascii="Times New Roman" w:hAnsi="Times New Roman" w:cs="Times New Roman"/>
        </w:rPr>
        <w:t xml:space="preserve"> volgens een gesprekspartner</w:t>
      </w:r>
      <w:r w:rsidRPr="007A14BA">
        <w:rPr>
          <w:rFonts w:ascii="Times New Roman" w:hAnsi="Times New Roman" w:cs="Times New Roman"/>
        </w:rPr>
        <w:t xml:space="preserve"> vaak op gespannen voet met de andere doelstellingen van de geneesmiddelenwetgeving. </w:t>
      </w:r>
    </w:p>
    <w:p w:rsidRPr="007A14BA" w:rsidR="00B837CA" w:rsidP="007A14BA" w:rsidRDefault="00B837CA" w14:paraId="5D8C5511" w14:textId="3B236708">
      <w:pPr>
        <w:rPr>
          <w:rFonts w:ascii="Times New Roman" w:hAnsi="Times New Roman" w:cs="Times New Roman"/>
        </w:rPr>
      </w:pPr>
      <w:r w:rsidRPr="007A14BA">
        <w:rPr>
          <w:rFonts w:ascii="Times New Roman" w:hAnsi="Times New Roman" w:cs="Times New Roman"/>
        </w:rPr>
        <w:t xml:space="preserve">Een van de gesprekspartners benadrukt het belang van samenwerking om beschikbaarheid van geneesmiddelen te kunnen garanderen: ‘’Zonder Europese samenwerking ontstaat er een waterbedeffect’’. Volgens de gesprekspartners is het voorstel om de meldplicht voor tekorten aan geneesmiddelen vast te stellen op zes maanden voor </w:t>
      </w:r>
      <w:r w:rsidRPr="007A14BA" w:rsidR="00E23D7D">
        <w:rPr>
          <w:rFonts w:ascii="Times New Roman" w:hAnsi="Times New Roman" w:cs="Times New Roman"/>
        </w:rPr>
        <w:t>leveranciers en uitvoeringsorganisaties</w:t>
      </w:r>
      <w:r w:rsidRPr="007A14BA">
        <w:rPr>
          <w:rFonts w:ascii="Times New Roman" w:hAnsi="Times New Roman" w:cs="Times New Roman"/>
        </w:rPr>
        <w:t xml:space="preserve"> moeilijk uit te voeren.</w:t>
      </w:r>
      <w:r w:rsidRPr="007A14BA" w:rsidR="00E23D7D">
        <w:rPr>
          <w:rFonts w:ascii="Times New Roman" w:hAnsi="Times New Roman" w:cs="Times New Roman"/>
        </w:rPr>
        <w:t xml:space="preserve"> Een tekort is zo ver van tevoren niet in te schatten</w:t>
      </w:r>
      <w:r w:rsidRPr="007A14BA" w:rsidR="00FD3672">
        <w:rPr>
          <w:rFonts w:ascii="Times New Roman" w:hAnsi="Times New Roman" w:cs="Times New Roman"/>
        </w:rPr>
        <w:t xml:space="preserve">. Zo ontstaat het </w:t>
      </w:r>
      <w:r w:rsidRPr="007A14BA" w:rsidR="00E23D7D">
        <w:rPr>
          <w:rFonts w:ascii="Times New Roman" w:hAnsi="Times New Roman" w:cs="Times New Roman"/>
        </w:rPr>
        <w:t xml:space="preserve">risico dat leveranciers de tekorten voor de zekerheid al aanmelden. </w:t>
      </w:r>
      <w:r w:rsidRPr="007A14BA" w:rsidR="00F26DFD">
        <w:rPr>
          <w:rFonts w:ascii="Times New Roman" w:hAnsi="Times New Roman" w:cs="Times New Roman"/>
        </w:rPr>
        <w:t xml:space="preserve">Daarnaast </w:t>
      </w:r>
      <w:r w:rsidRPr="007A14BA" w:rsidR="00FD3672">
        <w:rPr>
          <w:rFonts w:ascii="Times New Roman" w:hAnsi="Times New Roman" w:cs="Times New Roman"/>
        </w:rPr>
        <w:t>hebben</w:t>
      </w:r>
      <w:r w:rsidRPr="007A14BA" w:rsidR="00F26DFD">
        <w:rPr>
          <w:rFonts w:ascii="Times New Roman" w:hAnsi="Times New Roman" w:cs="Times New Roman"/>
        </w:rPr>
        <w:t xml:space="preserve"> uitvoeringsorganisaties onvoldoende capaciteit om deze meldingen te verwerken. </w:t>
      </w:r>
    </w:p>
    <w:p w:rsidRPr="007A14BA" w:rsidR="00B837CA" w:rsidP="007A14BA" w:rsidRDefault="00B837CA" w14:paraId="6BA867E8" w14:textId="33297E50">
      <w:pPr>
        <w:rPr>
          <w:rFonts w:ascii="Times New Roman" w:hAnsi="Times New Roman" w:cs="Times New Roman"/>
        </w:rPr>
      </w:pPr>
      <w:r w:rsidRPr="007A14BA">
        <w:rPr>
          <w:rFonts w:ascii="Times New Roman" w:hAnsi="Times New Roman" w:cs="Times New Roman"/>
        </w:rPr>
        <w:t>Ondanks dat beschikbaarheid voor alle Europese lidstaten een uitdaging is</w:t>
      </w:r>
      <w:r w:rsidRPr="007A14BA" w:rsidR="00FD3672">
        <w:rPr>
          <w:rFonts w:ascii="Times New Roman" w:hAnsi="Times New Roman" w:cs="Times New Roman"/>
        </w:rPr>
        <w:t>,</w:t>
      </w:r>
      <w:r w:rsidRPr="007A14BA">
        <w:rPr>
          <w:rFonts w:ascii="Times New Roman" w:hAnsi="Times New Roman" w:cs="Times New Roman"/>
        </w:rPr>
        <w:t xml:space="preserve"> wees een van de gesprekspartners </w:t>
      </w:r>
      <w:r w:rsidRPr="007A14BA" w:rsidR="00FD03FC">
        <w:rPr>
          <w:rFonts w:ascii="Times New Roman" w:hAnsi="Times New Roman" w:cs="Times New Roman"/>
        </w:rPr>
        <w:t xml:space="preserve">op de rol van </w:t>
      </w:r>
      <w:r w:rsidRPr="007A14BA">
        <w:rPr>
          <w:rFonts w:ascii="Times New Roman" w:hAnsi="Times New Roman" w:cs="Times New Roman"/>
        </w:rPr>
        <w:t xml:space="preserve">preferentiebeleid van </w:t>
      </w:r>
      <w:r w:rsidRPr="007A14BA" w:rsidR="00FD03FC">
        <w:rPr>
          <w:rFonts w:ascii="Times New Roman" w:hAnsi="Times New Roman" w:cs="Times New Roman"/>
        </w:rPr>
        <w:t xml:space="preserve">Nederlandse </w:t>
      </w:r>
      <w:r w:rsidRPr="007A14BA">
        <w:rPr>
          <w:rFonts w:ascii="Times New Roman" w:hAnsi="Times New Roman" w:cs="Times New Roman"/>
        </w:rPr>
        <w:t xml:space="preserve">verzekeraars. </w:t>
      </w:r>
      <w:r w:rsidRPr="007A14BA" w:rsidR="00FD3672">
        <w:rPr>
          <w:rFonts w:ascii="Times New Roman" w:hAnsi="Times New Roman" w:cs="Times New Roman"/>
        </w:rPr>
        <w:t>Dit beleid heeft als effect</w:t>
      </w:r>
      <w:r w:rsidRPr="007A14BA">
        <w:rPr>
          <w:rFonts w:ascii="Times New Roman" w:hAnsi="Times New Roman" w:cs="Times New Roman"/>
        </w:rPr>
        <w:t xml:space="preserve"> een groter risico op grote verschuivingen </w:t>
      </w:r>
      <w:r w:rsidRPr="007A14BA" w:rsidR="00FD3672">
        <w:rPr>
          <w:rFonts w:ascii="Times New Roman" w:hAnsi="Times New Roman" w:cs="Times New Roman"/>
        </w:rPr>
        <w:t xml:space="preserve">tussen geneesmiddelafzet, </w:t>
      </w:r>
      <w:r w:rsidRPr="007A14BA">
        <w:rPr>
          <w:rFonts w:ascii="Times New Roman" w:hAnsi="Times New Roman" w:cs="Times New Roman"/>
        </w:rPr>
        <w:t xml:space="preserve">waardoor de sector zich onvoldoende kan voorbereiden op het overnemen van productie in het geval van tekorten. </w:t>
      </w:r>
    </w:p>
    <w:p w:rsidRPr="007A14BA" w:rsidR="00AF5AA8" w:rsidP="007A14BA" w:rsidRDefault="00AF5AA8" w14:paraId="2F4951F8" w14:textId="77777777">
      <w:pPr>
        <w:rPr>
          <w:rFonts w:ascii="Times New Roman" w:hAnsi="Times New Roman" w:cs="Times New Roman"/>
          <w:i/>
          <w:iCs/>
        </w:rPr>
      </w:pPr>
      <w:r w:rsidRPr="007A14BA">
        <w:rPr>
          <w:rFonts w:ascii="Times New Roman" w:hAnsi="Times New Roman" w:cs="Times New Roman"/>
          <w:i/>
          <w:iCs/>
        </w:rPr>
        <w:t>Effecten geneesmiddelen op milieu</w:t>
      </w:r>
    </w:p>
    <w:p w:rsidRPr="007A14BA" w:rsidR="001C465D" w:rsidP="007A14BA" w:rsidRDefault="00AF5AA8" w14:paraId="3482443A" w14:textId="3ED50233">
      <w:pPr>
        <w:rPr>
          <w:rFonts w:ascii="Times New Roman" w:hAnsi="Times New Roman" w:cs="Times New Roman"/>
        </w:rPr>
      </w:pPr>
      <w:r w:rsidRPr="007A14BA">
        <w:rPr>
          <w:rFonts w:ascii="Times New Roman" w:hAnsi="Times New Roman" w:cs="Times New Roman"/>
        </w:rPr>
        <w:t xml:space="preserve">De wetgeving ziet toe op het beperken van de gevolgen van het gebruik van geneesmiddelen op het milieu. Zo versterkt het geneesmiddelenpakket de verplichting om de milieueffecten bij de ontwikkeling van een geneesmiddelen te evalueren. Daarnaast wordt voor geneesmiddelen die een gevaar vormen voor het milieu een recept verplicht. </w:t>
      </w:r>
      <w:r w:rsidRPr="007A14BA" w:rsidR="00FD03FC">
        <w:rPr>
          <w:rFonts w:ascii="Times New Roman" w:hAnsi="Times New Roman" w:cs="Times New Roman"/>
        </w:rPr>
        <w:t xml:space="preserve">De </w:t>
      </w:r>
      <w:r w:rsidRPr="007A14BA">
        <w:rPr>
          <w:rFonts w:ascii="Times New Roman" w:hAnsi="Times New Roman" w:cs="Times New Roman"/>
        </w:rPr>
        <w:t>Stedelijk afvalwater richtlijn</w:t>
      </w:r>
      <w:r w:rsidRPr="007A14BA">
        <w:rPr>
          <w:rFonts w:ascii="Times New Roman" w:hAnsi="Times New Roman" w:cs="Times New Roman"/>
          <w:vertAlign w:val="superscript"/>
        </w:rPr>
        <w:footnoteReference w:id="10"/>
      </w:r>
      <w:r w:rsidRPr="007A14BA">
        <w:rPr>
          <w:rFonts w:ascii="Times New Roman" w:hAnsi="Times New Roman" w:cs="Times New Roman"/>
        </w:rPr>
        <w:t>, aangenomen in januari 2024</w:t>
      </w:r>
      <w:r w:rsidRPr="007A14BA" w:rsidR="00FD03FC">
        <w:rPr>
          <w:rFonts w:ascii="Times New Roman" w:hAnsi="Times New Roman" w:cs="Times New Roman"/>
        </w:rPr>
        <w:t xml:space="preserve">, heeft </w:t>
      </w:r>
      <w:r w:rsidRPr="007A14BA" w:rsidR="00123B8B">
        <w:rPr>
          <w:rFonts w:ascii="Times New Roman" w:hAnsi="Times New Roman" w:cs="Times New Roman"/>
        </w:rPr>
        <w:t xml:space="preserve">volgens een aantal gesprekspartners </w:t>
      </w:r>
      <w:r w:rsidRPr="007A14BA" w:rsidR="00FD03FC">
        <w:rPr>
          <w:rFonts w:ascii="Times New Roman" w:hAnsi="Times New Roman" w:cs="Times New Roman"/>
        </w:rPr>
        <w:t>een groot effect voor geneesmiddelenontwikkelaars</w:t>
      </w:r>
      <w:r w:rsidRPr="007A14BA">
        <w:rPr>
          <w:rFonts w:ascii="Times New Roman" w:hAnsi="Times New Roman" w:cs="Times New Roman"/>
        </w:rPr>
        <w:t>. De richtlijn verplicht produc</w:t>
      </w:r>
      <w:r w:rsidRPr="007A14BA" w:rsidR="00FD03FC">
        <w:rPr>
          <w:rFonts w:ascii="Times New Roman" w:hAnsi="Times New Roman" w:cs="Times New Roman"/>
        </w:rPr>
        <w:t>en</w:t>
      </w:r>
      <w:r w:rsidRPr="007A14BA">
        <w:rPr>
          <w:rFonts w:ascii="Times New Roman" w:hAnsi="Times New Roman" w:cs="Times New Roman"/>
        </w:rPr>
        <w:t>ten in de farmaceutische sector om verontreinigingen te compenseren.</w:t>
      </w:r>
    </w:p>
    <w:p w:rsidRPr="007A14BA" w:rsidR="00B11C45" w:rsidP="007A14BA" w:rsidRDefault="00B11C45" w14:paraId="12BA2B44" w14:textId="5FBE7E7A">
      <w:pPr>
        <w:rPr>
          <w:rFonts w:ascii="Times New Roman" w:hAnsi="Times New Roman" w:cs="Times New Roman"/>
          <w:i/>
          <w:iCs/>
        </w:rPr>
      </w:pPr>
      <w:r w:rsidRPr="007A14BA">
        <w:rPr>
          <w:rFonts w:ascii="Times New Roman" w:hAnsi="Times New Roman" w:cs="Times New Roman"/>
          <w:i/>
          <w:iCs/>
        </w:rPr>
        <w:t>Implementatie</w:t>
      </w:r>
    </w:p>
    <w:p w:rsidRPr="007A14BA" w:rsidR="00FD03FC" w:rsidP="007A14BA" w:rsidRDefault="00FF45EE" w14:paraId="0806BB06" w14:textId="222D00DE">
      <w:pPr>
        <w:rPr>
          <w:rFonts w:ascii="Times New Roman" w:hAnsi="Times New Roman" w:cs="Times New Roman"/>
        </w:rPr>
      </w:pPr>
      <w:r w:rsidRPr="007A14BA">
        <w:rPr>
          <w:rFonts w:ascii="Times New Roman" w:hAnsi="Times New Roman" w:cs="Times New Roman"/>
        </w:rPr>
        <w:t>De voorgestelde Europese wetgeving bied</w:t>
      </w:r>
      <w:r w:rsidRPr="007A14BA" w:rsidR="00FD03FC">
        <w:rPr>
          <w:rFonts w:ascii="Times New Roman" w:hAnsi="Times New Roman" w:cs="Times New Roman"/>
        </w:rPr>
        <w:t>t</w:t>
      </w:r>
      <w:r w:rsidRPr="007A14BA">
        <w:rPr>
          <w:rFonts w:ascii="Times New Roman" w:hAnsi="Times New Roman" w:cs="Times New Roman"/>
        </w:rPr>
        <w:t xml:space="preserve"> een kans om een aantal uitdagingen op de geneesmiddelenmarkt aan te pakken. Daarnaast biedt de wetgeving kaders voor crisissen. </w:t>
      </w:r>
      <w:r w:rsidRPr="007A14BA" w:rsidR="00B11C45">
        <w:rPr>
          <w:rFonts w:ascii="Times New Roman" w:hAnsi="Times New Roman" w:cs="Times New Roman"/>
        </w:rPr>
        <w:t xml:space="preserve">Volgens de gesprekspartners is het van belang om bij de </w:t>
      </w:r>
      <w:r w:rsidRPr="007A14BA" w:rsidR="001976E1">
        <w:rPr>
          <w:rFonts w:ascii="Times New Roman" w:hAnsi="Times New Roman" w:cs="Times New Roman"/>
        </w:rPr>
        <w:t xml:space="preserve">implementatie van </w:t>
      </w:r>
      <w:r w:rsidRPr="007A14BA" w:rsidR="00050860">
        <w:rPr>
          <w:rFonts w:ascii="Times New Roman" w:hAnsi="Times New Roman" w:cs="Times New Roman"/>
        </w:rPr>
        <w:t>de verordening</w:t>
      </w:r>
      <w:r w:rsidRPr="007A14BA" w:rsidR="001976E1">
        <w:rPr>
          <w:rFonts w:ascii="Times New Roman" w:hAnsi="Times New Roman" w:cs="Times New Roman"/>
        </w:rPr>
        <w:t xml:space="preserve"> en richtlijn uit het </w:t>
      </w:r>
      <w:r w:rsidRPr="007A14BA">
        <w:rPr>
          <w:rFonts w:ascii="Times New Roman" w:hAnsi="Times New Roman" w:cs="Times New Roman"/>
        </w:rPr>
        <w:t>geneesmiddel</w:t>
      </w:r>
      <w:r w:rsidRPr="007A14BA" w:rsidR="00050860">
        <w:rPr>
          <w:rFonts w:ascii="Times New Roman" w:hAnsi="Times New Roman" w:cs="Times New Roman"/>
        </w:rPr>
        <w:t>en</w:t>
      </w:r>
      <w:r w:rsidRPr="007A14BA">
        <w:rPr>
          <w:rFonts w:ascii="Times New Roman" w:hAnsi="Times New Roman" w:cs="Times New Roman"/>
        </w:rPr>
        <w:t>pakket</w:t>
      </w:r>
      <w:r w:rsidRPr="007A14BA" w:rsidR="001976E1">
        <w:rPr>
          <w:rFonts w:ascii="Times New Roman" w:hAnsi="Times New Roman" w:cs="Times New Roman"/>
        </w:rPr>
        <w:t xml:space="preserve"> rekening te houden met de effecten op de </w:t>
      </w:r>
      <w:r w:rsidRPr="007A14BA" w:rsidR="001976E1">
        <w:rPr>
          <w:rFonts w:ascii="Times New Roman" w:hAnsi="Times New Roman" w:cs="Times New Roman"/>
        </w:rPr>
        <w:lastRenderedPageBreak/>
        <w:t xml:space="preserve">geneesmiddelenprijzen en zorgkosten. </w:t>
      </w:r>
      <w:r w:rsidRPr="007A14BA" w:rsidR="0065287D">
        <w:rPr>
          <w:rFonts w:ascii="Times New Roman" w:hAnsi="Times New Roman" w:cs="Times New Roman"/>
        </w:rPr>
        <w:t>Deze</w:t>
      </w:r>
      <w:r w:rsidRPr="007A14BA" w:rsidR="00FD3672">
        <w:rPr>
          <w:rFonts w:ascii="Times New Roman" w:hAnsi="Times New Roman" w:cs="Times New Roman"/>
        </w:rPr>
        <w:t xml:space="preserve"> zouden </w:t>
      </w:r>
      <w:r w:rsidRPr="007A14BA" w:rsidR="0065287D">
        <w:rPr>
          <w:rFonts w:ascii="Times New Roman" w:hAnsi="Times New Roman" w:cs="Times New Roman"/>
        </w:rPr>
        <w:t xml:space="preserve">allebei </w:t>
      </w:r>
      <w:r w:rsidRPr="007A14BA" w:rsidR="00FD3672">
        <w:rPr>
          <w:rFonts w:ascii="Times New Roman" w:hAnsi="Times New Roman" w:cs="Times New Roman"/>
        </w:rPr>
        <w:t xml:space="preserve">hoger kunnen worden door de wetgeving. </w:t>
      </w:r>
    </w:p>
    <w:p w:rsidRPr="007A14BA" w:rsidR="001976E1" w:rsidP="007A14BA" w:rsidRDefault="00F26DFD" w14:paraId="25451DB3" w14:textId="1F0DCACF">
      <w:pPr>
        <w:rPr>
          <w:rFonts w:ascii="Times New Roman" w:hAnsi="Times New Roman" w:cs="Times New Roman"/>
        </w:rPr>
      </w:pPr>
      <w:r w:rsidRPr="007A14BA">
        <w:rPr>
          <w:rFonts w:ascii="Times New Roman" w:hAnsi="Times New Roman" w:cs="Times New Roman"/>
        </w:rPr>
        <w:t xml:space="preserve">Uit het gesprek met uitvoeringsorganisaties bleek dat er zorgen zijn over de uitvoerbaarheid van de wetgeving. </w:t>
      </w:r>
      <w:r w:rsidRPr="007A14BA" w:rsidR="00443DF6">
        <w:rPr>
          <w:rFonts w:ascii="Times New Roman" w:hAnsi="Times New Roman" w:cs="Times New Roman"/>
        </w:rPr>
        <w:t xml:space="preserve">De transitieperiode zoals voorgesteld door de Europese Commissie is relatief kort, al moet </w:t>
      </w:r>
      <w:r w:rsidRPr="007A14BA" w:rsidR="006E3BBA">
        <w:rPr>
          <w:rFonts w:ascii="Times New Roman" w:hAnsi="Times New Roman" w:cs="Times New Roman"/>
        </w:rPr>
        <w:t>het</w:t>
      </w:r>
      <w:r w:rsidRPr="007A14BA" w:rsidR="00443DF6">
        <w:rPr>
          <w:rFonts w:ascii="Times New Roman" w:hAnsi="Times New Roman" w:cs="Times New Roman"/>
        </w:rPr>
        <w:t xml:space="preserve"> termijn nog worden vastgesteld in de onderhandelingen tussen de Raad en het Europees Parlement. </w:t>
      </w:r>
      <w:r w:rsidRPr="007A14BA" w:rsidR="00FF45EE">
        <w:rPr>
          <w:rFonts w:ascii="Times New Roman" w:hAnsi="Times New Roman" w:cs="Times New Roman"/>
        </w:rPr>
        <w:t>De transitieperiode zoals voorgesteld door de Europese Commissie is relatief kort</w:t>
      </w:r>
      <w:r w:rsidRPr="007A14BA" w:rsidR="001F01C0">
        <w:rPr>
          <w:rFonts w:ascii="Times New Roman" w:hAnsi="Times New Roman" w:cs="Times New Roman"/>
        </w:rPr>
        <w:t xml:space="preserve">, al </w:t>
      </w:r>
      <w:r w:rsidRPr="007A14BA" w:rsidR="00A47E6E">
        <w:rPr>
          <w:rFonts w:ascii="Times New Roman" w:hAnsi="Times New Roman" w:cs="Times New Roman"/>
        </w:rPr>
        <w:t xml:space="preserve">moet </w:t>
      </w:r>
      <w:r w:rsidRPr="007A14BA" w:rsidR="0C13700D">
        <w:rPr>
          <w:rFonts w:ascii="Times New Roman" w:hAnsi="Times New Roman" w:cs="Times New Roman"/>
        </w:rPr>
        <w:t>het</w:t>
      </w:r>
      <w:r w:rsidRPr="007A14BA" w:rsidR="005F4E4C">
        <w:rPr>
          <w:rFonts w:ascii="Times New Roman" w:hAnsi="Times New Roman" w:cs="Times New Roman"/>
        </w:rPr>
        <w:t xml:space="preserve"> termijn</w:t>
      </w:r>
      <w:r w:rsidRPr="007A14BA" w:rsidR="001F01C0">
        <w:rPr>
          <w:rFonts w:ascii="Times New Roman" w:hAnsi="Times New Roman" w:cs="Times New Roman"/>
        </w:rPr>
        <w:t xml:space="preserve"> nog worden vastgesteld in de onderhandelingen tussen de Raad en het Europees Parlement</w:t>
      </w:r>
      <w:r w:rsidRPr="007A14BA" w:rsidR="00695CE3">
        <w:rPr>
          <w:rFonts w:ascii="Times New Roman" w:hAnsi="Times New Roman" w:cs="Times New Roman"/>
        </w:rPr>
        <w:t>.</w:t>
      </w:r>
      <w:r w:rsidRPr="007A14BA" w:rsidR="00FF45EE">
        <w:rPr>
          <w:rFonts w:ascii="Times New Roman" w:hAnsi="Times New Roman" w:cs="Times New Roman"/>
        </w:rPr>
        <w:t xml:space="preserve"> </w:t>
      </w:r>
      <w:r w:rsidRPr="007A14BA" w:rsidR="00A47E6E">
        <w:rPr>
          <w:rFonts w:ascii="Times New Roman" w:hAnsi="Times New Roman" w:cs="Times New Roman"/>
        </w:rPr>
        <w:t>Tot slot</w:t>
      </w:r>
      <w:r w:rsidRPr="007A14BA" w:rsidR="001B29FC">
        <w:rPr>
          <w:rFonts w:ascii="Times New Roman" w:hAnsi="Times New Roman" w:cs="Times New Roman"/>
        </w:rPr>
        <w:t xml:space="preserve"> kampen de uitvoeringsorganisaties met capaciteitstekorten. </w:t>
      </w:r>
    </w:p>
    <w:p w:rsidRPr="007A14BA" w:rsidR="00B50075" w:rsidP="007A14BA" w:rsidRDefault="00B50075" w14:paraId="16489015" w14:textId="77777777">
      <w:pPr>
        <w:rPr>
          <w:rFonts w:ascii="Times New Roman" w:hAnsi="Times New Roman" w:cs="Times New Roman"/>
        </w:rPr>
      </w:pPr>
    </w:p>
    <w:p w:rsidRPr="007A14BA" w:rsidR="00B50075" w:rsidP="007A14BA" w:rsidRDefault="00B50075" w14:paraId="78CC2DD2" w14:textId="77777777">
      <w:pPr>
        <w:rPr>
          <w:rFonts w:ascii="Times New Roman" w:hAnsi="Times New Roman" w:cs="Times New Roman"/>
          <w:i/>
          <w:iCs/>
        </w:rPr>
      </w:pPr>
      <w:bookmarkStart w:name="_Hlk191901842" w:id="0"/>
      <w:r w:rsidRPr="007A14BA">
        <w:rPr>
          <w:rFonts w:ascii="Times New Roman" w:hAnsi="Times New Roman" w:cs="Times New Roman"/>
          <w:i/>
          <w:iCs/>
        </w:rPr>
        <w:t>Onderhandelingen</w:t>
      </w:r>
    </w:p>
    <w:p w:rsidRPr="007A14BA" w:rsidR="0A859116" w:rsidP="007A14BA" w:rsidRDefault="0A859116" w14:paraId="1840714D" w14:textId="7D14FC3A">
      <w:pPr>
        <w:rPr>
          <w:rFonts w:ascii="Times New Roman" w:hAnsi="Times New Roman" w:cs="Times New Roman"/>
        </w:rPr>
      </w:pPr>
      <w:r w:rsidRPr="007A14BA">
        <w:rPr>
          <w:rFonts w:ascii="Times New Roman" w:hAnsi="Times New Roman" w:cs="Times New Roman"/>
        </w:rPr>
        <w:t xml:space="preserve"> </w:t>
      </w:r>
      <w:r w:rsidRPr="007A14BA">
        <w:rPr>
          <w:rFonts w:ascii="Times New Roman" w:hAnsi="Times New Roman" w:eastAsia="Calibri" w:cs="Times New Roman"/>
        </w:rPr>
        <w:t xml:space="preserve">In de basis kunnen alle lidstaten zich vinden in de doelstellingen van het geneesmiddelenpakket, het verschil zit in de verschillende prioriteiten van de lidstaten. Zo is er een spanningsveld tussen het stimuleren van innovatie enerzijds, en het bevorderen van EU-brede toegang tot geneesmiddelen anderzijds. Verschillende lidstaten kiezen hier op basis van nationale belangen positie, een discussie die met name gevoerd wordt rondom de beloning (incentives) voor het ontwikkelingen van nieuwe geneesmiddelen. Ook valt het op dat sommige prioriteiten met de tijd verschuiven, het Commissievoorstel beoogde bijvoorbeeld een aantal zaken rondom milieuwetgeving te regelen, terwijl er op dit moment meer aandacht is voor vermindering van regeldruk en de Europese Concurrentiepositie, ook naar aanleiding van het Draghi-rapport over dit onderwerp. In de gesprekken werd aandacht gevraagd voor het belang van de kwaliteit van geneesmiddelen. Dat staat soms op gespannen voet met andere prioriteiten zoals betaalbaarheid en beschikbaarheid. De gesprekspartners benadrukten dat dit het moment in de onderhandelingen is om als Kamer de laatste invloed uit te oefenen op de inzet van het kabinet. </w:t>
      </w:r>
    </w:p>
    <w:bookmarkEnd w:id="0"/>
    <w:p w:rsidRPr="007A14BA" w:rsidR="0A859116" w:rsidP="007A14BA" w:rsidRDefault="0A859116" w14:paraId="78D26CAE" w14:textId="46B9C29E">
      <w:pPr>
        <w:rPr>
          <w:rFonts w:ascii="Times New Roman" w:hAnsi="Times New Roman" w:cs="Times New Roman"/>
        </w:rPr>
      </w:pPr>
    </w:p>
    <w:p w:rsidRPr="007A14BA" w:rsidR="001C465D" w:rsidP="007A14BA" w:rsidRDefault="001C465D" w14:paraId="44ACFCD4" w14:textId="77777777">
      <w:pPr>
        <w:rPr>
          <w:rFonts w:ascii="Times New Roman" w:hAnsi="Times New Roman" w:cs="Times New Roman"/>
        </w:rPr>
      </w:pPr>
    </w:p>
    <w:p w:rsidRPr="007A14BA" w:rsidR="000627C7" w:rsidP="007A14BA" w:rsidRDefault="00767C8B" w14:paraId="4675B2C5" w14:textId="7ADC3168">
      <w:pPr>
        <w:rPr>
          <w:rFonts w:ascii="Times New Roman" w:hAnsi="Times New Roman" w:cs="Times New Roman"/>
          <w:b/>
          <w:bCs/>
        </w:rPr>
      </w:pPr>
      <w:r w:rsidRPr="007A14BA">
        <w:rPr>
          <w:rFonts w:ascii="Times New Roman" w:hAnsi="Times New Roman" w:cs="Times New Roman"/>
          <w:b/>
          <w:bCs/>
        </w:rPr>
        <w:t>Overig</w:t>
      </w:r>
      <w:r w:rsidRPr="007A14BA" w:rsidR="001C465D">
        <w:rPr>
          <w:rFonts w:ascii="Times New Roman" w:hAnsi="Times New Roman" w:cs="Times New Roman"/>
          <w:b/>
          <w:bCs/>
        </w:rPr>
        <w:t xml:space="preserve">e onderwerpen </w:t>
      </w:r>
    </w:p>
    <w:p w:rsidRPr="007A14BA" w:rsidR="00624EFA" w:rsidP="007A14BA" w:rsidRDefault="00624EFA" w14:paraId="23FDFE01" w14:textId="77777777">
      <w:pPr>
        <w:rPr>
          <w:rFonts w:ascii="Times New Roman" w:hAnsi="Times New Roman" w:cs="Times New Roman"/>
          <w:i/>
          <w:iCs/>
        </w:rPr>
      </w:pPr>
      <w:r w:rsidRPr="007A14BA">
        <w:rPr>
          <w:rFonts w:ascii="Times New Roman" w:hAnsi="Times New Roman" w:cs="Times New Roman"/>
          <w:i/>
          <w:iCs/>
        </w:rPr>
        <w:t>Concurrentievermogen</w:t>
      </w:r>
    </w:p>
    <w:p w:rsidRPr="007A14BA" w:rsidR="00624EFA" w:rsidP="007A14BA" w:rsidRDefault="00624EFA" w14:paraId="620624EF" w14:textId="2214B24A">
      <w:pPr>
        <w:rPr>
          <w:rFonts w:ascii="Times New Roman" w:hAnsi="Times New Roman" w:cs="Times New Roman"/>
        </w:rPr>
      </w:pPr>
      <w:r w:rsidRPr="007A14BA">
        <w:rPr>
          <w:rFonts w:ascii="Times New Roman" w:hAnsi="Times New Roman" w:cs="Times New Roman"/>
        </w:rPr>
        <w:t xml:space="preserve">In de gesprekken zijn ook </w:t>
      </w:r>
      <w:r w:rsidRPr="007A14BA" w:rsidR="00FD3672">
        <w:rPr>
          <w:rFonts w:ascii="Times New Roman" w:hAnsi="Times New Roman" w:cs="Times New Roman"/>
        </w:rPr>
        <w:t xml:space="preserve">andere </w:t>
      </w:r>
      <w:r w:rsidRPr="007A14BA">
        <w:rPr>
          <w:rFonts w:ascii="Times New Roman" w:hAnsi="Times New Roman" w:cs="Times New Roman"/>
        </w:rPr>
        <w:t>behoeften van de stakeholders naar voren gekomen. Zo ziet de wetgeving niet toe op EU-staatssteun voor zaken als gezamenlijke inkoop en productiecapaciteit</w:t>
      </w:r>
      <w:r w:rsidRPr="007A14BA" w:rsidR="00FD3672">
        <w:rPr>
          <w:rFonts w:ascii="Times New Roman" w:hAnsi="Times New Roman" w:cs="Times New Roman"/>
        </w:rPr>
        <w:t xml:space="preserve">. Een van de </w:t>
      </w:r>
      <w:r w:rsidRPr="007A14BA">
        <w:rPr>
          <w:rFonts w:ascii="Times New Roman" w:hAnsi="Times New Roman" w:cs="Times New Roman"/>
        </w:rPr>
        <w:t xml:space="preserve">gesprekspartners ziet </w:t>
      </w:r>
      <w:r w:rsidRPr="007A14BA" w:rsidR="00FD3672">
        <w:rPr>
          <w:rFonts w:ascii="Times New Roman" w:hAnsi="Times New Roman" w:cs="Times New Roman"/>
        </w:rPr>
        <w:t xml:space="preserve">juist in gezamenlijke inkoop en productie </w:t>
      </w:r>
      <w:r w:rsidRPr="007A14BA">
        <w:rPr>
          <w:rFonts w:ascii="Times New Roman" w:hAnsi="Times New Roman" w:cs="Times New Roman"/>
        </w:rPr>
        <w:t xml:space="preserve">een oplossing voor de tekorten. Ook spraken bijna alle gesprekspartners zich uit over </w:t>
      </w:r>
      <w:r w:rsidRPr="007A14BA" w:rsidR="00FD3672">
        <w:rPr>
          <w:rFonts w:ascii="Times New Roman" w:hAnsi="Times New Roman" w:cs="Times New Roman"/>
        </w:rPr>
        <w:t xml:space="preserve">de </w:t>
      </w:r>
      <w:r w:rsidRPr="007A14BA">
        <w:rPr>
          <w:rFonts w:ascii="Times New Roman" w:hAnsi="Times New Roman" w:cs="Times New Roman"/>
        </w:rPr>
        <w:t xml:space="preserve">behoefte aan een plan om het concurrentievermogen omtrent geneesmiddelen te versterken.   </w:t>
      </w:r>
    </w:p>
    <w:p w:rsidRPr="007A14BA" w:rsidR="00624EFA" w:rsidP="007A14BA" w:rsidRDefault="00624EFA" w14:paraId="20C3C3FC" w14:textId="3ED17499">
      <w:pPr>
        <w:rPr>
          <w:rFonts w:ascii="Times New Roman" w:hAnsi="Times New Roman" w:cs="Times New Roman"/>
        </w:rPr>
      </w:pPr>
      <w:r w:rsidRPr="007A14BA">
        <w:rPr>
          <w:rFonts w:ascii="Times New Roman" w:hAnsi="Times New Roman" w:cs="Times New Roman"/>
        </w:rPr>
        <w:t xml:space="preserve">Het concurrentievermogen van de Europese Unie is voor de gesprekspartners een belangrijk thema, met name in de discussie over grondstoffen. Vanuit Nederland, en Europees, wordt er geïnvesteerd in relaties met andere landen, vooral vanwege de daar aanwezige actieve </w:t>
      </w:r>
      <w:r w:rsidRPr="007A14BA">
        <w:rPr>
          <w:rFonts w:ascii="Times New Roman" w:hAnsi="Times New Roman" w:cs="Times New Roman"/>
        </w:rPr>
        <w:lastRenderedPageBreak/>
        <w:t xml:space="preserve">farmaceutische ingrediënten. Afhankelijk van aan welke grondstoffen de meeste behoefte is, en welke geneesmiddelen veel worden gebruikt hebben </w:t>
      </w:r>
      <w:r w:rsidRPr="007A14BA" w:rsidR="0017516C">
        <w:rPr>
          <w:rFonts w:ascii="Times New Roman" w:hAnsi="Times New Roman" w:cs="Times New Roman"/>
        </w:rPr>
        <w:t>de</w:t>
      </w:r>
      <w:r w:rsidRPr="007A14BA">
        <w:rPr>
          <w:rFonts w:ascii="Times New Roman" w:hAnsi="Times New Roman" w:cs="Times New Roman"/>
        </w:rPr>
        <w:t xml:space="preserve"> lidstaten andere voorkeuren. Verder roepen initiatieven zoals gezamenlijke inkoop vragen op </w:t>
      </w:r>
      <w:r w:rsidRPr="007A14BA" w:rsidR="00FD3672">
        <w:rPr>
          <w:rFonts w:ascii="Times New Roman" w:hAnsi="Times New Roman" w:cs="Times New Roman"/>
        </w:rPr>
        <w:t xml:space="preserve">over wat er wel en niet onder de </w:t>
      </w:r>
      <w:r w:rsidRPr="007A14BA">
        <w:rPr>
          <w:rFonts w:ascii="Times New Roman" w:hAnsi="Times New Roman" w:cs="Times New Roman"/>
        </w:rPr>
        <w:t>nationale bevoegdheid</w:t>
      </w:r>
      <w:r w:rsidRPr="007A14BA" w:rsidR="00FD3672">
        <w:rPr>
          <w:rFonts w:ascii="Times New Roman" w:hAnsi="Times New Roman" w:cs="Times New Roman"/>
        </w:rPr>
        <w:t xml:space="preserve"> zou moeten blijven</w:t>
      </w:r>
      <w:r w:rsidRPr="007A14BA">
        <w:rPr>
          <w:rFonts w:ascii="Times New Roman" w:hAnsi="Times New Roman" w:cs="Times New Roman"/>
        </w:rPr>
        <w:t>. Kleinere lidstaten</w:t>
      </w:r>
      <w:r w:rsidRPr="007A14BA" w:rsidR="00C25D7C">
        <w:rPr>
          <w:rStyle w:val="Verwijzingopmerking"/>
          <w:rFonts w:ascii="Times New Roman" w:hAnsi="Times New Roman" w:cs="Times New Roman"/>
          <w:sz w:val="24"/>
          <w:szCs w:val="24"/>
        </w:rPr>
        <w:t>, met beperkte toegang tot geneesmiddelen, h</w:t>
      </w:r>
      <w:r w:rsidRPr="007A14BA">
        <w:rPr>
          <w:rFonts w:ascii="Times New Roman" w:hAnsi="Times New Roman" w:cs="Times New Roman"/>
        </w:rPr>
        <w:t xml:space="preserve">ebben </w:t>
      </w:r>
      <w:r w:rsidRPr="007A14BA" w:rsidR="00FD3672">
        <w:rPr>
          <w:rFonts w:ascii="Times New Roman" w:hAnsi="Times New Roman" w:cs="Times New Roman"/>
        </w:rPr>
        <w:t xml:space="preserve">immers logischerwijs </w:t>
      </w:r>
      <w:r w:rsidRPr="007A14BA">
        <w:rPr>
          <w:rFonts w:ascii="Times New Roman" w:hAnsi="Times New Roman" w:cs="Times New Roman"/>
        </w:rPr>
        <w:t>meer behoefte aan</w:t>
      </w:r>
      <w:r w:rsidRPr="007A14BA" w:rsidR="00FD3672">
        <w:rPr>
          <w:rFonts w:ascii="Times New Roman" w:hAnsi="Times New Roman" w:cs="Times New Roman"/>
        </w:rPr>
        <w:t xml:space="preserve"> gezamenlijke inkoopkracht</w:t>
      </w:r>
      <w:r w:rsidRPr="007A14BA">
        <w:rPr>
          <w:rFonts w:ascii="Times New Roman" w:hAnsi="Times New Roman" w:cs="Times New Roman"/>
        </w:rPr>
        <w:t xml:space="preserve">. </w:t>
      </w:r>
    </w:p>
    <w:p w:rsidRPr="007A14BA" w:rsidR="00624EFA" w:rsidP="007A14BA" w:rsidRDefault="00624EFA" w14:paraId="11426840" w14:textId="7C45C78D">
      <w:pPr>
        <w:rPr>
          <w:rFonts w:ascii="Times New Roman" w:hAnsi="Times New Roman" w:cs="Times New Roman"/>
        </w:rPr>
      </w:pPr>
      <w:r w:rsidRPr="007A14BA">
        <w:rPr>
          <w:rFonts w:ascii="Times New Roman" w:hAnsi="Times New Roman" w:cs="Times New Roman"/>
        </w:rPr>
        <w:t xml:space="preserve">De oorzaak van de afhankelijkheid zit met name in het tekort aan grondstoffen en gebrek aan aantrekkelijkheid om te investeren in de EU. Dit gebrek aan aantrekkelijkheid zit onder andere in de eisen die worden gesteld aan duurzaamheid. Een oplossing zou zijn om minimaal dezelfde eisen te stellen aan geneesmiddelen die buiten de EU worden geproduceerd als </w:t>
      </w:r>
      <w:r w:rsidRPr="007A14BA" w:rsidR="00FD3672">
        <w:rPr>
          <w:rFonts w:ascii="Times New Roman" w:hAnsi="Times New Roman" w:cs="Times New Roman"/>
        </w:rPr>
        <w:t xml:space="preserve">aan </w:t>
      </w:r>
      <w:r w:rsidRPr="007A14BA">
        <w:rPr>
          <w:rFonts w:ascii="Times New Roman" w:hAnsi="Times New Roman" w:cs="Times New Roman"/>
        </w:rPr>
        <w:t xml:space="preserve">geneesmiddelen die </w:t>
      </w:r>
      <w:r w:rsidRPr="007A14BA" w:rsidR="00B07199">
        <w:rPr>
          <w:rFonts w:ascii="Times New Roman" w:hAnsi="Times New Roman" w:cs="Times New Roman"/>
        </w:rPr>
        <w:t xml:space="preserve">door </w:t>
      </w:r>
      <w:r w:rsidRPr="007A14BA" w:rsidR="00FD3672">
        <w:rPr>
          <w:rFonts w:ascii="Times New Roman" w:hAnsi="Times New Roman" w:cs="Times New Roman"/>
        </w:rPr>
        <w:t xml:space="preserve">fabrikanten binnen </w:t>
      </w:r>
      <w:r w:rsidRPr="007A14BA">
        <w:rPr>
          <w:rFonts w:ascii="Times New Roman" w:hAnsi="Times New Roman" w:cs="Times New Roman"/>
        </w:rPr>
        <w:t xml:space="preserve">de EU worden geproduceerd. </w:t>
      </w:r>
    </w:p>
    <w:p w:rsidRPr="007A14BA" w:rsidR="001C465D" w:rsidP="007A14BA" w:rsidRDefault="001C465D" w14:paraId="3FC34496" w14:textId="77777777">
      <w:pPr>
        <w:rPr>
          <w:rFonts w:ascii="Times New Roman" w:hAnsi="Times New Roman" w:cs="Times New Roman"/>
        </w:rPr>
      </w:pPr>
    </w:p>
    <w:p w:rsidRPr="007A14BA" w:rsidR="00624EFA" w:rsidP="007A14BA" w:rsidRDefault="00624EFA" w14:paraId="3BA62097" w14:textId="77777777">
      <w:pPr>
        <w:rPr>
          <w:rFonts w:ascii="Times New Roman" w:hAnsi="Times New Roman" w:cs="Times New Roman"/>
          <w:i/>
          <w:iCs/>
        </w:rPr>
      </w:pPr>
      <w:r w:rsidRPr="007A14BA">
        <w:rPr>
          <w:rFonts w:ascii="Times New Roman" w:hAnsi="Times New Roman" w:cs="Times New Roman"/>
          <w:i/>
          <w:iCs/>
        </w:rPr>
        <w:t>Critical Medicines Act</w:t>
      </w:r>
    </w:p>
    <w:p w:rsidRPr="007A14BA" w:rsidR="00624EFA" w:rsidP="007A14BA" w:rsidRDefault="00624EFA" w14:paraId="6F3D0350" w14:textId="230FF146">
      <w:pPr>
        <w:rPr>
          <w:rFonts w:ascii="Times New Roman" w:hAnsi="Times New Roman" w:cs="Times New Roman"/>
        </w:rPr>
      </w:pPr>
      <w:r w:rsidRPr="007A14BA">
        <w:rPr>
          <w:rFonts w:ascii="Times New Roman" w:hAnsi="Times New Roman" w:cs="Times New Roman"/>
        </w:rPr>
        <w:t xml:space="preserve">De </w:t>
      </w:r>
      <w:r w:rsidRPr="007A14BA">
        <w:rPr>
          <w:rFonts w:ascii="Times New Roman" w:hAnsi="Times New Roman" w:cs="Times New Roman"/>
          <w:i/>
          <w:iCs/>
        </w:rPr>
        <w:t>Critical Medicines Act</w:t>
      </w:r>
      <w:r w:rsidRPr="007A14BA">
        <w:rPr>
          <w:rFonts w:ascii="Times New Roman" w:hAnsi="Times New Roman" w:cs="Times New Roman"/>
        </w:rPr>
        <w:t xml:space="preserve"> wordt naar verwachting in maart 2025 gepubliceerd. </w:t>
      </w:r>
      <w:r w:rsidRPr="007A14BA" w:rsidR="00176C29">
        <w:rPr>
          <w:rFonts w:ascii="Times New Roman" w:hAnsi="Times New Roman" w:cs="Times New Roman"/>
        </w:rPr>
        <w:t xml:space="preserve">Het doel </w:t>
      </w:r>
      <w:r w:rsidRPr="007A14BA" w:rsidR="00FD3672">
        <w:rPr>
          <w:rFonts w:ascii="Times New Roman" w:hAnsi="Times New Roman" w:cs="Times New Roman"/>
        </w:rPr>
        <w:t>van deze wetgeving is</w:t>
      </w:r>
      <w:r w:rsidRPr="007A14BA" w:rsidR="009458E7">
        <w:rPr>
          <w:rFonts w:ascii="Times New Roman" w:hAnsi="Times New Roman" w:cs="Times New Roman"/>
        </w:rPr>
        <w:t xml:space="preserve"> </w:t>
      </w:r>
      <w:r w:rsidRPr="007A14BA" w:rsidR="005F4E4C">
        <w:rPr>
          <w:rFonts w:ascii="Times New Roman" w:hAnsi="Times New Roman" w:cs="Times New Roman"/>
        </w:rPr>
        <w:t>om de</w:t>
      </w:r>
      <w:r w:rsidRPr="007A14BA" w:rsidR="009458E7">
        <w:rPr>
          <w:rFonts w:ascii="Times New Roman" w:hAnsi="Times New Roman" w:cs="Times New Roman"/>
        </w:rPr>
        <w:t xml:space="preserve"> beschikbaarheid van de meest essentiële geneesmiddelen te waarborgen. Het is op het moment van schrijven niet duidelijk of het wetgevingsinitiatief de vorm van een verordening of richtlijn krijgt. Het is ook niet duidelijk of deze geneesmiddelen </w:t>
      </w:r>
      <w:r w:rsidRPr="007A14BA" w:rsidR="005F4E4C">
        <w:rPr>
          <w:rFonts w:ascii="Times New Roman" w:hAnsi="Times New Roman" w:cs="Times New Roman"/>
        </w:rPr>
        <w:t>overeenkomen</w:t>
      </w:r>
      <w:r w:rsidRPr="007A14BA" w:rsidR="009458E7">
        <w:rPr>
          <w:rFonts w:ascii="Times New Roman" w:hAnsi="Times New Roman" w:cs="Times New Roman"/>
        </w:rPr>
        <w:t xml:space="preserve"> met de geneesmiddelen op de lijst kritieke geneesmiddelen</w:t>
      </w:r>
      <w:r w:rsidRPr="007A14BA" w:rsidR="009458E7">
        <w:rPr>
          <w:rStyle w:val="Voetnootmarkering"/>
          <w:rFonts w:ascii="Times New Roman" w:hAnsi="Times New Roman" w:cs="Times New Roman"/>
        </w:rPr>
        <w:footnoteReference w:id="11"/>
      </w:r>
      <w:r w:rsidRPr="007A14BA" w:rsidR="009458E7">
        <w:rPr>
          <w:rFonts w:ascii="Times New Roman" w:hAnsi="Times New Roman" w:cs="Times New Roman"/>
        </w:rPr>
        <w:t xml:space="preserve">. </w:t>
      </w:r>
      <w:r w:rsidRPr="007A14BA">
        <w:rPr>
          <w:rFonts w:ascii="Times New Roman" w:hAnsi="Times New Roman" w:cs="Times New Roman"/>
        </w:rPr>
        <w:t xml:space="preserve">Op basis van de gesprekken zou de wetgeving moeten toezien op: staatssteun, </w:t>
      </w:r>
      <w:r w:rsidRPr="007A14BA" w:rsidR="00FD3672">
        <w:rPr>
          <w:rFonts w:ascii="Times New Roman" w:hAnsi="Times New Roman" w:cs="Times New Roman"/>
        </w:rPr>
        <w:t xml:space="preserve">het creëren van een </w:t>
      </w:r>
      <w:r w:rsidRPr="007A14BA">
        <w:rPr>
          <w:rFonts w:ascii="Times New Roman" w:hAnsi="Times New Roman" w:cs="Times New Roman"/>
        </w:rPr>
        <w:t xml:space="preserve">kritische infrastructuur en het </w:t>
      </w:r>
      <w:r w:rsidRPr="007A14BA" w:rsidR="00FD3672">
        <w:rPr>
          <w:rFonts w:ascii="Times New Roman" w:hAnsi="Times New Roman" w:cs="Times New Roman"/>
        </w:rPr>
        <w:t xml:space="preserve">nationale </w:t>
      </w:r>
      <w:r w:rsidRPr="007A14BA">
        <w:rPr>
          <w:rFonts w:ascii="Times New Roman" w:hAnsi="Times New Roman" w:cs="Times New Roman"/>
        </w:rPr>
        <w:t xml:space="preserve">recht op belevering. Voor landen met preferentiebeleid zouden er ook afspraken kunnen worden gemaakt over informatieplicht </w:t>
      </w:r>
      <w:r w:rsidRPr="007A14BA" w:rsidR="00FD3672">
        <w:rPr>
          <w:rFonts w:ascii="Times New Roman" w:hAnsi="Times New Roman" w:cs="Times New Roman"/>
        </w:rPr>
        <w:t>aangaande</w:t>
      </w:r>
      <w:r w:rsidRPr="007A14BA" w:rsidR="00C138FA">
        <w:rPr>
          <w:rFonts w:ascii="Times New Roman" w:hAnsi="Times New Roman" w:cs="Times New Roman"/>
        </w:rPr>
        <w:t xml:space="preserve"> de levering en beschikbaarheid van geneesmiddelen</w:t>
      </w:r>
      <w:r w:rsidRPr="007A14BA" w:rsidR="00FD3672">
        <w:rPr>
          <w:rFonts w:ascii="Times New Roman" w:hAnsi="Times New Roman" w:cs="Times New Roman"/>
        </w:rPr>
        <w:t xml:space="preserve">. Dit kan dan een </w:t>
      </w:r>
      <w:r w:rsidRPr="007A14BA">
        <w:rPr>
          <w:rFonts w:ascii="Times New Roman" w:hAnsi="Times New Roman" w:cs="Times New Roman"/>
        </w:rPr>
        <w:t xml:space="preserve">eis moeten </w:t>
      </w:r>
      <w:r w:rsidRPr="007A14BA" w:rsidR="00FD3672">
        <w:rPr>
          <w:rFonts w:ascii="Times New Roman" w:hAnsi="Times New Roman" w:cs="Times New Roman"/>
        </w:rPr>
        <w:t xml:space="preserve">worden </w:t>
      </w:r>
      <w:r w:rsidRPr="007A14BA">
        <w:rPr>
          <w:rFonts w:ascii="Times New Roman" w:hAnsi="Times New Roman" w:cs="Times New Roman"/>
        </w:rPr>
        <w:t>voor</w:t>
      </w:r>
      <w:r w:rsidRPr="007A14BA" w:rsidR="00FD3672">
        <w:rPr>
          <w:rFonts w:ascii="Times New Roman" w:hAnsi="Times New Roman" w:cs="Times New Roman"/>
        </w:rPr>
        <w:t>dat</w:t>
      </w:r>
      <w:r w:rsidRPr="007A14BA">
        <w:rPr>
          <w:rFonts w:ascii="Times New Roman" w:hAnsi="Times New Roman" w:cs="Times New Roman"/>
        </w:rPr>
        <w:t xml:space="preserve"> toegang tot de markt</w:t>
      </w:r>
      <w:r w:rsidRPr="007A14BA" w:rsidR="00FD3672">
        <w:rPr>
          <w:rFonts w:ascii="Times New Roman" w:hAnsi="Times New Roman" w:cs="Times New Roman"/>
        </w:rPr>
        <w:t xml:space="preserve"> wordt verleend</w:t>
      </w:r>
      <w:r w:rsidRPr="007A14BA">
        <w:rPr>
          <w:rFonts w:ascii="Times New Roman" w:hAnsi="Times New Roman" w:cs="Times New Roman"/>
        </w:rPr>
        <w:t xml:space="preserve">. </w:t>
      </w:r>
    </w:p>
    <w:p w:rsidRPr="007A14BA" w:rsidR="00624EFA" w:rsidP="007A14BA" w:rsidRDefault="00624EFA" w14:paraId="54B59643" w14:textId="77777777">
      <w:pPr>
        <w:rPr>
          <w:rFonts w:ascii="Times New Roman" w:hAnsi="Times New Roman" w:cs="Times New Roman"/>
          <w:b/>
          <w:bCs/>
        </w:rPr>
      </w:pPr>
    </w:p>
    <w:p w:rsidRPr="007A14BA" w:rsidR="00767C8B" w:rsidP="007A14BA" w:rsidRDefault="00767C8B" w14:paraId="7DD9F4BA" w14:textId="16409789">
      <w:pPr>
        <w:rPr>
          <w:rFonts w:ascii="Times New Roman" w:hAnsi="Times New Roman" w:cs="Times New Roman"/>
          <w:i/>
          <w:iCs/>
        </w:rPr>
      </w:pPr>
      <w:r w:rsidRPr="007A14BA">
        <w:rPr>
          <w:rFonts w:ascii="Times New Roman" w:hAnsi="Times New Roman" w:cs="Times New Roman"/>
          <w:i/>
          <w:iCs/>
        </w:rPr>
        <w:t>Dure geneesmiddelen</w:t>
      </w:r>
    </w:p>
    <w:p w:rsidRPr="007A14BA" w:rsidR="000627C7" w:rsidP="007A14BA" w:rsidRDefault="00DD5DDF" w14:paraId="2C58164B" w14:textId="3111200B">
      <w:pPr>
        <w:rPr>
          <w:rFonts w:ascii="Times New Roman" w:hAnsi="Times New Roman" w:cs="Times New Roman"/>
        </w:rPr>
      </w:pPr>
      <w:r w:rsidRPr="007A14BA">
        <w:rPr>
          <w:rFonts w:ascii="Times New Roman" w:hAnsi="Times New Roman" w:cs="Times New Roman"/>
        </w:rPr>
        <w:t xml:space="preserve">Een gesprekspartner lichtte de samenhang tussen het geneesmiddelenpakket en dure geneesmiddelen toe. </w:t>
      </w:r>
      <w:r w:rsidRPr="007A14BA" w:rsidR="000627C7">
        <w:rPr>
          <w:rFonts w:ascii="Times New Roman" w:hAnsi="Times New Roman" w:cs="Times New Roman"/>
        </w:rPr>
        <w:t>Prijsonderhandelingen zijn een nationale aangelegenheid</w:t>
      </w:r>
      <w:r w:rsidRPr="007A14BA" w:rsidR="001238A9">
        <w:rPr>
          <w:rFonts w:ascii="Times New Roman" w:hAnsi="Times New Roman" w:cs="Times New Roman"/>
        </w:rPr>
        <w:t>.</w:t>
      </w:r>
      <w:r w:rsidRPr="007A14BA" w:rsidR="000627C7">
        <w:rPr>
          <w:rFonts w:ascii="Times New Roman" w:hAnsi="Times New Roman" w:cs="Times New Roman"/>
        </w:rPr>
        <w:t xml:space="preserve"> </w:t>
      </w:r>
      <w:r w:rsidRPr="007A14BA" w:rsidR="001238A9">
        <w:rPr>
          <w:rFonts w:ascii="Times New Roman" w:hAnsi="Times New Roman" w:cs="Times New Roman"/>
        </w:rPr>
        <w:t>V</w:t>
      </w:r>
      <w:r w:rsidRPr="007A14BA" w:rsidR="000627C7">
        <w:rPr>
          <w:rFonts w:ascii="Times New Roman" w:hAnsi="Times New Roman" w:cs="Times New Roman"/>
        </w:rPr>
        <w:t xml:space="preserve">oor dure geneesmiddelen brengt de wetgeving stimulansen aan door de beschermingsperiode uit te breiden bij vergelijkende klinische studies en EU-breed toetreden tot de markt. Een van de aandachtspunten bij dit systeem is dat kleine producenten van generieke geneesmiddelen van de markt </w:t>
      </w:r>
      <w:r w:rsidRPr="007A14BA" w:rsidR="001238A9">
        <w:rPr>
          <w:rFonts w:ascii="Times New Roman" w:hAnsi="Times New Roman" w:cs="Times New Roman"/>
        </w:rPr>
        <w:t xml:space="preserve">lijken </w:t>
      </w:r>
      <w:r w:rsidRPr="007A14BA" w:rsidR="000627C7">
        <w:rPr>
          <w:rFonts w:ascii="Times New Roman" w:hAnsi="Times New Roman" w:cs="Times New Roman"/>
        </w:rPr>
        <w:t>te verdwijnen door de nieuwe eisen</w:t>
      </w:r>
      <w:r w:rsidRPr="007A14BA" w:rsidR="001B2492">
        <w:rPr>
          <w:rFonts w:ascii="Times New Roman" w:hAnsi="Times New Roman" w:cs="Times New Roman"/>
        </w:rPr>
        <w:t xml:space="preserve"> die worden gesteld in het pakket</w:t>
      </w:r>
      <w:r w:rsidRPr="007A14BA" w:rsidR="000627C7">
        <w:rPr>
          <w:rFonts w:ascii="Times New Roman" w:hAnsi="Times New Roman" w:cs="Times New Roman"/>
        </w:rPr>
        <w:t xml:space="preserve">. </w:t>
      </w:r>
    </w:p>
    <w:p w:rsidRPr="007A14BA" w:rsidR="001C465D" w:rsidP="007A14BA" w:rsidRDefault="001C465D" w14:paraId="00190E36" w14:textId="77777777">
      <w:pPr>
        <w:rPr>
          <w:rFonts w:ascii="Times New Roman" w:hAnsi="Times New Roman" w:cs="Times New Roman"/>
        </w:rPr>
      </w:pPr>
    </w:p>
    <w:p w:rsidRPr="007A14BA" w:rsidR="000627C7" w:rsidP="007A14BA" w:rsidRDefault="000627C7" w14:paraId="4A5C1635" w14:textId="476DB7E0">
      <w:pPr>
        <w:rPr>
          <w:rFonts w:ascii="Times New Roman" w:hAnsi="Times New Roman" w:cs="Times New Roman"/>
          <w:i/>
          <w:iCs/>
        </w:rPr>
      </w:pPr>
      <w:r w:rsidRPr="007A14BA">
        <w:rPr>
          <w:rFonts w:ascii="Times New Roman" w:hAnsi="Times New Roman" w:cs="Times New Roman"/>
          <w:i/>
          <w:iCs/>
        </w:rPr>
        <w:t>Apotheek- en magistrale bereidingen</w:t>
      </w:r>
    </w:p>
    <w:p w:rsidRPr="007A14BA" w:rsidR="000627C7" w:rsidP="007A14BA" w:rsidRDefault="000627C7" w14:paraId="49CCDCB9" w14:textId="6351A493">
      <w:pPr>
        <w:rPr>
          <w:rFonts w:ascii="Times New Roman" w:hAnsi="Times New Roman" w:cs="Times New Roman"/>
        </w:rPr>
      </w:pPr>
      <w:r w:rsidRPr="007A14BA">
        <w:rPr>
          <w:rFonts w:ascii="Times New Roman" w:hAnsi="Times New Roman" w:cs="Times New Roman"/>
        </w:rPr>
        <w:t>Op dit moment geldt voor apotheek- en magistrale bereidingen een gedoogbeleid</w:t>
      </w:r>
      <w:r w:rsidRPr="007A14BA" w:rsidR="001B2492">
        <w:rPr>
          <w:rFonts w:ascii="Times New Roman" w:hAnsi="Times New Roman" w:cs="Times New Roman"/>
        </w:rPr>
        <w:t xml:space="preserve"> in Nederland. Volgens</w:t>
      </w:r>
      <w:r w:rsidRPr="007A14BA" w:rsidR="00FD3672">
        <w:rPr>
          <w:rFonts w:ascii="Times New Roman" w:hAnsi="Times New Roman" w:cs="Times New Roman"/>
        </w:rPr>
        <w:t xml:space="preserve"> </w:t>
      </w:r>
      <w:r w:rsidRPr="007A14BA" w:rsidR="001B2492">
        <w:rPr>
          <w:rFonts w:ascii="Times New Roman" w:hAnsi="Times New Roman" w:cs="Times New Roman"/>
        </w:rPr>
        <w:t>een gesprekspartner biedt de</w:t>
      </w:r>
      <w:r w:rsidRPr="007A14BA">
        <w:rPr>
          <w:rFonts w:ascii="Times New Roman" w:hAnsi="Times New Roman" w:cs="Times New Roman"/>
        </w:rPr>
        <w:t xml:space="preserve"> herziening van </w:t>
      </w:r>
      <w:r w:rsidRPr="007A14BA" w:rsidR="001B2492">
        <w:rPr>
          <w:rFonts w:ascii="Times New Roman" w:hAnsi="Times New Roman" w:cs="Times New Roman"/>
        </w:rPr>
        <w:t>g</w:t>
      </w:r>
      <w:r w:rsidRPr="007A14BA">
        <w:rPr>
          <w:rFonts w:ascii="Times New Roman" w:hAnsi="Times New Roman" w:cs="Times New Roman"/>
        </w:rPr>
        <w:t>eneesmiddelenwetgeving een kans om voor deze groep geneesmiddelen heldere kaders te stellen. Nederland is voorstander v</w:t>
      </w:r>
      <w:r w:rsidRPr="007A14BA" w:rsidR="00E7767F">
        <w:rPr>
          <w:rFonts w:ascii="Times New Roman" w:hAnsi="Times New Roman" w:cs="Times New Roman"/>
        </w:rPr>
        <w:t>an het legaliseren van</w:t>
      </w:r>
      <w:r w:rsidRPr="007A14BA">
        <w:rPr>
          <w:rFonts w:ascii="Times New Roman" w:hAnsi="Times New Roman" w:cs="Times New Roman"/>
        </w:rPr>
        <w:t xml:space="preserve"> </w:t>
      </w:r>
      <w:r w:rsidRPr="007A14BA" w:rsidR="00E7767F">
        <w:rPr>
          <w:rFonts w:ascii="Times New Roman" w:hAnsi="Times New Roman" w:cs="Times New Roman"/>
        </w:rPr>
        <w:t>leveringen</w:t>
      </w:r>
      <w:r w:rsidRPr="007A14BA">
        <w:rPr>
          <w:rFonts w:ascii="Times New Roman" w:hAnsi="Times New Roman" w:cs="Times New Roman"/>
        </w:rPr>
        <w:t xml:space="preserve"> van apotheekbereidingen tussen apothekers. </w:t>
      </w:r>
    </w:p>
    <w:p w:rsidRPr="007A14BA" w:rsidR="008630E6" w:rsidP="007A14BA" w:rsidRDefault="008630E6" w14:paraId="320D97CF" w14:textId="77777777">
      <w:pPr>
        <w:rPr>
          <w:rFonts w:ascii="Times New Roman" w:hAnsi="Times New Roman" w:cs="Times New Roman"/>
        </w:rPr>
      </w:pPr>
    </w:p>
    <w:p w:rsidRPr="007A14BA" w:rsidR="001C465D" w:rsidP="007A14BA" w:rsidRDefault="001C465D" w14:paraId="7243AC05" w14:textId="77777777">
      <w:pPr>
        <w:rPr>
          <w:rFonts w:ascii="Times New Roman" w:hAnsi="Times New Roman" w:cs="Times New Roman"/>
        </w:rPr>
      </w:pPr>
    </w:p>
    <w:p w:rsidRPr="007A14BA" w:rsidR="001C465D" w:rsidP="007A14BA" w:rsidRDefault="001C465D" w14:paraId="79B048BD" w14:textId="77777777">
      <w:pPr>
        <w:rPr>
          <w:rFonts w:ascii="Times New Roman" w:hAnsi="Times New Roman" w:cs="Times New Roman"/>
        </w:rPr>
      </w:pPr>
    </w:p>
    <w:p w:rsidRPr="007A14BA" w:rsidR="00BA658C" w:rsidP="007A14BA" w:rsidRDefault="00936402" w14:paraId="02195852" w14:textId="39EAB4B8">
      <w:pPr>
        <w:rPr>
          <w:rFonts w:ascii="Times New Roman" w:hAnsi="Times New Roman" w:cs="Times New Roman"/>
          <w:b/>
          <w:bCs/>
        </w:rPr>
      </w:pPr>
      <w:r w:rsidRPr="007A14BA">
        <w:rPr>
          <w:rFonts w:ascii="Times New Roman" w:hAnsi="Times New Roman" w:cs="Times New Roman"/>
          <w:b/>
          <w:bCs/>
        </w:rPr>
        <w:t>Vervolgstappen behandeling</w:t>
      </w:r>
      <w:r w:rsidRPr="007A14BA" w:rsidR="00BA658C">
        <w:rPr>
          <w:rFonts w:ascii="Times New Roman" w:hAnsi="Times New Roman" w:cs="Times New Roman"/>
          <w:b/>
          <w:bCs/>
        </w:rPr>
        <w:t xml:space="preserve"> </w:t>
      </w:r>
      <w:r w:rsidRPr="007A14BA">
        <w:rPr>
          <w:rFonts w:ascii="Times New Roman" w:hAnsi="Times New Roman" w:cs="Times New Roman"/>
          <w:b/>
          <w:bCs/>
        </w:rPr>
        <w:t>van het geneesmiddelenpakket</w:t>
      </w:r>
    </w:p>
    <w:p w:rsidRPr="007A14BA" w:rsidR="00936402" w:rsidP="007A14BA" w:rsidRDefault="00936402" w14:paraId="28801637" w14:textId="5B62F042">
      <w:pPr>
        <w:rPr>
          <w:rFonts w:ascii="Times New Roman" w:hAnsi="Times New Roman" w:cs="Times New Roman"/>
        </w:rPr>
      </w:pPr>
      <w:r w:rsidRPr="007A14BA">
        <w:rPr>
          <w:rFonts w:ascii="Times New Roman" w:hAnsi="Times New Roman" w:cs="Times New Roman"/>
        </w:rPr>
        <w:t>Het pakket bevind</w:t>
      </w:r>
      <w:r w:rsidRPr="007A14BA" w:rsidR="00767C8B">
        <w:rPr>
          <w:rFonts w:ascii="Times New Roman" w:hAnsi="Times New Roman" w:cs="Times New Roman"/>
        </w:rPr>
        <w:t>t</w:t>
      </w:r>
      <w:r w:rsidRPr="007A14BA">
        <w:rPr>
          <w:rFonts w:ascii="Times New Roman" w:hAnsi="Times New Roman" w:cs="Times New Roman"/>
        </w:rPr>
        <w:t xml:space="preserve"> zich momenteel in de onderhandelingsfase in de Raad waar de lidstaten tot een onderhandelingsmandaat moeten komen. De inzet van het kabinet is weerge</w:t>
      </w:r>
      <w:r w:rsidRPr="007A14BA" w:rsidR="00767C8B">
        <w:rPr>
          <w:rFonts w:ascii="Times New Roman" w:hAnsi="Times New Roman" w:cs="Times New Roman"/>
        </w:rPr>
        <w:t>ve</w:t>
      </w:r>
      <w:r w:rsidRPr="007A14BA">
        <w:rPr>
          <w:rFonts w:ascii="Times New Roman" w:hAnsi="Times New Roman" w:cs="Times New Roman"/>
        </w:rPr>
        <w:t>n in het BNC-fiche</w:t>
      </w:r>
      <w:r w:rsidRPr="007A14BA" w:rsidR="00B531C8">
        <w:rPr>
          <w:rStyle w:val="Voetnootmarkering"/>
          <w:rFonts w:ascii="Times New Roman" w:hAnsi="Times New Roman" w:cs="Times New Roman"/>
        </w:rPr>
        <w:footnoteReference w:id="12"/>
      </w:r>
      <w:r w:rsidRPr="007A14BA">
        <w:rPr>
          <w:rFonts w:ascii="Times New Roman" w:hAnsi="Times New Roman" w:cs="Times New Roman"/>
        </w:rPr>
        <w:t xml:space="preserve">. </w:t>
      </w:r>
      <w:r w:rsidRPr="007A14BA" w:rsidR="00790154">
        <w:rPr>
          <w:rFonts w:ascii="Times New Roman" w:hAnsi="Times New Roman" w:cs="Times New Roman"/>
        </w:rPr>
        <w:t>Nadat het onderhandelingsmandaat is</w:t>
      </w:r>
      <w:r w:rsidRPr="007A14BA" w:rsidR="00FC1F01">
        <w:rPr>
          <w:rFonts w:ascii="Times New Roman" w:hAnsi="Times New Roman" w:cs="Times New Roman"/>
        </w:rPr>
        <w:t xml:space="preserve"> </w:t>
      </w:r>
      <w:r w:rsidRPr="007A14BA" w:rsidR="00790154">
        <w:rPr>
          <w:rFonts w:ascii="Times New Roman" w:hAnsi="Times New Roman" w:cs="Times New Roman"/>
        </w:rPr>
        <w:t>vastgesteld z</w:t>
      </w:r>
      <w:r w:rsidRPr="007A14BA" w:rsidR="00EE58DC">
        <w:rPr>
          <w:rFonts w:ascii="Times New Roman" w:hAnsi="Times New Roman" w:cs="Times New Roman"/>
        </w:rPr>
        <w:t>ullen de Raad, het Europees Parlement en de Europese Commissie</w:t>
      </w:r>
      <w:r w:rsidRPr="007A14BA" w:rsidR="006D2B06">
        <w:rPr>
          <w:rFonts w:ascii="Times New Roman" w:hAnsi="Times New Roman" w:cs="Times New Roman"/>
        </w:rPr>
        <w:t xml:space="preserve"> onderhandelen over het voorstel.</w:t>
      </w:r>
    </w:p>
    <w:p w:rsidRPr="007A14BA" w:rsidR="00DD0F88" w:rsidP="007A14BA" w:rsidRDefault="00DD0F88" w14:paraId="07828D8B" w14:textId="5B1840E2">
      <w:pPr>
        <w:rPr>
          <w:rFonts w:ascii="Times New Roman" w:hAnsi="Times New Roman" w:cs="Times New Roman"/>
          <w:b/>
          <w:bCs/>
        </w:rPr>
      </w:pPr>
      <w:r w:rsidRPr="007A14BA">
        <w:rPr>
          <w:rFonts w:ascii="Times New Roman" w:hAnsi="Times New Roman" w:cs="Times New Roman"/>
        </w:rPr>
        <w:t xml:space="preserve">Nadat </w:t>
      </w:r>
      <w:r w:rsidRPr="007A14BA" w:rsidR="006D2B06">
        <w:rPr>
          <w:rFonts w:ascii="Times New Roman" w:hAnsi="Times New Roman" w:cs="Times New Roman"/>
        </w:rPr>
        <w:t xml:space="preserve">er een akkoord is bereikt en </w:t>
      </w:r>
      <w:r w:rsidRPr="007A14BA">
        <w:rPr>
          <w:rFonts w:ascii="Times New Roman" w:hAnsi="Times New Roman" w:cs="Times New Roman"/>
        </w:rPr>
        <w:t xml:space="preserve">de wetgeving is aangenomen zal de verordening direct in werking treden, de richtlijn moet nog worden omgezet naar nationale wetgeving. Volgens het huidige voorstel geldt hier een termijn van 18 maanden voor. </w:t>
      </w:r>
    </w:p>
    <w:p w:rsidRPr="007A14BA" w:rsidR="00AD29C9" w:rsidP="007A14BA" w:rsidRDefault="00767C8B" w14:paraId="63757921" w14:textId="0E7E1E66">
      <w:pPr>
        <w:rPr>
          <w:rFonts w:ascii="Times New Roman" w:hAnsi="Times New Roman" w:cs="Times New Roman"/>
          <w:b/>
          <w:bCs/>
        </w:rPr>
      </w:pPr>
      <w:r w:rsidRPr="007A14BA">
        <w:rPr>
          <w:rFonts w:ascii="Times New Roman" w:hAnsi="Times New Roman" w:cs="Times New Roman"/>
          <w:b/>
          <w:bCs/>
        </w:rPr>
        <w:t>Vervolgstap rapporteurschap</w:t>
      </w:r>
    </w:p>
    <w:p w:rsidRPr="007A14BA" w:rsidR="0089296C" w:rsidP="007A14BA" w:rsidRDefault="00DC52C4" w14:paraId="5CCDA745" w14:textId="1645A639">
      <w:pPr>
        <w:rPr>
          <w:rFonts w:ascii="Times New Roman" w:hAnsi="Times New Roman" w:cs="Times New Roman"/>
        </w:rPr>
      </w:pPr>
      <w:r w:rsidRPr="007A14BA">
        <w:rPr>
          <w:rFonts w:ascii="Times New Roman" w:hAnsi="Times New Roman" w:cs="Times New Roman"/>
        </w:rPr>
        <w:t>De activiteiten van dit rapporteurschap zijn opgenomen in de mandaatnotitie. Als rapporteurs zullen wij een werkbezoek brengen aan Brussel.</w:t>
      </w:r>
    </w:p>
    <w:p w:rsidRPr="007A14BA" w:rsidR="00DD5DDF" w:rsidP="007A14BA" w:rsidRDefault="007A14BA" w14:paraId="79FC43D0" w14:textId="02E496C2">
      <w:pPr>
        <w:spacing w:after="0"/>
        <w:rPr>
          <w:rFonts w:ascii="Times New Roman" w:hAnsi="Times New Roman" w:cs="Times New Roman"/>
        </w:rPr>
      </w:pPr>
      <w:r>
        <w:rPr>
          <w:rFonts w:ascii="Times New Roman" w:hAnsi="Times New Roman" w:cs="Times New Roman"/>
        </w:rPr>
        <w:br/>
      </w:r>
      <w:r w:rsidRPr="007A14BA" w:rsidR="00DD5DDF">
        <w:rPr>
          <w:rFonts w:ascii="Times New Roman" w:hAnsi="Times New Roman" w:cs="Times New Roman"/>
        </w:rPr>
        <w:t>Tielen</w:t>
      </w:r>
    </w:p>
    <w:p w:rsidRPr="007A14BA" w:rsidR="00DD5DDF" w:rsidP="007A14BA" w:rsidRDefault="00DD5DDF" w14:paraId="5DC2847D" w14:textId="77777777">
      <w:pPr>
        <w:spacing w:after="0"/>
        <w:rPr>
          <w:rFonts w:ascii="Times New Roman" w:hAnsi="Times New Roman" w:cs="Times New Roman"/>
        </w:rPr>
      </w:pPr>
      <w:r w:rsidRPr="007A14BA">
        <w:rPr>
          <w:rFonts w:ascii="Times New Roman" w:hAnsi="Times New Roman" w:cs="Times New Roman"/>
        </w:rPr>
        <w:t>Paulusma</w:t>
      </w:r>
    </w:p>
    <w:p w:rsidRPr="007A14BA" w:rsidR="00DD5DDF" w:rsidP="007A14BA" w:rsidRDefault="00DD5DDF" w14:paraId="0D6F5FAB" w14:textId="0A61880E">
      <w:pPr>
        <w:spacing w:after="0"/>
        <w:rPr>
          <w:rFonts w:ascii="Times New Roman" w:hAnsi="Times New Roman" w:cs="Times New Roman"/>
        </w:rPr>
      </w:pPr>
      <w:r w:rsidRPr="007A14BA">
        <w:rPr>
          <w:rFonts w:ascii="Times New Roman" w:hAnsi="Times New Roman" w:cs="Times New Roman"/>
        </w:rPr>
        <w:t>Bushoff</w:t>
      </w:r>
    </w:p>
    <w:sectPr w:rsidRPr="007A14BA" w:rsidR="00DD5DD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B09E" w14:textId="77777777" w:rsidR="00AF6644" w:rsidRDefault="00AF6644" w:rsidP="00E43A54">
      <w:pPr>
        <w:spacing w:after="0" w:line="240" w:lineRule="auto"/>
      </w:pPr>
      <w:r>
        <w:separator/>
      </w:r>
    </w:p>
  </w:endnote>
  <w:endnote w:type="continuationSeparator" w:id="0">
    <w:p w14:paraId="1BC965B6" w14:textId="77777777" w:rsidR="00AF6644" w:rsidRDefault="00AF6644" w:rsidP="00E43A54">
      <w:pPr>
        <w:spacing w:after="0" w:line="240" w:lineRule="auto"/>
      </w:pPr>
      <w:r>
        <w:continuationSeparator/>
      </w:r>
    </w:p>
  </w:endnote>
  <w:endnote w:type="continuationNotice" w:id="1">
    <w:p w14:paraId="1C4A1FED" w14:textId="77777777" w:rsidR="00593AC2" w:rsidRDefault="00593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D8CB" w14:textId="77777777" w:rsidR="00AF6644" w:rsidRDefault="00AF6644" w:rsidP="00E43A54">
      <w:pPr>
        <w:spacing w:after="0" w:line="240" w:lineRule="auto"/>
      </w:pPr>
      <w:r>
        <w:separator/>
      </w:r>
    </w:p>
  </w:footnote>
  <w:footnote w:type="continuationSeparator" w:id="0">
    <w:p w14:paraId="05F3ABA7" w14:textId="77777777" w:rsidR="00AF6644" w:rsidRDefault="00AF6644" w:rsidP="00E43A54">
      <w:pPr>
        <w:spacing w:after="0" w:line="240" w:lineRule="auto"/>
      </w:pPr>
      <w:r>
        <w:continuationSeparator/>
      </w:r>
    </w:p>
  </w:footnote>
  <w:footnote w:type="continuationNotice" w:id="1">
    <w:p w14:paraId="35110B0E" w14:textId="77777777" w:rsidR="00593AC2" w:rsidRDefault="00593AC2">
      <w:pPr>
        <w:spacing w:after="0" w:line="240" w:lineRule="auto"/>
      </w:pPr>
    </w:p>
  </w:footnote>
  <w:footnote w:id="2">
    <w:p w14:paraId="41B3983F" w14:textId="497F2806" w:rsidR="009A497F" w:rsidRDefault="009A497F" w:rsidP="009A497F">
      <w:pPr>
        <w:pStyle w:val="Voetnoottekst"/>
        <w:jc w:val="both"/>
      </w:pPr>
      <w:r>
        <w:rPr>
          <w:rStyle w:val="Voetnootmarkering"/>
        </w:rPr>
        <w:footnoteRef/>
      </w:r>
      <w:r>
        <w:t xml:space="preserve"> </w:t>
      </w:r>
      <w:hyperlink r:id="rId1" w:history="1">
        <w:r w:rsidRPr="00085699">
          <w:rPr>
            <w:rStyle w:val="Hyperlink"/>
          </w:rPr>
          <w:t>RICHTLIJN 2023/0132</w:t>
        </w:r>
      </w:hyperlink>
      <w:r>
        <w:t xml:space="preserve"> </w:t>
      </w:r>
      <w:r w:rsidRPr="00085699">
        <w:t>tot vaststelling van een code van de Unie betreffende geneesmiddelen voor menselijk gebruik en tot intrekking van Richtlijn 2001/83/EG en Richtlijn 2009/35/EG</w:t>
      </w:r>
      <w:r w:rsidR="00360517">
        <w:t>.</w:t>
      </w:r>
    </w:p>
  </w:footnote>
  <w:footnote w:id="3">
    <w:p w14:paraId="21E47DA2" w14:textId="1D2D23D3" w:rsidR="009A497F" w:rsidRDefault="009A497F" w:rsidP="009A497F">
      <w:pPr>
        <w:pStyle w:val="Voetnoottekst"/>
        <w:jc w:val="both"/>
      </w:pPr>
      <w:r>
        <w:rPr>
          <w:rStyle w:val="Voetnootmarkering"/>
        </w:rPr>
        <w:footnoteRef/>
      </w:r>
      <w:r>
        <w:t xml:space="preserve"> </w:t>
      </w:r>
      <w:hyperlink r:id="rId2" w:history="1">
        <w:r w:rsidRPr="00085699">
          <w:rPr>
            <w:rStyle w:val="Hyperlink"/>
          </w:rPr>
          <w:t>VERORDENING 2023/0131</w:t>
        </w:r>
      </w:hyperlink>
      <w:r w:rsidRPr="00085699">
        <w:t xml:space="preserve"> tot vaststelling van procedures van de Unie voor het verlenen van vergunningen en het toezicht met betrekking tot geneesmiddelen voor menselijk gebruik en tot vaststelling van regels voor het Europees Geneesmiddelenbureau, tot wijziging van Verordening (EG) nr. 1394/2007 en Verordening (EU) nr. 536/2014 en tot intrekking van Verordening (EG) nr. 726/2004, Verordening (EG) nr. 141/2000 en Verordening (EG) nr. 1901/2006</w:t>
      </w:r>
      <w:r w:rsidR="00360517">
        <w:t>.</w:t>
      </w:r>
    </w:p>
  </w:footnote>
  <w:footnote w:id="4">
    <w:p w14:paraId="3189085F" w14:textId="7B70F796" w:rsidR="00913F54" w:rsidRDefault="00913F54">
      <w:pPr>
        <w:pStyle w:val="Voetnoottekst"/>
      </w:pPr>
      <w:r>
        <w:rPr>
          <w:rStyle w:val="Voetnootmarkering"/>
        </w:rPr>
        <w:footnoteRef/>
      </w:r>
      <w:r>
        <w:t xml:space="preserve"> Geneesmiddelen met Ribonucleïnezuur, een molecuul die een rol speelt in biologische processen. RNA is een kopie van DNA, de RNA-technologie wordt in geneesmiddelen gebruikt om te manipuleren. </w:t>
      </w:r>
    </w:p>
  </w:footnote>
  <w:footnote w:id="5">
    <w:p w14:paraId="14DE0DD0" w14:textId="7ACBC28D" w:rsidR="00434C1F" w:rsidRDefault="00434C1F">
      <w:pPr>
        <w:pStyle w:val="Voetnoottekst"/>
      </w:pPr>
      <w:r>
        <w:rPr>
          <w:rStyle w:val="Voetnootmarkering"/>
        </w:rPr>
        <w:footnoteRef/>
      </w:r>
      <w:r>
        <w:t xml:space="preserve"> </w:t>
      </w:r>
      <w:hyperlink r:id="rId3" w:history="1">
        <w:r w:rsidRPr="00434C1F">
          <w:rPr>
            <w:rStyle w:val="Hyperlink"/>
          </w:rPr>
          <w:t>VERORDENING (EU) 2022/0140</w:t>
        </w:r>
      </w:hyperlink>
      <w:r>
        <w:t xml:space="preserve"> </w:t>
      </w:r>
      <w:r w:rsidRPr="00434C1F">
        <w:t>betreffende de Europese ruimte voor gezondheidsgegevens</w:t>
      </w:r>
      <w:r>
        <w:t>.</w:t>
      </w:r>
    </w:p>
  </w:footnote>
  <w:footnote w:id="6">
    <w:p w14:paraId="5D18D591" w14:textId="055F127F" w:rsidR="00187468" w:rsidRDefault="00187468">
      <w:pPr>
        <w:pStyle w:val="Voetnoottekst"/>
      </w:pPr>
      <w:r>
        <w:rPr>
          <w:rStyle w:val="Voetnootmarkering"/>
        </w:rPr>
        <w:footnoteRef/>
      </w:r>
      <w:r>
        <w:t xml:space="preserve"> </w:t>
      </w:r>
      <w:hyperlink r:id="rId4" w:history="1">
        <w:r w:rsidRPr="00187468">
          <w:rPr>
            <w:rStyle w:val="Hyperlink"/>
          </w:rPr>
          <w:t>VERORDENING (EU) 2021/2282</w:t>
        </w:r>
      </w:hyperlink>
      <w:r w:rsidRPr="00187468">
        <w:t xml:space="preserve"> betreffende de evaluatie van gezondheidstechnologie en tot wijziging van Richtlijn 2011/24/EU</w:t>
      </w:r>
      <w:r>
        <w:t xml:space="preserve">. </w:t>
      </w:r>
    </w:p>
  </w:footnote>
  <w:footnote w:id="7">
    <w:p w14:paraId="61983EF1" w14:textId="77777777" w:rsidR="00837FFE" w:rsidRDefault="00837FFE" w:rsidP="00837FFE">
      <w:pPr>
        <w:pStyle w:val="Voetnoottekst"/>
      </w:pPr>
      <w:r>
        <w:rPr>
          <w:rStyle w:val="Voetnootmarkering"/>
        </w:rPr>
        <w:footnoteRef/>
      </w:r>
      <w:r>
        <w:t xml:space="preserve"> </w:t>
      </w:r>
      <w:r w:rsidRPr="00CA3079">
        <w:t xml:space="preserve">Producenten van generieke geneesmiddelen of bio-similars hebben geen toegang tot data en andere onderliggende documenten van het goedkeuringsproces van de geneesmiddelen.  </w:t>
      </w:r>
    </w:p>
  </w:footnote>
  <w:footnote w:id="8">
    <w:p w14:paraId="28B39DE9" w14:textId="03742880" w:rsidR="00837FFE" w:rsidRDefault="00837FFE" w:rsidP="00837FFE">
      <w:pPr>
        <w:pStyle w:val="Voetnoottekst"/>
      </w:pPr>
      <w:r>
        <w:rPr>
          <w:rStyle w:val="Voetnootmarkering"/>
        </w:rPr>
        <w:footnoteRef/>
      </w:r>
      <w:r>
        <w:t xml:space="preserve"> </w:t>
      </w:r>
      <w:r w:rsidRPr="00CA3079">
        <w:t xml:space="preserve">Producenten van generieke geneesmiddelen kunnen zich met de data voorbereiden op marktentree maar mogen voor de duur van deze </w:t>
      </w:r>
      <w:r w:rsidR="005F4E4C" w:rsidRPr="00CA3079">
        <w:t>periode het</w:t>
      </w:r>
      <w:r w:rsidRPr="00CA3079">
        <w:t xml:space="preserve"> geneesmiddel niet de markt op brengen.</w:t>
      </w:r>
    </w:p>
  </w:footnote>
  <w:footnote w:id="9">
    <w:p w14:paraId="27DFB929" w14:textId="4B8EFD68" w:rsidR="00E25385" w:rsidRDefault="00E25385">
      <w:pPr>
        <w:pStyle w:val="Voetnoottekst"/>
      </w:pPr>
      <w:r>
        <w:rPr>
          <w:rStyle w:val="Voetnootmarkering"/>
        </w:rPr>
        <w:footnoteRef/>
      </w:r>
      <w:r>
        <w:t xml:space="preserve"> </w:t>
      </w:r>
      <w:hyperlink r:id="rId5" w:history="1">
        <w:r w:rsidRPr="00E25385">
          <w:rPr>
            <w:rStyle w:val="Hyperlink"/>
          </w:rPr>
          <w:t>VERORDENING (EU) 2019/6</w:t>
        </w:r>
      </w:hyperlink>
      <w:r w:rsidRPr="00E25385">
        <w:t xml:space="preserve"> betreffende diergeneesmiddelen en tot intrekking van Richtlijn 2001/82/EG</w:t>
      </w:r>
    </w:p>
  </w:footnote>
  <w:footnote w:id="10">
    <w:p w14:paraId="19B82C29" w14:textId="7EC9938E" w:rsidR="00AF5AA8" w:rsidRDefault="00AF5AA8" w:rsidP="00AF5AA8">
      <w:pPr>
        <w:pStyle w:val="Voetnoottekst"/>
      </w:pPr>
      <w:r>
        <w:rPr>
          <w:rStyle w:val="Voetnootmarkering"/>
        </w:rPr>
        <w:footnoteRef/>
      </w:r>
      <w:r>
        <w:t xml:space="preserve"> </w:t>
      </w:r>
      <w:hyperlink r:id="rId6" w:history="1">
        <w:r w:rsidRPr="006A5C05">
          <w:rPr>
            <w:rStyle w:val="Hyperlink"/>
          </w:rPr>
          <w:t xml:space="preserve">RICHTLIJN (EU) 2024/3019 </w:t>
        </w:r>
      </w:hyperlink>
      <w:r w:rsidRPr="006A5C05">
        <w:t xml:space="preserve"> inzake de behandeling van stedelijk afvalwate</w:t>
      </w:r>
      <w:r>
        <w:t>r</w:t>
      </w:r>
      <w:r w:rsidR="00FD03FC">
        <w:t>.</w:t>
      </w:r>
    </w:p>
  </w:footnote>
  <w:footnote w:id="11">
    <w:p w14:paraId="4A877FBA" w14:textId="334E9DC3" w:rsidR="009458E7" w:rsidRDefault="009458E7">
      <w:pPr>
        <w:pStyle w:val="Voetnoottekst"/>
      </w:pPr>
      <w:r>
        <w:rPr>
          <w:rStyle w:val="Voetnootmarkering"/>
        </w:rPr>
        <w:footnoteRef/>
      </w:r>
      <w:r>
        <w:t xml:space="preserve"> </w:t>
      </w:r>
      <w:hyperlink r:id="rId7" w:history="1">
        <w:r w:rsidRPr="009458E7">
          <w:rPr>
            <w:rStyle w:val="Hyperlink"/>
          </w:rPr>
          <w:t>Lijst kritieke geneesmiddelen van de Europese Unie</w:t>
        </w:r>
      </w:hyperlink>
    </w:p>
  </w:footnote>
  <w:footnote w:id="12">
    <w:p w14:paraId="3197EE5A" w14:textId="34ADDA5A" w:rsidR="00B531C8" w:rsidRDefault="00B531C8">
      <w:pPr>
        <w:pStyle w:val="Voetnoottekst"/>
      </w:pPr>
      <w:r>
        <w:rPr>
          <w:rStyle w:val="Voetnootmarkering"/>
        </w:rPr>
        <w:footnoteRef/>
      </w:r>
      <w:r w:rsidR="00DD5DDF">
        <w:t xml:space="preserve"> </w:t>
      </w:r>
      <w:hyperlink r:id="rId8" w:history="1">
        <w:r w:rsidR="00DD5DDF" w:rsidRPr="00DD5DDF">
          <w:rPr>
            <w:rStyle w:val="Hyperlink"/>
          </w:rPr>
          <w:t xml:space="preserve">Kamerstuk 36-365, nr.2 </w:t>
        </w:r>
      </w:hyperlink>
      <w:r>
        <w:t xml:space="preserve"> </w:t>
      </w:r>
    </w:p>
    <w:p w14:paraId="131C5475" w14:textId="48FC5E68" w:rsidR="00DD5DDF" w:rsidRDefault="00DD5DDF">
      <w:pPr>
        <w:pStyle w:val="Voetnoottekst"/>
      </w:pPr>
    </w:p>
    <w:p w14:paraId="3D6D5E9C" w14:textId="3C44003D" w:rsidR="00DD5DDF" w:rsidRDefault="00DD5DDF">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DF0"/>
    <w:multiLevelType w:val="hybridMultilevel"/>
    <w:tmpl w:val="B80AD6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ED782D"/>
    <w:multiLevelType w:val="hybridMultilevel"/>
    <w:tmpl w:val="8CECCCD0"/>
    <w:lvl w:ilvl="0" w:tplc="DE90BDEC">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C50E7D"/>
    <w:multiLevelType w:val="hybridMultilevel"/>
    <w:tmpl w:val="0D745D50"/>
    <w:lvl w:ilvl="0" w:tplc="6B80ACE2">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D11CDC"/>
    <w:multiLevelType w:val="hybridMultilevel"/>
    <w:tmpl w:val="95F6ACF8"/>
    <w:lvl w:ilvl="0" w:tplc="BAB442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844769C"/>
    <w:multiLevelType w:val="hybridMultilevel"/>
    <w:tmpl w:val="3F6EC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5412489">
    <w:abstractNumId w:val="0"/>
  </w:num>
  <w:num w:numId="2" w16cid:durableId="280958230">
    <w:abstractNumId w:val="3"/>
  </w:num>
  <w:num w:numId="3" w16cid:durableId="333722400">
    <w:abstractNumId w:val="4"/>
  </w:num>
  <w:num w:numId="4" w16cid:durableId="680670010">
    <w:abstractNumId w:val="1"/>
  </w:num>
  <w:num w:numId="5" w16cid:durableId="178326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3"/>
    <w:rsid w:val="0000453D"/>
    <w:rsid w:val="00006535"/>
    <w:rsid w:val="0000794D"/>
    <w:rsid w:val="00010863"/>
    <w:rsid w:val="00012D5D"/>
    <w:rsid w:val="00050860"/>
    <w:rsid w:val="0005753D"/>
    <w:rsid w:val="000627C7"/>
    <w:rsid w:val="00085699"/>
    <w:rsid w:val="000B2240"/>
    <w:rsid w:val="000B6112"/>
    <w:rsid w:val="000C22CC"/>
    <w:rsid w:val="000E1B54"/>
    <w:rsid w:val="00106E56"/>
    <w:rsid w:val="00117423"/>
    <w:rsid w:val="001238A9"/>
    <w:rsid w:val="00123B8B"/>
    <w:rsid w:val="00124DEE"/>
    <w:rsid w:val="00127873"/>
    <w:rsid w:val="00150BB5"/>
    <w:rsid w:val="00154BDF"/>
    <w:rsid w:val="0017516C"/>
    <w:rsid w:val="00176C29"/>
    <w:rsid w:val="00187468"/>
    <w:rsid w:val="001976E1"/>
    <w:rsid w:val="001B2492"/>
    <w:rsid w:val="001B29FC"/>
    <w:rsid w:val="001C465D"/>
    <w:rsid w:val="001C56D3"/>
    <w:rsid w:val="001E68C3"/>
    <w:rsid w:val="001F01C0"/>
    <w:rsid w:val="0022640C"/>
    <w:rsid w:val="00242D89"/>
    <w:rsid w:val="002437E1"/>
    <w:rsid w:val="00273061"/>
    <w:rsid w:val="002737B7"/>
    <w:rsid w:val="00277E5A"/>
    <w:rsid w:val="0028363C"/>
    <w:rsid w:val="00294E9D"/>
    <w:rsid w:val="002A185C"/>
    <w:rsid w:val="002A2450"/>
    <w:rsid w:val="002D1A1E"/>
    <w:rsid w:val="002E71E2"/>
    <w:rsid w:val="00321972"/>
    <w:rsid w:val="003268F3"/>
    <w:rsid w:val="00334EB4"/>
    <w:rsid w:val="00352AA0"/>
    <w:rsid w:val="00360517"/>
    <w:rsid w:val="00372DC4"/>
    <w:rsid w:val="00373913"/>
    <w:rsid w:val="00380368"/>
    <w:rsid w:val="003A5C9D"/>
    <w:rsid w:val="003E7549"/>
    <w:rsid w:val="003F11F2"/>
    <w:rsid w:val="003F665E"/>
    <w:rsid w:val="00406A1C"/>
    <w:rsid w:val="00407AC0"/>
    <w:rsid w:val="004257A7"/>
    <w:rsid w:val="00434C1F"/>
    <w:rsid w:val="004376E5"/>
    <w:rsid w:val="00443DF6"/>
    <w:rsid w:val="0045133B"/>
    <w:rsid w:val="004547D1"/>
    <w:rsid w:val="0048726E"/>
    <w:rsid w:val="004C2286"/>
    <w:rsid w:val="004D2A98"/>
    <w:rsid w:val="004E7A9B"/>
    <w:rsid w:val="00505028"/>
    <w:rsid w:val="00510812"/>
    <w:rsid w:val="005162E0"/>
    <w:rsid w:val="00535542"/>
    <w:rsid w:val="00572401"/>
    <w:rsid w:val="00593AC2"/>
    <w:rsid w:val="005F4E4C"/>
    <w:rsid w:val="0060653B"/>
    <w:rsid w:val="00624EFA"/>
    <w:rsid w:val="006304EA"/>
    <w:rsid w:val="00636865"/>
    <w:rsid w:val="00642D81"/>
    <w:rsid w:val="006431DB"/>
    <w:rsid w:val="0065003D"/>
    <w:rsid w:val="0065287D"/>
    <w:rsid w:val="00695CE3"/>
    <w:rsid w:val="006A162F"/>
    <w:rsid w:val="006A5C05"/>
    <w:rsid w:val="006C1BE0"/>
    <w:rsid w:val="006D2B06"/>
    <w:rsid w:val="006E3BBA"/>
    <w:rsid w:val="006E7606"/>
    <w:rsid w:val="00711856"/>
    <w:rsid w:val="007361F2"/>
    <w:rsid w:val="007579E4"/>
    <w:rsid w:val="00767C8B"/>
    <w:rsid w:val="00777552"/>
    <w:rsid w:val="00785587"/>
    <w:rsid w:val="00786512"/>
    <w:rsid w:val="00790154"/>
    <w:rsid w:val="007A14BA"/>
    <w:rsid w:val="007A6F61"/>
    <w:rsid w:val="007B7E2D"/>
    <w:rsid w:val="007C38F1"/>
    <w:rsid w:val="007E3C4B"/>
    <w:rsid w:val="00803A9F"/>
    <w:rsid w:val="0081493C"/>
    <w:rsid w:val="00833379"/>
    <w:rsid w:val="00837FFE"/>
    <w:rsid w:val="00852B8E"/>
    <w:rsid w:val="008630E6"/>
    <w:rsid w:val="00865B9D"/>
    <w:rsid w:val="00882DA3"/>
    <w:rsid w:val="008853A3"/>
    <w:rsid w:val="0089296C"/>
    <w:rsid w:val="00895313"/>
    <w:rsid w:val="008B2964"/>
    <w:rsid w:val="00913F54"/>
    <w:rsid w:val="00931917"/>
    <w:rsid w:val="00935F22"/>
    <w:rsid w:val="00936402"/>
    <w:rsid w:val="009458E7"/>
    <w:rsid w:val="0095138D"/>
    <w:rsid w:val="00952E4A"/>
    <w:rsid w:val="009A497F"/>
    <w:rsid w:val="009C6908"/>
    <w:rsid w:val="009E3A75"/>
    <w:rsid w:val="009E404C"/>
    <w:rsid w:val="009E431C"/>
    <w:rsid w:val="009F36AD"/>
    <w:rsid w:val="009F6699"/>
    <w:rsid w:val="00A10E93"/>
    <w:rsid w:val="00A1571B"/>
    <w:rsid w:val="00A259D8"/>
    <w:rsid w:val="00A30C39"/>
    <w:rsid w:val="00A47E6E"/>
    <w:rsid w:val="00A83EEA"/>
    <w:rsid w:val="00A9014C"/>
    <w:rsid w:val="00A9404D"/>
    <w:rsid w:val="00AA5796"/>
    <w:rsid w:val="00AC123F"/>
    <w:rsid w:val="00AD29C9"/>
    <w:rsid w:val="00AE69B6"/>
    <w:rsid w:val="00AF0F15"/>
    <w:rsid w:val="00AF5AA8"/>
    <w:rsid w:val="00AF6644"/>
    <w:rsid w:val="00B07199"/>
    <w:rsid w:val="00B11C45"/>
    <w:rsid w:val="00B1285F"/>
    <w:rsid w:val="00B13A86"/>
    <w:rsid w:val="00B409AE"/>
    <w:rsid w:val="00B50075"/>
    <w:rsid w:val="00B531C8"/>
    <w:rsid w:val="00B533A3"/>
    <w:rsid w:val="00B7462E"/>
    <w:rsid w:val="00B837CA"/>
    <w:rsid w:val="00B9228E"/>
    <w:rsid w:val="00BA658C"/>
    <w:rsid w:val="00BB13EA"/>
    <w:rsid w:val="00BB6603"/>
    <w:rsid w:val="00BF4BDF"/>
    <w:rsid w:val="00C138FA"/>
    <w:rsid w:val="00C25D7C"/>
    <w:rsid w:val="00C34773"/>
    <w:rsid w:val="00C40FD9"/>
    <w:rsid w:val="00C47CF5"/>
    <w:rsid w:val="00C83971"/>
    <w:rsid w:val="00CA0867"/>
    <w:rsid w:val="00CA3079"/>
    <w:rsid w:val="00CF2060"/>
    <w:rsid w:val="00CF2746"/>
    <w:rsid w:val="00D06A0E"/>
    <w:rsid w:val="00D06D6F"/>
    <w:rsid w:val="00D23103"/>
    <w:rsid w:val="00D3351E"/>
    <w:rsid w:val="00D456C6"/>
    <w:rsid w:val="00D50400"/>
    <w:rsid w:val="00DA0B26"/>
    <w:rsid w:val="00DA3A96"/>
    <w:rsid w:val="00DB0C9F"/>
    <w:rsid w:val="00DB4AFB"/>
    <w:rsid w:val="00DC2732"/>
    <w:rsid w:val="00DC52C4"/>
    <w:rsid w:val="00DD0F88"/>
    <w:rsid w:val="00DD5DDF"/>
    <w:rsid w:val="00DE122C"/>
    <w:rsid w:val="00DE29B6"/>
    <w:rsid w:val="00DE4487"/>
    <w:rsid w:val="00E067A0"/>
    <w:rsid w:val="00E200CF"/>
    <w:rsid w:val="00E23D7D"/>
    <w:rsid w:val="00E25385"/>
    <w:rsid w:val="00E354BE"/>
    <w:rsid w:val="00E43A54"/>
    <w:rsid w:val="00E47604"/>
    <w:rsid w:val="00E65BAA"/>
    <w:rsid w:val="00E7767F"/>
    <w:rsid w:val="00EB514E"/>
    <w:rsid w:val="00EC26D2"/>
    <w:rsid w:val="00ED189A"/>
    <w:rsid w:val="00EE0437"/>
    <w:rsid w:val="00EE58DC"/>
    <w:rsid w:val="00EF3265"/>
    <w:rsid w:val="00F0582A"/>
    <w:rsid w:val="00F059F0"/>
    <w:rsid w:val="00F133C3"/>
    <w:rsid w:val="00F142FF"/>
    <w:rsid w:val="00F23B7B"/>
    <w:rsid w:val="00F26DFD"/>
    <w:rsid w:val="00F347C6"/>
    <w:rsid w:val="00F7008A"/>
    <w:rsid w:val="00F961C7"/>
    <w:rsid w:val="00FC1F01"/>
    <w:rsid w:val="00FC28F1"/>
    <w:rsid w:val="00FC44C7"/>
    <w:rsid w:val="00FD03FC"/>
    <w:rsid w:val="00FD3672"/>
    <w:rsid w:val="00FE1F05"/>
    <w:rsid w:val="00FF3C5B"/>
    <w:rsid w:val="00FF45EE"/>
    <w:rsid w:val="051317D5"/>
    <w:rsid w:val="0A859116"/>
    <w:rsid w:val="0C13700D"/>
    <w:rsid w:val="13894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E91D"/>
  <w15:chartTrackingRefBased/>
  <w15:docId w15:val="{C28A2D76-3E2C-4811-A9EE-9825D286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3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3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3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3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3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3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3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3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3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3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3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3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3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3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3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3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33A3"/>
    <w:rPr>
      <w:rFonts w:eastAsiaTheme="majorEastAsia" w:cstheme="majorBidi"/>
      <w:color w:val="272727" w:themeColor="text1" w:themeTint="D8"/>
    </w:rPr>
  </w:style>
  <w:style w:type="paragraph" w:styleId="Titel">
    <w:name w:val="Title"/>
    <w:basedOn w:val="Standaard"/>
    <w:next w:val="Standaard"/>
    <w:link w:val="TitelChar"/>
    <w:uiPriority w:val="10"/>
    <w:qFormat/>
    <w:rsid w:val="00B53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3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3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3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3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33A3"/>
    <w:rPr>
      <w:i/>
      <w:iCs/>
      <w:color w:val="404040" w:themeColor="text1" w:themeTint="BF"/>
    </w:rPr>
  </w:style>
  <w:style w:type="paragraph" w:styleId="Lijstalinea">
    <w:name w:val="List Paragraph"/>
    <w:basedOn w:val="Standaard"/>
    <w:uiPriority w:val="34"/>
    <w:qFormat/>
    <w:rsid w:val="00B533A3"/>
    <w:pPr>
      <w:ind w:left="720"/>
      <w:contextualSpacing/>
    </w:pPr>
  </w:style>
  <w:style w:type="character" w:styleId="Intensievebenadrukking">
    <w:name w:val="Intense Emphasis"/>
    <w:basedOn w:val="Standaardalinea-lettertype"/>
    <w:uiPriority w:val="21"/>
    <w:qFormat/>
    <w:rsid w:val="00B533A3"/>
    <w:rPr>
      <w:i/>
      <w:iCs/>
      <w:color w:val="0F4761" w:themeColor="accent1" w:themeShade="BF"/>
    </w:rPr>
  </w:style>
  <w:style w:type="paragraph" w:styleId="Duidelijkcitaat">
    <w:name w:val="Intense Quote"/>
    <w:basedOn w:val="Standaard"/>
    <w:next w:val="Standaard"/>
    <w:link w:val="DuidelijkcitaatChar"/>
    <w:uiPriority w:val="30"/>
    <w:qFormat/>
    <w:rsid w:val="00B53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33A3"/>
    <w:rPr>
      <w:i/>
      <w:iCs/>
      <w:color w:val="0F4761" w:themeColor="accent1" w:themeShade="BF"/>
    </w:rPr>
  </w:style>
  <w:style w:type="character" w:styleId="Intensieveverwijzing">
    <w:name w:val="Intense Reference"/>
    <w:basedOn w:val="Standaardalinea-lettertype"/>
    <w:uiPriority w:val="32"/>
    <w:qFormat/>
    <w:rsid w:val="00B533A3"/>
    <w:rPr>
      <w:b/>
      <w:bCs/>
      <w:smallCaps/>
      <w:color w:val="0F4761" w:themeColor="accent1" w:themeShade="BF"/>
      <w:spacing w:val="5"/>
    </w:rPr>
  </w:style>
  <w:style w:type="character" w:styleId="Hyperlink">
    <w:name w:val="Hyperlink"/>
    <w:basedOn w:val="Standaardalinea-lettertype"/>
    <w:uiPriority w:val="99"/>
    <w:unhideWhenUsed/>
    <w:rsid w:val="00535542"/>
    <w:rPr>
      <w:color w:val="467886" w:themeColor="hyperlink"/>
      <w:u w:val="single"/>
    </w:rPr>
  </w:style>
  <w:style w:type="character" w:styleId="Onopgelostemelding">
    <w:name w:val="Unresolved Mention"/>
    <w:basedOn w:val="Standaardalinea-lettertype"/>
    <w:uiPriority w:val="99"/>
    <w:semiHidden/>
    <w:unhideWhenUsed/>
    <w:rsid w:val="00535542"/>
    <w:rPr>
      <w:color w:val="605E5C"/>
      <w:shd w:val="clear" w:color="auto" w:fill="E1DFDD"/>
    </w:rPr>
  </w:style>
  <w:style w:type="table" w:styleId="Tabelraster">
    <w:name w:val="Table Grid"/>
    <w:basedOn w:val="Standaardtabel"/>
    <w:uiPriority w:val="39"/>
    <w:rsid w:val="00E4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43A5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E43A54"/>
    <w:rPr>
      <w:sz w:val="20"/>
      <w:szCs w:val="20"/>
    </w:rPr>
  </w:style>
  <w:style w:type="character" w:styleId="Eindnootmarkering">
    <w:name w:val="endnote reference"/>
    <w:basedOn w:val="Standaardalinea-lettertype"/>
    <w:uiPriority w:val="99"/>
    <w:semiHidden/>
    <w:unhideWhenUsed/>
    <w:rsid w:val="00E43A54"/>
    <w:rPr>
      <w:vertAlign w:val="superscript"/>
    </w:rPr>
  </w:style>
  <w:style w:type="paragraph" w:styleId="Voetnoottekst">
    <w:name w:val="footnote text"/>
    <w:basedOn w:val="Standaard"/>
    <w:link w:val="VoetnoottekstChar"/>
    <w:uiPriority w:val="99"/>
    <w:semiHidden/>
    <w:unhideWhenUsed/>
    <w:rsid w:val="00B128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285F"/>
    <w:rPr>
      <w:sz w:val="20"/>
      <w:szCs w:val="20"/>
    </w:rPr>
  </w:style>
  <w:style w:type="character" w:styleId="Voetnootmarkering">
    <w:name w:val="footnote reference"/>
    <w:basedOn w:val="Standaardalinea-lettertype"/>
    <w:uiPriority w:val="99"/>
    <w:semiHidden/>
    <w:unhideWhenUsed/>
    <w:rsid w:val="00B1285F"/>
    <w:rPr>
      <w:vertAlign w:val="superscript"/>
    </w:rPr>
  </w:style>
  <w:style w:type="character" w:styleId="GevolgdeHyperlink">
    <w:name w:val="FollowedHyperlink"/>
    <w:basedOn w:val="Standaardalinea-lettertype"/>
    <w:uiPriority w:val="99"/>
    <w:semiHidden/>
    <w:unhideWhenUsed/>
    <w:rsid w:val="00085699"/>
    <w:rPr>
      <w:color w:val="96607D" w:themeColor="followedHyperlink"/>
      <w:u w:val="single"/>
    </w:rPr>
  </w:style>
  <w:style w:type="paragraph" w:styleId="Revisie">
    <w:name w:val="Revision"/>
    <w:hidden/>
    <w:uiPriority w:val="99"/>
    <w:semiHidden/>
    <w:rsid w:val="00360517"/>
    <w:pPr>
      <w:spacing w:after="0" w:line="240" w:lineRule="auto"/>
    </w:pPr>
  </w:style>
  <w:style w:type="character" w:styleId="Verwijzingopmerking">
    <w:name w:val="annotation reference"/>
    <w:basedOn w:val="Standaardalinea-lettertype"/>
    <w:uiPriority w:val="99"/>
    <w:semiHidden/>
    <w:unhideWhenUsed/>
    <w:rsid w:val="00360517"/>
    <w:rPr>
      <w:sz w:val="16"/>
      <w:szCs w:val="16"/>
    </w:rPr>
  </w:style>
  <w:style w:type="paragraph" w:styleId="Tekstopmerking">
    <w:name w:val="annotation text"/>
    <w:basedOn w:val="Standaard"/>
    <w:link w:val="TekstopmerkingChar"/>
    <w:uiPriority w:val="99"/>
    <w:unhideWhenUsed/>
    <w:rsid w:val="00360517"/>
    <w:pPr>
      <w:spacing w:line="240" w:lineRule="auto"/>
    </w:pPr>
    <w:rPr>
      <w:sz w:val="20"/>
      <w:szCs w:val="20"/>
    </w:rPr>
  </w:style>
  <w:style w:type="character" w:customStyle="1" w:styleId="TekstopmerkingChar">
    <w:name w:val="Tekst opmerking Char"/>
    <w:basedOn w:val="Standaardalinea-lettertype"/>
    <w:link w:val="Tekstopmerking"/>
    <w:uiPriority w:val="99"/>
    <w:rsid w:val="00360517"/>
    <w:rPr>
      <w:sz w:val="20"/>
      <w:szCs w:val="20"/>
    </w:rPr>
  </w:style>
  <w:style w:type="paragraph" w:styleId="Onderwerpvanopmerking">
    <w:name w:val="annotation subject"/>
    <w:basedOn w:val="Tekstopmerking"/>
    <w:next w:val="Tekstopmerking"/>
    <w:link w:val="OnderwerpvanopmerkingChar"/>
    <w:uiPriority w:val="99"/>
    <w:semiHidden/>
    <w:unhideWhenUsed/>
    <w:rsid w:val="00360517"/>
    <w:rPr>
      <w:b/>
      <w:bCs/>
    </w:rPr>
  </w:style>
  <w:style w:type="character" w:customStyle="1" w:styleId="OnderwerpvanopmerkingChar">
    <w:name w:val="Onderwerp van opmerking Char"/>
    <w:basedOn w:val="TekstopmerkingChar"/>
    <w:link w:val="Onderwerpvanopmerking"/>
    <w:uiPriority w:val="99"/>
    <w:semiHidden/>
    <w:rsid w:val="00360517"/>
    <w:rPr>
      <w:b/>
      <w:bCs/>
      <w:sz w:val="20"/>
      <w:szCs w:val="20"/>
    </w:rPr>
  </w:style>
  <w:style w:type="paragraph" w:styleId="Koptekst">
    <w:name w:val="header"/>
    <w:basedOn w:val="Standaard"/>
    <w:link w:val="KoptekstChar"/>
    <w:uiPriority w:val="99"/>
    <w:semiHidden/>
    <w:unhideWhenUsed/>
    <w:rsid w:val="00593A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93AC2"/>
  </w:style>
  <w:style w:type="paragraph" w:styleId="Voettekst">
    <w:name w:val="footer"/>
    <w:basedOn w:val="Standaard"/>
    <w:link w:val="VoettekstChar"/>
    <w:uiPriority w:val="99"/>
    <w:semiHidden/>
    <w:unhideWhenUsed/>
    <w:rsid w:val="00593A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9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3Z09454&amp;did=2023D22659" TargetMode="External"/><Relationship Id="rId3" Type="http://schemas.openxmlformats.org/officeDocument/2006/relationships/hyperlink" Target="https://eur-lex.europa.eu/resource.html?uri=cellar:dbfd8974-cb79-11ec-b6f4-01aa75ed71a1.0009.02/DOC_1&amp;format=PDF" TargetMode="External"/><Relationship Id="rId7" Type="http://schemas.openxmlformats.org/officeDocument/2006/relationships/hyperlink" Target="https://www.ema.europa.eu/en/human-regulatory-overview/post-authorisation/medicine-shortages-availability-issues/availability-medicines-during-crises/union-list-critical-medicines" TargetMode="External"/><Relationship Id="rId2" Type="http://schemas.openxmlformats.org/officeDocument/2006/relationships/hyperlink" Target="https://eur-lex.europa.eu/resource.html?uri=cellar:e3f40e76-e437-11ed-a05c-01aa75ed71a1.0015.02/DOC_1&amp;format=PDF" TargetMode="External"/><Relationship Id="rId1" Type="http://schemas.openxmlformats.org/officeDocument/2006/relationships/hyperlink" Target="https://eur-lex.europa.eu/resource.html?uri=cellar:bfcb9e00-e437-11ed-a05c-01aa75ed71a1.0004.02/DOC_1&amp;format=PDF" TargetMode="External"/><Relationship Id="rId6" Type="http://schemas.openxmlformats.org/officeDocument/2006/relationships/hyperlink" Target="https://eur-lex.europa.eu/legal-content/NL/TXT/PDF/?uri=OJ:L_202403019" TargetMode="External"/><Relationship Id="rId5" Type="http://schemas.openxmlformats.org/officeDocument/2006/relationships/hyperlink" Target="https://open.overheid.nl/documenten/ronl-34c562f1b865890d3c64e35af6a0e92032dd1190/pdf" TargetMode="External"/><Relationship Id="rId4" Type="http://schemas.openxmlformats.org/officeDocument/2006/relationships/hyperlink" Target="https://eur-lex.europa.eu/legal-content/NL/TXT/PDF/?uri=CELEX:32021R22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2598</ap:Words>
  <ap:Characters>14295</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2025-03-07T14:02:00.0000000Z</dcterms:created>
  <dcterms:modified xsi:type="dcterms:W3CDTF">2025-03-07T14:02:00.0000000Z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0x010100B7177738DF3DA44E8FF493E75571D179</vt:lpwstr>
  </property>
  <property fmtid="{D5CDD505-2E9C-101B-9397-08002B2CF9AE}" pid="3" name="_dlc_DocIdItemGuid">
    <vt:lpwstr>5a2c659a-ec10-4c6c-9c3c-9b858def6477</vt:lpwstr>
  </property>
</Properties>
</file>