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0CD6" w:rsidP="00080CD6" w:rsidRDefault="00080CD6" w14:paraId="0887FDDF" w14:textId="77777777"/>
    <w:p w:rsidR="00080CD6" w:rsidP="00080CD6" w:rsidRDefault="00080CD6" w14:paraId="6423187F" w14:textId="77777777">
      <w:r>
        <w:t xml:space="preserve">Hierbij bied ik u de antwoorden aan op de schriftelijke vragen die zijn gesteld door het lid Welzijn (NSC) over het bericht ‘Woningsplitsing levert nog weinig extra huizen op’. Deze vragen werden ingezonden op 5 februari 2025, met kenmerk </w:t>
      </w:r>
      <w:r w:rsidRPr="00080CD6">
        <w:t>2025Z02012</w:t>
      </w:r>
      <w:r>
        <w:t xml:space="preserve">. </w:t>
      </w:r>
    </w:p>
    <w:p w:rsidR="00080CD6" w:rsidP="00080CD6" w:rsidRDefault="00080CD6" w14:paraId="316F9ABA" w14:textId="77777777"/>
    <w:p w:rsidR="00080CD6" w:rsidP="00080CD6" w:rsidRDefault="00080CD6" w14:paraId="218F9C33" w14:textId="77777777">
      <w:r>
        <w:t xml:space="preserve">De </w:t>
      </w:r>
      <w:r w:rsidR="000A6905">
        <w:t>m</w:t>
      </w:r>
      <w:r>
        <w:t xml:space="preserve">inister van Volkshuisvesting en Ruimtelijke Ordening, </w:t>
      </w:r>
    </w:p>
    <w:p w:rsidR="00080CD6" w:rsidP="00080CD6" w:rsidRDefault="00080CD6" w14:paraId="1D682712" w14:textId="77777777"/>
    <w:p w:rsidR="00080CD6" w:rsidP="00080CD6" w:rsidRDefault="00080CD6" w14:paraId="3FAFAF83" w14:textId="77777777"/>
    <w:p w:rsidR="00080CD6" w:rsidP="00080CD6" w:rsidRDefault="00080CD6" w14:paraId="51ED037D" w14:textId="77777777"/>
    <w:p w:rsidR="00080CD6" w:rsidP="00080CD6" w:rsidRDefault="00080CD6" w14:paraId="0CABB685" w14:textId="77777777"/>
    <w:p w:rsidR="005C7330" w:rsidP="00080CD6" w:rsidRDefault="00080CD6" w14:paraId="3285B335" w14:textId="77777777">
      <w:r>
        <w:t>Mona Keijzer</w:t>
      </w:r>
    </w:p>
    <w:p w:rsidR="00080CD6" w:rsidP="00080CD6" w:rsidRDefault="00080CD6" w14:paraId="4E38B625" w14:textId="77777777"/>
    <w:p w:rsidR="00080CD6" w:rsidP="00080CD6" w:rsidRDefault="00080CD6" w14:paraId="70B084A0" w14:textId="77777777"/>
    <w:p w:rsidR="00080CD6" w:rsidP="00080CD6" w:rsidRDefault="00080CD6" w14:paraId="3EDCF080" w14:textId="77777777"/>
    <w:p w:rsidR="00080CD6" w:rsidP="00080CD6" w:rsidRDefault="00080CD6" w14:paraId="3D033A70" w14:textId="77777777"/>
    <w:p w:rsidR="00080CD6" w:rsidP="00080CD6" w:rsidRDefault="00080CD6" w14:paraId="3FE5AFA8" w14:textId="77777777"/>
    <w:p w:rsidR="00080CD6" w:rsidP="00080CD6" w:rsidRDefault="00080CD6" w14:paraId="6990991E" w14:textId="77777777"/>
    <w:p w:rsidR="00080CD6" w:rsidP="00080CD6" w:rsidRDefault="00080CD6" w14:paraId="6B4F12F9" w14:textId="77777777"/>
    <w:p w:rsidR="00080CD6" w:rsidP="00080CD6" w:rsidRDefault="00080CD6" w14:paraId="5397DD0E" w14:textId="77777777"/>
    <w:p w:rsidR="00080CD6" w:rsidP="00080CD6" w:rsidRDefault="00080CD6" w14:paraId="04085302" w14:textId="77777777"/>
    <w:p w:rsidR="00080CD6" w:rsidP="00080CD6" w:rsidRDefault="00080CD6" w14:paraId="4E651CF0" w14:textId="77777777"/>
    <w:p w:rsidR="00080CD6" w:rsidP="00080CD6" w:rsidRDefault="00080CD6" w14:paraId="1813F948" w14:textId="77777777"/>
    <w:p w:rsidR="00080CD6" w:rsidP="00080CD6" w:rsidRDefault="00080CD6" w14:paraId="514F0DAE" w14:textId="77777777"/>
    <w:p w:rsidR="00080CD6" w:rsidP="00080CD6" w:rsidRDefault="00080CD6" w14:paraId="60CCB3D6" w14:textId="77777777"/>
    <w:p w:rsidR="00080CD6" w:rsidP="00080CD6" w:rsidRDefault="00080CD6" w14:paraId="281BFA9A" w14:textId="77777777"/>
    <w:p w:rsidR="00080CD6" w:rsidP="00080CD6" w:rsidRDefault="00080CD6" w14:paraId="5469A1F6" w14:textId="77777777"/>
    <w:p w:rsidR="00080CD6" w:rsidP="00080CD6" w:rsidRDefault="00080CD6" w14:paraId="73774729" w14:textId="77777777"/>
    <w:p w:rsidR="00080CD6" w:rsidP="00080CD6" w:rsidRDefault="00080CD6" w14:paraId="41F1E635" w14:textId="77777777"/>
    <w:p w:rsidR="00080CD6" w:rsidP="00080CD6" w:rsidRDefault="00080CD6" w14:paraId="781951E6" w14:textId="77777777"/>
    <w:p w:rsidR="00080CD6" w:rsidP="00080CD6" w:rsidRDefault="00080CD6" w14:paraId="7E67CBCD" w14:textId="77777777"/>
    <w:p w:rsidR="00080CD6" w:rsidP="00080CD6" w:rsidRDefault="00080CD6" w14:paraId="6F02835C" w14:textId="77777777"/>
    <w:p w:rsidR="00080CD6" w:rsidP="00080CD6" w:rsidRDefault="00080CD6" w14:paraId="4E76656B" w14:textId="77777777"/>
    <w:p w:rsidR="00080CD6" w:rsidP="00080CD6" w:rsidRDefault="00080CD6" w14:paraId="2F1DA399" w14:textId="77777777"/>
    <w:p w:rsidR="00080CD6" w:rsidP="00080CD6" w:rsidRDefault="00080CD6" w14:paraId="1F19E360" w14:textId="77777777"/>
    <w:p w:rsidR="00080CD6" w:rsidP="00080CD6" w:rsidRDefault="00080CD6" w14:paraId="3F349598" w14:textId="77777777"/>
    <w:p w:rsidR="00080CD6" w:rsidP="00080CD6" w:rsidRDefault="00080CD6" w14:paraId="5F5BB924" w14:textId="77777777"/>
    <w:p w:rsidR="00080CD6" w:rsidP="00080CD6" w:rsidRDefault="00080CD6" w14:paraId="5CDA7A82" w14:textId="77777777"/>
    <w:p w:rsidR="00080CD6" w:rsidP="00080CD6" w:rsidRDefault="00080CD6" w14:paraId="449AC4AA" w14:textId="77777777"/>
    <w:p w:rsidR="00080CD6" w:rsidP="00080CD6" w:rsidRDefault="00080CD6" w14:paraId="007775C5" w14:textId="77777777">
      <w:r w:rsidRPr="00080CD6">
        <w:rPr>
          <w:b/>
          <w:bCs/>
        </w:rPr>
        <w:lastRenderedPageBreak/>
        <w:t>2025Z02012</w:t>
      </w:r>
      <w:r>
        <w:rPr>
          <w:b/>
          <w:bCs/>
        </w:rPr>
        <w:t xml:space="preserve"> </w:t>
      </w:r>
    </w:p>
    <w:p w:rsidR="00080CD6" w:rsidP="00080CD6" w:rsidRDefault="00080CD6" w14:paraId="01EDA90A" w14:textId="77777777"/>
    <w:p w:rsidRPr="002348FB" w:rsidR="00080CD6" w:rsidP="00080CD6" w:rsidRDefault="00080CD6" w14:paraId="157A8707" w14:textId="77777777">
      <w:r w:rsidRPr="002348FB">
        <w:t xml:space="preserve">Vragen van het lid Welzijn (Nieuw Sociaal Contract) aan de Minister van Volkshuisvesting en Ruimtelijke Ordening over het bericht </w:t>
      </w:r>
      <w:r>
        <w:t>‘</w:t>
      </w:r>
      <w:r w:rsidRPr="002348FB">
        <w:t>Woningsplitsing levert nog weinig extra huizen op</w:t>
      </w:r>
      <w:r>
        <w:t>’</w:t>
      </w:r>
      <w:r w:rsidRPr="002348FB">
        <w:t xml:space="preserve"> (ingezonden 5 februari 2025).</w:t>
      </w:r>
    </w:p>
    <w:p w:rsidRPr="002348FB" w:rsidR="00080CD6" w:rsidP="00080CD6" w:rsidRDefault="00080CD6" w14:paraId="189AE4D5" w14:textId="77777777"/>
    <w:p w:rsidRPr="00080CD6" w:rsidR="00080CD6" w:rsidP="00080CD6" w:rsidRDefault="00080CD6" w14:paraId="09497CF0" w14:textId="77777777"/>
    <w:p w:rsidR="00080CD6" w:rsidP="00080CD6" w:rsidRDefault="00080CD6" w14:paraId="634AABD6" w14:textId="77777777">
      <w:pPr>
        <w:pStyle w:val="Lijstalinea"/>
        <w:numPr>
          <w:ilvl w:val="0"/>
          <w:numId w:val="6"/>
        </w:numPr>
      </w:pPr>
      <w:r w:rsidRPr="00080CD6">
        <w:t>Bent u bekend met dit artikel?  Volkskrant, 31 januari 2025, ‘Woningsplitsing levert nog weinig extra huizen op’?.</w:t>
      </w:r>
    </w:p>
    <w:p w:rsidR="00080CD6" w:rsidP="00080CD6" w:rsidRDefault="00080CD6" w14:paraId="42AF0C1E" w14:textId="77777777">
      <w:pPr>
        <w:pStyle w:val="Lijstalinea"/>
      </w:pPr>
    </w:p>
    <w:p w:rsidR="00080CD6" w:rsidP="00080CD6" w:rsidRDefault="00080CD6" w14:paraId="5070B51D" w14:textId="77777777">
      <w:pPr>
        <w:pStyle w:val="Lijstalinea"/>
      </w:pPr>
      <w:r w:rsidRPr="00080CD6">
        <w:t>Ja.</w:t>
      </w:r>
    </w:p>
    <w:p w:rsidR="00080CD6" w:rsidP="00080CD6" w:rsidRDefault="00080CD6" w14:paraId="0EE0E7B0" w14:textId="77777777">
      <w:pPr>
        <w:pStyle w:val="Lijstalinea"/>
      </w:pPr>
    </w:p>
    <w:p w:rsidR="00080CD6" w:rsidP="00080CD6" w:rsidRDefault="00080CD6" w14:paraId="65250FB8" w14:textId="77777777">
      <w:pPr>
        <w:pStyle w:val="Lijstalinea"/>
        <w:numPr>
          <w:ilvl w:val="0"/>
          <w:numId w:val="6"/>
        </w:numPr>
      </w:pPr>
      <w:r w:rsidRPr="00080CD6">
        <w:t xml:space="preserve">Klopt het dat </w:t>
      </w:r>
      <w:bookmarkStart w:name="_Hlk191473095" w:id="0"/>
      <w:r w:rsidRPr="00080CD6">
        <w:t xml:space="preserve">in 2024 het laagste aantal woningen gesplitst is sinds </w:t>
      </w:r>
      <w:bookmarkEnd w:id="0"/>
      <w:r w:rsidRPr="00080CD6">
        <w:t>2018?</w:t>
      </w:r>
    </w:p>
    <w:p w:rsidR="00080CD6" w:rsidP="00080CD6" w:rsidRDefault="00080CD6" w14:paraId="59D8FC4E" w14:textId="77777777">
      <w:pPr>
        <w:pStyle w:val="Lijstalinea"/>
      </w:pPr>
    </w:p>
    <w:p w:rsidR="00080CD6" w:rsidP="00080CD6" w:rsidRDefault="00080CD6" w14:paraId="74541CD7" w14:textId="77777777">
      <w:pPr>
        <w:pStyle w:val="Lijstalinea"/>
      </w:pPr>
      <w:r w:rsidRPr="00080CD6">
        <w:t>Precieze cijfers over het aantal splitsingen zijn niet bekend</w:t>
      </w:r>
      <w:r w:rsidR="00827F4B">
        <w:t xml:space="preserve">. De </w:t>
      </w:r>
      <w:r w:rsidRPr="00080CD6">
        <w:t xml:space="preserve">CBS-cijfers betreffen </w:t>
      </w:r>
      <w:r w:rsidR="00827F4B">
        <w:t xml:space="preserve">de </w:t>
      </w:r>
      <w:r w:rsidRPr="00080CD6">
        <w:t xml:space="preserve">optelsom van twee </w:t>
      </w:r>
      <w:r w:rsidR="00827F4B">
        <w:t>aspecten</w:t>
      </w:r>
      <w:r w:rsidRPr="00080CD6">
        <w:t>: hoe vaak woningen gesplitst worden</w:t>
      </w:r>
      <w:r w:rsidR="00827F4B">
        <w:t xml:space="preserve">, </w:t>
      </w:r>
      <w:r w:rsidRPr="00080CD6">
        <w:t>maar ook hoe vaak woningen samengevoegd worden. Het cijfer is daarom geen directe weerspiegeling van het aantal woningsplitsingen. De volledige cijfers over 2024 zijn nog niet beschikbaar</w:t>
      </w:r>
      <w:r w:rsidR="00827F4B">
        <w:t xml:space="preserve">, </w:t>
      </w:r>
      <w:r w:rsidRPr="00080CD6">
        <w:t>dus of het (saldo) woningsplitsingen (en samenvoegingen) het laagste is sinds 2018</w:t>
      </w:r>
      <w:r w:rsidR="00827F4B">
        <w:t>,</w:t>
      </w:r>
      <w:r w:rsidRPr="00080CD6">
        <w:t xml:space="preserve"> is niet bekend. De huidige stand van zaken is dat het saldo splitsingen en samenvoegingen in 2020 het laagst is – waarbij het saldo van het totaal aan overige toevoegingen in 2023 en 2020 ongeveer gelijk was.</w:t>
      </w:r>
    </w:p>
    <w:p w:rsidR="00080CD6" w:rsidP="00080CD6" w:rsidRDefault="00080CD6" w14:paraId="59E36282" w14:textId="77777777">
      <w:pPr>
        <w:pStyle w:val="Lijstalinea"/>
      </w:pPr>
    </w:p>
    <w:p w:rsidR="00080CD6" w:rsidP="00080CD6" w:rsidRDefault="00080CD6" w14:paraId="0346FF8E" w14:textId="77777777">
      <w:pPr>
        <w:pStyle w:val="Lijstalinea"/>
      </w:pPr>
      <w:r w:rsidRPr="00080CD6">
        <w:t>In de tabel hieronder zijn deze cijfers sinds 2018 weergegeven. De nieuwbouwcijfers hebben betrekking op nieuwe gebouwen met een woonbestemming. Het saldo van de overige toevoegingen gaat om bestaande gebouwen die (na verbouw) van functie wijzigen zoals transformaties of om bestaande woningen die gesplitst worden. Het kan ook gaan om ‘</w:t>
      </w:r>
      <w:proofErr w:type="spellStart"/>
      <w:r w:rsidRPr="00080CD6">
        <w:t>optopwoningen</w:t>
      </w:r>
      <w:proofErr w:type="spellEnd"/>
      <w:r w:rsidRPr="00080CD6">
        <w:t xml:space="preserve">’. Deze laatste categorie kan door het CBS niet afzonderlijk worden onderscheiden, maar is onderdeel van de categorie ‘overige verbouw’. Het CBS geeft verder aan dat het mogelijk is dat een deel van de </w:t>
      </w:r>
      <w:proofErr w:type="spellStart"/>
      <w:r w:rsidRPr="00080CD6">
        <w:t>optoppingen</w:t>
      </w:r>
      <w:proofErr w:type="spellEnd"/>
      <w:r w:rsidRPr="00080CD6">
        <w:t xml:space="preserve"> abusievelijk als woningsplitsing wordt geboekt</w:t>
      </w:r>
      <w:r w:rsidR="00827F4B">
        <w:t>,</w:t>
      </w:r>
      <w:r w:rsidRPr="00080CD6">
        <w:t xml:space="preserve"> omdat dit niet altijd goed van elkaar onderscheiden kan worden.</w:t>
      </w:r>
    </w:p>
    <w:p w:rsidR="00080CD6" w:rsidP="00080CD6" w:rsidRDefault="00080CD6" w14:paraId="55C69465" w14:textId="77777777">
      <w:pPr>
        <w:pStyle w:val="Lijstalinea"/>
      </w:pPr>
      <w:r w:rsidRPr="00080CD6">
        <w:t xml:space="preserve">De post overige toevoegingen en onttrekkingen betreft een saldo. Er worden woningen gesplitst, maar er worden ook woningen samengevoegd. Gebouwen die voorheen een andere bestemming hadden krijgen een woonfunctie, maar dat geldt andersom ook. Vandaar dat het hier altijd om een saldo gaat. </w:t>
      </w:r>
    </w:p>
    <w:p w:rsidR="00080CD6" w:rsidP="00080CD6" w:rsidRDefault="00080CD6" w14:paraId="3E37CE2C" w14:textId="77777777">
      <w:pPr>
        <w:pStyle w:val="Lijstalinea"/>
        <w:rPr>
          <w:b/>
          <w:bCs/>
        </w:rPr>
      </w:pPr>
    </w:p>
    <w:p w:rsidR="00A46D50" w:rsidP="00080CD6" w:rsidRDefault="00A46D50" w14:paraId="7DED328A" w14:textId="77777777">
      <w:pPr>
        <w:pStyle w:val="Lijstalinea"/>
        <w:rPr>
          <w:b/>
          <w:bCs/>
        </w:rPr>
      </w:pPr>
    </w:p>
    <w:p w:rsidR="00827F4B" w:rsidP="00080CD6" w:rsidRDefault="00827F4B" w14:paraId="0FB8E00E" w14:textId="77777777">
      <w:pPr>
        <w:pStyle w:val="Lijstalinea"/>
        <w:rPr>
          <w:b/>
          <w:bCs/>
        </w:rPr>
      </w:pPr>
    </w:p>
    <w:p w:rsidR="00827F4B" w:rsidP="00080CD6" w:rsidRDefault="00827F4B" w14:paraId="42783FBE" w14:textId="77777777">
      <w:pPr>
        <w:pStyle w:val="Lijstalinea"/>
        <w:rPr>
          <w:b/>
          <w:bCs/>
        </w:rPr>
      </w:pPr>
    </w:p>
    <w:p w:rsidR="00A46D50" w:rsidP="00080CD6" w:rsidRDefault="00A46D50" w14:paraId="1A3240E1" w14:textId="77777777">
      <w:pPr>
        <w:pStyle w:val="Lijstalinea"/>
        <w:rPr>
          <w:b/>
          <w:bCs/>
        </w:rPr>
      </w:pPr>
    </w:p>
    <w:p w:rsidR="00A46D50" w:rsidP="00080CD6" w:rsidRDefault="00A46D50" w14:paraId="14EFBDF3" w14:textId="77777777">
      <w:pPr>
        <w:pStyle w:val="Lijstalinea"/>
        <w:rPr>
          <w:b/>
          <w:bCs/>
        </w:rPr>
      </w:pPr>
    </w:p>
    <w:p w:rsidR="00A46D50" w:rsidP="00080CD6" w:rsidRDefault="00A46D50" w14:paraId="4C56CE52" w14:textId="77777777">
      <w:pPr>
        <w:pStyle w:val="Lijstalinea"/>
        <w:rPr>
          <w:b/>
          <w:bCs/>
        </w:rPr>
      </w:pPr>
    </w:p>
    <w:p w:rsidR="00A46D50" w:rsidP="00080CD6" w:rsidRDefault="00A46D50" w14:paraId="3935FEB9" w14:textId="77777777">
      <w:pPr>
        <w:pStyle w:val="Lijstalinea"/>
        <w:rPr>
          <w:b/>
          <w:bCs/>
        </w:rPr>
      </w:pPr>
    </w:p>
    <w:p w:rsidR="00827F4B" w:rsidP="00080CD6" w:rsidRDefault="00827F4B" w14:paraId="6779DE5D" w14:textId="77777777">
      <w:pPr>
        <w:pStyle w:val="Lijstalinea"/>
        <w:rPr>
          <w:b/>
          <w:bCs/>
        </w:rPr>
      </w:pPr>
    </w:p>
    <w:p w:rsidR="00080CD6" w:rsidP="00080CD6" w:rsidRDefault="00080CD6" w14:paraId="495489D9" w14:textId="77777777">
      <w:pPr>
        <w:pStyle w:val="Lijstalinea"/>
      </w:pPr>
      <w:r w:rsidRPr="00080CD6">
        <w:rPr>
          <w:b/>
          <w:bCs/>
        </w:rPr>
        <w:t>Tabel 1:</w:t>
      </w:r>
      <w:r w:rsidRPr="00080CD6">
        <w:t xml:space="preserve"> Nieuwbouw, saldo overige toevoegingen en onttrekkingen aan de woningvoorraad en uitsplitsing van het saldo in de periode 2018-2024</w:t>
      </w:r>
    </w:p>
    <w:p w:rsidRPr="00080CD6" w:rsidR="00080CD6" w:rsidP="00080CD6" w:rsidRDefault="00080CD6" w14:paraId="4B393188" w14:textId="77777777">
      <w:pPr>
        <w:pStyle w:val="Lijstalinea"/>
      </w:pPr>
    </w:p>
    <w:tbl>
      <w:tblPr>
        <w:tblStyle w:val="Tabelraster"/>
        <w:tblW w:w="0" w:type="auto"/>
        <w:tblInd w:w="0" w:type="dxa"/>
        <w:tblLayout w:type="fixed"/>
        <w:tblLook w:val="04A0" w:firstRow="1" w:lastRow="0" w:firstColumn="1" w:lastColumn="0" w:noHBand="0" w:noVBand="1"/>
      </w:tblPr>
      <w:tblGrid>
        <w:gridCol w:w="421"/>
        <w:gridCol w:w="608"/>
        <w:gridCol w:w="991"/>
        <w:gridCol w:w="1211"/>
        <w:gridCol w:w="1267"/>
        <w:gridCol w:w="940"/>
        <w:gridCol w:w="928"/>
        <w:gridCol w:w="1165"/>
      </w:tblGrid>
      <w:tr w:rsidRPr="00080CD6" w:rsidR="00080CD6" w:rsidTr="00080CD6" w14:paraId="0256C107" w14:textId="77777777">
        <w:tc>
          <w:tcPr>
            <w:tcW w:w="421" w:type="dxa"/>
          </w:tcPr>
          <w:p w:rsidRPr="00080CD6" w:rsidR="00080CD6" w:rsidP="00DE7EC2" w:rsidRDefault="00080CD6" w14:paraId="6C2E173B" w14:textId="77777777">
            <w:pPr>
              <w:rPr>
                <w:b/>
                <w:bCs/>
                <w:sz w:val="14"/>
                <w:szCs w:val="14"/>
              </w:rPr>
            </w:pPr>
          </w:p>
        </w:tc>
        <w:tc>
          <w:tcPr>
            <w:tcW w:w="608" w:type="dxa"/>
          </w:tcPr>
          <w:p w:rsidRPr="00080CD6" w:rsidR="00080CD6" w:rsidP="00DE7EC2" w:rsidRDefault="00080CD6" w14:paraId="3F3E10B2" w14:textId="77777777">
            <w:pPr>
              <w:rPr>
                <w:b/>
                <w:bCs/>
                <w:sz w:val="14"/>
                <w:szCs w:val="14"/>
              </w:rPr>
            </w:pPr>
          </w:p>
        </w:tc>
        <w:tc>
          <w:tcPr>
            <w:tcW w:w="2202" w:type="dxa"/>
            <w:gridSpan w:val="2"/>
          </w:tcPr>
          <w:p w:rsidRPr="00080CD6" w:rsidR="00080CD6" w:rsidP="00DE7EC2" w:rsidRDefault="00080CD6" w14:paraId="4B13439F" w14:textId="77777777">
            <w:pPr>
              <w:rPr>
                <w:b/>
                <w:bCs/>
                <w:sz w:val="14"/>
                <w:szCs w:val="14"/>
              </w:rPr>
            </w:pPr>
          </w:p>
        </w:tc>
        <w:tc>
          <w:tcPr>
            <w:tcW w:w="4300" w:type="dxa"/>
            <w:gridSpan w:val="4"/>
          </w:tcPr>
          <w:p w:rsidRPr="00080CD6" w:rsidR="00080CD6" w:rsidP="00DE7EC2" w:rsidRDefault="00827F4B" w14:paraId="3D160520" w14:textId="77777777">
            <w:pPr>
              <w:rPr>
                <w:b/>
                <w:bCs/>
                <w:sz w:val="14"/>
                <w:szCs w:val="14"/>
              </w:rPr>
            </w:pPr>
            <w:r w:rsidRPr="00080CD6">
              <w:rPr>
                <w:b/>
                <w:bCs/>
                <w:sz w:val="14"/>
                <w:szCs w:val="14"/>
              </w:rPr>
              <w:t>Saldo</w:t>
            </w:r>
            <w:r w:rsidRPr="00080CD6" w:rsidR="00080CD6">
              <w:rPr>
                <w:b/>
                <w:bCs/>
                <w:sz w:val="14"/>
                <w:szCs w:val="14"/>
              </w:rPr>
              <w:t xml:space="preserve"> overige toevoegingen nader gespecificeerd</w:t>
            </w:r>
          </w:p>
          <w:p w:rsidRPr="00080CD6" w:rsidR="00080CD6" w:rsidP="00DE7EC2" w:rsidRDefault="00080CD6" w14:paraId="10CF78B7" w14:textId="77777777">
            <w:pPr>
              <w:rPr>
                <w:b/>
                <w:bCs/>
                <w:sz w:val="14"/>
                <w:szCs w:val="14"/>
              </w:rPr>
            </w:pPr>
          </w:p>
        </w:tc>
      </w:tr>
      <w:tr w:rsidRPr="00080CD6" w:rsidR="00080CD6" w:rsidTr="00080CD6" w14:paraId="0DA80EAB" w14:textId="77777777">
        <w:tc>
          <w:tcPr>
            <w:tcW w:w="421" w:type="dxa"/>
          </w:tcPr>
          <w:p w:rsidRPr="00080CD6" w:rsidR="00080CD6" w:rsidP="00DE7EC2" w:rsidRDefault="00080CD6" w14:paraId="5537D407" w14:textId="77777777">
            <w:pPr>
              <w:rPr>
                <w:b/>
                <w:bCs/>
                <w:sz w:val="14"/>
                <w:szCs w:val="14"/>
              </w:rPr>
            </w:pPr>
            <w:r w:rsidRPr="00080CD6">
              <w:rPr>
                <w:b/>
                <w:bCs/>
                <w:sz w:val="14"/>
                <w:szCs w:val="14"/>
              </w:rPr>
              <w:t>Jaar</w:t>
            </w:r>
          </w:p>
        </w:tc>
        <w:tc>
          <w:tcPr>
            <w:tcW w:w="608" w:type="dxa"/>
          </w:tcPr>
          <w:p w:rsidRPr="00080CD6" w:rsidR="00080CD6" w:rsidP="00DE7EC2" w:rsidRDefault="00827F4B" w14:paraId="59CDEA02" w14:textId="77777777">
            <w:pPr>
              <w:rPr>
                <w:b/>
                <w:bCs/>
                <w:sz w:val="14"/>
                <w:szCs w:val="14"/>
              </w:rPr>
            </w:pPr>
            <w:proofErr w:type="spellStart"/>
            <w:r w:rsidRPr="00080CD6">
              <w:rPr>
                <w:b/>
                <w:bCs/>
                <w:sz w:val="14"/>
                <w:szCs w:val="14"/>
              </w:rPr>
              <w:t>Wo</w:t>
            </w:r>
            <w:r>
              <w:rPr>
                <w:b/>
                <w:bCs/>
                <w:sz w:val="14"/>
                <w:szCs w:val="14"/>
              </w:rPr>
              <w:t>-</w:t>
            </w:r>
            <w:r w:rsidRPr="00080CD6">
              <w:rPr>
                <w:b/>
                <w:bCs/>
                <w:sz w:val="14"/>
                <w:szCs w:val="14"/>
              </w:rPr>
              <w:t>ning</w:t>
            </w:r>
            <w:proofErr w:type="spellEnd"/>
            <w:r>
              <w:rPr>
                <w:b/>
                <w:bCs/>
                <w:sz w:val="14"/>
                <w:szCs w:val="14"/>
              </w:rPr>
              <w:t>-</w:t>
            </w:r>
          </w:p>
          <w:p w:rsidRPr="00080CD6" w:rsidR="00080CD6" w:rsidP="00DE7EC2" w:rsidRDefault="00827F4B" w14:paraId="4B973AEC" w14:textId="77777777">
            <w:pPr>
              <w:rPr>
                <w:b/>
                <w:bCs/>
                <w:sz w:val="14"/>
                <w:szCs w:val="14"/>
              </w:rPr>
            </w:pPr>
            <w:r>
              <w:rPr>
                <w:b/>
                <w:bCs/>
                <w:sz w:val="14"/>
                <w:szCs w:val="14"/>
              </w:rPr>
              <w:t>b</w:t>
            </w:r>
            <w:r w:rsidRPr="00080CD6">
              <w:rPr>
                <w:b/>
                <w:bCs/>
                <w:sz w:val="14"/>
                <w:szCs w:val="14"/>
              </w:rPr>
              <w:t>ouw</w:t>
            </w:r>
          </w:p>
        </w:tc>
        <w:tc>
          <w:tcPr>
            <w:tcW w:w="991" w:type="dxa"/>
          </w:tcPr>
          <w:p w:rsidRPr="00080CD6" w:rsidR="00080CD6" w:rsidP="00DE7EC2" w:rsidRDefault="00827F4B" w14:paraId="03BC54AB" w14:textId="77777777">
            <w:pPr>
              <w:rPr>
                <w:b/>
                <w:bCs/>
                <w:sz w:val="14"/>
                <w:szCs w:val="14"/>
              </w:rPr>
            </w:pPr>
            <w:r w:rsidRPr="00080CD6">
              <w:rPr>
                <w:b/>
                <w:bCs/>
                <w:sz w:val="14"/>
                <w:szCs w:val="14"/>
              </w:rPr>
              <w:t>Waarvan</w:t>
            </w:r>
            <w:r w:rsidRPr="00080CD6" w:rsidR="00080CD6">
              <w:rPr>
                <w:b/>
                <w:bCs/>
                <w:sz w:val="14"/>
                <w:szCs w:val="14"/>
              </w:rPr>
              <w:t xml:space="preserve"> nieuwbouw</w:t>
            </w:r>
          </w:p>
        </w:tc>
        <w:tc>
          <w:tcPr>
            <w:tcW w:w="1211" w:type="dxa"/>
          </w:tcPr>
          <w:p w:rsidRPr="00080CD6" w:rsidR="00080CD6" w:rsidP="00DE7EC2" w:rsidRDefault="00827F4B" w14:paraId="6B08CAEF" w14:textId="77777777">
            <w:pPr>
              <w:rPr>
                <w:b/>
                <w:bCs/>
                <w:sz w:val="14"/>
                <w:szCs w:val="14"/>
              </w:rPr>
            </w:pPr>
            <w:r w:rsidRPr="00080CD6">
              <w:rPr>
                <w:b/>
                <w:bCs/>
                <w:sz w:val="14"/>
                <w:szCs w:val="14"/>
              </w:rPr>
              <w:t>Waarvan</w:t>
            </w:r>
            <w:r w:rsidRPr="00080CD6" w:rsidR="00080CD6">
              <w:rPr>
                <w:b/>
                <w:bCs/>
                <w:sz w:val="14"/>
                <w:szCs w:val="14"/>
              </w:rPr>
              <w:t xml:space="preserve"> saldo overige toevoegingen en onttrekkingen</w:t>
            </w:r>
          </w:p>
        </w:tc>
        <w:tc>
          <w:tcPr>
            <w:tcW w:w="1267" w:type="dxa"/>
          </w:tcPr>
          <w:p w:rsidRPr="00080CD6" w:rsidR="00080CD6" w:rsidP="00DE7EC2" w:rsidRDefault="00827F4B" w14:paraId="4B5E101C" w14:textId="77777777">
            <w:pPr>
              <w:rPr>
                <w:b/>
                <w:bCs/>
                <w:sz w:val="14"/>
                <w:szCs w:val="14"/>
              </w:rPr>
            </w:pPr>
            <w:r w:rsidRPr="00080CD6">
              <w:rPr>
                <w:b/>
                <w:bCs/>
                <w:sz w:val="14"/>
                <w:szCs w:val="14"/>
              </w:rPr>
              <w:t>Transformaties</w:t>
            </w:r>
          </w:p>
        </w:tc>
        <w:tc>
          <w:tcPr>
            <w:tcW w:w="940" w:type="dxa"/>
          </w:tcPr>
          <w:p w:rsidRPr="00080CD6" w:rsidR="00080CD6" w:rsidP="00DE7EC2" w:rsidRDefault="00080CD6" w14:paraId="729CE18E" w14:textId="77777777">
            <w:pPr>
              <w:rPr>
                <w:b/>
                <w:bCs/>
                <w:sz w:val="14"/>
                <w:szCs w:val="14"/>
              </w:rPr>
            </w:pPr>
            <w:r w:rsidRPr="00080CD6">
              <w:rPr>
                <w:b/>
                <w:bCs/>
                <w:sz w:val="14"/>
                <w:szCs w:val="14"/>
              </w:rPr>
              <w:t xml:space="preserve">Saldo splitsingen en </w:t>
            </w:r>
            <w:proofErr w:type="spellStart"/>
            <w:r w:rsidRPr="00080CD6">
              <w:rPr>
                <w:b/>
                <w:bCs/>
                <w:sz w:val="14"/>
                <w:szCs w:val="14"/>
              </w:rPr>
              <w:t>samen-voegingen</w:t>
            </w:r>
            <w:proofErr w:type="spellEnd"/>
          </w:p>
        </w:tc>
        <w:tc>
          <w:tcPr>
            <w:tcW w:w="928" w:type="dxa"/>
          </w:tcPr>
          <w:p w:rsidRPr="00080CD6" w:rsidR="00080CD6" w:rsidP="00DE7EC2" w:rsidRDefault="00827F4B" w14:paraId="0785E732" w14:textId="77777777">
            <w:pPr>
              <w:rPr>
                <w:b/>
                <w:bCs/>
                <w:sz w:val="14"/>
                <w:szCs w:val="14"/>
              </w:rPr>
            </w:pPr>
            <w:r w:rsidRPr="00080CD6">
              <w:rPr>
                <w:b/>
                <w:bCs/>
                <w:sz w:val="14"/>
                <w:szCs w:val="14"/>
              </w:rPr>
              <w:t>Overige</w:t>
            </w:r>
            <w:r w:rsidRPr="00080CD6" w:rsidR="00080CD6">
              <w:rPr>
                <w:b/>
                <w:bCs/>
                <w:sz w:val="14"/>
                <w:szCs w:val="14"/>
              </w:rPr>
              <w:t xml:space="preserve"> verbouw waaronder optoppen</w:t>
            </w:r>
          </w:p>
        </w:tc>
        <w:tc>
          <w:tcPr>
            <w:tcW w:w="1165" w:type="dxa"/>
          </w:tcPr>
          <w:p w:rsidRPr="00080CD6" w:rsidR="00080CD6" w:rsidP="00DE7EC2" w:rsidRDefault="00827F4B" w14:paraId="37031E24" w14:textId="77777777">
            <w:pPr>
              <w:rPr>
                <w:b/>
                <w:bCs/>
                <w:sz w:val="14"/>
                <w:szCs w:val="14"/>
              </w:rPr>
            </w:pPr>
            <w:r w:rsidRPr="00080CD6">
              <w:rPr>
                <w:b/>
                <w:bCs/>
                <w:sz w:val="14"/>
                <w:szCs w:val="14"/>
              </w:rPr>
              <w:t>Andere</w:t>
            </w:r>
            <w:r w:rsidRPr="00080CD6" w:rsidR="00080CD6">
              <w:rPr>
                <w:b/>
                <w:bCs/>
                <w:sz w:val="14"/>
                <w:szCs w:val="14"/>
              </w:rPr>
              <w:t xml:space="preserve"> toevoegingen en </w:t>
            </w:r>
            <w:proofErr w:type="spellStart"/>
            <w:r w:rsidRPr="00080CD6" w:rsidR="00080CD6">
              <w:rPr>
                <w:b/>
                <w:bCs/>
                <w:sz w:val="14"/>
                <w:szCs w:val="14"/>
              </w:rPr>
              <w:t>ontrekkingen</w:t>
            </w:r>
            <w:proofErr w:type="spellEnd"/>
            <w:r w:rsidRPr="00080CD6" w:rsidR="00080CD6">
              <w:rPr>
                <w:b/>
                <w:bCs/>
                <w:sz w:val="14"/>
                <w:szCs w:val="14"/>
              </w:rPr>
              <w:t xml:space="preserve"> </w:t>
            </w:r>
          </w:p>
        </w:tc>
      </w:tr>
      <w:tr w:rsidRPr="00080CD6" w:rsidR="00080CD6" w:rsidTr="00080CD6" w14:paraId="011EE682" w14:textId="77777777">
        <w:tc>
          <w:tcPr>
            <w:tcW w:w="421" w:type="dxa"/>
          </w:tcPr>
          <w:p w:rsidRPr="00080CD6" w:rsidR="00080CD6" w:rsidP="00DE7EC2" w:rsidRDefault="00080CD6" w14:paraId="03476375" w14:textId="77777777">
            <w:pPr>
              <w:rPr>
                <w:sz w:val="14"/>
                <w:szCs w:val="14"/>
              </w:rPr>
            </w:pPr>
            <w:r w:rsidRPr="00080CD6">
              <w:rPr>
                <w:sz w:val="14"/>
                <w:szCs w:val="14"/>
              </w:rPr>
              <w:t>2018</w:t>
            </w:r>
          </w:p>
        </w:tc>
        <w:tc>
          <w:tcPr>
            <w:tcW w:w="608" w:type="dxa"/>
          </w:tcPr>
          <w:p w:rsidRPr="00080CD6" w:rsidR="00080CD6" w:rsidP="00DE7EC2" w:rsidRDefault="00080CD6" w14:paraId="64BF2EDB" w14:textId="77777777">
            <w:pPr>
              <w:rPr>
                <w:sz w:val="14"/>
                <w:szCs w:val="14"/>
              </w:rPr>
            </w:pPr>
            <w:r w:rsidRPr="00080CD6">
              <w:rPr>
                <w:sz w:val="14"/>
                <w:szCs w:val="14"/>
              </w:rPr>
              <w:t>82.680</w:t>
            </w:r>
          </w:p>
        </w:tc>
        <w:tc>
          <w:tcPr>
            <w:tcW w:w="991" w:type="dxa"/>
          </w:tcPr>
          <w:p w:rsidRPr="00080CD6" w:rsidR="00080CD6" w:rsidP="00DE7EC2" w:rsidRDefault="00080CD6" w14:paraId="15757FF9" w14:textId="77777777">
            <w:pPr>
              <w:rPr>
                <w:sz w:val="14"/>
                <w:szCs w:val="14"/>
              </w:rPr>
            </w:pPr>
            <w:r w:rsidRPr="00080CD6">
              <w:rPr>
                <w:sz w:val="14"/>
                <w:szCs w:val="14"/>
              </w:rPr>
              <w:t>66.585</w:t>
            </w:r>
          </w:p>
        </w:tc>
        <w:tc>
          <w:tcPr>
            <w:tcW w:w="1211" w:type="dxa"/>
          </w:tcPr>
          <w:p w:rsidRPr="00080CD6" w:rsidR="00080CD6" w:rsidP="00DE7EC2" w:rsidRDefault="00080CD6" w14:paraId="57BB39F7" w14:textId="77777777">
            <w:pPr>
              <w:rPr>
                <w:sz w:val="14"/>
                <w:szCs w:val="14"/>
              </w:rPr>
            </w:pPr>
            <w:r w:rsidRPr="00080CD6">
              <w:rPr>
                <w:sz w:val="14"/>
                <w:szCs w:val="14"/>
              </w:rPr>
              <w:t>16.095</w:t>
            </w:r>
          </w:p>
        </w:tc>
        <w:tc>
          <w:tcPr>
            <w:tcW w:w="1267" w:type="dxa"/>
          </w:tcPr>
          <w:p w:rsidRPr="00080CD6" w:rsidR="00080CD6" w:rsidP="00DE7EC2" w:rsidRDefault="00080CD6" w14:paraId="44AB8FA6" w14:textId="77777777">
            <w:pPr>
              <w:rPr>
                <w:sz w:val="14"/>
                <w:szCs w:val="14"/>
              </w:rPr>
            </w:pPr>
            <w:r w:rsidRPr="00080CD6">
              <w:rPr>
                <w:sz w:val="14"/>
                <w:szCs w:val="14"/>
              </w:rPr>
              <w:t>12.210</w:t>
            </w:r>
          </w:p>
        </w:tc>
        <w:tc>
          <w:tcPr>
            <w:tcW w:w="940" w:type="dxa"/>
          </w:tcPr>
          <w:p w:rsidRPr="00080CD6" w:rsidR="00080CD6" w:rsidP="00DE7EC2" w:rsidRDefault="00080CD6" w14:paraId="04B2A1C2" w14:textId="77777777">
            <w:pPr>
              <w:rPr>
                <w:sz w:val="14"/>
                <w:szCs w:val="14"/>
              </w:rPr>
            </w:pPr>
            <w:r w:rsidRPr="00080CD6">
              <w:rPr>
                <w:sz w:val="14"/>
                <w:szCs w:val="14"/>
              </w:rPr>
              <w:t>1.105</w:t>
            </w:r>
          </w:p>
        </w:tc>
        <w:tc>
          <w:tcPr>
            <w:tcW w:w="928" w:type="dxa"/>
          </w:tcPr>
          <w:p w:rsidRPr="00080CD6" w:rsidR="00080CD6" w:rsidP="00DE7EC2" w:rsidRDefault="00080CD6" w14:paraId="53F449C5" w14:textId="77777777">
            <w:pPr>
              <w:rPr>
                <w:sz w:val="14"/>
                <w:szCs w:val="14"/>
              </w:rPr>
            </w:pPr>
            <w:r w:rsidRPr="00080CD6">
              <w:rPr>
                <w:sz w:val="14"/>
                <w:szCs w:val="14"/>
              </w:rPr>
              <w:t>3.265</w:t>
            </w:r>
          </w:p>
        </w:tc>
        <w:tc>
          <w:tcPr>
            <w:tcW w:w="1165" w:type="dxa"/>
          </w:tcPr>
          <w:p w:rsidRPr="00080CD6" w:rsidR="00080CD6" w:rsidP="00DE7EC2" w:rsidRDefault="00080CD6" w14:paraId="5DBEF08B" w14:textId="77777777">
            <w:pPr>
              <w:rPr>
                <w:sz w:val="14"/>
                <w:szCs w:val="14"/>
              </w:rPr>
            </w:pPr>
            <w:r w:rsidRPr="00080CD6">
              <w:rPr>
                <w:sz w:val="14"/>
                <w:szCs w:val="14"/>
              </w:rPr>
              <w:t>-485</w:t>
            </w:r>
          </w:p>
        </w:tc>
      </w:tr>
      <w:tr w:rsidRPr="00080CD6" w:rsidR="00080CD6" w:rsidTr="00080CD6" w14:paraId="32203815" w14:textId="77777777">
        <w:tc>
          <w:tcPr>
            <w:tcW w:w="421" w:type="dxa"/>
          </w:tcPr>
          <w:p w:rsidRPr="00080CD6" w:rsidR="00080CD6" w:rsidP="00DE7EC2" w:rsidRDefault="00080CD6" w14:paraId="197DACD2" w14:textId="77777777">
            <w:pPr>
              <w:rPr>
                <w:sz w:val="14"/>
                <w:szCs w:val="14"/>
              </w:rPr>
            </w:pPr>
            <w:r w:rsidRPr="00080CD6">
              <w:rPr>
                <w:sz w:val="14"/>
                <w:szCs w:val="14"/>
              </w:rPr>
              <w:t>2019</w:t>
            </w:r>
          </w:p>
        </w:tc>
        <w:tc>
          <w:tcPr>
            <w:tcW w:w="608" w:type="dxa"/>
          </w:tcPr>
          <w:p w:rsidRPr="00080CD6" w:rsidR="00080CD6" w:rsidP="00DE7EC2" w:rsidRDefault="00080CD6" w14:paraId="055BB27C" w14:textId="77777777">
            <w:pPr>
              <w:rPr>
                <w:sz w:val="14"/>
                <w:szCs w:val="14"/>
              </w:rPr>
            </w:pPr>
            <w:r w:rsidRPr="00080CD6">
              <w:rPr>
                <w:sz w:val="14"/>
                <w:szCs w:val="14"/>
              </w:rPr>
              <w:t>87.556</w:t>
            </w:r>
          </w:p>
        </w:tc>
        <w:tc>
          <w:tcPr>
            <w:tcW w:w="991" w:type="dxa"/>
          </w:tcPr>
          <w:p w:rsidRPr="00080CD6" w:rsidR="00080CD6" w:rsidP="00DE7EC2" w:rsidRDefault="00080CD6" w14:paraId="29DAF4E2" w14:textId="77777777">
            <w:pPr>
              <w:rPr>
                <w:sz w:val="14"/>
                <w:szCs w:val="14"/>
              </w:rPr>
            </w:pPr>
            <w:r w:rsidRPr="00080CD6">
              <w:rPr>
                <w:sz w:val="14"/>
                <w:szCs w:val="14"/>
              </w:rPr>
              <w:t>71.548</w:t>
            </w:r>
          </w:p>
        </w:tc>
        <w:tc>
          <w:tcPr>
            <w:tcW w:w="1211" w:type="dxa"/>
          </w:tcPr>
          <w:p w:rsidRPr="00080CD6" w:rsidR="00080CD6" w:rsidP="00DE7EC2" w:rsidRDefault="00080CD6" w14:paraId="4FF15C47" w14:textId="77777777">
            <w:pPr>
              <w:rPr>
                <w:sz w:val="14"/>
                <w:szCs w:val="14"/>
              </w:rPr>
            </w:pPr>
            <w:r w:rsidRPr="00080CD6">
              <w:rPr>
                <w:sz w:val="14"/>
                <w:szCs w:val="14"/>
              </w:rPr>
              <w:t>16.008</w:t>
            </w:r>
          </w:p>
        </w:tc>
        <w:tc>
          <w:tcPr>
            <w:tcW w:w="1267" w:type="dxa"/>
          </w:tcPr>
          <w:p w:rsidRPr="00080CD6" w:rsidR="00080CD6" w:rsidP="00DE7EC2" w:rsidRDefault="00080CD6" w14:paraId="796DEDA3" w14:textId="77777777">
            <w:pPr>
              <w:rPr>
                <w:sz w:val="14"/>
                <w:szCs w:val="14"/>
              </w:rPr>
            </w:pPr>
            <w:r w:rsidRPr="00080CD6">
              <w:rPr>
                <w:sz w:val="14"/>
                <w:szCs w:val="14"/>
              </w:rPr>
              <w:t>12.480</w:t>
            </w:r>
          </w:p>
        </w:tc>
        <w:tc>
          <w:tcPr>
            <w:tcW w:w="940" w:type="dxa"/>
          </w:tcPr>
          <w:p w:rsidRPr="00080CD6" w:rsidR="00080CD6" w:rsidP="00DE7EC2" w:rsidRDefault="00080CD6" w14:paraId="094286A5" w14:textId="77777777">
            <w:pPr>
              <w:rPr>
                <w:sz w:val="14"/>
                <w:szCs w:val="14"/>
              </w:rPr>
            </w:pPr>
            <w:r w:rsidRPr="00080CD6">
              <w:rPr>
                <w:sz w:val="14"/>
                <w:szCs w:val="14"/>
              </w:rPr>
              <w:t>1.270</w:t>
            </w:r>
          </w:p>
        </w:tc>
        <w:tc>
          <w:tcPr>
            <w:tcW w:w="928" w:type="dxa"/>
          </w:tcPr>
          <w:p w:rsidRPr="00080CD6" w:rsidR="00080CD6" w:rsidP="00DE7EC2" w:rsidRDefault="00080CD6" w14:paraId="5834284E" w14:textId="77777777">
            <w:pPr>
              <w:rPr>
                <w:sz w:val="14"/>
                <w:szCs w:val="14"/>
              </w:rPr>
            </w:pPr>
            <w:r w:rsidRPr="00080CD6">
              <w:rPr>
                <w:sz w:val="14"/>
                <w:szCs w:val="14"/>
              </w:rPr>
              <w:t>2.910</w:t>
            </w:r>
          </w:p>
        </w:tc>
        <w:tc>
          <w:tcPr>
            <w:tcW w:w="1165" w:type="dxa"/>
          </w:tcPr>
          <w:p w:rsidRPr="00080CD6" w:rsidR="00080CD6" w:rsidP="00DE7EC2" w:rsidRDefault="00080CD6" w14:paraId="63FB134C" w14:textId="77777777">
            <w:pPr>
              <w:rPr>
                <w:sz w:val="14"/>
                <w:szCs w:val="14"/>
              </w:rPr>
            </w:pPr>
            <w:r w:rsidRPr="00080CD6">
              <w:rPr>
                <w:sz w:val="14"/>
                <w:szCs w:val="14"/>
              </w:rPr>
              <w:t>-652</w:t>
            </w:r>
          </w:p>
        </w:tc>
      </w:tr>
      <w:tr w:rsidRPr="00080CD6" w:rsidR="00080CD6" w:rsidTr="00080CD6" w14:paraId="60DF1746" w14:textId="77777777">
        <w:tc>
          <w:tcPr>
            <w:tcW w:w="421" w:type="dxa"/>
          </w:tcPr>
          <w:p w:rsidRPr="00080CD6" w:rsidR="00080CD6" w:rsidP="00DE7EC2" w:rsidRDefault="00080CD6" w14:paraId="19143F92" w14:textId="77777777">
            <w:pPr>
              <w:rPr>
                <w:sz w:val="14"/>
                <w:szCs w:val="14"/>
              </w:rPr>
            </w:pPr>
            <w:r w:rsidRPr="00080CD6">
              <w:rPr>
                <w:sz w:val="14"/>
                <w:szCs w:val="14"/>
              </w:rPr>
              <w:t>2020</w:t>
            </w:r>
          </w:p>
        </w:tc>
        <w:tc>
          <w:tcPr>
            <w:tcW w:w="608" w:type="dxa"/>
          </w:tcPr>
          <w:p w:rsidRPr="00080CD6" w:rsidR="00080CD6" w:rsidP="00DE7EC2" w:rsidRDefault="00080CD6" w14:paraId="38D77185" w14:textId="77777777">
            <w:pPr>
              <w:rPr>
                <w:sz w:val="14"/>
                <w:szCs w:val="14"/>
              </w:rPr>
            </w:pPr>
            <w:r w:rsidRPr="00080CD6">
              <w:rPr>
                <w:sz w:val="14"/>
                <w:szCs w:val="14"/>
              </w:rPr>
              <w:t>84.788</w:t>
            </w:r>
          </w:p>
        </w:tc>
        <w:tc>
          <w:tcPr>
            <w:tcW w:w="991" w:type="dxa"/>
          </w:tcPr>
          <w:p w:rsidRPr="00080CD6" w:rsidR="00080CD6" w:rsidP="00DE7EC2" w:rsidRDefault="00080CD6" w14:paraId="3C2ADEF9" w14:textId="77777777">
            <w:pPr>
              <w:rPr>
                <w:sz w:val="14"/>
                <w:szCs w:val="14"/>
              </w:rPr>
            </w:pPr>
            <w:r w:rsidRPr="00080CD6">
              <w:rPr>
                <w:sz w:val="14"/>
                <w:szCs w:val="14"/>
              </w:rPr>
              <w:t>69.985</w:t>
            </w:r>
          </w:p>
        </w:tc>
        <w:tc>
          <w:tcPr>
            <w:tcW w:w="1211" w:type="dxa"/>
          </w:tcPr>
          <w:p w:rsidRPr="00080CD6" w:rsidR="00080CD6" w:rsidP="00DE7EC2" w:rsidRDefault="00080CD6" w14:paraId="53B8C043" w14:textId="77777777">
            <w:pPr>
              <w:rPr>
                <w:sz w:val="14"/>
                <w:szCs w:val="14"/>
              </w:rPr>
            </w:pPr>
            <w:r w:rsidRPr="00080CD6">
              <w:rPr>
                <w:sz w:val="14"/>
                <w:szCs w:val="14"/>
              </w:rPr>
              <w:t>14.805</w:t>
            </w:r>
          </w:p>
        </w:tc>
        <w:tc>
          <w:tcPr>
            <w:tcW w:w="1267" w:type="dxa"/>
          </w:tcPr>
          <w:p w:rsidRPr="00080CD6" w:rsidR="00080CD6" w:rsidP="00DE7EC2" w:rsidRDefault="00080CD6" w14:paraId="71B4A0F4" w14:textId="77777777">
            <w:pPr>
              <w:rPr>
                <w:sz w:val="14"/>
                <w:szCs w:val="14"/>
              </w:rPr>
            </w:pPr>
            <w:r w:rsidRPr="00080CD6">
              <w:rPr>
                <w:sz w:val="14"/>
                <w:szCs w:val="14"/>
              </w:rPr>
              <w:t>10.215</w:t>
            </w:r>
          </w:p>
        </w:tc>
        <w:tc>
          <w:tcPr>
            <w:tcW w:w="940" w:type="dxa"/>
          </w:tcPr>
          <w:p w:rsidRPr="00080CD6" w:rsidR="00080CD6" w:rsidP="00DE7EC2" w:rsidRDefault="00080CD6" w14:paraId="398FAFF2" w14:textId="77777777">
            <w:pPr>
              <w:rPr>
                <w:sz w:val="14"/>
                <w:szCs w:val="14"/>
              </w:rPr>
            </w:pPr>
            <w:r w:rsidRPr="00080CD6">
              <w:rPr>
                <w:sz w:val="14"/>
                <w:szCs w:val="14"/>
              </w:rPr>
              <w:t>1.020</w:t>
            </w:r>
          </w:p>
        </w:tc>
        <w:tc>
          <w:tcPr>
            <w:tcW w:w="928" w:type="dxa"/>
          </w:tcPr>
          <w:p w:rsidRPr="00080CD6" w:rsidR="00080CD6" w:rsidP="00DE7EC2" w:rsidRDefault="00080CD6" w14:paraId="585DA1C4" w14:textId="77777777">
            <w:pPr>
              <w:rPr>
                <w:sz w:val="14"/>
                <w:szCs w:val="14"/>
              </w:rPr>
            </w:pPr>
            <w:r w:rsidRPr="00080CD6">
              <w:rPr>
                <w:sz w:val="14"/>
                <w:szCs w:val="14"/>
              </w:rPr>
              <w:t>4.215</w:t>
            </w:r>
          </w:p>
        </w:tc>
        <w:tc>
          <w:tcPr>
            <w:tcW w:w="1165" w:type="dxa"/>
          </w:tcPr>
          <w:p w:rsidRPr="00080CD6" w:rsidR="00080CD6" w:rsidP="00DE7EC2" w:rsidRDefault="00080CD6" w14:paraId="1B13C7A7" w14:textId="77777777">
            <w:pPr>
              <w:rPr>
                <w:sz w:val="14"/>
                <w:szCs w:val="14"/>
              </w:rPr>
            </w:pPr>
            <w:r w:rsidRPr="00080CD6">
              <w:rPr>
                <w:sz w:val="14"/>
                <w:szCs w:val="14"/>
              </w:rPr>
              <w:t>-640</w:t>
            </w:r>
          </w:p>
        </w:tc>
      </w:tr>
      <w:tr w:rsidRPr="00080CD6" w:rsidR="00080CD6" w:rsidTr="00080CD6" w14:paraId="1D301ACB" w14:textId="77777777">
        <w:tc>
          <w:tcPr>
            <w:tcW w:w="421" w:type="dxa"/>
          </w:tcPr>
          <w:p w:rsidRPr="00080CD6" w:rsidR="00080CD6" w:rsidP="00DE7EC2" w:rsidRDefault="00080CD6" w14:paraId="698CCED0" w14:textId="77777777">
            <w:pPr>
              <w:rPr>
                <w:sz w:val="14"/>
                <w:szCs w:val="14"/>
              </w:rPr>
            </w:pPr>
            <w:r w:rsidRPr="00080CD6">
              <w:rPr>
                <w:sz w:val="14"/>
                <w:szCs w:val="14"/>
              </w:rPr>
              <w:t>2021</w:t>
            </w:r>
          </w:p>
        </w:tc>
        <w:tc>
          <w:tcPr>
            <w:tcW w:w="608" w:type="dxa"/>
          </w:tcPr>
          <w:p w:rsidRPr="00080CD6" w:rsidR="00080CD6" w:rsidP="00DE7EC2" w:rsidRDefault="00080CD6" w14:paraId="59E70177" w14:textId="77777777">
            <w:pPr>
              <w:rPr>
                <w:sz w:val="14"/>
                <w:szCs w:val="14"/>
              </w:rPr>
            </w:pPr>
            <w:r w:rsidRPr="00080CD6">
              <w:rPr>
                <w:sz w:val="14"/>
                <w:szCs w:val="14"/>
              </w:rPr>
              <w:t>89.175</w:t>
            </w:r>
          </w:p>
        </w:tc>
        <w:tc>
          <w:tcPr>
            <w:tcW w:w="991" w:type="dxa"/>
          </w:tcPr>
          <w:p w:rsidRPr="00080CD6" w:rsidR="00080CD6" w:rsidP="00DE7EC2" w:rsidRDefault="00080CD6" w14:paraId="0E300E65" w14:textId="77777777">
            <w:pPr>
              <w:rPr>
                <w:sz w:val="14"/>
                <w:szCs w:val="14"/>
              </w:rPr>
            </w:pPr>
            <w:r w:rsidRPr="00080CD6">
              <w:rPr>
                <w:sz w:val="14"/>
                <w:szCs w:val="14"/>
              </w:rPr>
              <w:t>71.221</w:t>
            </w:r>
          </w:p>
        </w:tc>
        <w:tc>
          <w:tcPr>
            <w:tcW w:w="1211" w:type="dxa"/>
          </w:tcPr>
          <w:p w:rsidRPr="00080CD6" w:rsidR="00080CD6" w:rsidP="00DE7EC2" w:rsidRDefault="00080CD6" w14:paraId="64A4FC33" w14:textId="77777777">
            <w:pPr>
              <w:rPr>
                <w:sz w:val="14"/>
                <w:szCs w:val="14"/>
              </w:rPr>
            </w:pPr>
            <w:r w:rsidRPr="00080CD6">
              <w:rPr>
                <w:sz w:val="14"/>
                <w:szCs w:val="14"/>
              </w:rPr>
              <w:t>17.955</w:t>
            </w:r>
          </w:p>
        </w:tc>
        <w:tc>
          <w:tcPr>
            <w:tcW w:w="1267" w:type="dxa"/>
          </w:tcPr>
          <w:p w:rsidRPr="00080CD6" w:rsidR="00080CD6" w:rsidP="00DE7EC2" w:rsidRDefault="00080CD6" w14:paraId="286C239E" w14:textId="77777777">
            <w:pPr>
              <w:rPr>
                <w:sz w:val="14"/>
                <w:szCs w:val="14"/>
              </w:rPr>
            </w:pPr>
            <w:r w:rsidRPr="00080CD6">
              <w:rPr>
                <w:sz w:val="14"/>
                <w:szCs w:val="14"/>
              </w:rPr>
              <w:t>10.480</w:t>
            </w:r>
          </w:p>
        </w:tc>
        <w:tc>
          <w:tcPr>
            <w:tcW w:w="940" w:type="dxa"/>
          </w:tcPr>
          <w:p w:rsidRPr="00080CD6" w:rsidR="00080CD6" w:rsidP="00DE7EC2" w:rsidRDefault="00080CD6" w14:paraId="579F3E3D" w14:textId="77777777">
            <w:pPr>
              <w:rPr>
                <w:sz w:val="14"/>
                <w:szCs w:val="14"/>
              </w:rPr>
            </w:pPr>
            <w:r w:rsidRPr="00080CD6">
              <w:rPr>
                <w:sz w:val="14"/>
                <w:szCs w:val="14"/>
              </w:rPr>
              <w:t>1.550</w:t>
            </w:r>
          </w:p>
        </w:tc>
        <w:tc>
          <w:tcPr>
            <w:tcW w:w="928" w:type="dxa"/>
          </w:tcPr>
          <w:p w:rsidRPr="00080CD6" w:rsidR="00080CD6" w:rsidP="00DE7EC2" w:rsidRDefault="00080CD6" w14:paraId="13237BD6" w14:textId="77777777">
            <w:pPr>
              <w:rPr>
                <w:sz w:val="14"/>
                <w:szCs w:val="14"/>
              </w:rPr>
            </w:pPr>
            <w:r w:rsidRPr="00080CD6">
              <w:rPr>
                <w:sz w:val="14"/>
                <w:szCs w:val="14"/>
              </w:rPr>
              <w:t>5.120</w:t>
            </w:r>
          </w:p>
        </w:tc>
        <w:tc>
          <w:tcPr>
            <w:tcW w:w="1165" w:type="dxa"/>
          </w:tcPr>
          <w:p w:rsidRPr="00080CD6" w:rsidR="00080CD6" w:rsidP="00DE7EC2" w:rsidRDefault="00080CD6" w14:paraId="535273C4" w14:textId="77777777">
            <w:pPr>
              <w:rPr>
                <w:sz w:val="14"/>
                <w:szCs w:val="14"/>
              </w:rPr>
            </w:pPr>
            <w:r w:rsidRPr="00080CD6">
              <w:rPr>
                <w:sz w:val="14"/>
                <w:szCs w:val="14"/>
              </w:rPr>
              <w:t>+850</w:t>
            </w:r>
          </w:p>
        </w:tc>
      </w:tr>
      <w:tr w:rsidRPr="00080CD6" w:rsidR="00080CD6" w:rsidTr="00080CD6" w14:paraId="4861BB6C" w14:textId="77777777">
        <w:tc>
          <w:tcPr>
            <w:tcW w:w="421" w:type="dxa"/>
          </w:tcPr>
          <w:p w:rsidRPr="00080CD6" w:rsidR="00080CD6" w:rsidP="00DE7EC2" w:rsidRDefault="00080CD6" w14:paraId="5980A97F" w14:textId="77777777">
            <w:pPr>
              <w:rPr>
                <w:sz w:val="14"/>
                <w:szCs w:val="14"/>
              </w:rPr>
            </w:pPr>
            <w:r w:rsidRPr="00080CD6">
              <w:rPr>
                <w:sz w:val="14"/>
                <w:szCs w:val="14"/>
              </w:rPr>
              <w:t>2022</w:t>
            </w:r>
          </w:p>
        </w:tc>
        <w:tc>
          <w:tcPr>
            <w:tcW w:w="608" w:type="dxa"/>
          </w:tcPr>
          <w:p w:rsidRPr="00080CD6" w:rsidR="00080CD6" w:rsidP="00DE7EC2" w:rsidRDefault="00080CD6" w14:paraId="37F35F7A" w14:textId="77777777">
            <w:pPr>
              <w:rPr>
                <w:sz w:val="14"/>
                <w:szCs w:val="14"/>
              </w:rPr>
            </w:pPr>
            <w:r w:rsidRPr="00080CD6">
              <w:rPr>
                <w:sz w:val="14"/>
                <w:szCs w:val="14"/>
              </w:rPr>
              <w:t>90.208</w:t>
            </w:r>
          </w:p>
        </w:tc>
        <w:tc>
          <w:tcPr>
            <w:tcW w:w="991" w:type="dxa"/>
          </w:tcPr>
          <w:p w:rsidRPr="00080CD6" w:rsidR="00080CD6" w:rsidP="00DE7EC2" w:rsidRDefault="00080CD6" w14:paraId="0EA2AC35" w14:textId="77777777">
            <w:pPr>
              <w:rPr>
                <w:sz w:val="14"/>
                <w:szCs w:val="14"/>
              </w:rPr>
            </w:pPr>
            <w:r w:rsidRPr="00080CD6">
              <w:rPr>
                <w:sz w:val="14"/>
                <w:szCs w:val="14"/>
              </w:rPr>
              <w:t>74.560</w:t>
            </w:r>
          </w:p>
        </w:tc>
        <w:tc>
          <w:tcPr>
            <w:tcW w:w="1211" w:type="dxa"/>
          </w:tcPr>
          <w:p w:rsidRPr="00080CD6" w:rsidR="00080CD6" w:rsidP="00DE7EC2" w:rsidRDefault="00080CD6" w14:paraId="11B51B6A" w14:textId="77777777">
            <w:pPr>
              <w:rPr>
                <w:sz w:val="14"/>
                <w:szCs w:val="14"/>
              </w:rPr>
            </w:pPr>
            <w:r w:rsidRPr="00080CD6">
              <w:rPr>
                <w:sz w:val="14"/>
                <w:szCs w:val="14"/>
              </w:rPr>
              <w:t>15.650</w:t>
            </w:r>
          </w:p>
        </w:tc>
        <w:tc>
          <w:tcPr>
            <w:tcW w:w="1267" w:type="dxa"/>
          </w:tcPr>
          <w:p w:rsidRPr="00080CD6" w:rsidR="00080CD6" w:rsidP="00DE7EC2" w:rsidRDefault="00080CD6" w14:paraId="6BE960C9" w14:textId="77777777">
            <w:pPr>
              <w:rPr>
                <w:sz w:val="14"/>
                <w:szCs w:val="14"/>
              </w:rPr>
            </w:pPr>
            <w:r w:rsidRPr="00080CD6">
              <w:rPr>
                <w:sz w:val="14"/>
                <w:szCs w:val="14"/>
              </w:rPr>
              <w:t>9.565</w:t>
            </w:r>
          </w:p>
        </w:tc>
        <w:tc>
          <w:tcPr>
            <w:tcW w:w="940" w:type="dxa"/>
          </w:tcPr>
          <w:p w:rsidRPr="00080CD6" w:rsidR="00080CD6" w:rsidP="00DE7EC2" w:rsidRDefault="00080CD6" w14:paraId="7332F075" w14:textId="77777777">
            <w:pPr>
              <w:rPr>
                <w:sz w:val="14"/>
                <w:szCs w:val="14"/>
              </w:rPr>
            </w:pPr>
            <w:r w:rsidRPr="00080CD6">
              <w:rPr>
                <w:sz w:val="14"/>
                <w:szCs w:val="14"/>
              </w:rPr>
              <w:t>1.430</w:t>
            </w:r>
          </w:p>
        </w:tc>
        <w:tc>
          <w:tcPr>
            <w:tcW w:w="928" w:type="dxa"/>
          </w:tcPr>
          <w:p w:rsidRPr="00080CD6" w:rsidR="00080CD6" w:rsidP="00DE7EC2" w:rsidRDefault="00080CD6" w14:paraId="043FB903" w14:textId="77777777">
            <w:pPr>
              <w:rPr>
                <w:sz w:val="14"/>
                <w:szCs w:val="14"/>
              </w:rPr>
            </w:pPr>
            <w:r w:rsidRPr="00080CD6">
              <w:rPr>
                <w:sz w:val="14"/>
                <w:szCs w:val="14"/>
              </w:rPr>
              <w:t>4.310</w:t>
            </w:r>
          </w:p>
        </w:tc>
        <w:tc>
          <w:tcPr>
            <w:tcW w:w="1165" w:type="dxa"/>
          </w:tcPr>
          <w:p w:rsidRPr="00080CD6" w:rsidR="00080CD6" w:rsidP="00DE7EC2" w:rsidRDefault="00080CD6" w14:paraId="1BA948FC" w14:textId="77777777">
            <w:pPr>
              <w:rPr>
                <w:sz w:val="14"/>
                <w:szCs w:val="14"/>
              </w:rPr>
            </w:pPr>
            <w:r w:rsidRPr="00080CD6">
              <w:rPr>
                <w:sz w:val="14"/>
                <w:szCs w:val="14"/>
              </w:rPr>
              <w:t>+345</w:t>
            </w:r>
          </w:p>
        </w:tc>
      </w:tr>
      <w:tr w:rsidRPr="00080CD6" w:rsidR="00080CD6" w:rsidTr="00080CD6" w14:paraId="025E42CB" w14:textId="77777777">
        <w:tc>
          <w:tcPr>
            <w:tcW w:w="421" w:type="dxa"/>
          </w:tcPr>
          <w:p w:rsidRPr="00080CD6" w:rsidR="00080CD6" w:rsidP="00DE7EC2" w:rsidRDefault="00080CD6" w14:paraId="685FE9D6" w14:textId="77777777">
            <w:pPr>
              <w:rPr>
                <w:sz w:val="14"/>
                <w:szCs w:val="14"/>
              </w:rPr>
            </w:pPr>
            <w:r w:rsidRPr="00080CD6">
              <w:rPr>
                <w:sz w:val="14"/>
                <w:szCs w:val="14"/>
              </w:rPr>
              <w:t>2023</w:t>
            </w:r>
          </w:p>
        </w:tc>
        <w:tc>
          <w:tcPr>
            <w:tcW w:w="608" w:type="dxa"/>
          </w:tcPr>
          <w:p w:rsidRPr="00080CD6" w:rsidR="00080CD6" w:rsidP="00DE7EC2" w:rsidRDefault="00080CD6" w14:paraId="429A9B25" w14:textId="77777777">
            <w:pPr>
              <w:rPr>
                <w:sz w:val="14"/>
                <w:szCs w:val="14"/>
              </w:rPr>
            </w:pPr>
            <w:r w:rsidRPr="00080CD6">
              <w:rPr>
                <w:sz w:val="14"/>
                <w:szCs w:val="14"/>
              </w:rPr>
              <w:t>87.886</w:t>
            </w:r>
          </w:p>
        </w:tc>
        <w:tc>
          <w:tcPr>
            <w:tcW w:w="991" w:type="dxa"/>
          </w:tcPr>
          <w:p w:rsidRPr="00080CD6" w:rsidR="00080CD6" w:rsidP="00DE7EC2" w:rsidRDefault="00080CD6" w14:paraId="403EC391" w14:textId="77777777">
            <w:pPr>
              <w:rPr>
                <w:sz w:val="14"/>
                <w:szCs w:val="14"/>
              </w:rPr>
            </w:pPr>
            <w:r w:rsidRPr="00080CD6">
              <w:rPr>
                <w:sz w:val="14"/>
                <w:szCs w:val="14"/>
              </w:rPr>
              <w:t>73.368</w:t>
            </w:r>
          </w:p>
        </w:tc>
        <w:tc>
          <w:tcPr>
            <w:tcW w:w="1211" w:type="dxa"/>
          </w:tcPr>
          <w:p w:rsidRPr="00080CD6" w:rsidR="00080CD6" w:rsidP="00DE7EC2" w:rsidRDefault="00080CD6" w14:paraId="42E16572" w14:textId="77777777">
            <w:pPr>
              <w:rPr>
                <w:sz w:val="14"/>
                <w:szCs w:val="14"/>
              </w:rPr>
            </w:pPr>
            <w:r w:rsidRPr="00080CD6">
              <w:rPr>
                <w:sz w:val="14"/>
                <w:szCs w:val="14"/>
              </w:rPr>
              <w:t>14.520</w:t>
            </w:r>
          </w:p>
        </w:tc>
        <w:tc>
          <w:tcPr>
            <w:tcW w:w="1267" w:type="dxa"/>
          </w:tcPr>
          <w:p w:rsidRPr="00080CD6" w:rsidR="00080CD6" w:rsidP="00DE7EC2" w:rsidRDefault="00080CD6" w14:paraId="5BFDA319" w14:textId="77777777">
            <w:pPr>
              <w:rPr>
                <w:sz w:val="14"/>
                <w:szCs w:val="14"/>
              </w:rPr>
            </w:pPr>
            <w:r w:rsidRPr="00080CD6">
              <w:rPr>
                <w:sz w:val="14"/>
                <w:szCs w:val="14"/>
              </w:rPr>
              <w:t>8.755</w:t>
            </w:r>
          </w:p>
        </w:tc>
        <w:tc>
          <w:tcPr>
            <w:tcW w:w="940" w:type="dxa"/>
          </w:tcPr>
          <w:p w:rsidRPr="00080CD6" w:rsidR="00080CD6" w:rsidP="00DE7EC2" w:rsidRDefault="00080CD6" w14:paraId="2C66EA5F" w14:textId="77777777">
            <w:pPr>
              <w:rPr>
                <w:sz w:val="14"/>
                <w:szCs w:val="14"/>
              </w:rPr>
            </w:pPr>
            <w:r w:rsidRPr="00080CD6">
              <w:rPr>
                <w:sz w:val="14"/>
                <w:szCs w:val="14"/>
              </w:rPr>
              <w:t>1.040</w:t>
            </w:r>
          </w:p>
        </w:tc>
        <w:tc>
          <w:tcPr>
            <w:tcW w:w="928" w:type="dxa"/>
          </w:tcPr>
          <w:p w:rsidRPr="00080CD6" w:rsidR="00080CD6" w:rsidP="00DE7EC2" w:rsidRDefault="00080CD6" w14:paraId="033A14C2" w14:textId="77777777">
            <w:pPr>
              <w:rPr>
                <w:sz w:val="14"/>
                <w:szCs w:val="14"/>
              </w:rPr>
            </w:pPr>
            <w:r w:rsidRPr="00080CD6">
              <w:rPr>
                <w:sz w:val="14"/>
                <w:szCs w:val="14"/>
              </w:rPr>
              <w:t>4.970</w:t>
            </w:r>
          </w:p>
        </w:tc>
        <w:tc>
          <w:tcPr>
            <w:tcW w:w="1165" w:type="dxa"/>
          </w:tcPr>
          <w:p w:rsidRPr="00080CD6" w:rsidR="00080CD6" w:rsidP="00DE7EC2" w:rsidRDefault="00080CD6" w14:paraId="663B0C93" w14:textId="77777777">
            <w:pPr>
              <w:rPr>
                <w:sz w:val="14"/>
                <w:szCs w:val="14"/>
              </w:rPr>
            </w:pPr>
            <w:r w:rsidRPr="00080CD6">
              <w:rPr>
                <w:sz w:val="14"/>
                <w:szCs w:val="14"/>
              </w:rPr>
              <w:t>-245</w:t>
            </w:r>
          </w:p>
        </w:tc>
      </w:tr>
      <w:tr w:rsidRPr="00080CD6" w:rsidR="00080CD6" w:rsidTr="00080CD6" w14:paraId="55DD3AEA" w14:textId="77777777">
        <w:tc>
          <w:tcPr>
            <w:tcW w:w="421" w:type="dxa"/>
          </w:tcPr>
          <w:p w:rsidRPr="00080CD6" w:rsidR="00080CD6" w:rsidP="00DE7EC2" w:rsidRDefault="00080CD6" w14:paraId="753512A0" w14:textId="77777777">
            <w:pPr>
              <w:rPr>
                <w:sz w:val="14"/>
                <w:szCs w:val="14"/>
              </w:rPr>
            </w:pPr>
            <w:r w:rsidRPr="00080CD6">
              <w:rPr>
                <w:sz w:val="14"/>
                <w:szCs w:val="14"/>
              </w:rPr>
              <w:t>2024</w:t>
            </w:r>
          </w:p>
        </w:tc>
        <w:tc>
          <w:tcPr>
            <w:tcW w:w="608" w:type="dxa"/>
          </w:tcPr>
          <w:p w:rsidRPr="00080CD6" w:rsidR="00080CD6" w:rsidP="00DE7EC2" w:rsidRDefault="00080CD6" w14:paraId="10187CC4" w14:textId="77777777">
            <w:pPr>
              <w:rPr>
                <w:sz w:val="14"/>
                <w:szCs w:val="14"/>
              </w:rPr>
            </w:pPr>
            <w:r w:rsidRPr="00080CD6">
              <w:rPr>
                <w:sz w:val="14"/>
                <w:szCs w:val="14"/>
              </w:rPr>
              <w:t>82.171</w:t>
            </w:r>
          </w:p>
        </w:tc>
        <w:tc>
          <w:tcPr>
            <w:tcW w:w="991" w:type="dxa"/>
          </w:tcPr>
          <w:p w:rsidRPr="00080CD6" w:rsidR="00080CD6" w:rsidP="00DE7EC2" w:rsidRDefault="00080CD6" w14:paraId="16772055" w14:textId="77777777">
            <w:pPr>
              <w:rPr>
                <w:sz w:val="14"/>
                <w:szCs w:val="14"/>
              </w:rPr>
            </w:pPr>
            <w:r w:rsidRPr="00080CD6">
              <w:rPr>
                <w:sz w:val="14"/>
                <w:szCs w:val="14"/>
              </w:rPr>
              <w:t>68.995</w:t>
            </w:r>
          </w:p>
        </w:tc>
        <w:tc>
          <w:tcPr>
            <w:tcW w:w="1211" w:type="dxa"/>
          </w:tcPr>
          <w:p w:rsidRPr="00080CD6" w:rsidR="00080CD6" w:rsidP="00DE7EC2" w:rsidRDefault="00080CD6" w14:paraId="73200809" w14:textId="77777777">
            <w:pPr>
              <w:rPr>
                <w:sz w:val="14"/>
                <w:szCs w:val="14"/>
              </w:rPr>
            </w:pPr>
            <w:r w:rsidRPr="00080CD6">
              <w:rPr>
                <w:sz w:val="14"/>
                <w:szCs w:val="14"/>
              </w:rPr>
              <w:t>13.176</w:t>
            </w:r>
          </w:p>
        </w:tc>
        <w:tc>
          <w:tcPr>
            <w:tcW w:w="1267" w:type="dxa"/>
          </w:tcPr>
          <w:p w:rsidRPr="00080CD6" w:rsidR="00080CD6" w:rsidP="00DE7EC2" w:rsidRDefault="00080CD6" w14:paraId="2EE13316" w14:textId="77777777">
            <w:pPr>
              <w:rPr>
                <w:sz w:val="14"/>
                <w:szCs w:val="14"/>
              </w:rPr>
            </w:pPr>
            <w:r w:rsidRPr="00080CD6">
              <w:rPr>
                <w:sz w:val="14"/>
                <w:szCs w:val="14"/>
              </w:rPr>
              <w:t>-</w:t>
            </w:r>
          </w:p>
        </w:tc>
        <w:tc>
          <w:tcPr>
            <w:tcW w:w="940" w:type="dxa"/>
          </w:tcPr>
          <w:p w:rsidRPr="00080CD6" w:rsidR="00080CD6" w:rsidP="00DE7EC2" w:rsidRDefault="00080CD6" w14:paraId="1071A98A" w14:textId="77777777">
            <w:pPr>
              <w:rPr>
                <w:sz w:val="14"/>
                <w:szCs w:val="14"/>
              </w:rPr>
            </w:pPr>
            <w:r w:rsidRPr="00080CD6">
              <w:rPr>
                <w:sz w:val="14"/>
                <w:szCs w:val="14"/>
              </w:rPr>
              <w:t>-</w:t>
            </w:r>
          </w:p>
        </w:tc>
        <w:tc>
          <w:tcPr>
            <w:tcW w:w="928" w:type="dxa"/>
          </w:tcPr>
          <w:p w:rsidRPr="00080CD6" w:rsidR="00080CD6" w:rsidP="00DE7EC2" w:rsidRDefault="00080CD6" w14:paraId="7381BEBD" w14:textId="77777777">
            <w:pPr>
              <w:rPr>
                <w:sz w:val="14"/>
                <w:szCs w:val="14"/>
              </w:rPr>
            </w:pPr>
            <w:r w:rsidRPr="00080CD6">
              <w:rPr>
                <w:sz w:val="14"/>
                <w:szCs w:val="14"/>
              </w:rPr>
              <w:t>-</w:t>
            </w:r>
          </w:p>
        </w:tc>
        <w:tc>
          <w:tcPr>
            <w:tcW w:w="1165" w:type="dxa"/>
          </w:tcPr>
          <w:p w:rsidRPr="00080CD6" w:rsidR="00080CD6" w:rsidP="00DE7EC2" w:rsidRDefault="00080CD6" w14:paraId="537F4DEC" w14:textId="77777777">
            <w:pPr>
              <w:rPr>
                <w:sz w:val="14"/>
                <w:szCs w:val="14"/>
              </w:rPr>
            </w:pPr>
            <w:r w:rsidRPr="00080CD6">
              <w:rPr>
                <w:sz w:val="14"/>
                <w:szCs w:val="14"/>
              </w:rPr>
              <w:t>-</w:t>
            </w:r>
          </w:p>
        </w:tc>
      </w:tr>
    </w:tbl>
    <w:p w:rsidR="00080CD6" w:rsidP="00080CD6" w:rsidRDefault="00080CD6" w14:paraId="2329F73B" w14:textId="77777777">
      <w:pPr>
        <w:rPr>
          <w:sz w:val="16"/>
          <w:szCs w:val="16"/>
        </w:rPr>
      </w:pPr>
    </w:p>
    <w:p w:rsidRPr="00080CD6" w:rsidR="00080CD6" w:rsidP="00080CD6" w:rsidRDefault="00080CD6" w14:paraId="1BFE4C35" w14:textId="77777777">
      <w:pPr>
        <w:rPr>
          <w:sz w:val="16"/>
          <w:szCs w:val="16"/>
        </w:rPr>
      </w:pPr>
      <w:r w:rsidRPr="00080CD6">
        <w:rPr>
          <w:sz w:val="16"/>
          <w:szCs w:val="16"/>
        </w:rPr>
        <w:t>Bron: CBS BAG en CBS Overige toevoegingen en onttrekkingen in detail</w:t>
      </w:r>
    </w:p>
    <w:p w:rsidRPr="00080CD6" w:rsidR="00080CD6" w:rsidP="00080CD6" w:rsidRDefault="00080CD6" w14:paraId="05BE4275" w14:textId="77777777">
      <w:pPr>
        <w:rPr>
          <w:sz w:val="16"/>
          <w:szCs w:val="16"/>
        </w:rPr>
      </w:pPr>
      <w:r w:rsidRPr="00080CD6">
        <w:rPr>
          <w:sz w:val="16"/>
          <w:szCs w:val="16"/>
        </w:rPr>
        <w:t xml:space="preserve">De cijfers betreffen deels voorlopige cijfer. </w:t>
      </w:r>
    </w:p>
    <w:p w:rsidRPr="00080CD6" w:rsidR="00080CD6" w:rsidP="00080CD6" w:rsidRDefault="00080CD6" w14:paraId="6F0834A1" w14:textId="77777777"/>
    <w:p w:rsidRPr="00080CD6" w:rsidR="00080CD6" w:rsidP="00080CD6" w:rsidRDefault="00080CD6" w14:paraId="28D7F22F" w14:textId="77777777"/>
    <w:p w:rsidR="00080CD6" w:rsidP="00080CD6" w:rsidRDefault="00080CD6" w14:paraId="7F72CBEA" w14:textId="77777777">
      <w:pPr>
        <w:pStyle w:val="Lijstalinea"/>
        <w:numPr>
          <w:ilvl w:val="0"/>
          <w:numId w:val="6"/>
        </w:numPr>
      </w:pPr>
      <w:r w:rsidRPr="00080CD6">
        <w:t xml:space="preserve">Zo ja, kunt u verklaren wat de oorzaak is van het lage aantal woningsplitsingen dat plaatsgevonden heeft in 2024? </w:t>
      </w:r>
    </w:p>
    <w:p w:rsidR="00080CD6" w:rsidP="00080CD6" w:rsidRDefault="00080CD6" w14:paraId="7205BDDA" w14:textId="77777777">
      <w:pPr>
        <w:pStyle w:val="Lijstalinea"/>
      </w:pPr>
    </w:p>
    <w:p w:rsidR="00080CD6" w:rsidP="00080CD6" w:rsidRDefault="00080CD6" w14:paraId="6151391F" w14:textId="77777777">
      <w:pPr>
        <w:pStyle w:val="Lijstalinea"/>
      </w:pPr>
      <w:r w:rsidRPr="00080CD6">
        <w:t xml:space="preserve">Zoals bovenstaand beschreven zijn de volledige cijfers over 2024 nog niet bekend, waardoor we deze nog niet kunnen duiden. </w:t>
      </w:r>
      <w:r w:rsidR="00827F4B">
        <w:t>Zoals onder an</w:t>
      </w:r>
      <w:r w:rsidR="008A496D">
        <w:t>t</w:t>
      </w:r>
      <w:r w:rsidR="00827F4B">
        <w:t xml:space="preserve">woord 2 gesteld, </w:t>
      </w:r>
      <w:r w:rsidRPr="00080CD6">
        <w:t xml:space="preserve">betreffen de cijfers m.b.t. splitsingen een saldo. Dat betekent dat het cijfer een optelsom is van twee </w:t>
      </w:r>
      <w:r w:rsidR="00827F4B">
        <w:t>aspecten</w:t>
      </w:r>
      <w:r w:rsidRPr="00080CD6">
        <w:t xml:space="preserve">: hoe vaak woningen gesplitst worden maar ook hoe vaak woningen samengevoegd worden. Het cijfer is daarom geen directe weerspiegeling van het aantal woningsplitsingen. Precieze cijfers over het aantal splitsingen zijn niet bekend. Ook is het saldo al jarenlang beperkt van omvang. Een verklaring zoeken voor schommelingen van minder dan 500 woningen die daarbovenop ook nog de trend volgen van de afgelopen jaren lijkt daarmee niet opportuun. Ik zie wel een sterke potentie voor het verhogen van het saldo door het splitsen van woningen verder te stimuleren. Gemeenten erkennen vaak al de voordelen van woningsplitsing als een oplossing voor woningtekorten, maar stellen ook voorwaarden om overlast te voorkomen en om de negatieve gevolgen voor de kwaliteit van het woonklimaat en de sociale leefbaarheid te verminderen. Dit beperkt de mogelijkheden tot woningsplitsen. </w:t>
      </w:r>
    </w:p>
    <w:p w:rsidR="00080CD6" w:rsidP="00080CD6" w:rsidRDefault="00080CD6" w14:paraId="04094DE1" w14:textId="77777777">
      <w:pPr>
        <w:pStyle w:val="Lijstalinea"/>
      </w:pPr>
    </w:p>
    <w:p w:rsidR="00080CD6" w:rsidP="00080CD6" w:rsidRDefault="00080CD6" w14:paraId="73FD6EA0" w14:textId="77777777">
      <w:pPr>
        <w:pStyle w:val="Lijstalinea"/>
        <w:numPr>
          <w:ilvl w:val="0"/>
          <w:numId w:val="6"/>
        </w:numPr>
      </w:pPr>
      <w:r w:rsidRPr="00080CD6">
        <w:t>Deelt u de mening dat voor de woningzoekende een perspectiefloze situatie ontstaat door het achterblijven van realisatie van woningen uit zowel de nieuwbouw als bestaande voorraad en kunt u uw antwoord verklaren?</w:t>
      </w:r>
    </w:p>
    <w:p w:rsidR="00080CD6" w:rsidP="00080CD6" w:rsidRDefault="00080CD6" w14:paraId="5C89F1AD" w14:textId="77777777">
      <w:pPr>
        <w:pStyle w:val="Lijstalinea"/>
      </w:pPr>
    </w:p>
    <w:p w:rsidR="00080CD6" w:rsidP="00080CD6" w:rsidRDefault="00080CD6" w14:paraId="330955F0" w14:textId="77777777">
      <w:pPr>
        <w:pStyle w:val="Lijstalinea"/>
      </w:pPr>
      <w:r w:rsidRPr="00080CD6">
        <w:t xml:space="preserve">Ik ben van mening dat het tekort aan woningen ingrijpend is voor woningenzoekenden en dat het terugdringen daarvan urgent is. </w:t>
      </w:r>
    </w:p>
    <w:p w:rsidR="00080CD6" w:rsidP="00080CD6" w:rsidRDefault="00080CD6" w14:paraId="083294BC" w14:textId="77777777">
      <w:pPr>
        <w:pStyle w:val="Lijstalinea"/>
      </w:pPr>
    </w:p>
    <w:p w:rsidR="00080CD6" w:rsidP="00080CD6" w:rsidRDefault="00827F4B" w14:paraId="17809AC9" w14:textId="77777777">
      <w:pPr>
        <w:pStyle w:val="Lijstalinea"/>
        <w:numPr>
          <w:ilvl w:val="0"/>
          <w:numId w:val="6"/>
        </w:numPr>
      </w:pPr>
      <w:r w:rsidRPr="00080CD6">
        <w:t>Hoever</w:t>
      </w:r>
      <w:r w:rsidRPr="00080CD6" w:rsidR="00080CD6">
        <w:t xml:space="preserve"> bent u bereid te gaan om een doorbraak te forceren waarmee 100.000 woningen gerealiseerd worden?</w:t>
      </w:r>
    </w:p>
    <w:p w:rsidR="00080CD6" w:rsidP="00080CD6" w:rsidRDefault="00080CD6" w14:paraId="3BBEC41F" w14:textId="77777777">
      <w:pPr>
        <w:pStyle w:val="Lijstalinea"/>
      </w:pPr>
    </w:p>
    <w:p w:rsidRPr="00080CD6" w:rsidR="00080CD6" w:rsidP="00080CD6" w:rsidRDefault="00080CD6" w14:paraId="2076AE75" w14:textId="77777777">
      <w:pPr>
        <w:pStyle w:val="Lijstalinea"/>
      </w:pPr>
      <w:r w:rsidRPr="00080CD6">
        <w:t xml:space="preserve">Ik ben bereid om daarvoor alles op alles te zetten met inzet van alle partijen die nodig zijn om dit te realiseren. Daarom is het belangrijk dat bij de Woontop is afgesproken dat het Rijk, overheden, corporaties en marktpartijen de handen </w:t>
      </w:r>
      <w:r w:rsidRPr="00080CD6" w:rsidR="00827F4B">
        <w:t>ineen</w:t>
      </w:r>
      <w:r w:rsidR="00827F4B">
        <w:t xml:space="preserve"> </w:t>
      </w:r>
      <w:r w:rsidRPr="00080CD6" w:rsidR="00827F4B">
        <w:t>slaan</w:t>
      </w:r>
      <w:r w:rsidRPr="00080CD6">
        <w:t xml:space="preserve"> om de woningnood op te lossen. Om de woningbouwproductie te verhogen wordt meer grond beschikbaar gesteld, worden nieuwe gebieden aangewezen voor grootschalige woningbouw, worden procedures voor de bouw van woningen versneld en heeft dit kabinet € 5 miljard beschikbaar gesteld voor de financiële ondersteuning van woningbouwprojecten. Daarnaast investeert het kabinet € 2,5 miljard in infrastructuur ten behoeve van woningbouwlocaties. Ook ga ik met het programma STOER inzetten op aanpassen van regelgeving om te versnellen en meer woningen te bouwen met minder kosten.</w:t>
      </w:r>
    </w:p>
    <w:p w:rsidRPr="00080CD6" w:rsidR="00080CD6" w:rsidP="00080CD6" w:rsidRDefault="00080CD6" w14:paraId="040F8624" w14:textId="77777777"/>
    <w:p w:rsidR="00080CD6" w:rsidP="00080CD6" w:rsidRDefault="00080CD6" w14:paraId="6299B911" w14:textId="77777777">
      <w:pPr>
        <w:pStyle w:val="Lijstalinea"/>
        <w:numPr>
          <w:ilvl w:val="0"/>
          <w:numId w:val="6"/>
        </w:numPr>
      </w:pPr>
      <w:r w:rsidRPr="00080CD6">
        <w:t>Welke concrete doorbraken heeft u de afgelopen zes maanden geforceerd en hoeveel woningen worden er daardoor naar verwachting in 2025 extra opgeleverd?</w:t>
      </w:r>
    </w:p>
    <w:p w:rsidR="00080CD6" w:rsidP="00080CD6" w:rsidRDefault="00080CD6" w14:paraId="3E5D9E89" w14:textId="77777777">
      <w:pPr>
        <w:pStyle w:val="Lijstalinea"/>
      </w:pPr>
    </w:p>
    <w:p w:rsidR="00080CD6" w:rsidP="00080CD6" w:rsidRDefault="00080CD6" w14:paraId="2897D40C" w14:textId="77777777">
      <w:pPr>
        <w:pStyle w:val="Lijstalinea"/>
      </w:pPr>
      <w:r w:rsidRPr="00080CD6">
        <w:t xml:space="preserve">Onlangs is de tweede nota van wijziging voor het wetsvoorstel ‘versterking regie volkshuisvesting’ ingediend. Met het wetsvoorstel versnellen we de behandeling van beroepszaken over woningbouw bij de rechter. Zo wordt sneller duidelijk of een project door kan gaan. De tijdswinst daarvan is ongeveer een jaar. Vooruitlopend op deze wet heeft de Raad van State een andere werkwijze ingevoerd waardoor voor 65.000 woningen dit jaar duidelijkheid komt of ze kunnen doorgaan. Ook het realiseren van mantelzorgwoningen en familiewoningen op eigen erf wordt versneld in dit wetsvoorstel. </w:t>
      </w:r>
      <w:proofErr w:type="spellStart"/>
      <w:r w:rsidRPr="00080CD6">
        <w:t>MantelzorgersNL</w:t>
      </w:r>
      <w:proofErr w:type="spellEnd"/>
      <w:r w:rsidRPr="00080CD6">
        <w:t xml:space="preserve"> heeft berekend dat er behoefte is aan 100.000 van deze kleine woningen op eigen erf voor mantelzorg. Ik schat in dat het potentieel voor woningen op het erf voor familiewoningen eveneens groot is. Met het wetsvoorstel kunnen deze voortaan </w:t>
      </w:r>
      <w:proofErr w:type="spellStart"/>
      <w:r w:rsidRPr="00080CD6">
        <w:t>vergunningvrij</w:t>
      </w:r>
      <w:proofErr w:type="spellEnd"/>
      <w:r w:rsidRPr="00080CD6">
        <w:t xml:space="preserve"> worden gerealiseerd. Daarnaast maken we afspraken met provincies en gemeenten over hoeveel, voor wie en waar we bouwen. Met het Wetsvoorstel ‘versterking regie volkshuisvesting’ zijn deze afspraken niet vrijblijvend: deze afspraken worden door provincies en gemeenten </w:t>
      </w:r>
      <w:proofErr w:type="spellStart"/>
      <w:r w:rsidRPr="00080CD6">
        <w:t>doorvertaald</w:t>
      </w:r>
      <w:proofErr w:type="spellEnd"/>
      <w:r w:rsidRPr="00080CD6">
        <w:t xml:space="preserve"> naar lokaal niveau en onderdeel van het volkshuisvestingsprogramma. Zo is voor iedereen duidelijk wat er wordt verwacht. Dus ook het aantal betaalbare woningen: sociale huur en middensegment. Wanneer een gemeente achterblijft of bij een impasse over een woningbouwlocatie kunnen Rijk of provincie via een instructiebesluit – op grond van de Omgevingswet- waar nodig een opdracht geven om in het omgevingsplan te voorzien in voldoende locaties voor betaalbare woningen. </w:t>
      </w:r>
    </w:p>
    <w:p w:rsidR="00080CD6" w:rsidP="00080CD6" w:rsidRDefault="00080CD6" w14:paraId="63AEA7E0" w14:textId="77777777">
      <w:pPr>
        <w:pStyle w:val="Lijstalinea"/>
      </w:pPr>
    </w:p>
    <w:p w:rsidR="008A496D" w:rsidP="003B49E8" w:rsidRDefault="00080CD6" w14:paraId="3E6B1C35" w14:textId="77777777">
      <w:pPr>
        <w:pStyle w:val="Lijstalinea"/>
        <w:rPr>
          <w:rFonts w:eastAsia="Verdana" w:cs="Verdana"/>
          <w:spacing w:val="-3"/>
        </w:rPr>
      </w:pPr>
      <w:r w:rsidRPr="00080CD6">
        <w:t xml:space="preserve">Ik zet ook in op doorbraken op concrete locaties, groot en klein. Dat gebeurt onder meer via publiek private samenwerking in de versnellingstafels, maar ook via bestuurlijke interventies. Ik noem daarbij  </w:t>
      </w:r>
      <w:r w:rsidRPr="00080CD6" w:rsidR="003B49E8">
        <w:rPr>
          <w:rFonts w:eastAsia="Verdana" w:cs="Verdana"/>
          <w:spacing w:val="-3"/>
        </w:rPr>
        <w:t>Kronenburg</w:t>
      </w:r>
      <w:r w:rsidR="003B49E8">
        <w:rPr>
          <w:rFonts w:eastAsia="Verdana" w:cs="Verdana"/>
          <w:spacing w:val="-3"/>
        </w:rPr>
        <w:t xml:space="preserve">, waar ik op 16 januari 2024 afspraken heb gemaakt met de gemeente Amstelveen. Er wordt in Kronenburg </w:t>
      </w:r>
      <w:r w:rsidRPr="00FA4AEE" w:rsidR="003B49E8">
        <w:t xml:space="preserve">een plan opgesteld voor de ontwikkeling van circa </w:t>
      </w:r>
      <w:r w:rsidRPr="00B02205" w:rsidR="003B49E8">
        <w:t>438 woningen</w:t>
      </w:r>
      <w:r w:rsidR="006C166C">
        <w:t>, en een verbetering van de leefomgevingskwaliteit,</w:t>
      </w:r>
      <w:r w:rsidRPr="00FA4AEE" w:rsidR="003B49E8">
        <w:t xml:space="preserve"> als eerste fase van ontwikkeling van dit gebied. </w:t>
      </w:r>
      <w:r w:rsidR="003B49E8">
        <w:rPr>
          <w:rFonts w:eastAsia="Verdana" w:cs="Verdana"/>
          <w:spacing w:val="-3"/>
        </w:rPr>
        <w:t xml:space="preserve">Ook in de </w:t>
      </w:r>
      <w:proofErr w:type="spellStart"/>
      <w:r w:rsidR="003B49E8">
        <w:rPr>
          <w:rFonts w:eastAsia="Verdana" w:cs="Verdana"/>
          <w:spacing w:val="-3"/>
        </w:rPr>
        <w:t>Gnephoekpolder</w:t>
      </w:r>
      <w:proofErr w:type="spellEnd"/>
      <w:r w:rsidR="003B49E8">
        <w:rPr>
          <w:rFonts w:eastAsia="Verdana" w:cs="Verdana"/>
          <w:spacing w:val="-3"/>
        </w:rPr>
        <w:t xml:space="preserve"> worden woningen gerealiseerd. </w:t>
      </w:r>
      <w:r w:rsidRPr="003B49E8" w:rsidR="003B49E8">
        <w:rPr>
          <w:rFonts w:eastAsia="Verdana" w:cs="Verdana"/>
          <w:spacing w:val="-3"/>
        </w:rPr>
        <w:t>In september 2024 verstrekte ik een toekenningsbeschikking aan de gemeente Alphen aan de Rijn. In de brief deelde ik hen mee dat zij een rijksbijdrage van € 50 mln. exclusief btw (€ 60,5 mln. inclusief btw) zouden ontvangen. Met die rijksbijdrage wordt de gemeente in staat gesteld om vanaf 2029 5.500 woningen te realiseren, waarvan 60% procent betaalbaar en minimaal 30% in het sociale huursegment.</w:t>
      </w:r>
      <w:r w:rsidR="003B49E8">
        <w:rPr>
          <w:rFonts w:eastAsia="Verdana" w:cs="Verdana"/>
          <w:spacing w:val="-3"/>
        </w:rPr>
        <w:t xml:space="preserve"> </w:t>
      </w:r>
      <w:r w:rsidR="008A496D">
        <w:rPr>
          <w:rFonts w:eastAsia="Verdana" w:cs="Verdana"/>
          <w:spacing w:val="-3"/>
        </w:rPr>
        <w:t xml:space="preserve">Een soortgelijke doorbraak is gerealiseerd in </w:t>
      </w:r>
      <w:proofErr w:type="spellStart"/>
      <w:r w:rsidR="008A496D">
        <w:rPr>
          <w:rFonts w:eastAsia="Verdana" w:cs="Verdana"/>
          <w:spacing w:val="-3"/>
        </w:rPr>
        <w:t>Bleizo</w:t>
      </w:r>
      <w:proofErr w:type="spellEnd"/>
      <w:r w:rsidR="008A496D">
        <w:rPr>
          <w:rFonts w:eastAsia="Verdana" w:cs="Verdana"/>
          <w:spacing w:val="-3"/>
        </w:rPr>
        <w:t xml:space="preserve"> (5.000 woningen) en </w:t>
      </w:r>
      <w:r w:rsidRPr="008A496D" w:rsidR="008A496D">
        <w:rPr>
          <w:rFonts w:eastAsia="Verdana" w:cs="Verdana"/>
          <w:spacing w:val="-3"/>
        </w:rPr>
        <w:t>Lisserbroek en Nieuw Vennep West</w:t>
      </w:r>
      <w:r w:rsidR="008A496D">
        <w:rPr>
          <w:rFonts w:eastAsia="Verdana" w:cs="Verdana"/>
          <w:spacing w:val="-3"/>
        </w:rPr>
        <w:t xml:space="preserve"> (tenminste 6.500 woningen). </w:t>
      </w:r>
    </w:p>
    <w:p w:rsidRPr="00080CD6" w:rsidR="00080CD6" w:rsidP="00080CD6" w:rsidRDefault="00080CD6" w14:paraId="2E26034F" w14:textId="77777777"/>
    <w:p w:rsidR="00080CD6" w:rsidP="00080CD6" w:rsidRDefault="00080CD6" w14:paraId="0359B051" w14:textId="77777777">
      <w:pPr>
        <w:pStyle w:val="Lijstalinea"/>
        <w:numPr>
          <w:ilvl w:val="0"/>
          <w:numId w:val="6"/>
        </w:numPr>
      </w:pPr>
      <w:r w:rsidRPr="00080CD6">
        <w:t>Kunt u per bouwmethode aangeven hoeveel woningen er gerealiseerd zijn in 2024 door woningen te splitsen, op te toppen en leegstaande panden te transformeren?</w:t>
      </w:r>
    </w:p>
    <w:p w:rsidR="00080CD6" w:rsidP="00080CD6" w:rsidRDefault="00080CD6" w14:paraId="22CDB2E6" w14:textId="77777777">
      <w:pPr>
        <w:pStyle w:val="Lijstalinea"/>
      </w:pPr>
    </w:p>
    <w:p w:rsidR="00080CD6" w:rsidP="00080CD6" w:rsidRDefault="00080CD6" w14:paraId="4854E01F" w14:textId="77777777">
      <w:pPr>
        <w:pStyle w:val="Lijstalinea"/>
      </w:pPr>
      <w:r w:rsidRPr="00080CD6">
        <w:t>De (in eerste instantie voorlopige) realisatiecijfers van het CBS komen maandelijks beschikbaar met een vertraging van iets meer dan een maand. Deze cijfers zijn uitgesplitst in nieuwbouw en de overige toevoegingen en onttrekkingen.  De verder uitgesplitste cijfers zoals die zijn weergegeven in tabel 2 komen met een grotere vertraging beschikbaar.  Op dit moment is het saldo van splitsingen en samenvoegingen voor de eerste twee kwartalen van 2024 bekend. Dit betreft (per saldo) 555 woningen. De post overige verbouw waaronder optoppen bedraagt voor de eerste twee kwartalen 1.220 woningen. Voor transformaties zijn cijfers beschikbaar over de eerste drie kwartalen. Dit cijfer bedraagt 5.765 woningen. Bij deze aantallen gaat het om voorlopige cijfers.</w:t>
      </w:r>
    </w:p>
    <w:p w:rsidR="00080CD6" w:rsidP="00080CD6" w:rsidRDefault="00080CD6" w14:paraId="7B26D26F" w14:textId="77777777">
      <w:pPr>
        <w:pStyle w:val="Lijstalinea"/>
      </w:pPr>
    </w:p>
    <w:p w:rsidR="00080CD6" w:rsidP="00080CD6" w:rsidRDefault="00080CD6" w14:paraId="1B63EFFA" w14:textId="77777777">
      <w:pPr>
        <w:pStyle w:val="Lijstalinea"/>
        <w:numPr>
          <w:ilvl w:val="0"/>
          <w:numId w:val="6"/>
        </w:numPr>
      </w:pPr>
      <w:r w:rsidRPr="00080CD6">
        <w:t>Deelt u de mening dat er veel meer moet gebeuren om een doorbraak te forceren, in acht nemend dat de potentie van woning splitsen alleen al rond de 12.000 woningen per jaar ligt waar er buiten nieuwbouw om in totaal circa 14.500 woningen gerealiseerd zijn?</w:t>
      </w:r>
    </w:p>
    <w:p w:rsidR="00080CD6" w:rsidP="00080CD6" w:rsidRDefault="00080CD6" w14:paraId="63FA02D7" w14:textId="77777777">
      <w:pPr>
        <w:pStyle w:val="Lijstalinea"/>
      </w:pPr>
    </w:p>
    <w:p w:rsidR="00080CD6" w:rsidP="00080CD6" w:rsidRDefault="00080CD6" w14:paraId="094BD4B7" w14:textId="77777777">
      <w:pPr>
        <w:pStyle w:val="Lijstalinea"/>
      </w:pPr>
      <w:r w:rsidRPr="00080CD6">
        <w:t xml:space="preserve">Ja. Ik zie veel potentie in het splitsen van grotere woningen in het koopsegment, daar ligt namelijk 60% van de potentie. Corporaties hebben, met ongeveer 25% van de potentie, ook bezit dat geschikt is om te splitsen. En gemeenten kunnen maatregelen nemen om via beleid het woningsplitsen te stimuleren. Om deze drie doelgroepen de juiste handvatten te geven voor het splitsen van woningen, ontwikkel ik een Splitsgids. Ook heb ik op 20 februari een handreiking gepubliceerd voor gemeenten over woningdelen en splitsen. Gemeenten hebben namelijk een sleutelrol: zij kunnen woningsplitsen juridisch zowel mogelijk als gemakkelijker maken, zodat woningcorporaties en particulieren aan de slag kunnen. </w:t>
      </w:r>
      <w:r w:rsidR="003A675F">
        <w:t xml:space="preserve">Daarom ga ik ook bezien of eenvoudige woningsplitsingen onder voorwaarden </w:t>
      </w:r>
      <w:proofErr w:type="spellStart"/>
      <w:r w:rsidR="003A675F">
        <w:t>vergunningvrij</w:t>
      </w:r>
      <w:proofErr w:type="spellEnd"/>
      <w:r w:rsidR="003A675F">
        <w:t xml:space="preserve"> kunnen worden. </w:t>
      </w:r>
      <w:r w:rsidRPr="00080CD6">
        <w:t>Verder ga ik gemeenten in staat stellen om de potentie voor woningsplitsen in hun gebied in kaart te brengen door hen te assisteren bij het uitvoeren van potentiescans die de integrale potentie voor verschillende vormen van beter benutten analyseren.</w:t>
      </w:r>
    </w:p>
    <w:p w:rsidR="00080CD6" w:rsidP="00080CD6" w:rsidRDefault="00080CD6" w14:paraId="3D2C2575" w14:textId="77777777">
      <w:pPr>
        <w:pStyle w:val="Lijstalinea"/>
      </w:pPr>
    </w:p>
    <w:p w:rsidR="00080CD6" w:rsidP="00080CD6" w:rsidRDefault="00080CD6" w14:paraId="61A5BD16" w14:textId="77777777">
      <w:pPr>
        <w:pStyle w:val="Lijstalinea"/>
        <w:numPr>
          <w:ilvl w:val="0"/>
          <w:numId w:val="6"/>
        </w:numPr>
      </w:pPr>
      <w:r w:rsidRPr="00080CD6">
        <w:t>Kunt u aangeven welke concrete stappen er gezet worden door het kabinet om het splitsen van woningen ook fiscaal aantrekkelijker te maken?</w:t>
      </w:r>
    </w:p>
    <w:p w:rsidR="00080CD6" w:rsidP="00080CD6" w:rsidRDefault="00080CD6" w14:paraId="2E53EF0D" w14:textId="77777777">
      <w:pPr>
        <w:pStyle w:val="Lijstalinea"/>
      </w:pPr>
    </w:p>
    <w:p w:rsidR="00080CD6" w:rsidP="00080CD6" w:rsidRDefault="00080CD6" w14:paraId="65069B70" w14:textId="77777777">
      <w:pPr>
        <w:pStyle w:val="Lijstalinea"/>
      </w:pPr>
      <w:r w:rsidRPr="00080CD6">
        <w:t>Het kabinet neemt maatregelen om investeringen in huurwoningen aantrekkelijker te maken. Zo wordt de overdrachtsbelasting voor investeerders in woningen verlaagd naar 8% per 1 januari 2026 en is de maximale renteaftrek in de vennootschapsbelasting verhoogd van 20% naar 24,5% van de gecorrigeerde winst (EBITDA). Deze maatregelen maken indirect het splitsen van woningen met als doel om deze te verhuren aantrekkelijker.</w:t>
      </w:r>
    </w:p>
    <w:p w:rsidR="00080CD6" w:rsidP="00080CD6" w:rsidRDefault="00080CD6" w14:paraId="49861019" w14:textId="77777777">
      <w:pPr>
        <w:pStyle w:val="Lijstalinea"/>
      </w:pPr>
    </w:p>
    <w:p w:rsidR="00080CD6" w:rsidP="00080CD6" w:rsidRDefault="00080CD6" w14:paraId="372464F3" w14:textId="77777777">
      <w:pPr>
        <w:pStyle w:val="Lijstalinea"/>
        <w:numPr>
          <w:ilvl w:val="0"/>
          <w:numId w:val="6"/>
        </w:numPr>
      </w:pPr>
      <w:r w:rsidRPr="00080CD6">
        <w:t>Kunt u de vragen één voor één en binnen 3 weken beantwoorden?</w:t>
      </w:r>
    </w:p>
    <w:p w:rsidR="00080CD6" w:rsidP="00080CD6" w:rsidRDefault="00080CD6" w14:paraId="0A419E44" w14:textId="77777777">
      <w:pPr>
        <w:pStyle w:val="Lijstalinea"/>
      </w:pPr>
    </w:p>
    <w:p w:rsidRPr="00080CD6" w:rsidR="00080CD6" w:rsidP="00080CD6" w:rsidRDefault="00080CD6" w14:paraId="12613DF8" w14:textId="77777777">
      <w:pPr>
        <w:pStyle w:val="Lijstalinea"/>
      </w:pPr>
      <w:r w:rsidRPr="00080CD6">
        <w:t>Vanwege interne afstemming is beantwoording binnen drie weken niet mogelijk geweest.</w:t>
      </w:r>
    </w:p>
    <w:p w:rsidRPr="00080CD6" w:rsidR="00080CD6" w:rsidP="00080CD6" w:rsidRDefault="00080CD6" w14:paraId="37930D77" w14:textId="77777777"/>
    <w:sectPr w:rsidRPr="00080CD6" w:rsidR="00080CD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A2BBD" w14:textId="77777777" w:rsidR="001E3AE6" w:rsidRDefault="001E3AE6">
      <w:pPr>
        <w:spacing w:line="240" w:lineRule="auto"/>
      </w:pPr>
      <w:r>
        <w:separator/>
      </w:r>
    </w:p>
  </w:endnote>
  <w:endnote w:type="continuationSeparator" w:id="0">
    <w:p w14:paraId="689275A8" w14:textId="77777777" w:rsidR="001E3AE6" w:rsidRDefault="001E3A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5359" w14:textId="77777777" w:rsidR="0089493F" w:rsidRDefault="008949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B6F3" w14:textId="77777777" w:rsidR="0089493F" w:rsidRDefault="008949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ACD2" w14:textId="77777777" w:rsidR="0089493F" w:rsidRDefault="008949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DC027" w14:textId="77777777" w:rsidR="001E3AE6" w:rsidRDefault="001E3AE6">
      <w:pPr>
        <w:spacing w:line="240" w:lineRule="auto"/>
      </w:pPr>
      <w:r>
        <w:separator/>
      </w:r>
    </w:p>
  </w:footnote>
  <w:footnote w:type="continuationSeparator" w:id="0">
    <w:p w14:paraId="16F8DA4E" w14:textId="77777777" w:rsidR="001E3AE6" w:rsidRDefault="001E3A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CC6C" w14:textId="77777777" w:rsidR="0089493F" w:rsidRDefault="008949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94BC" w14:textId="77777777" w:rsidR="005C7330" w:rsidRDefault="00A46D50">
    <w:r>
      <w:rPr>
        <w:noProof/>
      </w:rPr>
      <mc:AlternateContent>
        <mc:Choice Requires="wps">
          <w:drawing>
            <wp:anchor distT="0" distB="0" distL="0" distR="0" simplePos="0" relativeHeight="251652096" behindDoc="0" locked="1" layoutInCell="1" allowOverlap="1" wp14:anchorId="43D9DDAB" wp14:editId="1819BDEF">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147DAC" w14:textId="59A2AFFB" w:rsidR="003A3535" w:rsidRDefault="00B04F4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43D9DDA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9147DAC" w14:textId="59A2AFFB" w:rsidR="003A3535" w:rsidRDefault="00B04F4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E9835B1" wp14:editId="2050A62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BE7EC1" w14:textId="77777777" w:rsidR="005C7330" w:rsidRDefault="00A46D50">
                          <w:pPr>
                            <w:pStyle w:val="Referentiegegevensbold"/>
                          </w:pPr>
                          <w:r>
                            <w:t>DG Volkshuisvesting en Bouwen</w:t>
                          </w:r>
                        </w:p>
                        <w:p w14:paraId="461189C8" w14:textId="77777777" w:rsidR="005C7330" w:rsidRDefault="00A46D50">
                          <w:pPr>
                            <w:pStyle w:val="Referentiegegevens"/>
                          </w:pPr>
                          <w:r>
                            <w:t>DGVB-WB-Woningbouwbeleid</w:t>
                          </w:r>
                        </w:p>
                        <w:p w14:paraId="29DF8511" w14:textId="77777777" w:rsidR="005C7330" w:rsidRDefault="005C7330">
                          <w:pPr>
                            <w:pStyle w:val="WitregelW2"/>
                          </w:pPr>
                        </w:p>
                        <w:p w14:paraId="5452817C" w14:textId="77777777" w:rsidR="005C7330" w:rsidRDefault="005C7330">
                          <w:pPr>
                            <w:pStyle w:val="WitregelW1"/>
                          </w:pPr>
                        </w:p>
                        <w:p w14:paraId="7C3E5746" w14:textId="77777777" w:rsidR="005C7330" w:rsidRDefault="00A46D50">
                          <w:pPr>
                            <w:pStyle w:val="Referentiegegevensbold"/>
                          </w:pPr>
                          <w:r>
                            <w:t>Onze referentie</w:t>
                          </w:r>
                        </w:p>
                        <w:p w14:paraId="7EA7017A" w14:textId="0B650708" w:rsidR="007002FD" w:rsidRDefault="00B04F40">
                          <w:pPr>
                            <w:pStyle w:val="Referentiegegevens"/>
                          </w:pPr>
                          <w:r>
                            <w:fldChar w:fldCharType="begin"/>
                          </w:r>
                          <w:r>
                            <w:instrText xml:space="preserve"> DOCPROPERTY  "Kenmerk"  \* MERGEFORMAT </w:instrText>
                          </w:r>
                          <w:r>
                            <w:fldChar w:fldCharType="separate"/>
                          </w:r>
                          <w:r>
                            <w:t>2025-0000195553</w:t>
                          </w:r>
                          <w:r>
                            <w:fldChar w:fldCharType="end"/>
                          </w:r>
                        </w:p>
                      </w:txbxContent>
                    </wps:txbx>
                    <wps:bodyPr vert="horz" wrap="square" lIns="0" tIns="0" rIns="0" bIns="0" anchor="t" anchorCtr="0"/>
                  </wps:wsp>
                </a:graphicData>
              </a:graphic>
            </wp:anchor>
          </w:drawing>
        </mc:Choice>
        <mc:Fallback>
          <w:pict>
            <v:shape w14:anchorId="2E9835B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BBE7EC1" w14:textId="77777777" w:rsidR="005C7330" w:rsidRDefault="00A46D50">
                    <w:pPr>
                      <w:pStyle w:val="Referentiegegevensbold"/>
                    </w:pPr>
                    <w:r>
                      <w:t>DG Volkshuisvesting en Bouwen</w:t>
                    </w:r>
                  </w:p>
                  <w:p w14:paraId="461189C8" w14:textId="77777777" w:rsidR="005C7330" w:rsidRDefault="00A46D50">
                    <w:pPr>
                      <w:pStyle w:val="Referentiegegevens"/>
                    </w:pPr>
                    <w:r>
                      <w:t>DGVB-WB-Woningbouwbeleid</w:t>
                    </w:r>
                  </w:p>
                  <w:p w14:paraId="29DF8511" w14:textId="77777777" w:rsidR="005C7330" w:rsidRDefault="005C7330">
                    <w:pPr>
                      <w:pStyle w:val="WitregelW2"/>
                    </w:pPr>
                  </w:p>
                  <w:p w14:paraId="5452817C" w14:textId="77777777" w:rsidR="005C7330" w:rsidRDefault="005C7330">
                    <w:pPr>
                      <w:pStyle w:val="WitregelW1"/>
                    </w:pPr>
                  </w:p>
                  <w:p w14:paraId="7C3E5746" w14:textId="77777777" w:rsidR="005C7330" w:rsidRDefault="00A46D50">
                    <w:pPr>
                      <w:pStyle w:val="Referentiegegevensbold"/>
                    </w:pPr>
                    <w:r>
                      <w:t>Onze referentie</w:t>
                    </w:r>
                  </w:p>
                  <w:p w14:paraId="7EA7017A" w14:textId="0B650708" w:rsidR="007002FD" w:rsidRDefault="00B04F40">
                    <w:pPr>
                      <w:pStyle w:val="Referentiegegevens"/>
                    </w:pPr>
                    <w:r>
                      <w:fldChar w:fldCharType="begin"/>
                    </w:r>
                    <w:r>
                      <w:instrText xml:space="preserve"> DOCPROPERTY  "Kenmerk"  \* MERGEFORMAT </w:instrText>
                    </w:r>
                    <w:r>
                      <w:fldChar w:fldCharType="separate"/>
                    </w:r>
                    <w:r>
                      <w:t>2025-0000195553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1034B16" wp14:editId="06645CD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1C6DAC" w14:textId="05A05ACB" w:rsidR="003A3535" w:rsidRDefault="00B04F4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1034B1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41C6DAC" w14:textId="05A05ACB" w:rsidR="003A3535" w:rsidRDefault="00B04F4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3497EE3" wp14:editId="4595B6D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BA3AE3B" w14:textId="77777777" w:rsidR="003A3535" w:rsidRDefault="00B04F4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3497EE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BA3AE3B" w14:textId="77777777" w:rsidR="003A3535" w:rsidRDefault="00B04F4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84F3" w14:textId="77777777" w:rsidR="005C7330" w:rsidRDefault="00A46D50">
    <w:pPr>
      <w:spacing w:after="6377" w:line="14" w:lineRule="exact"/>
    </w:pPr>
    <w:r>
      <w:rPr>
        <w:noProof/>
      </w:rPr>
      <mc:AlternateContent>
        <mc:Choice Requires="wps">
          <w:drawing>
            <wp:anchor distT="0" distB="0" distL="0" distR="0" simplePos="0" relativeHeight="251656192" behindDoc="0" locked="1" layoutInCell="1" allowOverlap="1" wp14:anchorId="1B931611" wp14:editId="74C24F1B">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9B37D85" w14:textId="77777777" w:rsidR="005C7330" w:rsidRDefault="00A46D50">
                          <w:pPr>
                            <w:spacing w:line="240" w:lineRule="auto"/>
                          </w:pPr>
                          <w:r>
                            <w:rPr>
                              <w:noProof/>
                            </w:rPr>
                            <w:drawing>
                              <wp:inline distT="0" distB="0" distL="0" distR="0" wp14:anchorId="7BA354A5" wp14:editId="43F332F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93161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39B37D85" w14:textId="77777777" w:rsidR="005C7330" w:rsidRDefault="00A46D50">
                    <w:pPr>
                      <w:spacing w:line="240" w:lineRule="auto"/>
                    </w:pPr>
                    <w:r>
                      <w:rPr>
                        <w:noProof/>
                      </w:rPr>
                      <w:drawing>
                        <wp:inline distT="0" distB="0" distL="0" distR="0" wp14:anchorId="7BA354A5" wp14:editId="43F332F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D61C335" wp14:editId="0A8AA09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4EACC7" w14:textId="77777777" w:rsidR="005C7330" w:rsidRDefault="00A46D50">
                          <w:pPr>
                            <w:spacing w:line="240" w:lineRule="auto"/>
                          </w:pPr>
                          <w:r>
                            <w:rPr>
                              <w:noProof/>
                            </w:rPr>
                            <w:drawing>
                              <wp:inline distT="0" distB="0" distL="0" distR="0" wp14:anchorId="63F79688" wp14:editId="2C56C6F5">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61C33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94EACC7" w14:textId="77777777" w:rsidR="005C7330" w:rsidRDefault="00A46D50">
                    <w:pPr>
                      <w:spacing w:line="240" w:lineRule="auto"/>
                    </w:pPr>
                    <w:r>
                      <w:rPr>
                        <w:noProof/>
                      </w:rPr>
                      <w:drawing>
                        <wp:inline distT="0" distB="0" distL="0" distR="0" wp14:anchorId="63F79688" wp14:editId="2C56C6F5">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33FC6FB" wp14:editId="40C143E8">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D83B21" w14:textId="77777777" w:rsidR="005C7330" w:rsidRDefault="00A46D50">
                          <w:pPr>
                            <w:pStyle w:val="Referentiegegevens"/>
                          </w:pPr>
                          <w:r>
                            <w:t xml:space="preserve">&gt; Retouradres </w:t>
                          </w:r>
                          <w:r w:rsidR="00080CD6" w:rsidRPr="00080CD6">
                            <w:t>Postbus 20011 2500 EA Den Haag</w:t>
                          </w:r>
                          <w:r>
                            <w:t xml:space="preserve"> </w:t>
                          </w:r>
                        </w:p>
                      </w:txbxContent>
                    </wps:txbx>
                    <wps:bodyPr vert="horz" wrap="square" lIns="0" tIns="0" rIns="0" bIns="0" anchor="t" anchorCtr="0"/>
                  </wps:wsp>
                </a:graphicData>
              </a:graphic>
            </wp:anchor>
          </w:drawing>
        </mc:Choice>
        <mc:Fallback>
          <w:pict>
            <v:shape w14:anchorId="033FC6FB"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68D83B21" w14:textId="77777777" w:rsidR="005C7330" w:rsidRDefault="00A46D50">
                    <w:pPr>
                      <w:pStyle w:val="Referentiegegevens"/>
                    </w:pPr>
                    <w:r>
                      <w:t xml:space="preserve">&gt; Retouradres </w:t>
                    </w:r>
                    <w:r w:rsidR="00080CD6" w:rsidRPr="00080CD6">
                      <w:t>Postbus 20011 2500 EA Den Haag</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156E204" wp14:editId="0D298FE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4B50828" w14:textId="48769050" w:rsidR="003A3535" w:rsidRDefault="00B04F4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006A8C6" w14:textId="77777777" w:rsidR="00080CD6" w:rsidRDefault="00080CD6">
                          <w:r w:rsidRPr="00080CD6">
                            <w:t xml:space="preserve">Aan de Voorzitter van de Tweede Kamer der Staten-Generaal </w:t>
                          </w:r>
                        </w:p>
                        <w:p w14:paraId="1A8556EC" w14:textId="77777777" w:rsidR="00080CD6" w:rsidRDefault="00080CD6">
                          <w:r w:rsidRPr="00080CD6">
                            <w:t xml:space="preserve">Postbus 20018 </w:t>
                          </w:r>
                        </w:p>
                        <w:p w14:paraId="08646EE9" w14:textId="77777777" w:rsidR="005C7330" w:rsidRDefault="00080CD6">
                          <w:r w:rsidRPr="00080CD6">
                            <w:t xml:space="preserve">2500 EA </w:t>
                          </w:r>
                          <w:r w:rsidR="000A6905">
                            <w:t xml:space="preserve"> </w:t>
                          </w:r>
                          <w:r w:rsidRPr="00080CD6">
                            <w:t>DEN HAAG</w:t>
                          </w:r>
                        </w:p>
                      </w:txbxContent>
                    </wps:txbx>
                    <wps:bodyPr vert="horz" wrap="square" lIns="0" tIns="0" rIns="0" bIns="0" anchor="t" anchorCtr="0"/>
                  </wps:wsp>
                </a:graphicData>
              </a:graphic>
            </wp:anchor>
          </w:drawing>
        </mc:Choice>
        <mc:Fallback>
          <w:pict>
            <v:shape w14:anchorId="5156E20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4B50828" w14:textId="48769050" w:rsidR="003A3535" w:rsidRDefault="00B04F4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006A8C6" w14:textId="77777777" w:rsidR="00080CD6" w:rsidRDefault="00080CD6">
                    <w:r w:rsidRPr="00080CD6">
                      <w:t xml:space="preserve">Aan de Voorzitter van de Tweede Kamer der Staten-Generaal </w:t>
                    </w:r>
                  </w:p>
                  <w:p w14:paraId="1A8556EC" w14:textId="77777777" w:rsidR="00080CD6" w:rsidRDefault="00080CD6">
                    <w:r w:rsidRPr="00080CD6">
                      <w:t xml:space="preserve">Postbus 20018 </w:t>
                    </w:r>
                  </w:p>
                  <w:p w14:paraId="08646EE9" w14:textId="77777777" w:rsidR="005C7330" w:rsidRDefault="00080CD6">
                    <w:r w:rsidRPr="00080CD6">
                      <w:t xml:space="preserve">2500 EA </w:t>
                    </w:r>
                    <w:r w:rsidR="000A6905">
                      <w:t xml:space="preserve"> </w:t>
                    </w:r>
                    <w:r w:rsidRPr="00080CD6">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E82E365" wp14:editId="4E5A55EF">
              <wp:simplePos x="0" y="0"/>
              <wp:positionH relativeFrom="page">
                <wp:posOffset>1019175</wp:posOffset>
              </wp:positionH>
              <wp:positionV relativeFrom="page">
                <wp:posOffset>3343275</wp:posOffset>
              </wp:positionV>
              <wp:extent cx="4772025" cy="5143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143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C7330" w14:paraId="54AFA9CE" w14:textId="77777777">
                            <w:trPr>
                              <w:trHeight w:val="240"/>
                            </w:trPr>
                            <w:tc>
                              <w:tcPr>
                                <w:tcW w:w="1140" w:type="dxa"/>
                              </w:tcPr>
                              <w:p w14:paraId="5AC07474" w14:textId="77777777" w:rsidR="005C7330" w:rsidRDefault="00A46D50">
                                <w:r>
                                  <w:t>Datum</w:t>
                                </w:r>
                              </w:p>
                            </w:tc>
                            <w:tc>
                              <w:tcPr>
                                <w:tcW w:w="5918" w:type="dxa"/>
                              </w:tcPr>
                              <w:p w14:paraId="24406000" w14:textId="60D609AA" w:rsidR="005F0847" w:rsidRDefault="005F085F">
                                <w:r>
                                  <w:t>7 maart 2025</w:t>
                                </w:r>
                              </w:p>
                            </w:tc>
                          </w:tr>
                          <w:tr w:rsidR="005C7330" w14:paraId="4535C97B" w14:textId="77777777">
                            <w:trPr>
                              <w:trHeight w:val="240"/>
                            </w:trPr>
                            <w:tc>
                              <w:tcPr>
                                <w:tcW w:w="1140" w:type="dxa"/>
                              </w:tcPr>
                              <w:p w14:paraId="72121A73" w14:textId="77777777" w:rsidR="005C7330" w:rsidRDefault="00A46D50">
                                <w:r>
                                  <w:t>Betreft</w:t>
                                </w:r>
                              </w:p>
                            </w:tc>
                            <w:tc>
                              <w:tcPr>
                                <w:tcW w:w="5918" w:type="dxa"/>
                              </w:tcPr>
                              <w:p w14:paraId="3B8DAD15" w14:textId="0054BE1C" w:rsidR="007002FD" w:rsidRDefault="00B04F40">
                                <w:r>
                                  <w:fldChar w:fldCharType="begin"/>
                                </w:r>
                                <w:r>
                                  <w:instrText xml:space="preserve"> DOCPROPERTY  "Onderwerp"  \* MERGEFORMAT </w:instrText>
                                </w:r>
                                <w:r>
                                  <w:fldChar w:fldCharType="separate"/>
                                </w:r>
                                <w:r>
                                  <w:t>Beantwoording Kamervragen van lid Welzijn (NSC) over het bericht ‘Woningsplitsing levert nog weinig extra huizen op’</w:t>
                                </w:r>
                                <w:r>
                                  <w:fldChar w:fldCharType="end"/>
                                </w:r>
                              </w:p>
                            </w:tc>
                          </w:tr>
                        </w:tbl>
                        <w:p w14:paraId="3B7F5F22" w14:textId="77777777" w:rsidR="00F65CEC" w:rsidRDefault="00F65CE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E82E365" id="1670fa0c-13cb-45ec-92be-ef1f34d237c5" o:spid="_x0000_s1034" type="#_x0000_t202" style="position:absolute;margin-left:80.25pt;margin-top:263.25pt;width:375.75pt;height:40.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5C7330" w14:paraId="54AFA9CE" w14:textId="77777777">
                      <w:trPr>
                        <w:trHeight w:val="240"/>
                      </w:trPr>
                      <w:tc>
                        <w:tcPr>
                          <w:tcW w:w="1140" w:type="dxa"/>
                        </w:tcPr>
                        <w:p w14:paraId="5AC07474" w14:textId="77777777" w:rsidR="005C7330" w:rsidRDefault="00A46D50">
                          <w:r>
                            <w:t>Datum</w:t>
                          </w:r>
                        </w:p>
                      </w:tc>
                      <w:tc>
                        <w:tcPr>
                          <w:tcW w:w="5918" w:type="dxa"/>
                        </w:tcPr>
                        <w:p w14:paraId="24406000" w14:textId="60D609AA" w:rsidR="005F0847" w:rsidRDefault="005F085F">
                          <w:r>
                            <w:t>7 maart 2025</w:t>
                          </w:r>
                        </w:p>
                      </w:tc>
                    </w:tr>
                    <w:tr w:rsidR="005C7330" w14:paraId="4535C97B" w14:textId="77777777">
                      <w:trPr>
                        <w:trHeight w:val="240"/>
                      </w:trPr>
                      <w:tc>
                        <w:tcPr>
                          <w:tcW w:w="1140" w:type="dxa"/>
                        </w:tcPr>
                        <w:p w14:paraId="72121A73" w14:textId="77777777" w:rsidR="005C7330" w:rsidRDefault="00A46D50">
                          <w:r>
                            <w:t>Betreft</w:t>
                          </w:r>
                        </w:p>
                      </w:tc>
                      <w:tc>
                        <w:tcPr>
                          <w:tcW w:w="5918" w:type="dxa"/>
                        </w:tcPr>
                        <w:p w14:paraId="3B8DAD15" w14:textId="0054BE1C" w:rsidR="007002FD" w:rsidRDefault="00B04F40">
                          <w:r>
                            <w:fldChar w:fldCharType="begin"/>
                          </w:r>
                          <w:r>
                            <w:instrText xml:space="preserve"> DOCPROPERTY  "Onderwerp"  \* MERGEFORMAT </w:instrText>
                          </w:r>
                          <w:r>
                            <w:fldChar w:fldCharType="separate"/>
                          </w:r>
                          <w:r>
                            <w:t>Beantwoording Kamervragen van lid Welzijn (NSC) over het bericht ‘Woningsplitsing levert nog weinig extra huizen op’</w:t>
                          </w:r>
                          <w:r>
                            <w:fldChar w:fldCharType="end"/>
                          </w:r>
                        </w:p>
                      </w:tc>
                    </w:tr>
                  </w:tbl>
                  <w:p w14:paraId="3B7F5F22" w14:textId="77777777" w:rsidR="00F65CEC" w:rsidRDefault="00F65CE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A9F8D29" wp14:editId="55F747D8">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A18D64" w14:textId="77777777" w:rsidR="00080CD6" w:rsidRDefault="00080CD6" w:rsidP="00080CD6">
                          <w:pPr>
                            <w:pStyle w:val="WitregelW2"/>
                            <w:spacing w:line="276" w:lineRule="auto"/>
                            <w:rPr>
                              <w:bCs/>
                              <w:sz w:val="13"/>
                              <w:szCs w:val="13"/>
                            </w:rPr>
                          </w:pPr>
                          <w:r w:rsidRPr="00080CD6">
                            <w:rPr>
                              <w:bCs/>
                              <w:sz w:val="13"/>
                              <w:szCs w:val="13"/>
                            </w:rPr>
                            <w:t xml:space="preserve">Ministerie van Volkshuisvesting en Ruimtelijke Ordening (VRO) Turfmarkt 147 </w:t>
                          </w:r>
                        </w:p>
                        <w:p w14:paraId="28BA0EDF" w14:textId="77777777" w:rsidR="00080CD6" w:rsidRDefault="00080CD6" w:rsidP="00080CD6">
                          <w:pPr>
                            <w:pStyle w:val="WitregelW2"/>
                            <w:spacing w:line="276" w:lineRule="auto"/>
                            <w:rPr>
                              <w:bCs/>
                              <w:sz w:val="13"/>
                              <w:szCs w:val="13"/>
                            </w:rPr>
                          </w:pPr>
                          <w:r w:rsidRPr="00080CD6">
                            <w:rPr>
                              <w:bCs/>
                              <w:sz w:val="13"/>
                              <w:szCs w:val="13"/>
                            </w:rPr>
                            <w:t xml:space="preserve">2511 DP Den Haag </w:t>
                          </w:r>
                        </w:p>
                        <w:p w14:paraId="04D936D0" w14:textId="77777777" w:rsidR="00080CD6" w:rsidRDefault="00080CD6" w:rsidP="00080CD6">
                          <w:pPr>
                            <w:pStyle w:val="WitregelW2"/>
                            <w:spacing w:line="276" w:lineRule="auto"/>
                            <w:rPr>
                              <w:bCs/>
                              <w:sz w:val="13"/>
                              <w:szCs w:val="13"/>
                            </w:rPr>
                          </w:pPr>
                          <w:r w:rsidRPr="00080CD6">
                            <w:rPr>
                              <w:bCs/>
                              <w:sz w:val="13"/>
                              <w:szCs w:val="13"/>
                            </w:rPr>
                            <w:t xml:space="preserve">Postbus 20011 </w:t>
                          </w:r>
                        </w:p>
                        <w:p w14:paraId="1C188D13" w14:textId="77777777" w:rsidR="005C7330" w:rsidRDefault="00080CD6" w:rsidP="00080CD6">
                          <w:pPr>
                            <w:pStyle w:val="WitregelW2"/>
                            <w:spacing w:line="276" w:lineRule="auto"/>
                            <w:rPr>
                              <w:bCs/>
                              <w:sz w:val="13"/>
                              <w:szCs w:val="13"/>
                            </w:rPr>
                          </w:pPr>
                          <w:r w:rsidRPr="00080CD6">
                            <w:rPr>
                              <w:bCs/>
                              <w:sz w:val="13"/>
                              <w:szCs w:val="13"/>
                            </w:rPr>
                            <w:t>2500 EA Den Haag</w:t>
                          </w:r>
                        </w:p>
                        <w:p w14:paraId="74E8DEA0" w14:textId="77777777" w:rsidR="00080CD6" w:rsidRPr="00080CD6" w:rsidRDefault="00080CD6" w:rsidP="00080CD6"/>
                        <w:p w14:paraId="24B1A054" w14:textId="77777777" w:rsidR="005C7330" w:rsidRDefault="00A46D50">
                          <w:pPr>
                            <w:pStyle w:val="Referentiegegevensbold"/>
                          </w:pPr>
                          <w:r>
                            <w:t>Onze referentie</w:t>
                          </w:r>
                        </w:p>
                        <w:p w14:paraId="4D608843" w14:textId="097D354E" w:rsidR="007002FD" w:rsidRDefault="00B04F40">
                          <w:pPr>
                            <w:pStyle w:val="Referentiegegevens"/>
                          </w:pPr>
                          <w:r>
                            <w:fldChar w:fldCharType="begin"/>
                          </w:r>
                          <w:r>
                            <w:instrText xml:space="preserve"> DOCPROPERTY  "Kenmerk"  \* MERGEFORMAT </w:instrText>
                          </w:r>
                          <w:r>
                            <w:fldChar w:fldCharType="separate"/>
                          </w:r>
                          <w:r>
                            <w:t>2025-0000195553</w:t>
                          </w:r>
                          <w:r>
                            <w:fldChar w:fldCharType="end"/>
                          </w:r>
                        </w:p>
                        <w:p w14:paraId="0B5852B3" w14:textId="77777777" w:rsidR="005C7330" w:rsidRDefault="005C7330">
                          <w:pPr>
                            <w:pStyle w:val="WitregelW1"/>
                          </w:pPr>
                        </w:p>
                        <w:p w14:paraId="56696721" w14:textId="77777777" w:rsidR="005C7330" w:rsidRDefault="00A46D50">
                          <w:pPr>
                            <w:pStyle w:val="Referentiegegevensbold"/>
                          </w:pPr>
                          <w:r>
                            <w:t>Uw referentie</w:t>
                          </w:r>
                        </w:p>
                        <w:p w14:paraId="24A64F7B" w14:textId="02517868" w:rsidR="003A3535" w:rsidRDefault="00B04F4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A9F8D29"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38A18D64" w14:textId="77777777" w:rsidR="00080CD6" w:rsidRDefault="00080CD6" w:rsidP="00080CD6">
                    <w:pPr>
                      <w:pStyle w:val="WitregelW2"/>
                      <w:spacing w:line="276" w:lineRule="auto"/>
                      <w:rPr>
                        <w:bCs/>
                        <w:sz w:val="13"/>
                        <w:szCs w:val="13"/>
                      </w:rPr>
                    </w:pPr>
                    <w:r w:rsidRPr="00080CD6">
                      <w:rPr>
                        <w:bCs/>
                        <w:sz w:val="13"/>
                        <w:szCs w:val="13"/>
                      </w:rPr>
                      <w:t xml:space="preserve">Ministerie van Volkshuisvesting en Ruimtelijke Ordening (VRO) Turfmarkt 147 </w:t>
                    </w:r>
                  </w:p>
                  <w:p w14:paraId="28BA0EDF" w14:textId="77777777" w:rsidR="00080CD6" w:rsidRDefault="00080CD6" w:rsidP="00080CD6">
                    <w:pPr>
                      <w:pStyle w:val="WitregelW2"/>
                      <w:spacing w:line="276" w:lineRule="auto"/>
                      <w:rPr>
                        <w:bCs/>
                        <w:sz w:val="13"/>
                        <w:szCs w:val="13"/>
                      </w:rPr>
                    </w:pPr>
                    <w:r w:rsidRPr="00080CD6">
                      <w:rPr>
                        <w:bCs/>
                        <w:sz w:val="13"/>
                        <w:szCs w:val="13"/>
                      </w:rPr>
                      <w:t xml:space="preserve">2511 DP Den Haag </w:t>
                    </w:r>
                  </w:p>
                  <w:p w14:paraId="04D936D0" w14:textId="77777777" w:rsidR="00080CD6" w:rsidRDefault="00080CD6" w:rsidP="00080CD6">
                    <w:pPr>
                      <w:pStyle w:val="WitregelW2"/>
                      <w:spacing w:line="276" w:lineRule="auto"/>
                      <w:rPr>
                        <w:bCs/>
                        <w:sz w:val="13"/>
                        <w:szCs w:val="13"/>
                      </w:rPr>
                    </w:pPr>
                    <w:r w:rsidRPr="00080CD6">
                      <w:rPr>
                        <w:bCs/>
                        <w:sz w:val="13"/>
                        <w:szCs w:val="13"/>
                      </w:rPr>
                      <w:t xml:space="preserve">Postbus 20011 </w:t>
                    </w:r>
                  </w:p>
                  <w:p w14:paraId="1C188D13" w14:textId="77777777" w:rsidR="005C7330" w:rsidRDefault="00080CD6" w:rsidP="00080CD6">
                    <w:pPr>
                      <w:pStyle w:val="WitregelW2"/>
                      <w:spacing w:line="276" w:lineRule="auto"/>
                      <w:rPr>
                        <w:bCs/>
                        <w:sz w:val="13"/>
                        <w:szCs w:val="13"/>
                      </w:rPr>
                    </w:pPr>
                    <w:r w:rsidRPr="00080CD6">
                      <w:rPr>
                        <w:bCs/>
                        <w:sz w:val="13"/>
                        <w:szCs w:val="13"/>
                      </w:rPr>
                      <w:t>2500 EA Den Haag</w:t>
                    </w:r>
                  </w:p>
                  <w:p w14:paraId="74E8DEA0" w14:textId="77777777" w:rsidR="00080CD6" w:rsidRPr="00080CD6" w:rsidRDefault="00080CD6" w:rsidP="00080CD6"/>
                  <w:p w14:paraId="24B1A054" w14:textId="77777777" w:rsidR="005C7330" w:rsidRDefault="00A46D50">
                    <w:pPr>
                      <w:pStyle w:val="Referentiegegevensbold"/>
                    </w:pPr>
                    <w:r>
                      <w:t>Onze referentie</w:t>
                    </w:r>
                  </w:p>
                  <w:p w14:paraId="4D608843" w14:textId="097D354E" w:rsidR="007002FD" w:rsidRDefault="00B04F40">
                    <w:pPr>
                      <w:pStyle w:val="Referentiegegevens"/>
                    </w:pPr>
                    <w:r>
                      <w:fldChar w:fldCharType="begin"/>
                    </w:r>
                    <w:r>
                      <w:instrText xml:space="preserve"> DOCPROPERTY  "Kenmerk"  \* MERGEFORMAT </w:instrText>
                    </w:r>
                    <w:r>
                      <w:fldChar w:fldCharType="separate"/>
                    </w:r>
                    <w:r>
                      <w:t>2025-0000195553</w:t>
                    </w:r>
                    <w:r>
                      <w:fldChar w:fldCharType="end"/>
                    </w:r>
                  </w:p>
                  <w:p w14:paraId="0B5852B3" w14:textId="77777777" w:rsidR="005C7330" w:rsidRDefault="005C7330">
                    <w:pPr>
                      <w:pStyle w:val="WitregelW1"/>
                    </w:pPr>
                  </w:p>
                  <w:p w14:paraId="56696721" w14:textId="77777777" w:rsidR="005C7330" w:rsidRDefault="00A46D50">
                    <w:pPr>
                      <w:pStyle w:val="Referentiegegevensbold"/>
                    </w:pPr>
                    <w:r>
                      <w:t>Uw referentie</w:t>
                    </w:r>
                  </w:p>
                  <w:p w14:paraId="24A64F7B" w14:textId="02517868" w:rsidR="003A3535" w:rsidRDefault="00B04F4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A8BFD51" wp14:editId="3781C9B8">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7A335C" w14:textId="77777777" w:rsidR="003A3535" w:rsidRDefault="00B04F4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A8BFD51"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77A335C" w14:textId="77777777" w:rsidR="003A3535" w:rsidRDefault="00B04F4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92461A7" wp14:editId="53C2F3EC">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4B262E" w14:textId="77777777" w:rsidR="00F65CEC" w:rsidRDefault="00F65CEC"/>
                      </w:txbxContent>
                    </wps:txbx>
                    <wps:bodyPr vert="horz" wrap="square" lIns="0" tIns="0" rIns="0" bIns="0" anchor="t" anchorCtr="0"/>
                  </wps:wsp>
                </a:graphicData>
              </a:graphic>
            </wp:anchor>
          </w:drawing>
        </mc:Choice>
        <mc:Fallback>
          <w:pict>
            <v:shape w14:anchorId="092461A7"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154B262E" w14:textId="77777777" w:rsidR="00F65CEC" w:rsidRDefault="00F65CE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EDC46"/>
    <w:multiLevelType w:val="multilevel"/>
    <w:tmpl w:val="A1752AB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37DC0BDA"/>
    <w:multiLevelType w:val="multilevel"/>
    <w:tmpl w:val="25DE6DA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51FD0F8A"/>
    <w:multiLevelType w:val="hybridMultilevel"/>
    <w:tmpl w:val="323811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EA5EABB"/>
    <w:multiLevelType w:val="multilevel"/>
    <w:tmpl w:val="53E9881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66A8F72"/>
    <w:multiLevelType w:val="multilevel"/>
    <w:tmpl w:val="A8A9AEB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1D443A9"/>
    <w:multiLevelType w:val="multilevel"/>
    <w:tmpl w:val="4AE2DA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92110619">
    <w:abstractNumId w:val="0"/>
  </w:num>
  <w:num w:numId="2" w16cid:durableId="1887179559">
    <w:abstractNumId w:val="1"/>
  </w:num>
  <w:num w:numId="3" w16cid:durableId="1544516421">
    <w:abstractNumId w:val="4"/>
  </w:num>
  <w:num w:numId="4" w16cid:durableId="941575080">
    <w:abstractNumId w:val="3"/>
  </w:num>
  <w:num w:numId="5" w16cid:durableId="16736901">
    <w:abstractNumId w:val="5"/>
  </w:num>
  <w:num w:numId="6" w16cid:durableId="1171724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D6"/>
    <w:rsid w:val="00023732"/>
    <w:rsid w:val="00080CD6"/>
    <w:rsid w:val="000A6905"/>
    <w:rsid w:val="00134D07"/>
    <w:rsid w:val="00146E4D"/>
    <w:rsid w:val="001C3BD9"/>
    <w:rsid w:val="001E3AE6"/>
    <w:rsid w:val="0024704A"/>
    <w:rsid w:val="002809C5"/>
    <w:rsid w:val="00347A3D"/>
    <w:rsid w:val="00367C2F"/>
    <w:rsid w:val="003A3535"/>
    <w:rsid w:val="003A675F"/>
    <w:rsid w:val="003B49E8"/>
    <w:rsid w:val="004A5F31"/>
    <w:rsid w:val="005069DC"/>
    <w:rsid w:val="005C7330"/>
    <w:rsid w:val="005F0847"/>
    <w:rsid w:val="005F085F"/>
    <w:rsid w:val="006B5CED"/>
    <w:rsid w:val="006C166C"/>
    <w:rsid w:val="007002FD"/>
    <w:rsid w:val="007437F1"/>
    <w:rsid w:val="00796A1C"/>
    <w:rsid w:val="007F759E"/>
    <w:rsid w:val="00827F4B"/>
    <w:rsid w:val="0089493F"/>
    <w:rsid w:val="008A496D"/>
    <w:rsid w:val="008D0F0B"/>
    <w:rsid w:val="00920A46"/>
    <w:rsid w:val="00981AE1"/>
    <w:rsid w:val="00A46D50"/>
    <w:rsid w:val="00A52E02"/>
    <w:rsid w:val="00A97858"/>
    <w:rsid w:val="00AD78F4"/>
    <w:rsid w:val="00B02205"/>
    <w:rsid w:val="00B04F40"/>
    <w:rsid w:val="00C55A4C"/>
    <w:rsid w:val="00C63282"/>
    <w:rsid w:val="00D807FE"/>
    <w:rsid w:val="00DD605F"/>
    <w:rsid w:val="00E10136"/>
    <w:rsid w:val="00E4215C"/>
    <w:rsid w:val="00F6574E"/>
    <w:rsid w:val="00F65C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266EF"/>
  <w15:docId w15:val="{B26B67DD-227E-46CA-A61F-7527A3BF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80CD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80CD6"/>
    <w:rPr>
      <w:rFonts w:ascii="Verdana" w:hAnsi="Verdana"/>
      <w:color w:val="000000"/>
      <w:sz w:val="18"/>
      <w:szCs w:val="18"/>
    </w:rPr>
  </w:style>
  <w:style w:type="paragraph" w:styleId="Voettekst">
    <w:name w:val="footer"/>
    <w:basedOn w:val="Standaard"/>
    <w:link w:val="VoettekstChar"/>
    <w:uiPriority w:val="99"/>
    <w:unhideWhenUsed/>
    <w:rsid w:val="00080CD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80CD6"/>
    <w:rPr>
      <w:rFonts w:ascii="Verdana" w:hAnsi="Verdana"/>
      <w:color w:val="000000"/>
      <w:sz w:val="18"/>
      <w:szCs w:val="18"/>
    </w:rPr>
  </w:style>
  <w:style w:type="paragraph" w:styleId="Lijstalinea">
    <w:name w:val="List Paragraph"/>
    <w:basedOn w:val="Standaard"/>
    <w:uiPriority w:val="34"/>
    <w:semiHidden/>
    <w:rsid w:val="00080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1778</ap:Words>
  <ap:Characters>9779</ap:Characters>
  <ap:DocSecurity>0</ap:DocSecurity>
  <ap:Lines>81</ap:Lines>
  <ap:Paragraphs>23</ap:Paragraphs>
  <ap:ScaleCrop>false</ap:ScaleCrop>
  <ap:LinksUpToDate>false</ap:LinksUpToDate>
  <ap:CharactersWithSpaces>11534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2025-03-05T11:05:00.0000000Z</dcterms:created>
  <dcterms:modified xsi:type="dcterms:W3CDTF">2025-03-07T09:51:00.0000000Z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van lid Welzijn (NSC) over het bericht ‘Woningsplitsing levert nog weinig extra huizen op’</vt:lpwstr>
  </property>
  <property fmtid="{D5CDD505-2E9C-101B-9397-08002B2CF9AE}" pid="5" name="Publicatiedatum">
    <vt:lpwstr/>
  </property>
  <property fmtid="{D5CDD505-2E9C-101B-9397-08002B2CF9AE}" pid="6" name="Verantwoordelijke organisatie">
    <vt:lpwstr>DGVB-WB-Woningbouwbeleid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februari 2025</vt:lpwstr>
  </property>
  <property fmtid="{D5CDD505-2E9C-101B-9397-08002B2CF9AE}" pid="13" name="Opgesteld door, Naam">
    <vt:lpwstr>Mariam Shaaban</vt:lpwstr>
  </property>
  <property fmtid="{D5CDD505-2E9C-101B-9397-08002B2CF9AE}" pid="14" name="Opgesteld door, Telefoonnummer">
    <vt:lpwstr/>
  </property>
  <property fmtid="{D5CDD505-2E9C-101B-9397-08002B2CF9AE}" pid="15" name="Kenmerk">
    <vt:lpwstr>2025-0000195553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van lid Welzijn (NSC) over het bericht ‘Woningsplitsing levert nog weinig extra huizen op’</vt:lpwstr>
  </property>
  <property fmtid="{D5CDD505-2E9C-101B-9397-08002B2CF9AE}" pid="30" name="UwKenmerk">
    <vt:lpwstr/>
  </property>
</Properties>
</file>