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D6A" w:rsidP="007B7FC3" w:rsidRDefault="00445D6A" w14:paraId="05626655" w14:textId="77777777"/>
    <w:p w:rsidR="006247BE" w:rsidP="007B7FC3" w:rsidRDefault="00B76F15" w14:paraId="28501B49" w14:textId="7A21FFE1">
      <w:r>
        <w:t>Geachte Voorzitter,</w:t>
      </w:r>
    </w:p>
    <w:p w:rsidR="002E29AD" w:rsidP="007B7FC3" w:rsidRDefault="002E29AD" w14:paraId="1C5ABAD2" w14:textId="77777777"/>
    <w:p w:rsidR="009725C4" w:rsidP="007B7FC3" w:rsidRDefault="00B76F15" w14:paraId="601A5DEA" w14:textId="3D0859D8">
      <w:r>
        <w:t>Met deze brief informeer ik uw Kamer over de voor</w:t>
      </w:r>
      <w:r w:rsidR="00AC183A">
        <w:t>t</w:t>
      </w:r>
      <w:r>
        <w:t xml:space="preserve">gang van diverse onderwerpen met betrekking tot het mestbeleid. Het betreft een aantal onderwerpen </w:t>
      </w:r>
      <w:r w:rsidR="002E29AD">
        <w:t>van de aanpak mestmarkt waarover ik u op</w:t>
      </w:r>
      <w:r w:rsidR="00AC0356">
        <w:t xml:space="preserve"> 13 september 2024</w:t>
      </w:r>
      <w:r w:rsidR="002E29AD">
        <w:t xml:space="preserve"> heb geïnformeerd</w:t>
      </w:r>
      <w:r w:rsidR="002E29AD">
        <w:rPr>
          <w:rStyle w:val="Voetnootmarkering"/>
        </w:rPr>
        <w:footnoteReference w:id="1"/>
      </w:r>
      <w:r w:rsidR="002E29AD">
        <w:t>,</w:t>
      </w:r>
      <w:r w:rsidR="007B7FC3">
        <w:t xml:space="preserve"> </w:t>
      </w:r>
      <w:r>
        <w:t>namelijk</w:t>
      </w:r>
      <w:bookmarkStart w:name="_Hlk191395359" w:id="0"/>
      <w:r>
        <w:t xml:space="preserve"> </w:t>
      </w:r>
      <w:r w:rsidR="002E29AD">
        <w:t xml:space="preserve">het </w:t>
      </w:r>
      <w:r w:rsidR="00AC0356">
        <w:t>vergroten</w:t>
      </w:r>
      <w:r w:rsidR="002E29AD">
        <w:t xml:space="preserve"> van de</w:t>
      </w:r>
      <w:r w:rsidR="00AC0356">
        <w:t xml:space="preserve"> </w:t>
      </w:r>
      <w:r>
        <w:t>export</w:t>
      </w:r>
      <w:r w:rsidR="00AC0356">
        <w:t>mogelijkheden</w:t>
      </w:r>
      <w:r>
        <w:t>, het voerspoor</w:t>
      </w:r>
      <w:r w:rsidR="008D7AA7">
        <w:t>,</w:t>
      </w:r>
      <w:r>
        <w:t xml:space="preserve"> het onderzoek naar de transparantie van de mestmarkt</w:t>
      </w:r>
      <w:r w:rsidR="008D7AA7">
        <w:t>, het protocol gas</w:t>
      </w:r>
      <w:r w:rsidR="00CD417C">
        <w:t>vormige verliezen stikstof</w:t>
      </w:r>
      <w:r w:rsidR="00D56D05">
        <w:t>,</w:t>
      </w:r>
      <w:r w:rsidR="008D7AA7">
        <w:t xml:space="preserve"> het verwerken van dierlijke mest in potgrond</w:t>
      </w:r>
      <w:bookmarkEnd w:id="0"/>
      <w:r w:rsidR="00D56D05">
        <w:t>, RENURE</w:t>
      </w:r>
      <w:r w:rsidR="002D7509">
        <w:t xml:space="preserve"> en</w:t>
      </w:r>
      <w:r w:rsidRPr="002D7509" w:rsidR="002D7509">
        <w:t xml:space="preserve"> </w:t>
      </w:r>
      <w:r w:rsidR="002D7509">
        <w:t>het zogeheten weegmoment met betrekking tot de wetswijziging in verband met de verlaging van de mestproductieplafonds</w:t>
      </w:r>
      <w:r>
        <w:t xml:space="preserve">. </w:t>
      </w:r>
      <w:r w:rsidR="00D47A93">
        <w:t xml:space="preserve">Daarnaast </w:t>
      </w:r>
      <w:r w:rsidR="00CD417C">
        <w:t xml:space="preserve">informeer ik u over </w:t>
      </w:r>
      <w:r w:rsidR="00AC0356">
        <w:t>de voortgang op</w:t>
      </w:r>
      <w:r w:rsidR="009C325A">
        <w:t xml:space="preserve"> </w:t>
      </w:r>
      <w:r w:rsidR="00D575B7">
        <w:t xml:space="preserve">de internetconsultatie </w:t>
      </w:r>
      <w:r w:rsidR="00CD417C">
        <w:t xml:space="preserve">voor de vrijstellingsregeling </w:t>
      </w:r>
      <w:r w:rsidR="00D575B7">
        <w:t xml:space="preserve">bovengronds aanwenden van </w:t>
      </w:r>
      <w:proofErr w:type="spellStart"/>
      <w:r w:rsidR="00D575B7">
        <w:t>runderdrijfmest</w:t>
      </w:r>
      <w:proofErr w:type="spellEnd"/>
      <w:r w:rsidR="002448BA">
        <w:t>, een rapport over</w:t>
      </w:r>
      <w:bookmarkStart w:name="_Hlk191395443" w:id="1"/>
      <w:r w:rsidR="00D575B7">
        <w:t xml:space="preserve"> de toekomst van het Landelijk Meetnet effecten Mestbeleid</w:t>
      </w:r>
      <w:r w:rsidR="009C325A">
        <w:t xml:space="preserve"> (LMM)</w:t>
      </w:r>
      <w:bookmarkEnd w:id="1"/>
      <w:r w:rsidR="002448BA">
        <w:t xml:space="preserve"> en de motie van het lid Nijhof-Leeuw inzake het gebruik van dierlijke mest in de tuinbouw- en akkerbouwsectoren</w:t>
      </w:r>
      <w:r w:rsidR="0025592C">
        <w:rPr>
          <w:rStyle w:val="Voetnootmarkering"/>
        </w:rPr>
        <w:footnoteReference w:id="2"/>
      </w:r>
      <w:r w:rsidR="002448BA">
        <w:t xml:space="preserve">. </w:t>
      </w:r>
    </w:p>
    <w:p w:rsidR="009725C4" w:rsidP="007B7FC3" w:rsidRDefault="009725C4" w14:paraId="41A50418" w14:textId="77777777"/>
    <w:p w:rsidRPr="00C62883" w:rsidR="00C62883" w:rsidP="007B7FC3" w:rsidRDefault="00C62883" w14:paraId="69BFA766" w14:textId="57F68890">
      <w:pPr>
        <w:rPr>
          <w:b/>
          <w:bCs/>
        </w:rPr>
      </w:pPr>
      <w:r w:rsidRPr="00C62883">
        <w:rPr>
          <w:b/>
          <w:bCs/>
        </w:rPr>
        <w:t>Voortgang aanpak mestmarkt</w:t>
      </w:r>
    </w:p>
    <w:p w:rsidR="0025592C" w:rsidP="007B7FC3" w:rsidRDefault="0025592C" w14:paraId="7D2F190F" w14:textId="77777777">
      <w:pPr>
        <w:rPr>
          <w:i/>
          <w:iCs/>
        </w:rPr>
      </w:pPr>
    </w:p>
    <w:p w:rsidR="00BC0CF8" w:rsidP="007B7FC3" w:rsidRDefault="00BC0CF8" w14:paraId="6F363623" w14:textId="7A647969">
      <w:pPr>
        <w:rPr>
          <w:i/>
          <w:iCs/>
        </w:rPr>
      </w:pPr>
      <w:r>
        <w:rPr>
          <w:i/>
          <w:iCs/>
        </w:rPr>
        <w:t>Vergroten exportmogelijkheden</w:t>
      </w:r>
      <w:r w:rsidR="00792BDD">
        <w:rPr>
          <w:i/>
          <w:iCs/>
        </w:rPr>
        <w:t xml:space="preserve"> dierlijke mest</w:t>
      </w:r>
      <w:r w:rsidR="007B7FC3">
        <w:rPr>
          <w:i/>
          <w:iCs/>
        </w:rPr>
        <w:t xml:space="preserve"> </w:t>
      </w:r>
    </w:p>
    <w:p w:rsidR="00792BDD" w:rsidP="007B7FC3" w:rsidRDefault="00792BDD" w14:paraId="32767DA3" w14:textId="1D1E1957">
      <w:pPr>
        <w:rPr>
          <w:bCs/>
          <w:szCs w:val="18"/>
        </w:rPr>
      </w:pPr>
      <w:r>
        <w:rPr>
          <w:szCs w:val="18"/>
        </w:rPr>
        <w:t>E</w:t>
      </w:r>
      <w:r w:rsidRPr="00D96024" w:rsidR="00BC0CF8">
        <w:rPr>
          <w:szCs w:val="18"/>
        </w:rPr>
        <w:t xml:space="preserve">xportbevordering </w:t>
      </w:r>
      <w:r>
        <w:rPr>
          <w:szCs w:val="18"/>
        </w:rPr>
        <w:t>is éé</w:t>
      </w:r>
      <w:r w:rsidRPr="00D96024" w:rsidR="00BC0CF8">
        <w:rPr>
          <w:szCs w:val="18"/>
        </w:rPr>
        <w:t xml:space="preserve">n van maatregelen </w:t>
      </w:r>
      <w:r>
        <w:rPr>
          <w:szCs w:val="18"/>
        </w:rPr>
        <w:t xml:space="preserve">van de </w:t>
      </w:r>
      <w:r w:rsidR="00B86CA9">
        <w:rPr>
          <w:szCs w:val="18"/>
        </w:rPr>
        <w:t>a</w:t>
      </w:r>
      <w:r>
        <w:rPr>
          <w:szCs w:val="18"/>
        </w:rPr>
        <w:t xml:space="preserve">anpak mestmarkt </w:t>
      </w:r>
      <w:r w:rsidRPr="00D96024" w:rsidR="00BC0CF8">
        <w:rPr>
          <w:szCs w:val="18"/>
        </w:rPr>
        <w:t>waar ik op inzet. Hiervoor neem ik een aantal concrete acties.</w:t>
      </w:r>
      <w:r w:rsidR="00BC0CF8">
        <w:rPr>
          <w:szCs w:val="18"/>
        </w:rPr>
        <w:t xml:space="preserve"> Zo ben ik bezig</w:t>
      </w:r>
      <w:bookmarkStart w:name="_Hlk190933869" w:id="2"/>
      <w:r w:rsidRPr="00D96024" w:rsidR="00BC0CF8">
        <w:rPr>
          <w:szCs w:val="18"/>
        </w:rPr>
        <w:t xml:space="preserve"> de vraag in het buitenland naar (Nederlandse) mestproducten in kaart te</w:t>
      </w:r>
      <w:r w:rsidR="00BC0CF8">
        <w:rPr>
          <w:szCs w:val="18"/>
        </w:rPr>
        <w:t xml:space="preserve"> laten</w:t>
      </w:r>
      <w:r w:rsidRPr="00D96024" w:rsidR="00BC0CF8">
        <w:rPr>
          <w:szCs w:val="18"/>
        </w:rPr>
        <w:t xml:space="preserve"> brengen</w:t>
      </w:r>
      <w:bookmarkEnd w:id="2"/>
      <w:r w:rsidR="00BC0CF8">
        <w:rPr>
          <w:szCs w:val="18"/>
        </w:rPr>
        <w:t xml:space="preserve">. </w:t>
      </w:r>
      <w:r w:rsidRPr="00D96024" w:rsidR="00BC0CF8">
        <w:rPr>
          <w:szCs w:val="18"/>
        </w:rPr>
        <w:t>De resultaten van d</w:t>
      </w:r>
      <w:r w:rsidR="00BC0CF8">
        <w:rPr>
          <w:szCs w:val="18"/>
        </w:rPr>
        <w:t xml:space="preserve">eze verkenning worden toegelicht </w:t>
      </w:r>
      <w:r w:rsidRPr="00D96024" w:rsidR="00BC0CF8">
        <w:rPr>
          <w:szCs w:val="18"/>
        </w:rPr>
        <w:t xml:space="preserve">tijdens het symposium dat het ministerie </w:t>
      </w:r>
      <w:r>
        <w:rPr>
          <w:szCs w:val="18"/>
        </w:rPr>
        <w:t xml:space="preserve">op 20 maart aanstaande </w:t>
      </w:r>
      <w:r w:rsidRPr="00D96024" w:rsidR="00BC0CF8">
        <w:rPr>
          <w:szCs w:val="18"/>
        </w:rPr>
        <w:t xml:space="preserve">organiseert in samenwerking met het Nederlands Centrum voor Mestverwerking (NCM) en </w:t>
      </w:r>
      <w:proofErr w:type="spellStart"/>
      <w:r w:rsidRPr="00D96024" w:rsidR="00BC0CF8">
        <w:rPr>
          <w:szCs w:val="18"/>
        </w:rPr>
        <w:t>Cumela</w:t>
      </w:r>
      <w:proofErr w:type="spellEnd"/>
      <w:r w:rsidRPr="00D96024" w:rsidR="00BC0CF8">
        <w:rPr>
          <w:szCs w:val="18"/>
        </w:rPr>
        <w:t xml:space="preserve">. </w:t>
      </w:r>
      <w:r>
        <w:rPr>
          <w:szCs w:val="18"/>
        </w:rPr>
        <w:t xml:space="preserve">Tijdens dit </w:t>
      </w:r>
      <w:r w:rsidRPr="00AC7DF3" w:rsidR="00BC0CF8">
        <w:rPr>
          <w:bCs/>
          <w:szCs w:val="18"/>
        </w:rPr>
        <w:t>symposium wordt informatie verschaft over kansrijke regio’s waar behoefte is aan nutriënten/meststoffen en welke regelgeving van toepassing is.</w:t>
      </w:r>
      <w:r w:rsidR="00BC0CF8">
        <w:rPr>
          <w:bCs/>
          <w:szCs w:val="18"/>
        </w:rPr>
        <w:t xml:space="preserve"> </w:t>
      </w:r>
    </w:p>
    <w:p w:rsidR="00E75201" w:rsidP="007B7FC3" w:rsidRDefault="00BC0CF8" w14:paraId="0F618484" w14:textId="77777777">
      <w:pPr>
        <w:rPr>
          <w:szCs w:val="18"/>
        </w:rPr>
      </w:pPr>
      <w:r>
        <w:rPr>
          <w:bCs/>
          <w:szCs w:val="18"/>
        </w:rPr>
        <w:t xml:space="preserve">Op het </w:t>
      </w:r>
      <w:r w:rsidRPr="00D96024">
        <w:rPr>
          <w:szCs w:val="18"/>
        </w:rPr>
        <w:t xml:space="preserve">symposium </w:t>
      </w:r>
      <w:r>
        <w:rPr>
          <w:szCs w:val="18"/>
        </w:rPr>
        <w:t xml:space="preserve">zal </w:t>
      </w:r>
      <w:r w:rsidRPr="00D96024">
        <w:rPr>
          <w:szCs w:val="18"/>
        </w:rPr>
        <w:t xml:space="preserve">ook het </w:t>
      </w:r>
      <w:r>
        <w:rPr>
          <w:szCs w:val="18"/>
        </w:rPr>
        <w:t>LVVN Attaché N</w:t>
      </w:r>
      <w:r w:rsidRPr="00D96024">
        <w:rPr>
          <w:szCs w:val="18"/>
        </w:rPr>
        <w:t xml:space="preserve">etwerk </w:t>
      </w:r>
      <w:r>
        <w:rPr>
          <w:szCs w:val="18"/>
        </w:rPr>
        <w:t xml:space="preserve">uit </w:t>
      </w:r>
      <w:r w:rsidRPr="00D96024">
        <w:rPr>
          <w:szCs w:val="18"/>
        </w:rPr>
        <w:t>de meest kansrijke afzetmarkten aanwezig</w:t>
      </w:r>
      <w:r>
        <w:rPr>
          <w:szCs w:val="18"/>
        </w:rPr>
        <w:t xml:space="preserve"> zijn</w:t>
      </w:r>
      <w:r w:rsidRPr="00D96024">
        <w:rPr>
          <w:szCs w:val="18"/>
        </w:rPr>
        <w:t>. Zij zijn bezig met het voorbereiden van een aantal exportmissies voor geïnteresseerde bedrijven</w:t>
      </w:r>
      <w:r w:rsidR="00792BDD">
        <w:rPr>
          <w:szCs w:val="18"/>
        </w:rPr>
        <w:t xml:space="preserve">. Op het </w:t>
      </w:r>
      <w:r w:rsidRPr="00D96024">
        <w:rPr>
          <w:szCs w:val="18"/>
        </w:rPr>
        <w:t xml:space="preserve">symposium </w:t>
      </w:r>
      <w:r w:rsidR="00792BDD">
        <w:rPr>
          <w:szCs w:val="18"/>
        </w:rPr>
        <w:t xml:space="preserve">zal dit </w:t>
      </w:r>
      <w:r w:rsidRPr="00D96024">
        <w:rPr>
          <w:szCs w:val="18"/>
        </w:rPr>
        <w:t xml:space="preserve">onder de aandacht </w:t>
      </w:r>
      <w:r w:rsidR="00792BDD">
        <w:rPr>
          <w:szCs w:val="18"/>
        </w:rPr>
        <w:t xml:space="preserve">worden </w:t>
      </w:r>
      <w:r w:rsidRPr="00D96024">
        <w:rPr>
          <w:szCs w:val="18"/>
        </w:rPr>
        <w:t>gebracht</w:t>
      </w:r>
      <w:r w:rsidR="00792BDD">
        <w:rPr>
          <w:szCs w:val="18"/>
        </w:rPr>
        <w:t>.</w:t>
      </w:r>
      <w:r w:rsidRPr="00D96024">
        <w:rPr>
          <w:szCs w:val="18"/>
        </w:rPr>
        <w:t xml:space="preserve"> </w:t>
      </w:r>
    </w:p>
    <w:p w:rsidR="00E75201" w:rsidP="007B7FC3" w:rsidRDefault="00E75201" w14:paraId="3D733E7C" w14:textId="77777777">
      <w:pPr>
        <w:rPr>
          <w:szCs w:val="18"/>
        </w:rPr>
      </w:pPr>
    </w:p>
    <w:p w:rsidR="00C23C2D" w:rsidP="007B7FC3" w:rsidRDefault="00BC0CF8" w14:paraId="6BEC7C90" w14:textId="59DE37E4">
      <w:pPr>
        <w:rPr>
          <w:szCs w:val="18"/>
        </w:rPr>
      </w:pPr>
      <w:bookmarkStart w:name="_Hlk192164476" w:id="3"/>
      <w:r>
        <w:rPr>
          <w:szCs w:val="18"/>
        </w:rPr>
        <w:lastRenderedPageBreak/>
        <w:t xml:space="preserve">In </w:t>
      </w:r>
      <w:r w:rsidR="00792BDD">
        <w:rPr>
          <w:szCs w:val="18"/>
        </w:rPr>
        <w:t xml:space="preserve">uw </w:t>
      </w:r>
      <w:r>
        <w:rPr>
          <w:szCs w:val="18"/>
        </w:rPr>
        <w:t>commissiebrief</w:t>
      </w:r>
      <w:r w:rsidR="00EE595B">
        <w:rPr>
          <w:szCs w:val="18"/>
        </w:rPr>
        <w:t xml:space="preserve"> van 5 februari jl.</w:t>
      </w:r>
      <w:r w:rsidR="00EE595B">
        <w:rPr>
          <w:rStyle w:val="Voetnootmarkering"/>
          <w:szCs w:val="18"/>
        </w:rPr>
        <w:footnoteReference w:id="3"/>
      </w:r>
      <w:r>
        <w:rPr>
          <w:szCs w:val="18"/>
        </w:rPr>
        <w:t xml:space="preserve"> verzo</w:t>
      </w:r>
      <w:r w:rsidR="00792BDD">
        <w:rPr>
          <w:szCs w:val="18"/>
        </w:rPr>
        <w:t xml:space="preserve">ekt </w:t>
      </w:r>
      <w:r>
        <w:rPr>
          <w:szCs w:val="18"/>
        </w:rPr>
        <w:t xml:space="preserve">u mij een update te geven rondom de inzet van de dierlijke meststoffen gezant. </w:t>
      </w:r>
      <w:bookmarkStart w:name="_Hlk192164451" w:id="4"/>
      <w:bookmarkEnd w:id="3"/>
      <w:r w:rsidR="00E75201">
        <w:rPr>
          <w:szCs w:val="18"/>
        </w:rPr>
        <w:t xml:space="preserve">Recentelijk heeft </w:t>
      </w:r>
      <w:r w:rsidR="0038259E">
        <w:rPr>
          <w:szCs w:val="18"/>
        </w:rPr>
        <w:t xml:space="preserve">de </w:t>
      </w:r>
      <w:r w:rsidR="00E75201">
        <w:rPr>
          <w:szCs w:val="18"/>
        </w:rPr>
        <w:t>verkenner mestverwerking zijn advies uitgebracht</w:t>
      </w:r>
      <w:r w:rsidR="00C23C2D">
        <w:rPr>
          <w:szCs w:val="18"/>
        </w:rPr>
        <w:t xml:space="preserve">. </w:t>
      </w:r>
      <w:r w:rsidRPr="00E75201" w:rsidR="00E75201">
        <w:rPr>
          <w:szCs w:val="18"/>
        </w:rPr>
        <w:t xml:space="preserve">De inzichten en aanbevelingen in </w:t>
      </w:r>
      <w:r w:rsidR="00E75201">
        <w:rPr>
          <w:szCs w:val="18"/>
        </w:rPr>
        <w:t xml:space="preserve">dit </w:t>
      </w:r>
      <w:r w:rsidRPr="00E75201" w:rsidR="00E75201">
        <w:rPr>
          <w:szCs w:val="18"/>
        </w:rPr>
        <w:t>advies vormen een belangrijke basis voor de verdere acties met betrekking tot het spoor mestverwerking en</w:t>
      </w:r>
      <w:r w:rsidR="00C23C2D">
        <w:rPr>
          <w:szCs w:val="18"/>
        </w:rPr>
        <w:t xml:space="preserve"> export. Over het vervolg van het spoor exportbevordering</w:t>
      </w:r>
      <w:r w:rsidR="00AB03FD">
        <w:rPr>
          <w:szCs w:val="18"/>
        </w:rPr>
        <w:t xml:space="preserve"> en de dierlijke meststoffen gezant zal ik uw Kamer op korte termijn nader informeren.</w:t>
      </w:r>
    </w:p>
    <w:bookmarkEnd w:id="4"/>
    <w:p w:rsidR="00C23C2D" w:rsidP="007B7FC3" w:rsidRDefault="00C23C2D" w14:paraId="41BB2E4B" w14:textId="77777777">
      <w:pPr>
        <w:rPr>
          <w:szCs w:val="18"/>
        </w:rPr>
      </w:pPr>
    </w:p>
    <w:p w:rsidR="00BC0CF8" w:rsidP="007B7FC3" w:rsidRDefault="00BC0CF8" w14:paraId="461839D8" w14:textId="2535E306">
      <w:pPr>
        <w:rPr>
          <w:i/>
          <w:iCs/>
        </w:rPr>
      </w:pPr>
      <w:r>
        <w:rPr>
          <w:i/>
          <w:iCs/>
        </w:rPr>
        <w:t>Voerspoor</w:t>
      </w:r>
    </w:p>
    <w:p w:rsidR="00792BDD" w:rsidP="007B7FC3" w:rsidRDefault="00792BDD" w14:paraId="71601771" w14:textId="77777777">
      <w:pPr>
        <w:rPr>
          <w:szCs w:val="18"/>
        </w:rPr>
      </w:pPr>
      <w:r>
        <w:rPr>
          <w:szCs w:val="18"/>
        </w:rPr>
        <w:t>In d</w:t>
      </w:r>
      <w:r w:rsidRPr="0055048E" w:rsidR="000D6079">
        <w:rPr>
          <w:szCs w:val="18"/>
        </w:rPr>
        <w:t xml:space="preserve">e afgelopen maanden is intensief </w:t>
      </w:r>
      <w:r w:rsidR="000D6079">
        <w:rPr>
          <w:szCs w:val="18"/>
        </w:rPr>
        <w:t xml:space="preserve">en constructief </w:t>
      </w:r>
      <w:r w:rsidRPr="0055048E" w:rsidR="000D6079">
        <w:rPr>
          <w:szCs w:val="18"/>
        </w:rPr>
        <w:t xml:space="preserve">overleg geweest over het voerspoor, ofwel </w:t>
      </w:r>
      <w:r w:rsidR="000D6079">
        <w:rPr>
          <w:szCs w:val="18"/>
        </w:rPr>
        <w:t xml:space="preserve">de doelstelling tot </w:t>
      </w:r>
      <w:r w:rsidRPr="0055048E" w:rsidR="000D6079">
        <w:rPr>
          <w:szCs w:val="18"/>
        </w:rPr>
        <w:t xml:space="preserve">het verlagen van het aandeel ruw eiwit in het rantsoen </w:t>
      </w:r>
      <w:r w:rsidR="000D6079">
        <w:rPr>
          <w:szCs w:val="18"/>
        </w:rPr>
        <w:t xml:space="preserve">van melkvee </w:t>
      </w:r>
      <w:r w:rsidRPr="0055048E" w:rsidR="000D6079">
        <w:rPr>
          <w:szCs w:val="18"/>
        </w:rPr>
        <w:t>dat de hoeveelheid stikstof in drijfmest verlaag</w:t>
      </w:r>
      <w:r>
        <w:rPr>
          <w:szCs w:val="18"/>
        </w:rPr>
        <w:t>t</w:t>
      </w:r>
      <w:r w:rsidRPr="0055048E" w:rsidR="000D6079">
        <w:rPr>
          <w:szCs w:val="18"/>
        </w:rPr>
        <w:t xml:space="preserve">. </w:t>
      </w:r>
    </w:p>
    <w:p w:rsidR="000D6079" w:rsidP="007B7FC3" w:rsidRDefault="000D6079" w14:paraId="598AFFF3" w14:textId="07179E8B">
      <w:pPr>
        <w:rPr>
          <w:szCs w:val="18"/>
        </w:rPr>
      </w:pPr>
      <w:r>
        <w:rPr>
          <w:szCs w:val="18"/>
        </w:rPr>
        <w:t xml:space="preserve">De partijen in de zuivelketen hebben getoond hierin verantwoordelijkheid te nemen, wat ik ook van harte ondersteun. In februari dit jaar is er een convenant opgesteld en ondertekend door de partijen in de zuivelketen. De convenantpartners verbinden zich aan het doel om het gemiddelde ruw eiwitgehalte van het rantsoen te verlagen naar maximaal 160 gram per kilogram droge stof in 2025 en </w:t>
      </w:r>
      <w:r w:rsidRPr="00CB7F19">
        <w:rPr>
          <w:szCs w:val="18"/>
        </w:rPr>
        <w:t>158 gram per kilogram droge stof in 2026</w:t>
      </w:r>
      <w:r>
        <w:rPr>
          <w:szCs w:val="18"/>
        </w:rPr>
        <w:t xml:space="preserve">. Dit doen zij onder andere door het opzetten van een benchmark van het melkureum-getal van de individuele melkveehouder ten opzichte ven het gemiddelde van de regio. Deze </w:t>
      </w:r>
      <w:r w:rsidR="002D7509">
        <w:rPr>
          <w:szCs w:val="18"/>
        </w:rPr>
        <w:t xml:space="preserve">informatie </w:t>
      </w:r>
      <w:r>
        <w:rPr>
          <w:szCs w:val="18"/>
        </w:rPr>
        <w:t xml:space="preserve">biedt de basis voor een adviesgesprek door de voeradviseur. Ook wordt een communicatiecampagne uitgerold door de partijen om het onderwerp onder de aandacht te brengen bij melkveehouders en maken accountants en belastingadviseurs inzichtelijk wat de financiële voordelen zijn van het verlagen van het ruw eiwitgehalte in het voer (in relatie tot de afbouw van de derogatie). De partijen verbinden zich ook aan het opstellen van een verbeterprogramma wanneer de doelen niet worden gehaald. </w:t>
      </w:r>
    </w:p>
    <w:p w:rsidRPr="00B07BCE" w:rsidR="000D6079" w:rsidP="007B7FC3" w:rsidRDefault="000D6079" w14:paraId="4489E1F2" w14:textId="47CB83E4">
      <w:pPr>
        <w:rPr>
          <w:szCs w:val="18"/>
        </w:rPr>
      </w:pPr>
      <w:r w:rsidRPr="00D72B1E">
        <w:rPr>
          <w:szCs w:val="18"/>
        </w:rPr>
        <w:t>Ik</w:t>
      </w:r>
      <w:r w:rsidRPr="00B07BCE">
        <w:rPr>
          <w:szCs w:val="18"/>
        </w:rPr>
        <w:t xml:space="preserve"> ondersteun het convenant door bij te dragen aan kennisdeling en communicatie over het verlagen van het ruw eiwitgehalte in het rantsoen. Ook worden de ervaringen en inzichten die zijn opgedaan (en de komende tijd verder worden opgedaan) benut in de uitwerking van bedrijfsgerichte doelsturing.</w:t>
      </w:r>
      <w:r w:rsidRPr="00D72B1E">
        <w:rPr>
          <w:szCs w:val="18"/>
        </w:rPr>
        <w:t xml:space="preserve"> </w:t>
      </w:r>
      <w:r w:rsidR="002D7509">
        <w:rPr>
          <w:szCs w:val="18"/>
        </w:rPr>
        <w:t>Tenslotte blijf</w:t>
      </w:r>
      <w:r w:rsidRPr="00D72B1E">
        <w:rPr>
          <w:szCs w:val="18"/>
        </w:rPr>
        <w:t xml:space="preserve"> ik </w:t>
      </w:r>
      <w:r w:rsidR="002D7509">
        <w:rPr>
          <w:szCs w:val="18"/>
        </w:rPr>
        <w:t xml:space="preserve">ook </w:t>
      </w:r>
      <w:r w:rsidRPr="00D72B1E">
        <w:rPr>
          <w:szCs w:val="18"/>
        </w:rPr>
        <w:t xml:space="preserve">de sectorgemiddelden volgen via de kwartaalrapportages van het CBS en zal </w:t>
      </w:r>
      <w:r w:rsidR="002448BA">
        <w:rPr>
          <w:szCs w:val="18"/>
        </w:rPr>
        <w:t xml:space="preserve">ik </w:t>
      </w:r>
      <w:r w:rsidRPr="00D72B1E">
        <w:rPr>
          <w:szCs w:val="18"/>
        </w:rPr>
        <w:t xml:space="preserve">de </w:t>
      </w:r>
      <w:r>
        <w:rPr>
          <w:szCs w:val="18"/>
        </w:rPr>
        <w:t>K</w:t>
      </w:r>
      <w:r w:rsidRPr="00D72B1E">
        <w:rPr>
          <w:szCs w:val="18"/>
        </w:rPr>
        <w:t xml:space="preserve">amer </w:t>
      </w:r>
      <w:r>
        <w:rPr>
          <w:szCs w:val="18"/>
        </w:rPr>
        <w:t>over de voortgang</w:t>
      </w:r>
      <w:r w:rsidRPr="00D72B1E">
        <w:rPr>
          <w:szCs w:val="18"/>
        </w:rPr>
        <w:t xml:space="preserve"> blijven informeren. </w:t>
      </w:r>
    </w:p>
    <w:p w:rsidR="000D6079" w:rsidP="007B7FC3" w:rsidRDefault="000D6079" w14:paraId="78ADE47E" w14:textId="77777777">
      <w:pPr>
        <w:rPr>
          <w:szCs w:val="18"/>
        </w:rPr>
      </w:pPr>
    </w:p>
    <w:p w:rsidRPr="00B07BCE" w:rsidR="000D6079" w:rsidP="007B7FC3" w:rsidRDefault="000D6079" w14:paraId="42239EF9" w14:textId="2C41A1AE">
      <w:pPr>
        <w:rPr>
          <w:szCs w:val="18"/>
        </w:rPr>
      </w:pPr>
      <w:r>
        <w:rPr>
          <w:szCs w:val="18"/>
        </w:rPr>
        <w:t>Ik geef hiermee invulling aan de motie</w:t>
      </w:r>
      <w:r w:rsidR="007B7FC3">
        <w:rPr>
          <w:szCs w:val="18"/>
        </w:rPr>
        <w:t>-V</w:t>
      </w:r>
      <w:r>
        <w:rPr>
          <w:szCs w:val="18"/>
        </w:rPr>
        <w:t>an Campen c.s.</w:t>
      </w:r>
      <w:r w:rsidR="002D7509">
        <w:rPr>
          <w:rStyle w:val="Voetnootmarkering"/>
          <w:szCs w:val="18"/>
        </w:rPr>
        <w:footnoteReference w:id="4"/>
      </w:r>
      <w:r w:rsidR="002D7509">
        <w:rPr>
          <w:szCs w:val="18"/>
        </w:rPr>
        <w:t xml:space="preserve"> </w:t>
      </w:r>
      <w:r>
        <w:rPr>
          <w:szCs w:val="18"/>
        </w:rPr>
        <w:t>over het stellen van een doelafspraak door de sector, het benutten van benchmarking en borging én de toezegging</w:t>
      </w:r>
      <w:r w:rsidR="002D7509">
        <w:rPr>
          <w:rStyle w:val="Voetnootmarkering"/>
          <w:szCs w:val="18"/>
        </w:rPr>
        <w:footnoteReference w:id="5"/>
      </w:r>
      <w:r>
        <w:rPr>
          <w:szCs w:val="18"/>
        </w:rPr>
        <w:t xml:space="preserve"> om de </w:t>
      </w:r>
      <w:r w:rsidR="002D7509">
        <w:rPr>
          <w:szCs w:val="18"/>
        </w:rPr>
        <w:t>K</w:t>
      </w:r>
      <w:r>
        <w:rPr>
          <w:szCs w:val="18"/>
        </w:rPr>
        <w:t>amer te informeren over de uitkomsten van de gesprekken met de ketenpartijen over onder andere het voerspoor</w:t>
      </w:r>
      <w:r w:rsidR="00B75339">
        <w:rPr>
          <w:szCs w:val="18"/>
        </w:rPr>
        <w:t>.</w:t>
      </w:r>
      <w:r w:rsidR="00D825E7">
        <w:rPr>
          <w:szCs w:val="18"/>
        </w:rPr>
        <w:t xml:space="preserve"> </w:t>
      </w:r>
      <w:r w:rsidR="00B75339">
        <w:rPr>
          <w:szCs w:val="18"/>
        </w:rPr>
        <w:t>Hiermee</w:t>
      </w:r>
      <w:r w:rsidR="00D825E7">
        <w:rPr>
          <w:szCs w:val="18"/>
        </w:rPr>
        <w:t xml:space="preserve"> </w:t>
      </w:r>
      <w:r w:rsidR="00B75339">
        <w:rPr>
          <w:szCs w:val="18"/>
        </w:rPr>
        <w:t>geef</w:t>
      </w:r>
      <w:r w:rsidR="00D825E7">
        <w:rPr>
          <w:szCs w:val="18"/>
        </w:rPr>
        <w:t xml:space="preserve"> ik </w:t>
      </w:r>
      <w:r w:rsidR="00B75339">
        <w:rPr>
          <w:szCs w:val="18"/>
        </w:rPr>
        <w:t xml:space="preserve">eveneens (deels) uitvoering aan </w:t>
      </w:r>
      <w:r w:rsidR="00D825E7">
        <w:rPr>
          <w:szCs w:val="18"/>
        </w:rPr>
        <w:t>de motie</w:t>
      </w:r>
      <w:r w:rsidR="007B7FC3">
        <w:rPr>
          <w:szCs w:val="18"/>
        </w:rPr>
        <w:t>-</w:t>
      </w:r>
      <w:r w:rsidR="00D825E7">
        <w:rPr>
          <w:szCs w:val="18"/>
        </w:rPr>
        <w:t>Beckerman over de bijdrage van ketenpartijen aan de bestrijding van de mestcrisis</w:t>
      </w:r>
      <w:r>
        <w:rPr>
          <w:szCs w:val="18"/>
        </w:rPr>
        <w:t>.</w:t>
      </w:r>
      <w:r w:rsidR="00D825E7">
        <w:rPr>
          <w:rStyle w:val="Voetnootmarkering"/>
          <w:szCs w:val="18"/>
        </w:rPr>
        <w:footnoteReference w:id="6"/>
      </w:r>
    </w:p>
    <w:p w:rsidRPr="00BC0CF8" w:rsidR="00BC0CF8" w:rsidP="007B7FC3" w:rsidRDefault="00BC0CF8" w14:paraId="5E14D91C" w14:textId="77777777"/>
    <w:p w:rsidRPr="00EE4777" w:rsidR="00EE4777" w:rsidP="007B7FC3" w:rsidRDefault="00EE4777" w14:paraId="18A90591" w14:textId="77777777">
      <w:pPr>
        <w:rPr>
          <w:i/>
          <w:iCs/>
        </w:rPr>
      </w:pPr>
      <w:r w:rsidRPr="00EE4777">
        <w:rPr>
          <w:i/>
          <w:iCs/>
        </w:rPr>
        <w:t>Onderzoek transparantie mestmarkt</w:t>
      </w:r>
    </w:p>
    <w:p w:rsidRPr="00EE4777" w:rsidR="00EE4777" w:rsidP="007B7FC3" w:rsidRDefault="00EE4777" w14:paraId="27475B54" w14:textId="00A624AC">
      <w:r w:rsidRPr="00EE4777">
        <w:t>In het kader van de aanpak mestmarkt geef ik opdracht aan SEO Economisch Onderzoek om onderzoek te doen naar het economisch functioneren van de mestmarkt. Daarbij word</w:t>
      </w:r>
      <w:r w:rsidR="002D7509">
        <w:t>en</w:t>
      </w:r>
      <w:r w:rsidRPr="00EE4777">
        <w:t xml:space="preserve"> onder andere de markt en de actoren in beeld gebracht. Ook zal een analyse worden uitgevoerd naar factoren die van invloed </w:t>
      </w:r>
      <w:r w:rsidRPr="00EE4777">
        <w:lastRenderedPageBreak/>
        <w:t xml:space="preserve">zijn op de prijsvorming, de effecten van hogere afzetprijzen en of er sprake is van </w:t>
      </w:r>
      <w:proofErr w:type="spellStart"/>
      <w:r w:rsidRPr="00EE4777">
        <w:t>marktfalen</w:t>
      </w:r>
      <w:proofErr w:type="spellEnd"/>
      <w:r w:rsidRPr="00EE4777">
        <w:t xml:space="preserve"> op de mestmarkt. Vervolgens zullen ook mogelijke beleidsopties in kaart worden gebracht. Met dit onderzoek geef ik uitvoering aan mijn toezegging in het </w:t>
      </w:r>
      <w:r w:rsidR="002D7509">
        <w:t>Commissie</w:t>
      </w:r>
      <w:r w:rsidRPr="00EE4777">
        <w:t xml:space="preserve">debat </w:t>
      </w:r>
      <w:r w:rsidR="002D7509">
        <w:t xml:space="preserve">over het mestbeleid </w:t>
      </w:r>
      <w:r w:rsidRPr="00EE4777">
        <w:t>van 7 november 2024</w:t>
      </w:r>
      <w:r w:rsidR="0025592C">
        <w:rPr>
          <w:rStyle w:val="Voetnootmarkering"/>
        </w:rPr>
        <w:footnoteReference w:id="7"/>
      </w:r>
      <w:r w:rsidRPr="00EE4777">
        <w:t xml:space="preserve"> en aan de motie</w:t>
      </w:r>
      <w:r w:rsidR="007B7FC3">
        <w:t>-</w:t>
      </w:r>
      <w:proofErr w:type="spellStart"/>
      <w:r w:rsidRPr="00EE4777">
        <w:t>Grinwis</w:t>
      </w:r>
      <w:proofErr w:type="spellEnd"/>
      <w:r w:rsidRPr="00EE4777">
        <w:t xml:space="preserve"> c.s.</w:t>
      </w:r>
      <w:r w:rsidR="002D7509">
        <w:rPr>
          <w:rStyle w:val="Voetnootmarkering"/>
        </w:rPr>
        <w:footnoteReference w:id="8"/>
      </w:r>
      <w:r w:rsidRPr="00EE4777">
        <w:t xml:space="preserve">. </w:t>
      </w:r>
    </w:p>
    <w:p w:rsidR="00BC0CF8" w:rsidP="007B7FC3" w:rsidRDefault="00BC0CF8" w14:paraId="10571208" w14:textId="77777777">
      <w:pPr>
        <w:rPr>
          <w:i/>
          <w:iCs/>
        </w:rPr>
      </w:pPr>
    </w:p>
    <w:p w:rsidRPr="00E80BD1" w:rsidR="00210B6D" w:rsidP="007B7FC3" w:rsidRDefault="00210B6D" w14:paraId="5011E723" w14:textId="77777777">
      <w:pPr>
        <w:rPr>
          <w:i/>
          <w:iCs/>
        </w:rPr>
      </w:pPr>
      <w:r w:rsidRPr="00E80BD1">
        <w:rPr>
          <w:i/>
          <w:iCs/>
        </w:rPr>
        <w:t>Gasvormige verliezen in de melkveehouderij</w:t>
      </w:r>
    </w:p>
    <w:p w:rsidRPr="00051007" w:rsidR="00210B6D" w:rsidP="007B7FC3" w:rsidRDefault="00210B6D" w14:paraId="59DD068D" w14:textId="77777777">
      <w:r w:rsidRPr="00051007">
        <w:t>Tijdens de opslag van mest treden gasvormige verliezen op, waardoor er een verschil is tussen de hoeveelheid stikstof die door het dier wordt geproduceerd en de hoeveelheid stikstof die in de mest aanwezig is op het moment van aanwenden. Voor de berekening van de hoeveelheid dierlijke meststoffen die op of in de bij het bedrijf behorende oppervlakte landbouwgrond kunnen worden gebracht, uitgedrukt in kilogrammen stikstof per jaar, wordt uitgegaan van de netto stikstofexcretie. De bruto stikstofexcretie – de stikstof onder de staart – wordt daa</w:t>
      </w:r>
      <w:r>
        <w:t>rtoe</w:t>
      </w:r>
      <w:r w:rsidRPr="00051007">
        <w:t xml:space="preserve"> gecorrigeerd voor de gasvormige stikstofverliezen met behulp van een stikstofcorrectiefactor.</w:t>
      </w:r>
    </w:p>
    <w:p w:rsidR="00210B6D" w:rsidP="007B7FC3" w:rsidRDefault="00210B6D" w14:paraId="0F512B17" w14:textId="204060FD">
      <w:r w:rsidRPr="00051007">
        <w:t>Zoals ik heb aangekondigd in mijn brief van 13 september 2024 heb ik de stikstofexcretieforfaits voor melkvee, waarbij rekening gehouden is met een hogere stikstofcorrectiefactor</w:t>
      </w:r>
      <w:r>
        <w:t xml:space="preserve">, </w:t>
      </w:r>
      <w:r w:rsidRPr="00051007">
        <w:t>conform het CDM-advies, per 1 januari 2025 aangepast.</w:t>
      </w:r>
      <w:r w:rsidR="005511B9">
        <w:rPr>
          <w:rStyle w:val="Voetnootmarkering"/>
        </w:rPr>
        <w:footnoteReference w:id="9"/>
      </w:r>
      <w:r w:rsidRPr="00051007">
        <w:t xml:space="preserve"> </w:t>
      </w:r>
    </w:p>
    <w:p w:rsidRPr="00051007" w:rsidR="00D56D05" w:rsidP="007B7FC3" w:rsidRDefault="00D56D05" w14:paraId="0E05CFE0" w14:textId="77777777"/>
    <w:p w:rsidR="00210B6D" w:rsidP="007B7FC3" w:rsidRDefault="00210B6D" w14:paraId="37EEB8FE" w14:textId="126262B5">
      <w:r w:rsidRPr="00051007">
        <w:t>De door de CDM geadviseerde stikstofcorrectiefactor</w:t>
      </w:r>
      <w:r>
        <w:t xml:space="preserve"> (forfait)</w:t>
      </w:r>
      <w:r w:rsidRPr="00051007">
        <w:t xml:space="preserve"> is gebaseerd op gemiddelde stikstofverliezen.</w:t>
      </w:r>
      <w:r>
        <w:t xml:space="preserve"> </w:t>
      </w:r>
      <w:r w:rsidRPr="00051007">
        <w:t xml:space="preserve">Door de Nederlandse Melkveehouders Vakbond (NMV) en </w:t>
      </w:r>
      <w:proofErr w:type="spellStart"/>
      <w:r w:rsidRPr="00051007">
        <w:t>ZuivelNL</w:t>
      </w:r>
      <w:proofErr w:type="spellEnd"/>
      <w:r w:rsidRPr="00051007">
        <w:t xml:space="preserve"> </w:t>
      </w:r>
      <w:r>
        <w:t>is</w:t>
      </w:r>
      <w:r w:rsidRPr="00051007">
        <w:t xml:space="preserve"> aangegeven dat de stikstofverliezen</w:t>
      </w:r>
      <w:r>
        <w:t xml:space="preserve"> </w:t>
      </w:r>
      <w:r w:rsidRPr="00051007">
        <w:t>op individuele bedrijven groter kunnen zijn dan de correctiefactor voor gasvormige verliezen waarmee gerekend wordt</w:t>
      </w:r>
      <w:r>
        <w:t>. Zij willen daarom</w:t>
      </w:r>
      <w:r w:rsidRPr="00051007">
        <w:t xml:space="preserve"> </w:t>
      </w:r>
      <w:r>
        <w:t xml:space="preserve">in het kader van de vrije bewijsleer, net als bij staldieren, </w:t>
      </w:r>
      <w:r w:rsidRPr="00E80BD1">
        <w:t xml:space="preserve">ook bij graasdieren </w:t>
      </w:r>
      <w:r w:rsidRPr="00051007">
        <w:t xml:space="preserve">een </w:t>
      </w:r>
      <w:bookmarkStart w:name="_Hlk191474314" w:id="5"/>
      <w:r w:rsidRPr="00051007">
        <w:t xml:space="preserve">bedrijfsspecifieke </w:t>
      </w:r>
      <w:r>
        <w:t>correctie voor gasvormige verliezen</w:t>
      </w:r>
      <w:bookmarkEnd w:id="5"/>
      <w:r>
        <w:t xml:space="preserve"> </w:t>
      </w:r>
      <w:r w:rsidRPr="00051007">
        <w:t>toe kunnen passen</w:t>
      </w:r>
      <w:r>
        <w:t xml:space="preserve"> </w:t>
      </w:r>
      <w:r w:rsidRPr="00051007">
        <w:t xml:space="preserve">in plaats van </w:t>
      </w:r>
      <w:r>
        <w:t>de</w:t>
      </w:r>
      <w:r w:rsidRPr="00051007">
        <w:t xml:space="preserve"> forfaitaire stikstofcorrectie.</w:t>
      </w:r>
      <w:r>
        <w:t xml:space="preserve"> </w:t>
      </w:r>
      <w:r w:rsidRPr="00051007">
        <w:t xml:space="preserve">Hiermee kan een bedrijf binnen de gebruiksnorm voor stikstof uit dierlijke mest </w:t>
      </w:r>
      <w:r>
        <w:t xml:space="preserve">mogelijk </w:t>
      </w:r>
      <w:r w:rsidRPr="00051007">
        <w:t>meer kubieke meter mest op of in de bodem kunnen brengen en hoeft</w:t>
      </w:r>
      <w:r>
        <w:t xml:space="preserve"> het bedrijf</w:t>
      </w:r>
      <w:r w:rsidRPr="00051007">
        <w:t xml:space="preserve"> minder mest af te voeren</w:t>
      </w:r>
      <w:r>
        <w:t xml:space="preserve">, waardoor </w:t>
      </w:r>
      <w:r w:rsidRPr="00051007">
        <w:t>de druk op de mestmarkt enigszins af</w:t>
      </w:r>
      <w:r>
        <w:t xml:space="preserve">neemt. </w:t>
      </w:r>
    </w:p>
    <w:p w:rsidRPr="00051007" w:rsidR="00210B6D" w:rsidP="007B7FC3" w:rsidRDefault="00210B6D" w14:paraId="5C3BC57C" w14:textId="77777777">
      <w:r w:rsidRPr="00670011">
        <w:t xml:space="preserve">Bij graasdieren (melkvee) bepaalt </w:t>
      </w:r>
      <w:r w:rsidRPr="00051007">
        <w:t>de Rijksdienst voor Ondernemend Nederland</w:t>
      </w:r>
      <w:r>
        <w:t xml:space="preserve"> (RVO)</w:t>
      </w:r>
      <w:r w:rsidRPr="00670011">
        <w:t xml:space="preserve"> de hoeveelheid stikstof in de geproduceerde mest op basis van forfaits of BEX. </w:t>
      </w:r>
      <w:r w:rsidRPr="00051007">
        <w:t xml:space="preserve">Hierbij is </w:t>
      </w:r>
      <w:r w:rsidRPr="00670011">
        <w:t>al rekening gehouden met een forfaitaire stikstofcorrectie.</w:t>
      </w:r>
      <w:r w:rsidRPr="00051007">
        <w:t xml:space="preserve"> Indien </w:t>
      </w:r>
      <w:r>
        <w:t xml:space="preserve">RVO </w:t>
      </w:r>
      <w:r w:rsidRPr="00051007">
        <w:t xml:space="preserve">bij controle </w:t>
      </w:r>
      <w:r>
        <w:t>constateer</w:t>
      </w:r>
      <w:r w:rsidRPr="00051007">
        <w:t xml:space="preserve">t dat de gebruiksnormen worden overschreden, </w:t>
      </w:r>
      <w:r>
        <w:t xml:space="preserve">verstuurt RVO </w:t>
      </w:r>
      <w:r w:rsidRPr="00051007">
        <w:t xml:space="preserve">een </w:t>
      </w:r>
      <w:r w:rsidRPr="00133CD3">
        <w:rPr>
          <w:i/>
          <w:iCs/>
        </w:rPr>
        <w:t>‘voornemen tot het opleggen van een boete’</w:t>
      </w:r>
      <w:r>
        <w:rPr>
          <w:i/>
          <w:iCs/>
        </w:rPr>
        <w:t xml:space="preserve"> naar </w:t>
      </w:r>
      <w:r w:rsidRPr="00700681">
        <w:t>de betreffende landbouwer</w:t>
      </w:r>
      <w:r w:rsidRPr="00133CD3">
        <w:t>.</w:t>
      </w:r>
      <w:r w:rsidRPr="00051007">
        <w:t xml:space="preserve"> Voordat </w:t>
      </w:r>
      <w:r>
        <w:t xml:space="preserve">daadwerkelijk </w:t>
      </w:r>
      <w:r w:rsidRPr="00051007">
        <w:t xml:space="preserve">een boete wordt opgelegd </w:t>
      </w:r>
      <w:r>
        <w:t xml:space="preserve">wordt de landbouwer in de gelegenheid gesteld om hierop </w:t>
      </w:r>
      <w:r w:rsidRPr="00051007">
        <w:t xml:space="preserve">zijn zienswijze geven. </w:t>
      </w:r>
    </w:p>
    <w:p w:rsidR="00210B6D" w:rsidP="007B7FC3" w:rsidRDefault="00210B6D" w14:paraId="7C13FE62" w14:textId="77777777">
      <w:pPr>
        <w:contextualSpacing/>
      </w:pPr>
      <w:r>
        <w:t xml:space="preserve">De </w:t>
      </w:r>
      <w:r w:rsidRPr="00051007">
        <w:t xml:space="preserve">melkveehouder kan in het kader van de vrije bewijsleer in een zienswijze gemotiveerd aandragen (onderbouwd met bewijsstukken) dat hij het niet eens is met een voorgenomen boete, omdat het stikstofverlies op zijn bedrijf groter is dan de forfaitaire stikstofcorrectie waarmee gerekend is. </w:t>
      </w:r>
    </w:p>
    <w:p w:rsidR="00210B6D" w:rsidP="007B7FC3" w:rsidRDefault="00210B6D" w14:paraId="2612FBBA" w14:textId="77777777">
      <w:pPr>
        <w:contextualSpacing/>
      </w:pPr>
    </w:p>
    <w:p w:rsidRPr="00077D25" w:rsidR="00210B6D" w:rsidP="007B7FC3" w:rsidRDefault="00210B6D" w14:paraId="414FC771" w14:textId="42C860C4">
      <w:pPr>
        <w:contextualSpacing/>
      </w:pPr>
      <w:r w:rsidRPr="00077D25">
        <w:t>Ik wil in de komende periode verkennen of het mogelijk is om een protocol te ontwikkelen, waarmee een melkveehouder in het kader van de vrije bewijsleer indien nodig kan onderbouwen dat er op zijn bedrijf sprake is van een groter stikstofverlies dan de forfaitaire stikstofcorrectie waarmee gerekend is</w:t>
      </w:r>
      <w:r w:rsidR="00332F30">
        <w:t xml:space="preserve"> </w:t>
      </w:r>
      <w:r w:rsidRPr="00332F30" w:rsidR="00332F30">
        <w:t xml:space="preserve">en hoe dit </w:t>
      </w:r>
      <w:r w:rsidRPr="00332F30" w:rsidR="00332F30">
        <w:lastRenderedPageBreak/>
        <w:t>zich verhoud</w:t>
      </w:r>
      <w:r w:rsidR="00332F30">
        <w:t>t</w:t>
      </w:r>
      <w:r w:rsidRPr="00332F30" w:rsidR="00332F30">
        <w:t xml:space="preserve"> tot de stikstofemissies</w:t>
      </w:r>
      <w:r w:rsidR="00332F30">
        <w:t xml:space="preserve"> naar de lucht</w:t>
      </w:r>
      <w:r w:rsidRPr="00077D25">
        <w:t>. Bij deze verkenning zal ik RVO en de W</w:t>
      </w:r>
      <w:r w:rsidR="00B86CA9">
        <w:t>ageningen Universiteit (W</w:t>
      </w:r>
      <w:r w:rsidRPr="00077D25">
        <w:t>UR</w:t>
      </w:r>
      <w:r w:rsidR="00B86CA9">
        <w:t>)</w:t>
      </w:r>
      <w:r w:rsidRPr="00077D25">
        <w:t xml:space="preserve"> betrekken.</w:t>
      </w:r>
    </w:p>
    <w:p w:rsidR="00BC0CF8" w:rsidP="007B7FC3" w:rsidRDefault="00BC0CF8" w14:paraId="698A45D7" w14:textId="77777777">
      <w:pPr>
        <w:rPr>
          <w:i/>
          <w:iCs/>
        </w:rPr>
      </w:pPr>
    </w:p>
    <w:p w:rsidR="00BC0CF8" w:rsidP="007B7FC3" w:rsidRDefault="00BC0CF8" w14:paraId="08286A91" w14:textId="7C24338A">
      <w:pPr>
        <w:rPr>
          <w:i/>
          <w:iCs/>
        </w:rPr>
      </w:pPr>
      <w:r>
        <w:rPr>
          <w:i/>
          <w:iCs/>
        </w:rPr>
        <w:t xml:space="preserve">Verwerken dierlijke mest in potgrond </w:t>
      </w:r>
    </w:p>
    <w:p w:rsidR="009B1B22" w:rsidP="007B7FC3" w:rsidRDefault="009B1B22" w14:paraId="0AB55FFA" w14:textId="79647D2C">
      <w:pPr>
        <w:rPr>
          <w:szCs w:val="18"/>
        </w:rPr>
      </w:pPr>
      <w:r w:rsidRPr="00B85687">
        <w:rPr>
          <w:szCs w:val="18"/>
        </w:rPr>
        <w:t xml:space="preserve">In de Kamerbrief over de aanpak mestmarkt heb </w:t>
      </w:r>
      <w:r>
        <w:rPr>
          <w:szCs w:val="18"/>
        </w:rPr>
        <w:t xml:space="preserve">ik </w:t>
      </w:r>
      <w:r w:rsidRPr="00B85687">
        <w:rPr>
          <w:szCs w:val="18"/>
        </w:rPr>
        <w:t xml:space="preserve">aangegeven met sectorpartijen te verkennen op welke wijze de verwerking van dierlijke mest in potgrond verder gefaciliteerd kan worden. </w:t>
      </w:r>
    </w:p>
    <w:p w:rsidR="009B1B22" w:rsidP="007B7FC3" w:rsidRDefault="009B1B22" w14:paraId="6B2F9FCF" w14:textId="77777777">
      <w:pPr>
        <w:rPr>
          <w:szCs w:val="18"/>
        </w:rPr>
      </w:pPr>
    </w:p>
    <w:p w:rsidR="009B1B22" w:rsidP="007B7FC3" w:rsidRDefault="009B1B22" w14:paraId="60B487BD" w14:textId="1B8A2A8A">
      <w:pPr>
        <w:rPr>
          <w:szCs w:val="18"/>
        </w:rPr>
      </w:pPr>
      <w:r>
        <w:rPr>
          <w:szCs w:val="18"/>
        </w:rPr>
        <w:t xml:space="preserve">Als eerste stap in deze verkenning heeft er een </w:t>
      </w:r>
      <w:r w:rsidRPr="00B85687">
        <w:rPr>
          <w:szCs w:val="18"/>
        </w:rPr>
        <w:t xml:space="preserve">gesprek </w:t>
      </w:r>
      <w:r>
        <w:rPr>
          <w:szCs w:val="18"/>
        </w:rPr>
        <w:t>plaatsgevonden</w:t>
      </w:r>
      <w:r w:rsidRPr="00B85687">
        <w:rPr>
          <w:szCs w:val="18"/>
        </w:rPr>
        <w:t xml:space="preserve"> met de Vereniging Potgrond- en Substraten Nederland (VPN), W</w:t>
      </w:r>
      <w:r w:rsidR="00B86CA9">
        <w:rPr>
          <w:szCs w:val="18"/>
        </w:rPr>
        <w:t xml:space="preserve">UR </w:t>
      </w:r>
      <w:r w:rsidRPr="00B85687">
        <w:rPr>
          <w:szCs w:val="18"/>
        </w:rPr>
        <w:t>en RHP (certificeringsinstantie voor potgrond en substraten)</w:t>
      </w:r>
      <w:r>
        <w:rPr>
          <w:szCs w:val="18"/>
        </w:rPr>
        <w:t>.</w:t>
      </w:r>
      <w:r w:rsidRPr="00B85687">
        <w:rPr>
          <w:szCs w:val="18"/>
        </w:rPr>
        <w:t xml:space="preserve"> </w:t>
      </w:r>
      <w:r>
        <w:rPr>
          <w:szCs w:val="18"/>
        </w:rPr>
        <w:t>Uit dit gesprek is naar voren gekome</w:t>
      </w:r>
      <w:r w:rsidRPr="00B85687">
        <w:rPr>
          <w:szCs w:val="18"/>
        </w:rPr>
        <w:t xml:space="preserve">n dat het </w:t>
      </w:r>
      <w:r>
        <w:rPr>
          <w:szCs w:val="18"/>
        </w:rPr>
        <w:t xml:space="preserve">behulpzaam zou zijn om allereerst </w:t>
      </w:r>
      <w:r w:rsidRPr="00B85687">
        <w:rPr>
          <w:szCs w:val="18"/>
        </w:rPr>
        <w:t xml:space="preserve">een (korte) </w:t>
      </w:r>
      <w:proofErr w:type="spellStart"/>
      <w:r w:rsidR="00D56D05">
        <w:rPr>
          <w:szCs w:val="18"/>
        </w:rPr>
        <w:t>q</w:t>
      </w:r>
      <w:r w:rsidRPr="00B85687">
        <w:rPr>
          <w:szCs w:val="18"/>
        </w:rPr>
        <w:t>uick</w:t>
      </w:r>
      <w:proofErr w:type="spellEnd"/>
      <w:r w:rsidRPr="00B85687">
        <w:rPr>
          <w:szCs w:val="18"/>
        </w:rPr>
        <w:t xml:space="preserve"> </w:t>
      </w:r>
      <w:r w:rsidR="00D56D05">
        <w:rPr>
          <w:szCs w:val="18"/>
        </w:rPr>
        <w:t>s</w:t>
      </w:r>
      <w:r w:rsidRPr="00B85687">
        <w:rPr>
          <w:szCs w:val="18"/>
        </w:rPr>
        <w:t>can uit te voeren waarbij via een literatuurstudie en navraag bij relevante partijen een overzicht wordt verkregen van de mogelijkheden en belemmeringen</w:t>
      </w:r>
      <w:r>
        <w:rPr>
          <w:szCs w:val="18"/>
        </w:rPr>
        <w:t xml:space="preserve"> en/of obstakels</w:t>
      </w:r>
      <w:r w:rsidRPr="00B85687">
        <w:rPr>
          <w:szCs w:val="18"/>
        </w:rPr>
        <w:t xml:space="preserve">. </w:t>
      </w:r>
      <w:r>
        <w:rPr>
          <w:szCs w:val="18"/>
        </w:rPr>
        <w:t xml:space="preserve">Dit onderzoek is inmiddels uitgezet bij WUR. Daarnaast waren partijen het erover eens dat de reikwijdte van het onderzoek niet enkel beperkt moet worden tot potgrond. Daarom wordt er breder gekeken naar mogelijke toepassingen, namelijk bij alle groeimedia (zoals bijvoorbeeld compost). Mogelijk wordt het potentieel hiermee vergroot. </w:t>
      </w:r>
    </w:p>
    <w:p w:rsidR="009B1B22" w:rsidP="007B7FC3" w:rsidRDefault="009B1B22" w14:paraId="08C83B66" w14:textId="77777777">
      <w:pPr>
        <w:rPr>
          <w:szCs w:val="18"/>
        </w:rPr>
      </w:pPr>
    </w:p>
    <w:p w:rsidR="009B1B22" w:rsidP="007B7FC3" w:rsidRDefault="009B1B22" w14:paraId="049B7473" w14:textId="22541A89">
      <w:pPr>
        <w:rPr>
          <w:szCs w:val="18"/>
        </w:rPr>
      </w:pPr>
      <w:r w:rsidRPr="00B85687">
        <w:rPr>
          <w:szCs w:val="18"/>
        </w:rPr>
        <w:t xml:space="preserve">De </w:t>
      </w:r>
      <w:proofErr w:type="spellStart"/>
      <w:r w:rsidR="00D56D05">
        <w:rPr>
          <w:szCs w:val="18"/>
        </w:rPr>
        <w:t>qu</w:t>
      </w:r>
      <w:r w:rsidRPr="00B85687">
        <w:rPr>
          <w:szCs w:val="18"/>
        </w:rPr>
        <w:t>ick</w:t>
      </w:r>
      <w:proofErr w:type="spellEnd"/>
      <w:r w:rsidRPr="00B85687">
        <w:rPr>
          <w:szCs w:val="18"/>
        </w:rPr>
        <w:t xml:space="preserve"> </w:t>
      </w:r>
      <w:r w:rsidR="00D56D05">
        <w:rPr>
          <w:szCs w:val="18"/>
        </w:rPr>
        <w:t>s</w:t>
      </w:r>
      <w:r w:rsidRPr="00B85687">
        <w:rPr>
          <w:szCs w:val="18"/>
        </w:rPr>
        <w:t xml:space="preserve">can </w:t>
      </w:r>
      <w:r>
        <w:rPr>
          <w:szCs w:val="18"/>
        </w:rPr>
        <w:t>zal</w:t>
      </w:r>
      <w:r w:rsidRPr="00B85687">
        <w:rPr>
          <w:szCs w:val="18"/>
        </w:rPr>
        <w:t xml:space="preserve"> inzic</w:t>
      </w:r>
      <w:r>
        <w:rPr>
          <w:szCs w:val="18"/>
        </w:rPr>
        <w:t xml:space="preserve">ht geven in de kansen en belemmeringen op juridisch en technologisch vlak. En daarnaast marktkansen en -belemmeringen in beeld brengen. Tot slot zal de </w:t>
      </w:r>
      <w:proofErr w:type="spellStart"/>
      <w:r w:rsidR="00D56D05">
        <w:rPr>
          <w:szCs w:val="18"/>
        </w:rPr>
        <w:t>q</w:t>
      </w:r>
      <w:r>
        <w:rPr>
          <w:szCs w:val="18"/>
        </w:rPr>
        <w:t>uick</w:t>
      </w:r>
      <w:proofErr w:type="spellEnd"/>
      <w:r>
        <w:rPr>
          <w:szCs w:val="18"/>
        </w:rPr>
        <w:t xml:space="preserve"> </w:t>
      </w:r>
      <w:r w:rsidR="00D56D05">
        <w:rPr>
          <w:szCs w:val="18"/>
        </w:rPr>
        <w:t>s</w:t>
      </w:r>
      <w:r>
        <w:rPr>
          <w:szCs w:val="18"/>
        </w:rPr>
        <w:t xml:space="preserve">can aanbevelingen bevatten voor een vervolgaanpak. </w:t>
      </w:r>
    </w:p>
    <w:p w:rsidR="00D56D05" w:rsidP="007B7FC3" w:rsidRDefault="00D56D05" w14:paraId="25D9C515" w14:textId="77777777">
      <w:pPr>
        <w:rPr>
          <w:szCs w:val="18"/>
        </w:rPr>
      </w:pPr>
    </w:p>
    <w:p w:rsidR="00D56D05" w:rsidP="007B7FC3" w:rsidRDefault="00D56D05" w14:paraId="4CFDB290" w14:textId="77777777">
      <w:pPr>
        <w:rPr>
          <w:i/>
          <w:iCs/>
        </w:rPr>
      </w:pPr>
      <w:r w:rsidRPr="00C03D35">
        <w:rPr>
          <w:i/>
          <w:iCs/>
        </w:rPr>
        <w:t>RENURE</w:t>
      </w:r>
    </w:p>
    <w:p w:rsidR="00D56D05" w:rsidP="007B7FC3" w:rsidRDefault="00B86CA9" w14:paraId="1F02332C" w14:textId="6CE46015">
      <w:r>
        <w:t>O</w:t>
      </w:r>
      <w:r w:rsidRPr="00C03D35">
        <w:t>p basis van de conceptagenda</w:t>
      </w:r>
      <w:r>
        <w:t xml:space="preserve"> van het Nitraatcomité van </w:t>
      </w:r>
      <w:r w:rsidRPr="00C03D35">
        <w:t xml:space="preserve">20 maart </w:t>
      </w:r>
      <w:r>
        <w:t xml:space="preserve">aanstaande, lijkt het erop dat </w:t>
      </w:r>
      <w:r w:rsidR="00332F30">
        <w:t>er</w:t>
      </w:r>
      <w:r w:rsidRPr="00C03D35" w:rsidR="00332F30">
        <w:t xml:space="preserve"> </w:t>
      </w:r>
      <w:r w:rsidRPr="00C03D35" w:rsidR="00D56D05">
        <w:t>nog niet gestemd zal worden over het voorstel</w:t>
      </w:r>
      <w:r>
        <w:t xml:space="preserve"> voor toelating van RENURE-producten als kunstmestvervanger</w:t>
      </w:r>
      <w:r w:rsidRPr="00C03D35" w:rsidR="00D56D05">
        <w:t xml:space="preserve">. Wel staat het voorstel </w:t>
      </w:r>
      <w:r w:rsidR="00332F30">
        <w:t xml:space="preserve">ter bespreking </w:t>
      </w:r>
      <w:r w:rsidRPr="00C03D35" w:rsidR="00D56D05">
        <w:t xml:space="preserve">geagendeerd, waarbij naar verwachting enkele </w:t>
      </w:r>
      <w:r w:rsidR="00332F30">
        <w:t xml:space="preserve">nadere technische </w:t>
      </w:r>
      <w:r w:rsidRPr="00C03D35" w:rsidR="00D56D05">
        <w:t xml:space="preserve">vragen </w:t>
      </w:r>
      <w:r w:rsidR="00332F30">
        <w:t xml:space="preserve">van lidstaten </w:t>
      </w:r>
      <w:r w:rsidRPr="00C03D35" w:rsidR="00D56D05">
        <w:t>besproken zullen worden.</w:t>
      </w:r>
      <w:r w:rsidR="00A97ECC">
        <w:t xml:space="preserve"> Uiteraard faciliteert Nederland zo veel als mogelijk deze lidstaten in het voorzien van informatie en argumenten.</w:t>
      </w:r>
    </w:p>
    <w:p w:rsidRPr="00C03D35" w:rsidR="00E75201" w:rsidP="007B7FC3" w:rsidRDefault="00E75201" w14:paraId="7DC95BEA" w14:textId="77777777"/>
    <w:p w:rsidR="00D56D05" w:rsidP="007B7FC3" w:rsidRDefault="00D56D05" w14:paraId="3271E126" w14:textId="1046F799">
      <w:r w:rsidRPr="00C03D35">
        <w:t>Ik besef dat de besprekingen over dit voorstel een jaar duren en dat dit wederom onzekerheid oplevert. Tegelijkertijd is afgelopen Landbouw- en Visserijraad en ook uit de Visie op Landbouw en Voedsel wederom gebleken dat de Europese Commissie en ve</w:t>
      </w:r>
      <w:r w:rsidR="00B86CA9">
        <w:t>e</w:t>
      </w:r>
      <w:r w:rsidRPr="00C03D35">
        <w:t xml:space="preserve">l lidstaten RENURE inmiddels zien als een kans om onze afhankelijkheid van stikstofkunstmest uit (Wit-)Rusland te verminderen en de CO2-footprint van ons voedsel te verlagen. </w:t>
      </w:r>
      <w:r w:rsidRPr="00C03D35" w:rsidR="00A97ECC">
        <w:t xml:space="preserve">Zoals u weet </w:t>
      </w:r>
      <w:r w:rsidR="00A97ECC">
        <w:t xml:space="preserve">zet ik mij momenteel vol in voor de toelating van RENURE en breng hierbij ook dit punt onder de aandacht van mijn Europese collega’s en de Europese Commissie. </w:t>
      </w:r>
      <w:r w:rsidRPr="00C03D35">
        <w:t xml:space="preserve">Ik houd daarom goede hoop dat het voorstel op korte termijn op een gekwalificeerde meerderheid </w:t>
      </w:r>
      <w:r w:rsidR="00332F30">
        <w:t xml:space="preserve">van de lidstaten </w:t>
      </w:r>
      <w:r w:rsidRPr="00C03D35">
        <w:t xml:space="preserve">kan rekenen. </w:t>
      </w:r>
    </w:p>
    <w:p w:rsidR="00D56D05" w:rsidP="007B7FC3" w:rsidRDefault="00D56D05" w14:paraId="44C64711" w14:textId="77777777"/>
    <w:p w:rsidR="00445D6A" w:rsidRDefault="00445D6A" w14:paraId="1C2C58C9" w14:textId="77777777">
      <w:pPr>
        <w:spacing w:line="240" w:lineRule="auto"/>
        <w:rPr>
          <w:i/>
          <w:iCs/>
        </w:rPr>
      </w:pPr>
      <w:r>
        <w:rPr>
          <w:i/>
          <w:iCs/>
        </w:rPr>
        <w:br w:type="page"/>
      </w:r>
    </w:p>
    <w:p w:rsidRPr="00833EB3" w:rsidR="00D56D05" w:rsidP="007B7FC3" w:rsidRDefault="00D56D05" w14:paraId="0B1C3AAA" w14:textId="4DDFC243">
      <w:pPr>
        <w:rPr>
          <w:i/>
          <w:iCs/>
        </w:rPr>
      </w:pPr>
      <w:r w:rsidRPr="00833EB3">
        <w:rPr>
          <w:i/>
          <w:iCs/>
        </w:rPr>
        <w:lastRenderedPageBreak/>
        <w:t xml:space="preserve">Weegmoment </w:t>
      </w:r>
      <w:r>
        <w:rPr>
          <w:i/>
          <w:iCs/>
        </w:rPr>
        <w:t>maatregelen verlaging mestproductieplafonds</w:t>
      </w:r>
    </w:p>
    <w:p w:rsidRPr="00833EB3" w:rsidR="00D56D05" w:rsidP="007B7FC3" w:rsidRDefault="00D56D05" w14:paraId="550348C0" w14:textId="5E8922A0">
      <w:r w:rsidRPr="00833EB3">
        <w:t>In mijn brief over de Aanpak mestmarkt van 13 september 2024 en ook tijdens de behandeling van het wetsvoorstel tot wijziging van de Meststoffenwet</w:t>
      </w:r>
      <w:r>
        <w:rPr>
          <w:rStyle w:val="Voetnootmarkering"/>
        </w:rPr>
        <w:footnoteReference w:id="10"/>
      </w:r>
      <w:r w:rsidRPr="00833EB3">
        <w:t xml:space="preserve"> heb ik aangegeven voornemens te zijn om op basis van de laatste inzichten van </w:t>
      </w:r>
      <w:r>
        <w:t>onder andere</w:t>
      </w:r>
      <w:r w:rsidRPr="00833EB3">
        <w:t xml:space="preserve"> de beëindigingsregelingen </w:t>
      </w:r>
      <w:proofErr w:type="spellStart"/>
      <w:r w:rsidRPr="00833EB3">
        <w:t>Lbv</w:t>
      </w:r>
      <w:proofErr w:type="spellEnd"/>
      <w:r w:rsidRPr="00833EB3">
        <w:t xml:space="preserve"> en </w:t>
      </w:r>
      <w:proofErr w:type="spellStart"/>
      <w:r w:rsidRPr="00833EB3">
        <w:t>Lbv</w:t>
      </w:r>
      <w:proofErr w:type="spellEnd"/>
      <w:r w:rsidRPr="00833EB3">
        <w:t xml:space="preserve">-plus te beoordelen of bijstelling van maatregelen </w:t>
      </w:r>
      <w:r>
        <w:t xml:space="preserve">nodig is, om hiermee te komen tot </w:t>
      </w:r>
      <w:r w:rsidR="00C851E2">
        <w:t xml:space="preserve">voldoende </w:t>
      </w:r>
      <w:r>
        <w:t>verlaging van de mestproductproductie</w:t>
      </w:r>
      <w:r w:rsidR="00332F30">
        <w:t xml:space="preserve"> tot onder de mestproductie</w:t>
      </w:r>
      <w:r>
        <w:t>plafonds</w:t>
      </w:r>
      <w:r w:rsidRPr="00833EB3">
        <w:t xml:space="preserve">. </w:t>
      </w:r>
      <w:r w:rsidR="00276D42">
        <w:t xml:space="preserve">Naar verwachting </w:t>
      </w:r>
      <w:r w:rsidR="00C851E2">
        <w:t xml:space="preserve">zijn er eind maart </w:t>
      </w:r>
      <w:r w:rsidR="005E5D5F">
        <w:t xml:space="preserve">2025 </w:t>
      </w:r>
      <w:r w:rsidR="00C851E2">
        <w:t>voldoende inzichten om een goede weging te kunnen maken en ik zal uw Kamer zo snel mogelijk daarna informeren over de uitkomsten van deze weging.</w:t>
      </w:r>
      <w:r w:rsidR="006664D9">
        <w:t xml:space="preserve"> Hierbij betrek ik ook de motie</w:t>
      </w:r>
      <w:r w:rsidR="007B7FC3">
        <w:t>-</w:t>
      </w:r>
      <w:r w:rsidR="006664D9">
        <w:t>Van Campen c.s. (</w:t>
      </w:r>
      <w:r w:rsidR="007B7FC3">
        <w:t>Kamerstuk</w:t>
      </w:r>
      <w:r w:rsidR="006664D9">
        <w:t xml:space="preserve"> 36618 nr. 30).</w:t>
      </w:r>
    </w:p>
    <w:p w:rsidR="00D56D05" w:rsidP="007B7FC3" w:rsidRDefault="00D56D05" w14:paraId="4F56D7C6" w14:textId="77777777">
      <w:pPr>
        <w:rPr>
          <w:szCs w:val="18"/>
        </w:rPr>
      </w:pPr>
    </w:p>
    <w:p w:rsidRPr="00B86CA9" w:rsidR="00B86CA9" w:rsidP="007B7FC3" w:rsidRDefault="00B86CA9" w14:paraId="697B0A57" w14:textId="6FFB4929">
      <w:pPr>
        <w:rPr>
          <w:b/>
          <w:bCs/>
        </w:rPr>
      </w:pPr>
      <w:r w:rsidRPr="00B86CA9">
        <w:rPr>
          <w:b/>
          <w:bCs/>
        </w:rPr>
        <w:t>Overige onderwerpen</w:t>
      </w:r>
    </w:p>
    <w:p w:rsidR="00BC0CF8" w:rsidP="007B7FC3" w:rsidRDefault="00BC0CF8" w14:paraId="5BC7EEFE" w14:textId="77777777"/>
    <w:p w:rsidR="00BC0CF8" w:rsidP="007B7FC3" w:rsidRDefault="00BC0CF8" w14:paraId="77648A6D" w14:textId="5D66B6C4">
      <w:pPr>
        <w:rPr>
          <w:i/>
          <w:iCs/>
        </w:rPr>
      </w:pPr>
      <w:r>
        <w:rPr>
          <w:i/>
          <w:iCs/>
        </w:rPr>
        <w:t xml:space="preserve">Internetconsultatie bovengronds uitrijden </w:t>
      </w:r>
      <w:proofErr w:type="spellStart"/>
      <w:r>
        <w:rPr>
          <w:i/>
          <w:iCs/>
        </w:rPr>
        <w:t>runderdrijfmest</w:t>
      </w:r>
      <w:proofErr w:type="spellEnd"/>
    </w:p>
    <w:p w:rsidR="008D2C0E" w:rsidP="007B7FC3" w:rsidRDefault="008D2C0E" w14:paraId="7B68BED7" w14:textId="77777777">
      <w:pPr>
        <w:rPr>
          <w:szCs w:val="18"/>
        </w:rPr>
      </w:pPr>
      <w:r w:rsidRPr="006F7C95">
        <w:rPr>
          <w:szCs w:val="18"/>
        </w:rPr>
        <w:t>Met ingang van 1 januari 2024 is de Vrijstellingsregeling bovengronds</w:t>
      </w:r>
      <w:r>
        <w:rPr>
          <w:szCs w:val="18"/>
        </w:rPr>
        <w:t xml:space="preserve"> </w:t>
      </w:r>
      <w:r w:rsidRPr="006F7C95">
        <w:rPr>
          <w:szCs w:val="18"/>
        </w:rPr>
        <w:t xml:space="preserve">aanwenden </w:t>
      </w:r>
      <w:proofErr w:type="spellStart"/>
      <w:r w:rsidRPr="006F7C95">
        <w:rPr>
          <w:szCs w:val="18"/>
        </w:rPr>
        <w:t>runderdrijfmest</w:t>
      </w:r>
      <w:proofErr w:type="spellEnd"/>
      <w:r w:rsidRPr="006F7C95">
        <w:rPr>
          <w:szCs w:val="18"/>
        </w:rPr>
        <w:t xml:space="preserve"> 2019-2023 vervallen. </w:t>
      </w:r>
      <w:r>
        <w:rPr>
          <w:szCs w:val="18"/>
        </w:rPr>
        <w:t>In de Kamerbrief van 24 januari 2024</w:t>
      </w:r>
      <w:r>
        <w:rPr>
          <w:rStyle w:val="Voetnootmarkering"/>
          <w:szCs w:val="18"/>
        </w:rPr>
        <w:footnoteReference w:id="11"/>
      </w:r>
      <w:r>
        <w:rPr>
          <w:szCs w:val="18"/>
        </w:rPr>
        <w:t xml:space="preserve"> is toegezegd </w:t>
      </w:r>
      <w:r w:rsidRPr="006F7C95">
        <w:rPr>
          <w:szCs w:val="18"/>
        </w:rPr>
        <w:t xml:space="preserve">de regeling met </w:t>
      </w:r>
      <w:r>
        <w:rPr>
          <w:szCs w:val="18"/>
        </w:rPr>
        <w:t>in elk geval één en mogelijk</w:t>
      </w:r>
      <w:r w:rsidRPr="006F7C95">
        <w:rPr>
          <w:szCs w:val="18"/>
        </w:rPr>
        <w:t xml:space="preserve"> </w:t>
      </w:r>
      <w:r>
        <w:rPr>
          <w:szCs w:val="18"/>
        </w:rPr>
        <w:t>twee</w:t>
      </w:r>
      <w:r w:rsidRPr="006F7C95">
        <w:rPr>
          <w:szCs w:val="18"/>
        </w:rPr>
        <w:t xml:space="preserve"> jaar te verlengen. </w:t>
      </w:r>
      <w:r>
        <w:rPr>
          <w:szCs w:val="18"/>
        </w:rPr>
        <w:t xml:space="preserve">Sinds het vervallen van de regeling </w:t>
      </w:r>
      <w:r w:rsidRPr="006F7C95">
        <w:rPr>
          <w:szCs w:val="18"/>
        </w:rPr>
        <w:t>wordt het bovengronds aanwenden gedoogd</w:t>
      </w:r>
      <w:r>
        <w:rPr>
          <w:szCs w:val="18"/>
        </w:rPr>
        <w:t xml:space="preserve"> indien de landbouwer voldoet aan alle voorwaarden en voorschriften van de Vrijstellingsregeling bovengronds aanwenden </w:t>
      </w:r>
      <w:proofErr w:type="spellStart"/>
      <w:r>
        <w:rPr>
          <w:szCs w:val="18"/>
        </w:rPr>
        <w:t>runderdrijfmest</w:t>
      </w:r>
      <w:proofErr w:type="spellEnd"/>
      <w:r>
        <w:rPr>
          <w:szCs w:val="18"/>
        </w:rPr>
        <w:t xml:space="preserve"> 2019-2023 en zich in februari meldt bij RVO.</w:t>
      </w:r>
      <w:r w:rsidRPr="006F7C95">
        <w:rPr>
          <w:szCs w:val="18"/>
        </w:rPr>
        <w:t xml:space="preserve"> </w:t>
      </w:r>
    </w:p>
    <w:p w:rsidR="008D2C0E" w:rsidP="007B7FC3" w:rsidRDefault="008D2C0E" w14:paraId="7C6E2DAC" w14:textId="77777777">
      <w:pPr>
        <w:rPr>
          <w:szCs w:val="18"/>
        </w:rPr>
      </w:pPr>
    </w:p>
    <w:p w:rsidR="008D2C0E" w:rsidP="007B7FC3" w:rsidRDefault="008D2C0E" w14:paraId="29DB0B28" w14:textId="77777777">
      <w:pPr>
        <w:rPr>
          <w:szCs w:val="18"/>
        </w:rPr>
      </w:pPr>
      <w:r>
        <w:rPr>
          <w:szCs w:val="18"/>
        </w:rPr>
        <w:t>In bovengenoemde brief is aangegeven dat nader onderzoek nodig is om te bepalen hoe een verlenging onder de Omgevingswet geregeld kan worden. Inmiddels is daar duidelijkheid over: het voornemen bestaat de regeling als uitzondering op de verplichting tot emissiearm aanwenden op te nemen in het stelsel van de Omgevingswet via een wijziging van het Besluit activiteiten leefomgeving en de Omgevingsregeling. De internetconsultatie daarvoor is gestart op 24 februari jl. en sluit op 24 maart a.s.. Na verwerking van de inbreng zal de regelgeving worden voorgehangen bij de Eerste en Tweede Kamer</w:t>
      </w:r>
      <w:r w:rsidDel="005F5E28">
        <w:rPr>
          <w:szCs w:val="18"/>
        </w:rPr>
        <w:t xml:space="preserve"> </w:t>
      </w:r>
      <w:r>
        <w:rPr>
          <w:szCs w:val="18"/>
        </w:rPr>
        <w:t>en voor advies aan de Afdeling advisering van de Raad van State worden voorgelegd. De regelgeving is daarmee niet voor de start van het huidige uitrijdseizoen gereed. Daarom voorziet het voorstel in inwerkingtreding met terugwerkende kracht.</w:t>
      </w:r>
    </w:p>
    <w:p w:rsidR="008D2C0E" w:rsidP="007B7FC3" w:rsidRDefault="008D2C0E" w14:paraId="5347D81E" w14:textId="77777777">
      <w:pPr>
        <w:rPr>
          <w:szCs w:val="18"/>
        </w:rPr>
      </w:pPr>
    </w:p>
    <w:p w:rsidRPr="006F7C95" w:rsidR="008D2C0E" w:rsidP="007B7FC3" w:rsidRDefault="008D2C0E" w14:paraId="063AE7E5" w14:textId="6B37110A">
      <w:pPr>
        <w:rPr>
          <w:szCs w:val="18"/>
        </w:rPr>
      </w:pPr>
      <w:r>
        <w:rPr>
          <w:szCs w:val="18"/>
        </w:rPr>
        <w:t>Dit jaar zal het praktijkonderzoek naar de effecten van bovengronds uitrijden aflopen. Op basis van de resultaten van het onderzoek zal ik een besluit nemen over het eventueel verder voortzetten van regelgeving die bovengronds uitrijden mogelijk maakt.</w:t>
      </w:r>
      <w:r w:rsidR="007B7FC3">
        <w:rPr>
          <w:szCs w:val="18"/>
        </w:rPr>
        <w:t xml:space="preserve"> </w:t>
      </w:r>
    </w:p>
    <w:p w:rsidR="00BC0CF8" w:rsidP="007B7FC3" w:rsidRDefault="00BC0CF8" w14:paraId="686BF978" w14:textId="77777777">
      <w:pPr>
        <w:rPr>
          <w:i/>
          <w:iCs/>
        </w:rPr>
      </w:pPr>
    </w:p>
    <w:p w:rsidR="00BC0CF8" w:rsidP="007B7FC3" w:rsidRDefault="00BC0CF8" w14:paraId="008C8E86" w14:textId="174C6910">
      <w:pPr>
        <w:rPr>
          <w:i/>
          <w:iCs/>
        </w:rPr>
      </w:pPr>
      <w:r w:rsidRPr="001113A9">
        <w:rPr>
          <w:i/>
          <w:iCs/>
        </w:rPr>
        <w:t>Toekomst L</w:t>
      </w:r>
      <w:r w:rsidR="00612175">
        <w:rPr>
          <w:i/>
          <w:iCs/>
        </w:rPr>
        <w:t xml:space="preserve">andelijk </w:t>
      </w:r>
      <w:r w:rsidRPr="001113A9">
        <w:rPr>
          <w:i/>
          <w:iCs/>
        </w:rPr>
        <w:t>M</w:t>
      </w:r>
      <w:r w:rsidR="00612175">
        <w:rPr>
          <w:i/>
          <w:iCs/>
        </w:rPr>
        <w:t xml:space="preserve">eetnet effecten </w:t>
      </w:r>
      <w:r w:rsidRPr="001113A9">
        <w:rPr>
          <w:i/>
          <w:iCs/>
        </w:rPr>
        <w:t>M</w:t>
      </w:r>
      <w:r w:rsidR="00612175">
        <w:rPr>
          <w:i/>
          <w:iCs/>
        </w:rPr>
        <w:t>estbeleid</w:t>
      </w:r>
    </w:p>
    <w:p w:rsidR="001113A9" w:rsidP="007B7FC3" w:rsidRDefault="001113A9" w14:paraId="6749B24B" w14:textId="77777777">
      <w:pPr>
        <w:rPr>
          <w:szCs w:val="18"/>
        </w:rPr>
      </w:pPr>
      <w:r>
        <w:rPr>
          <w:szCs w:val="18"/>
        </w:rPr>
        <w:t xml:space="preserve">Met het Landelijk Meetnet effecten Mestbeleid (LMM) worden de effecten van het mestbeleid op de waterkwaliteit gemonitord sinds 1992. Het LMM bestaat uit een basismeetnet en een derogatiemeetnet. Met het derogatiemeetnet wordt invulling gegeven aan de voorwaarde uit de derogatiebeschikking om de waterkwaliteit onder derogatiebedrijven te monitoren. Door de waterkwaliteit en landbouwpraktijk op circa 450 landbouwbedrijven te monitoren, is het LMM </w:t>
      </w:r>
      <w:r>
        <w:rPr>
          <w:szCs w:val="18"/>
        </w:rPr>
        <w:lastRenderedPageBreak/>
        <w:t xml:space="preserve">representatief voor zo’n 80% van het landbouwareaal per grondsoortregio in Nederland. </w:t>
      </w:r>
    </w:p>
    <w:p w:rsidR="001113A9" w:rsidP="007B7FC3" w:rsidRDefault="001113A9" w14:paraId="1149D578" w14:textId="7537406E">
      <w:pPr>
        <w:rPr>
          <w:szCs w:val="18"/>
        </w:rPr>
      </w:pPr>
      <w:r>
        <w:rPr>
          <w:szCs w:val="18"/>
        </w:rPr>
        <w:t xml:space="preserve">Omdat de afgekondigde afbouw van de derogatie gevolgen zal hebben voor de opzet van het LMM, heeft mijn voorganger het Rijksinstituut voor Volksgezondheid en Milieu (RIVM) en Wageningen </w:t>
      </w:r>
      <w:proofErr w:type="spellStart"/>
      <w:r>
        <w:rPr>
          <w:szCs w:val="18"/>
        </w:rPr>
        <w:t>Social</w:t>
      </w:r>
      <w:proofErr w:type="spellEnd"/>
      <w:r>
        <w:rPr>
          <w:szCs w:val="18"/>
        </w:rPr>
        <w:t xml:space="preserve"> </w:t>
      </w:r>
      <w:proofErr w:type="spellStart"/>
      <w:r>
        <w:rPr>
          <w:szCs w:val="18"/>
        </w:rPr>
        <w:t>and</w:t>
      </w:r>
      <w:proofErr w:type="spellEnd"/>
      <w:r>
        <w:rPr>
          <w:szCs w:val="18"/>
        </w:rPr>
        <w:t xml:space="preserve"> </w:t>
      </w:r>
      <w:proofErr w:type="spellStart"/>
      <w:r>
        <w:rPr>
          <w:szCs w:val="18"/>
        </w:rPr>
        <w:t>Economic</w:t>
      </w:r>
      <w:proofErr w:type="spellEnd"/>
      <w:r>
        <w:rPr>
          <w:szCs w:val="18"/>
        </w:rPr>
        <w:t xml:space="preserve"> Resea</w:t>
      </w:r>
      <w:r w:rsidR="00612175">
        <w:rPr>
          <w:szCs w:val="18"/>
        </w:rPr>
        <w:t>r</w:t>
      </w:r>
      <w:r>
        <w:rPr>
          <w:szCs w:val="18"/>
        </w:rPr>
        <w:t>ch, gevraagd een verkenning uit te voeren naar hoe het LMM er in de toekomst uit zou moeten zien na het vervallen van het derogatiemeetnet. De uitgangspunten in deze verkenning zijn dat onder andere de methode van monitoring niet zal veranderen en de resultaten uit een aangepast LMM vergelijkbaar zullen zijn met de huidige gegevens die worden verzameld (minimale trendbreuk).</w:t>
      </w:r>
    </w:p>
    <w:p w:rsidR="001113A9" w:rsidP="007B7FC3" w:rsidRDefault="001113A9" w14:paraId="588F177C" w14:textId="77777777">
      <w:pPr>
        <w:rPr>
          <w:szCs w:val="18"/>
        </w:rPr>
      </w:pPr>
      <w:r>
        <w:rPr>
          <w:szCs w:val="18"/>
        </w:rPr>
        <w:t>In bijgevoegd rapport komt naar voren dat een aanpassing van het LMM nodig zal zijn om de betrouwbaarheid en zeggingskracht van het LMM te borgen, indien het derogatiemeetnet vervalt. Er zijn daarom drie varianten uitgewerkt die ieder voorzien in een aanvulling op het basismeetnet waarbij per variant de monitoring op grondsoortregio’s verder wordt verfijnd. Een verfijnde monitoring zou het mogelijk kunnen maken om meer gedifferentieerd beleid per grondsoortregio te kunnen voeren.</w:t>
      </w:r>
    </w:p>
    <w:p w:rsidRPr="004213FB" w:rsidR="001113A9" w:rsidP="007B7FC3" w:rsidRDefault="001113A9" w14:paraId="0484E769" w14:textId="5BCFB1A8">
      <w:pPr>
        <w:rPr>
          <w:szCs w:val="18"/>
        </w:rPr>
      </w:pPr>
      <w:r>
        <w:rPr>
          <w:szCs w:val="18"/>
        </w:rPr>
        <w:t>Hoewel ik mij blijf inzetten voor een nieuwe derogatie, biedt deze verkenning ook inzichten voor mogelijke verfijning van het LMM indien het derogatiemeetnet wel blijft bestaan. Momenteel breng ik de voor- en nadelen van deze varianten in kaart, zowel voor een situatie waarin het derogatiemeetnet blijft bestaan als een situatie waarin deze komt te vervallen. Hierbij bekijk ik variant 2, met een verdere verfijning van de monitoring in de Zandregio, met interesse. Te zijner tijd zal ik uw Kamer informeren over de gemaakte keuze voor de toekomstige inrichting van het LMM</w:t>
      </w:r>
      <w:r w:rsidR="006664D9">
        <w:rPr>
          <w:szCs w:val="18"/>
        </w:rPr>
        <w:t>, waarbij ik ook de motie</w:t>
      </w:r>
      <w:r w:rsidR="007B7FC3">
        <w:rPr>
          <w:szCs w:val="18"/>
        </w:rPr>
        <w:t>-Van der</w:t>
      </w:r>
      <w:r w:rsidR="006664D9">
        <w:rPr>
          <w:szCs w:val="18"/>
        </w:rPr>
        <w:t xml:space="preserve"> Plas zal betrekken (TK 33037, nr. 505)</w:t>
      </w:r>
      <w:r>
        <w:rPr>
          <w:szCs w:val="18"/>
        </w:rPr>
        <w:t>. Hierbij staat voorop dat monitoring van de waterkwaliteit en landbouwpraktijk moet voldoen aan de eisen die worden gesteld vanuit de Nitraatrichtlijn en bruikbaar moet zijn voor het maken van beleid.</w:t>
      </w:r>
    </w:p>
    <w:p w:rsidR="009725C4" w:rsidP="007B7FC3" w:rsidRDefault="009725C4" w14:paraId="739321D4" w14:textId="77777777"/>
    <w:p w:rsidRPr="00AA015E" w:rsidR="000B3039" w:rsidP="007B7FC3" w:rsidRDefault="000B3039" w14:paraId="6D398CEC" w14:textId="3791AAC2">
      <w:pPr>
        <w:rPr>
          <w:i/>
          <w:iCs/>
        </w:rPr>
      </w:pPr>
      <w:bookmarkStart w:name="_Hlk191913256" w:id="6"/>
      <w:r w:rsidRPr="00AA015E">
        <w:rPr>
          <w:i/>
          <w:iCs/>
        </w:rPr>
        <w:t>Gebruik van dierlijke mest in de tuinbouw- en akkerbouwsectoren</w:t>
      </w:r>
    </w:p>
    <w:p w:rsidR="000B3039" w:rsidP="007B7FC3" w:rsidRDefault="000B3039" w14:paraId="53E01EA9" w14:textId="699DF369">
      <w:bookmarkStart w:name="_Hlk191913118" w:id="7"/>
      <w:bookmarkEnd w:id="6"/>
      <w:r>
        <w:t xml:space="preserve">De motie van het lid Nijhof-Leeuw inzake het gebruik van dierlijke mest in de tuinbouw- en akkerbouwsectoren, ingediend tijdens het Tweeminutendebat mestbeleid van 19 december 2024, verzoekt mij om in overleg te gaan </w:t>
      </w:r>
      <w:r w:rsidRPr="004514E7">
        <w:t>met de veehouderij-, de akkerbouw- en de tuinbouwsector zodat er afspraken gemaakt kunnen worden om de inzet van dierlijke mest te verhogen en tot vermindering van het gebruik van kunstmest te komen</w:t>
      </w:r>
      <w:r>
        <w:t xml:space="preserve"> (Kamerstuk 33037, nr. 577). </w:t>
      </w:r>
      <w:bookmarkEnd w:id="7"/>
      <w:r>
        <w:t xml:space="preserve">In aanloop naar de op 13 september jl. aan uw Kamer gestuurde aanpak mestmarkt heb ik met de </w:t>
      </w:r>
      <w:r w:rsidR="009A3536">
        <w:t>tuin- en akkerbouw</w:t>
      </w:r>
      <w:r>
        <w:t xml:space="preserve">sector gesproken over de mogelijkheden voor het gebruik van dierlijke mest in plaats van kunstmest, aangezien ik dat een goede ontwikkeling vind. Recentelijk heb ik </w:t>
      </w:r>
      <w:bookmarkStart w:name="_Hlk191913175" w:id="8"/>
      <w:r>
        <w:t xml:space="preserve">in een overleg met de tuinbouw- en akkerbouwsectoren opnieuw het belang benadrukt van het gebruik van dierlijke mest </w:t>
      </w:r>
      <w:bookmarkEnd w:id="8"/>
      <w:r>
        <w:t>en hen gevraagd de mogelijkheden hiertoe zo veel als mogelijk te benutten. Hiermee beschouw ik de motie als afgedaan</w:t>
      </w:r>
      <w:r w:rsidR="005E5D5F">
        <w:t>.</w:t>
      </w:r>
      <w:r>
        <w:t xml:space="preserve"> </w:t>
      </w:r>
    </w:p>
    <w:p w:rsidR="000B3039" w:rsidP="007B7FC3" w:rsidRDefault="000B3039" w14:paraId="39B724B2" w14:textId="77777777"/>
    <w:p w:rsidR="00584BAC" w:rsidP="007B7FC3" w:rsidRDefault="00267D63" w14:paraId="64726DF6" w14:textId="77777777">
      <w:r>
        <w:t>Hoogachtend,</w:t>
      </w:r>
    </w:p>
    <w:p w:rsidRPr="00EC58D9" w:rsidR="00F71F9E" w:rsidP="007B7FC3" w:rsidRDefault="00F71F9E" w14:paraId="14F15887" w14:textId="77777777"/>
    <w:p w:rsidR="007239A1" w:rsidP="007B7FC3" w:rsidRDefault="007239A1" w14:paraId="09DDE493" w14:textId="77777777"/>
    <w:p w:rsidR="00445D6A" w:rsidP="007B7FC3" w:rsidRDefault="00445D6A" w14:paraId="1812D39D" w14:textId="77777777"/>
    <w:p w:rsidR="00445D6A" w:rsidP="007B7FC3" w:rsidRDefault="00445D6A" w14:paraId="6FD134EE" w14:textId="77777777"/>
    <w:p w:rsidRPr="006A15A5" w:rsidR="007239A1" w:rsidP="007B7FC3" w:rsidRDefault="00267D63" w14:paraId="4B52FB24" w14:textId="77777777">
      <w:pPr>
        <w:rPr>
          <w:szCs w:val="18"/>
        </w:rPr>
      </w:pPr>
      <w:r w:rsidRPr="00B11DD6">
        <w:t>Femke Marije Wiersma</w:t>
      </w:r>
    </w:p>
    <w:p w:rsidRPr="00B95FAA" w:rsidR="00144B73" w:rsidP="007B7FC3" w:rsidRDefault="00267D63" w14:paraId="2CC81738" w14:textId="1B0F23C7">
      <w:r w:rsidRPr="00EC58D9">
        <w:t xml:space="preserve">Minister van </w:t>
      </w:r>
      <w:r w:rsidR="00704E60">
        <w:rPr>
          <w:rFonts w:cs="Calibri"/>
          <w:szCs w:val="18"/>
        </w:rPr>
        <w:t>Landbouw, Visserij, Voedselzekerheid en Natuur</w:t>
      </w:r>
    </w:p>
    <w:sectPr w:rsidRPr="00B95FAA"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4E26" w14:textId="77777777" w:rsidR="00EB6583" w:rsidRDefault="00EB6583">
      <w:r>
        <w:separator/>
      </w:r>
    </w:p>
    <w:p w14:paraId="5785BC67" w14:textId="77777777" w:rsidR="00EB6583" w:rsidRDefault="00EB6583"/>
  </w:endnote>
  <w:endnote w:type="continuationSeparator" w:id="0">
    <w:p w14:paraId="61F1003A" w14:textId="77777777" w:rsidR="00EB6583" w:rsidRDefault="00EB6583">
      <w:r>
        <w:continuationSeparator/>
      </w:r>
    </w:p>
    <w:p w14:paraId="75A2A342" w14:textId="77777777" w:rsidR="00EB6583" w:rsidRDefault="00EB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BC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5FCB" w14:paraId="733A8A39" w14:textId="77777777" w:rsidTr="00CA6A25">
      <w:trPr>
        <w:trHeight w:hRule="exact" w:val="240"/>
      </w:trPr>
      <w:tc>
        <w:tcPr>
          <w:tcW w:w="7601" w:type="dxa"/>
          <w:shd w:val="clear" w:color="auto" w:fill="auto"/>
        </w:tcPr>
        <w:p w14:paraId="162EB040" w14:textId="77777777" w:rsidR="00527BD4" w:rsidRDefault="00527BD4" w:rsidP="003F1F6B">
          <w:pPr>
            <w:pStyle w:val="Huisstijl-Rubricering"/>
          </w:pPr>
        </w:p>
      </w:tc>
      <w:tc>
        <w:tcPr>
          <w:tcW w:w="2156" w:type="dxa"/>
        </w:tcPr>
        <w:p w14:paraId="182C36AF" w14:textId="3C2D4777" w:rsidR="00527BD4" w:rsidRPr="00645414" w:rsidRDefault="00267D6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45D6A">
            <w:t>6</w:t>
          </w:r>
          <w:r w:rsidR="00144B73">
            <w:fldChar w:fldCharType="end"/>
          </w:r>
        </w:p>
      </w:tc>
    </w:tr>
  </w:tbl>
  <w:p w14:paraId="27D5A4D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5FCB" w14:paraId="6AF09590" w14:textId="77777777" w:rsidTr="00CA6A25">
      <w:trPr>
        <w:trHeight w:hRule="exact" w:val="240"/>
      </w:trPr>
      <w:tc>
        <w:tcPr>
          <w:tcW w:w="7601" w:type="dxa"/>
          <w:shd w:val="clear" w:color="auto" w:fill="auto"/>
        </w:tcPr>
        <w:p w14:paraId="71136469" w14:textId="77777777" w:rsidR="00527BD4" w:rsidRDefault="00527BD4" w:rsidP="008C356D">
          <w:pPr>
            <w:pStyle w:val="Huisstijl-Rubricering"/>
          </w:pPr>
        </w:p>
      </w:tc>
      <w:tc>
        <w:tcPr>
          <w:tcW w:w="2170" w:type="dxa"/>
        </w:tcPr>
        <w:p w14:paraId="0FFFFF44" w14:textId="443F143D" w:rsidR="00527BD4" w:rsidRPr="00ED539E" w:rsidRDefault="00267D6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45D6A">
            <w:t>6</w:t>
          </w:r>
          <w:r w:rsidR="00144B73">
            <w:fldChar w:fldCharType="end"/>
          </w:r>
        </w:p>
      </w:tc>
    </w:tr>
  </w:tbl>
  <w:p w14:paraId="2AA6A88E" w14:textId="77777777" w:rsidR="00527BD4" w:rsidRPr="00BC3B53" w:rsidRDefault="00527BD4" w:rsidP="008C356D">
    <w:pPr>
      <w:pStyle w:val="Voettekst"/>
      <w:spacing w:line="240" w:lineRule="auto"/>
      <w:rPr>
        <w:sz w:val="2"/>
        <w:szCs w:val="2"/>
      </w:rPr>
    </w:pPr>
  </w:p>
  <w:p w14:paraId="569D11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BC7F" w14:textId="77777777" w:rsidR="00EB6583" w:rsidRDefault="00EB6583">
      <w:r>
        <w:separator/>
      </w:r>
    </w:p>
    <w:p w14:paraId="2E2C121B" w14:textId="77777777" w:rsidR="00EB6583" w:rsidRDefault="00EB6583"/>
  </w:footnote>
  <w:footnote w:type="continuationSeparator" w:id="0">
    <w:p w14:paraId="25AA58D7" w14:textId="77777777" w:rsidR="00EB6583" w:rsidRDefault="00EB6583">
      <w:r>
        <w:continuationSeparator/>
      </w:r>
    </w:p>
    <w:p w14:paraId="131EE622" w14:textId="77777777" w:rsidR="00EB6583" w:rsidRDefault="00EB6583"/>
  </w:footnote>
  <w:footnote w:id="1">
    <w:p w14:paraId="0D2618FE" w14:textId="359EE917" w:rsidR="002E29AD" w:rsidRDefault="002E29AD">
      <w:pPr>
        <w:pStyle w:val="Voetnoottekst"/>
      </w:pPr>
      <w:r>
        <w:rPr>
          <w:rStyle w:val="Voetnootmarkering"/>
        </w:rPr>
        <w:footnoteRef/>
      </w:r>
      <w:r>
        <w:t xml:space="preserve"> Kamerstuk 33037, nr. 559</w:t>
      </w:r>
    </w:p>
  </w:footnote>
  <w:footnote w:id="2">
    <w:p w14:paraId="217F85FC" w14:textId="0F022FCA" w:rsidR="0025592C" w:rsidRPr="007B7FC3" w:rsidRDefault="0025592C">
      <w:pPr>
        <w:pStyle w:val="Voetnoottekst"/>
      </w:pPr>
      <w:r>
        <w:rPr>
          <w:rStyle w:val="Voetnootmarkering"/>
        </w:rPr>
        <w:footnoteRef/>
      </w:r>
      <w:r>
        <w:t xml:space="preserve"> </w:t>
      </w:r>
      <w:r w:rsidRPr="0025592C">
        <w:t>Kamerstuk 33037, nr. 577</w:t>
      </w:r>
    </w:p>
  </w:footnote>
  <w:footnote w:id="3">
    <w:p w14:paraId="0B1F068E" w14:textId="1A0CB300" w:rsidR="00EE595B" w:rsidRDefault="00EE595B">
      <w:pPr>
        <w:pStyle w:val="Voetnoottekst"/>
      </w:pPr>
      <w:r>
        <w:rPr>
          <w:rStyle w:val="Voetnootmarkering"/>
        </w:rPr>
        <w:footnoteRef/>
      </w:r>
      <w:r>
        <w:t xml:space="preserve"> Kamerstuk 2025 Z 01952</w:t>
      </w:r>
    </w:p>
  </w:footnote>
  <w:footnote w:id="4">
    <w:p w14:paraId="3DF14852" w14:textId="67775A79" w:rsidR="002D7509" w:rsidRDefault="002D7509">
      <w:pPr>
        <w:pStyle w:val="Voetnoottekst"/>
      </w:pPr>
      <w:r>
        <w:rPr>
          <w:rStyle w:val="Voetnootmarkering"/>
        </w:rPr>
        <w:footnoteRef/>
      </w:r>
      <w:r>
        <w:t xml:space="preserve"> Kamerstuk </w:t>
      </w:r>
      <w:r w:rsidRPr="00F7426F">
        <w:rPr>
          <w:szCs w:val="18"/>
        </w:rPr>
        <w:t>33</w:t>
      </w:r>
      <w:r>
        <w:rPr>
          <w:szCs w:val="18"/>
        </w:rPr>
        <w:t xml:space="preserve"> </w:t>
      </w:r>
      <w:r w:rsidRPr="00F7426F">
        <w:rPr>
          <w:szCs w:val="18"/>
        </w:rPr>
        <w:t>037</w:t>
      </w:r>
      <w:r>
        <w:rPr>
          <w:szCs w:val="18"/>
        </w:rPr>
        <w:t xml:space="preserve">, nr. </w:t>
      </w:r>
      <w:r w:rsidRPr="00F7426F">
        <w:rPr>
          <w:szCs w:val="18"/>
        </w:rPr>
        <w:t>573</w:t>
      </w:r>
    </w:p>
  </w:footnote>
  <w:footnote w:id="5">
    <w:p w14:paraId="48638833" w14:textId="4DB4AE8B" w:rsidR="002D7509" w:rsidRDefault="002D7509">
      <w:pPr>
        <w:pStyle w:val="Voetnoottekst"/>
      </w:pPr>
      <w:r>
        <w:rPr>
          <w:rStyle w:val="Voetnootmarkering"/>
        </w:rPr>
        <w:footnoteRef/>
      </w:r>
      <w:r>
        <w:t xml:space="preserve"> </w:t>
      </w:r>
      <w:r w:rsidRPr="005B1DA2">
        <w:t xml:space="preserve">Kamerstuk </w:t>
      </w:r>
      <w:r w:rsidRPr="005B1DA2">
        <w:rPr>
          <w:szCs w:val="18"/>
        </w:rPr>
        <w:t>TZ202410-198</w:t>
      </w:r>
    </w:p>
  </w:footnote>
  <w:footnote w:id="6">
    <w:p w14:paraId="4324F8BD" w14:textId="4CB5EBE6" w:rsidR="00D825E7" w:rsidRPr="0025592C" w:rsidRDefault="00D825E7">
      <w:pPr>
        <w:pStyle w:val="Voetnoottekst"/>
      </w:pPr>
      <w:r>
        <w:rPr>
          <w:rStyle w:val="Voetnootmarkering"/>
        </w:rPr>
        <w:footnoteRef/>
      </w:r>
      <w:r>
        <w:t xml:space="preserve"> </w:t>
      </w:r>
      <w:r w:rsidRPr="0025592C">
        <w:t>Kamerstuk 30 037-553</w:t>
      </w:r>
    </w:p>
  </w:footnote>
  <w:footnote w:id="7">
    <w:p w14:paraId="63B61CD6" w14:textId="501BEE63" w:rsidR="0025592C" w:rsidRPr="007B7FC3" w:rsidRDefault="0025592C">
      <w:pPr>
        <w:pStyle w:val="Voetnoottekst"/>
      </w:pPr>
      <w:r>
        <w:rPr>
          <w:rStyle w:val="Voetnootmarkering"/>
        </w:rPr>
        <w:footnoteRef/>
      </w:r>
      <w:r>
        <w:t xml:space="preserve"> </w:t>
      </w:r>
      <w:r w:rsidRPr="007B7FC3">
        <w:t>TZ202411-023</w:t>
      </w:r>
    </w:p>
  </w:footnote>
  <w:footnote w:id="8">
    <w:p w14:paraId="11506DD3" w14:textId="0928BEFF" w:rsidR="002D7509" w:rsidRDefault="002D7509">
      <w:pPr>
        <w:pStyle w:val="Voetnoottekst"/>
      </w:pPr>
      <w:r>
        <w:rPr>
          <w:rStyle w:val="Voetnootmarkering"/>
        </w:rPr>
        <w:footnoteRef/>
      </w:r>
      <w:r>
        <w:t xml:space="preserve"> Kamerstuk </w:t>
      </w:r>
      <w:r w:rsidRPr="00EE4777">
        <w:t>33037, nr. 570</w:t>
      </w:r>
    </w:p>
  </w:footnote>
  <w:footnote w:id="9">
    <w:p w14:paraId="60D58720" w14:textId="26C41C00" w:rsidR="005511B9" w:rsidRDefault="005511B9">
      <w:pPr>
        <w:pStyle w:val="Voetnoottekst"/>
      </w:pPr>
      <w:r>
        <w:rPr>
          <w:rStyle w:val="Voetnootmarkering"/>
        </w:rPr>
        <w:footnoteRef/>
      </w:r>
      <w:r>
        <w:t xml:space="preserve"> </w:t>
      </w:r>
      <w:proofErr w:type="spellStart"/>
      <w:r w:rsidR="00696A6A">
        <w:t>Stcrt</w:t>
      </w:r>
      <w:proofErr w:type="spellEnd"/>
      <w:r w:rsidR="00696A6A">
        <w:t>. 2024, 41564</w:t>
      </w:r>
    </w:p>
  </w:footnote>
  <w:footnote w:id="10">
    <w:p w14:paraId="7A0AC20B" w14:textId="266F605B" w:rsidR="00D56D05" w:rsidRDefault="00D56D05" w:rsidP="00D56D05">
      <w:pPr>
        <w:pStyle w:val="Voetnoottekst"/>
      </w:pPr>
      <w:r>
        <w:rPr>
          <w:rStyle w:val="Voetnootmarkering"/>
        </w:rPr>
        <w:footnoteRef/>
      </w:r>
      <w:r>
        <w:t xml:space="preserve"> </w:t>
      </w:r>
      <w:r w:rsidR="00D34606">
        <w:t>Kamerstuk 2024 D 37250</w:t>
      </w:r>
    </w:p>
  </w:footnote>
  <w:footnote w:id="11">
    <w:p w14:paraId="1CDEEC5F" w14:textId="77777777" w:rsidR="008D2C0E" w:rsidRDefault="008D2C0E" w:rsidP="008D2C0E">
      <w:pPr>
        <w:pStyle w:val="Voetnoottekst"/>
      </w:pPr>
      <w:r w:rsidRPr="005511B9">
        <w:rPr>
          <w:rStyle w:val="Voetnootmarkering"/>
        </w:rPr>
        <w:footnoteRef/>
      </w:r>
      <w:r w:rsidRPr="005511B9">
        <w:t xml:space="preserve"> Kamerstuk </w:t>
      </w:r>
      <w:r>
        <w:t>33037, nr. 527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5FCB" w14:paraId="4A9E9C00" w14:textId="77777777" w:rsidTr="00A50CF6">
      <w:tc>
        <w:tcPr>
          <w:tcW w:w="2156" w:type="dxa"/>
          <w:shd w:val="clear" w:color="auto" w:fill="auto"/>
        </w:tcPr>
        <w:p w14:paraId="2FD99E67" w14:textId="77777777" w:rsidR="00527BD4" w:rsidRPr="005819CE" w:rsidRDefault="00267D63" w:rsidP="00A50CF6">
          <w:pPr>
            <w:pStyle w:val="Huisstijl-Adres"/>
            <w:rPr>
              <w:b/>
            </w:rPr>
          </w:pPr>
          <w:r>
            <w:rPr>
              <w:b/>
            </w:rPr>
            <w:t>Directoraat-generaal Agro</w:t>
          </w:r>
          <w:r w:rsidRPr="005819CE">
            <w:rPr>
              <w:b/>
            </w:rPr>
            <w:br/>
          </w:r>
        </w:p>
      </w:tc>
    </w:tr>
    <w:tr w:rsidR="005E5FCB" w14:paraId="6B5D93CB" w14:textId="77777777" w:rsidTr="00A50CF6">
      <w:trPr>
        <w:trHeight w:hRule="exact" w:val="200"/>
      </w:trPr>
      <w:tc>
        <w:tcPr>
          <w:tcW w:w="2156" w:type="dxa"/>
          <w:shd w:val="clear" w:color="auto" w:fill="auto"/>
        </w:tcPr>
        <w:p w14:paraId="41D389E3" w14:textId="77777777" w:rsidR="00527BD4" w:rsidRPr="005819CE" w:rsidRDefault="00527BD4" w:rsidP="00A50CF6"/>
      </w:tc>
    </w:tr>
    <w:tr w:rsidR="005E5FCB" w14:paraId="2D2E6219" w14:textId="77777777" w:rsidTr="00502512">
      <w:trPr>
        <w:trHeight w:hRule="exact" w:val="774"/>
      </w:trPr>
      <w:tc>
        <w:tcPr>
          <w:tcW w:w="2156" w:type="dxa"/>
          <w:shd w:val="clear" w:color="auto" w:fill="auto"/>
        </w:tcPr>
        <w:p w14:paraId="7FFBB3C6" w14:textId="77777777" w:rsidR="00527BD4" w:rsidRDefault="00267D63" w:rsidP="003A5290">
          <w:pPr>
            <w:pStyle w:val="Huisstijl-Kopje"/>
          </w:pPr>
          <w:r>
            <w:t>Ons kenmerk</w:t>
          </w:r>
        </w:p>
        <w:p w14:paraId="762CBBD2" w14:textId="77777777" w:rsidR="00527BD4" w:rsidRPr="005819CE" w:rsidRDefault="00267D63" w:rsidP="001E6117">
          <w:pPr>
            <w:pStyle w:val="Huisstijl-Kopje"/>
          </w:pPr>
          <w:r>
            <w:rPr>
              <w:b w:val="0"/>
            </w:rPr>
            <w:t>DGA</w:t>
          </w:r>
          <w:r w:rsidRPr="00502512">
            <w:rPr>
              <w:b w:val="0"/>
            </w:rPr>
            <w:t xml:space="preserve"> / </w:t>
          </w:r>
          <w:r>
            <w:rPr>
              <w:b w:val="0"/>
            </w:rPr>
            <w:t>97311203</w:t>
          </w:r>
        </w:p>
      </w:tc>
    </w:tr>
  </w:tbl>
  <w:p w14:paraId="677627D4" w14:textId="77777777" w:rsidR="00527BD4" w:rsidRDefault="00527BD4" w:rsidP="008C356D"/>
  <w:p w14:paraId="3AE2EC8C" w14:textId="77777777" w:rsidR="00527BD4" w:rsidRPr="00740712" w:rsidRDefault="00527BD4" w:rsidP="008C356D"/>
  <w:p w14:paraId="44D452C2" w14:textId="77777777" w:rsidR="00527BD4" w:rsidRDefault="00527BD4" w:rsidP="004F44C2"/>
  <w:p w14:paraId="2077BB57" w14:textId="77777777" w:rsidR="00527BD4" w:rsidRPr="00740712" w:rsidRDefault="00527BD4" w:rsidP="004F44C2"/>
  <w:p w14:paraId="2C5AAA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5FCB" w14:paraId="3F69AC46" w14:textId="77777777" w:rsidTr="00751A6A">
      <w:trPr>
        <w:trHeight w:val="2636"/>
      </w:trPr>
      <w:tc>
        <w:tcPr>
          <w:tcW w:w="737" w:type="dxa"/>
          <w:shd w:val="clear" w:color="auto" w:fill="auto"/>
        </w:tcPr>
        <w:p w14:paraId="6666887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8F3826" w14:textId="77777777" w:rsidR="00527BD4" w:rsidRDefault="00267D6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3DDB108" wp14:editId="4ADD682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402C22F" w14:textId="77777777" w:rsidR="00527BD4" w:rsidRDefault="00527BD4" w:rsidP="00D0609E">
    <w:pPr>
      <w:framePr w:w="6340" w:h="2750" w:hRule="exact" w:hSpace="180" w:wrap="around" w:vAnchor="page" w:hAnchor="text" w:x="3873" w:y="-140"/>
    </w:pPr>
  </w:p>
  <w:p w14:paraId="08E06D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5FCB" w14:paraId="5C7DF974" w14:textId="77777777" w:rsidTr="00A50CF6">
      <w:tc>
        <w:tcPr>
          <w:tcW w:w="2160" w:type="dxa"/>
          <w:shd w:val="clear" w:color="auto" w:fill="auto"/>
        </w:tcPr>
        <w:p w14:paraId="24CB0FFB" w14:textId="77777777" w:rsidR="00527BD4" w:rsidRPr="005819CE" w:rsidRDefault="00267D63" w:rsidP="00A50CF6">
          <w:pPr>
            <w:pStyle w:val="Huisstijl-Adres"/>
            <w:rPr>
              <w:b/>
            </w:rPr>
          </w:pPr>
          <w:r>
            <w:rPr>
              <w:b/>
            </w:rPr>
            <w:t>Directoraat-generaal Agro</w:t>
          </w:r>
          <w:r w:rsidRPr="005819CE">
            <w:rPr>
              <w:b/>
            </w:rPr>
            <w:br/>
          </w:r>
        </w:p>
        <w:p w14:paraId="1D30D5B8" w14:textId="77777777" w:rsidR="00527BD4" w:rsidRPr="00BE5ED9" w:rsidRDefault="00267D63" w:rsidP="00A50CF6">
          <w:pPr>
            <w:pStyle w:val="Huisstijl-Adres"/>
          </w:pPr>
          <w:r>
            <w:rPr>
              <w:b/>
            </w:rPr>
            <w:t>Bezoekadres</w:t>
          </w:r>
          <w:r>
            <w:rPr>
              <w:b/>
            </w:rPr>
            <w:br/>
          </w:r>
          <w:r>
            <w:t>Bezuidenhoutseweg 73</w:t>
          </w:r>
          <w:r w:rsidRPr="005819CE">
            <w:br/>
          </w:r>
          <w:r>
            <w:t>2594 AC Den Haag</w:t>
          </w:r>
        </w:p>
        <w:p w14:paraId="7583BCE5" w14:textId="77777777" w:rsidR="00EF495B" w:rsidRDefault="00267D63" w:rsidP="0098788A">
          <w:pPr>
            <w:pStyle w:val="Huisstijl-Adres"/>
          </w:pPr>
          <w:r>
            <w:rPr>
              <w:b/>
            </w:rPr>
            <w:t>Postadres</w:t>
          </w:r>
          <w:r>
            <w:rPr>
              <w:b/>
            </w:rPr>
            <w:br/>
          </w:r>
          <w:r>
            <w:t>Postbus 20401</w:t>
          </w:r>
          <w:r w:rsidRPr="005819CE">
            <w:br/>
            <w:t>2500 E</w:t>
          </w:r>
          <w:r>
            <w:t>K</w:t>
          </w:r>
          <w:r w:rsidRPr="005819CE">
            <w:t xml:space="preserve"> Den Haag</w:t>
          </w:r>
        </w:p>
        <w:p w14:paraId="59F2A137" w14:textId="77777777" w:rsidR="00556BEE" w:rsidRPr="005B3814" w:rsidRDefault="00267D63" w:rsidP="0098788A">
          <w:pPr>
            <w:pStyle w:val="Huisstijl-Adres"/>
          </w:pPr>
          <w:r>
            <w:rPr>
              <w:b/>
            </w:rPr>
            <w:t>Overheidsidentificatienr</w:t>
          </w:r>
          <w:r>
            <w:rPr>
              <w:b/>
            </w:rPr>
            <w:br/>
          </w:r>
          <w:r w:rsidR="00BA129E">
            <w:rPr>
              <w:rFonts w:cs="Agrofont"/>
              <w:iCs/>
            </w:rPr>
            <w:t>00000001858272854000</w:t>
          </w:r>
        </w:p>
        <w:p w14:paraId="1DE104B3" w14:textId="7EA9F25A" w:rsidR="00527BD4" w:rsidRPr="007B7FC3" w:rsidRDefault="00267D6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E5FCB" w14:paraId="5A14AEB0" w14:textId="77777777" w:rsidTr="007B7FC3">
      <w:trPr>
        <w:trHeight w:hRule="exact" w:val="80"/>
      </w:trPr>
      <w:tc>
        <w:tcPr>
          <w:tcW w:w="2160" w:type="dxa"/>
          <w:shd w:val="clear" w:color="auto" w:fill="auto"/>
        </w:tcPr>
        <w:p w14:paraId="67D7BA58" w14:textId="77777777" w:rsidR="00527BD4" w:rsidRPr="005819CE" w:rsidRDefault="00527BD4" w:rsidP="00A50CF6"/>
      </w:tc>
    </w:tr>
    <w:tr w:rsidR="005E5FCB" w14:paraId="0BA40F03" w14:textId="77777777" w:rsidTr="00A50CF6">
      <w:tc>
        <w:tcPr>
          <w:tcW w:w="2160" w:type="dxa"/>
          <w:shd w:val="clear" w:color="auto" w:fill="auto"/>
        </w:tcPr>
        <w:p w14:paraId="667E8547" w14:textId="77777777" w:rsidR="000C0163" w:rsidRPr="005819CE" w:rsidRDefault="00267D63" w:rsidP="000C0163">
          <w:pPr>
            <w:pStyle w:val="Huisstijl-Kopje"/>
          </w:pPr>
          <w:r>
            <w:t>Ons kenmerk</w:t>
          </w:r>
          <w:r w:rsidRPr="005819CE">
            <w:t xml:space="preserve"> </w:t>
          </w:r>
        </w:p>
        <w:p w14:paraId="1ECBF1DA" w14:textId="77777777" w:rsidR="000C0163" w:rsidRPr="005819CE" w:rsidRDefault="00267D63" w:rsidP="000C0163">
          <w:pPr>
            <w:pStyle w:val="Huisstijl-Gegeven"/>
          </w:pPr>
          <w:r>
            <w:t>DGA /</w:t>
          </w:r>
          <w:r w:rsidR="00486354">
            <w:t xml:space="preserve"> </w:t>
          </w:r>
          <w:r>
            <w:t>97311203</w:t>
          </w:r>
        </w:p>
        <w:p w14:paraId="45669662" w14:textId="77777777" w:rsidR="00527BD4" w:rsidRPr="005819CE" w:rsidRDefault="00527BD4" w:rsidP="007B7FC3">
          <w:pPr>
            <w:pStyle w:val="Huisstijl-Kopje"/>
          </w:pPr>
        </w:p>
      </w:tc>
    </w:tr>
  </w:tbl>
  <w:p w14:paraId="2FE09EA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5FCB" w14:paraId="71704D49" w14:textId="77777777" w:rsidTr="009E2051">
      <w:trPr>
        <w:trHeight w:val="400"/>
      </w:trPr>
      <w:tc>
        <w:tcPr>
          <w:tcW w:w="7520" w:type="dxa"/>
          <w:gridSpan w:val="2"/>
          <w:shd w:val="clear" w:color="auto" w:fill="auto"/>
        </w:tcPr>
        <w:p w14:paraId="5733988D" w14:textId="77777777" w:rsidR="00527BD4" w:rsidRPr="00BC3B53" w:rsidRDefault="00267D63" w:rsidP="00A50CF6">
          <w:pPr>
            <w:pStyle w:val="Huisstijl-Retouradres"/>
          </w:pPr>
          <w:r>
            <w:t>&gt; Retouradres Postbus 20401 2500 EK Den Haag</w:t>
          </w:r>
        </w:p>
      </w:tc>
    </w:tr>
    <w:tr w:rsidR="005E5FCB" w14:paraId="69D43A2B" w14:textId="77777777" w:rsidTr="009E2051">
      <w:tc>
        <w:tcPr>
          <w:tcW w:w="7520" w:type="dxa"/>
          <w:gridSpan w:val="2"/>
          <w:shd w:val="clear" w:color="auto" w:fill="auto"/>
        </w:tcPr>
        <w:p w14:paraId="7C51D138" w14:textId="77777777" w:rsidR="00527BD4" w:rsidRPr="00983E8F" w:rsidRDefault="00527BD4" w:rsidP="00A50CF6">
          <w:pPr>
            <w:pStyle w:val="Huisstijl-Rubricering"/>
          </w:pPr>
        </w:p>
      </w:tc>
    </w:tr>
    <w:tr w:rsidR="005E5FCB" w14:paraId="5B62C1C7" w14:textId="77777777" w:rsidTr="009E2051">
      <w:trPr>
        <w:trHeight w:hRule="exact" w:val="2440"/>
      </w:trPr>
      <w:tc>
        <w:tcPr>
          <w:tcW w:w="7520" w:type="dxa"/>
          <w:gridSpan w:val="2"/>
          <w:shd w:val="clear" w:color="auto" w:fill="auto"/>
        </w:tcPr>
        <w:p w14:paraId="00C8C68B" w14:textId="77777777" w:rsidR="007B7FC3" w:rsidRDefault="002E25D3" w:rsidP="00A50CF6">
          <w:pPr>
            <w:pStyle w:val="Huisstijl-NAW"/>
          </w:pPr>
          <w:r w:rsidRPr="002E25D3">
            <w:t xml:space="preserve">De Voorzitter van de Tweede Kamer </w:t>
          </w:r>
        </w:p>
        <w:p w14:paraId="30265211" w14:textId="7AB159A3" w:rsidR="002E25D3" w:rsidRDefault="002E25D3" w:rsidP="00A50CF6">
          <w:pPr>
            <w:pStyle w:val="Huisstijl-NAW"/>
          </w:pPr>
          <w:r w:rsidRPr="002E25D3">
            <w:t xml:space="preserve">der Staten-Generaal </w:t>
          </w:r>
        </w:p>
        <w:p w14:paraId="1915D5A6" w14:textId="77777777" w:rsidR="002E25D3" w:rsidRDefault="002E25D3" w:rsidP="00A50CF6">
          <w:pPr>
            <w:pStyle w:val="Huisstijl-NAW"/>
          </w:pPr>
          <w:r w:rsidRPr="002E25D3">
            <w:t xml:space="preserve">Prinses Irenestraat 6 </w:t>
          </w:r>
        </w:p>
        <w:p w14:paraId="0DC861F6" w14:textId="6448990F" w:rsidR="002E29AD" w:rsidRDefault="002E25D3" w:rsidP="007B7FC3">
          <w:pPr>
            <w:pStyle w:val="Huisstijl-NAW"/>
          </w:pPr>
          <w:r w:rsidRPr="002E25D3">
            <w:t xml:space="preserve">2595 BD </w:t>
          </w:r>
          <w:r w:rsidR="007B7FC3">
            <w:t xml:space="preserve"> </w:t>
          </w:r>
          <w:r w:rsidRPr="002E25D3">
            <w:t>DEN HAAG</w:t>
          </w:r>
        </w:p>
      </w:tc>
    </w:tr>
    <w:tr w:rsidR="005E5FCB" w14:paraId="7A400B11" w14:textId="77777777" w:rsidTr="009E2051">
      <w:trPr>
        <w:trHeight w:hRule="exact" w:val="400"/>
      </w:trPr>
      <w:tc>
        <w:tcPr>
          <w:tcW w:w="7520" w:type="dxa"/>
          <w:gridSpan w:val="2"/>
          <w:shd w:val="clear" w:color="auto" w:fill="auto"/>
        </w:tcPr>
        <w:p w14:paraId="76B0DD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E5FCB" w14:paraId="3F81F1E8" w14:textId="77777777" w:rsidTr="009E2051">
      <w:trPr>
        <w:trHeight w:val="240"/>
      </w:trPr>
      <w:tc>
        <w:tcPr>
          <w:tcW w:w="900" w:type="dxa"/>
          <w:shd w:val="clear" w:color="auto" w:fill="auto"/>
        </w:tcPr>
        <w:p w14:paraId="05F5902D" w14:textId="77777777" w:rsidR="00527BD4" w:rsidRPr="00445D6A" w:rsidRDefault="00267D63" w:rsidP="00A50CF6">
          <w:pPr>
            <w:rPr>
              <w:szCs w:val="18"/>
            </w:rPr>
          </w:pPr>
          <w:r w:rsidRPr="00445D6A">
            <w:rPr>
              <w:szCs w:val="18"/>
            </w:rPr>
            <w:t>Datum</w:t>
          </w:r>
        </w:p>
      </w:tc>
      <w:tc>
        <w:tcPr>
          <w:tcW w:w="6620" w:type="dxa"/>
          <w:shd w:val="clear" w:color="auto" w:fill="auto"/>
        </w:tcPr>
        <w:p w14:paraId="38A8D1B5" w14:textId="24E430DC" w:rsidR="00527BD4" w:rsidRPr="00445D6A" w:rsidRDefault="00445D6A" w:rsidP="00A50CF6">
          <w:r w:rsidRPr="00445D6A">
            <w:t>7 maart 2025</w:t>
          </w:r>
        </w:p>
      </w:tc>
    </w:tr>
    <w:tr w:rsidR="005E5FCB" w14:paraId="3128CB30" w14:textId="77777777" w:rsidTr="009E2051">
      <w:trPr>
        <w:trHeight w:val="240"/>
      </w:trPr>
      <w:tc>
        <w:tcPr>
          <w:tcW w:w="900" w:type="dxa"/>
          <w:shd w:val="clear" w:color="auto" w:fill="auto"/>
        </w:tcPr>
        <w:p w14:paraId="772A335C" w14:textId="77777777" w:rsidR="00527BD4" w:rsidRPr="007709EF" w:rsidRDefault="00267D63" w:rsidP="00A50CF6">
          <w:pPr>
            <w:rPr>
              <w:szCs w:val="18"/>
            </w:rPr>
          </w:pPr>
          <w:r>
            <w:rPr>
              <w:szCs w:val="18"/>
            </w:rPr>
            <w:t>Betreft</w:t>
          </w:r>
        </w:p>
      </w:tc>
      <w:tc>
        <w:tcPr>
          <w:tcW w:w="6620" w:type="dxa"/>
          <w:shd w:val="clear" w:color="auto" w:fill="auto"/>
        </w:tcPr>
        <w:p w14:paraId="290147B6" w14:textId="467631D2" w:rsidR="00527BD4" w:rsidRPr="007709EF" w:rsidRDefault="00267D63" w:rsidP="00A50CF6">
          <w:r>
            <w:t xml:space="preserve">Voortgang </w:t>
          </w:r>
          <w:r w:rsidR="00C87999">
            <w:t>van</w:t>
          </w:r>
          <w:r>
            <w:t xml:space="preserve"> diverse onderwerpen van het mestbeleid</w:t>
          </w:r>
        </w:p>
      </w:tc>
    </w:tr>
  </w:tbl>
  <w:p w14:paraId="0507C18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3A5B2A">
      <w:start w:val="1"/>
      <w:numFmt w:val="bullet"/>
      <w:pStyle w:val="Lijstopsomteken"/>
      <w:lvlText w:val="•"/>
      <w:lvlJc w:val="left"/>
      <w:pPr>
        <w:tabs>
          <w:tab w:val="num" w:pos="227"/>
        </w:tabs>
        <w:ind w:left="227" w:hanging="227"/>
      </w:pPr>
      <w:rPr>
        <w:rFonts w:ascii="Verdana" w:hAnsi="Verdana" w:hint="default"/>
        <w:sz w:val="18"/>
        <w:szCs w:val="18"/>
      </w:rPr>
    </w:lvl>
    <w:lvl w:ilvl="1" w:tplc="EB4ED87A" w:tentative="1">
      <w:start w:val="1"/>
      <w:numFmt w:val="bullet"/>
      <w:lvlText w:val="o"/>
      <w:lvlJc w:val="left"/>
      <w:pPr>
        <w:tabs>
          <w:tab w:val="num" w:pos="1440"/>
        </w:tabs>
        <w:ind w:left="1440" w:hanging="360"/>
      </w:pPr>
      <w:rPr>
        <w:rFonts w:ascii="Courier New" w:hAnsi="Courier New" w:cs="Courier New" w:hint="default"/>
      </w:rPr>
    </w:lvl>
    <w:lvl w:ilvl="2" w:tplc="55D4F98E" w:tentative="1">
      <w:start w:val="1"/>
      <w:numFmt w:val="bullet"/>
      <w:lvlText w:val=""/>
      <w:lvlJc w:val="left"/>
      <w:pPr>
        <w:tabs>
          <w:tab w:val="num" w:pos="2160"/>
        </w:tabs>
        <w:ind w:left="2160" w:hanging="360"/>
      </w:pPr>
      <w:rPr>
        <w:rFonts w:ascii="Wingdings" w:hAnsi="Wingdings" w:hint="default"/>
      </w:rPr>
    </w:lvl>
    <w:lvl w:ilvl="3" w:tplc="46C68380" w:tentative="1">
      <w:start w:val="1"/>
      <w:numFmt w:val="bullet"/>
      <w:lvlText w:val=""/>
      <w:lvlJc w:val="left"/>
      <w:pPr>
        <w:tabs>
          <w:tab w:val="num" w:pos="2880"/>
        </w:tabs>
        <w:ind w:left="2880" w:hanging="360"/>
      </w:pPr>
      <w:rPr>
        <w:rFonts w:ascii="Symbol" w:hAnsi="Symbol" w:hint="default"/>
      </w:rPr>
    </w:lvl>
    <w:lvl w:ilvl="4" w:tplc="30C4303E" w:tentative="1">
      <w:start w:val="1"/>
      <w:numFmt w:val="bullet"/>
      <w:lvlText w:val="o"/>
      <w:lvlJc w:val="left"/>
      <w:pPr>
        <w:tabs>
          <w:tab w:val="num" w:pos="3600"/>
        </w:tabs>
        <w:ind w:left="3600" w:hanging="360"/>
      </w:pPr>
      <w:rPr>
        <w:rFonts w:ascii="Courier New" w:hAnsi="Courier New" w:cs="Courier New" w:hint="default"/>
      </w:rPr>
    </w:lvl>
    <w:lvl w:ilvl="5" w:tplc="33A82654" w:tentative="1">
      <w:start w:val="1"/>
      <w:numFmt w:val="bullet"/>
      <w:lvlText w:val=""/>
      <w:lvlJc w:val="left"/>
      <w:pPr>
        <w:tabs>
          <w:tab w:val="num" w:pos="4320"/>
        </w:tabs>
        <w:ind w:left="4320" w:hanging="360"/>
      </w:pPr>
      <w:rPr>
        <w:rFonts w:ascii="Wingdings" w:hAnsi="Wingdings" w:hint="default"/>
      </w:rPr>
    </w:lvl>
    <w:lvl w:ilvl="6" w:tplc="C82CD95C" w:tentative="1">
      <w:start w:val="1"/>
      <w:numFmt w:val="bullet"/>
      <w:lvlText w:val=""/>
      <w:lvlJc w:val="left"/>
      <w:pPr>
        <w:tabs>
          <w:tab w:val="num" w:pos="5040"/>
        </w:tabs>
        <w:ind w:left="5040" w:hanging="360"/>
      </w:pPr>
      <w:rPr>
        <w:rFonts w:ascii="Symbol" w:hAnsi="Symbol" w:hint="default"/>
      </w:rPr>
    </w:lvl>
    <w:lvl w:ilvl="7" w:tplc="32926964" w:tentative="1">
      <w:start w:val="1"/>
      <w:numFmt w:val="bullet"/>
      <w:lvlText w:val="o"/>
      <w:lvlJc w:val="left"/>
      <w:pPr>
        <w:tabs>
          <w:tab w:val="num" w:pos="5760"/>
        </w:tabs>
        <w:ind w:left="5760" w:hanging="360"/>
      </w:pPr>
      <w:rPr>
        <w:rFonts w:ascii="Courier New" w:hAnsi="Courier New" w:cs="Courier New" w:hint="default"/>
      </w:rPr>
    </w:lvl>
    <w:lvl w:ilvl="8" w:tplc="A808E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646A12">
      <w:start w:val="1"/>
      <w:numFmt w:val="bullet"/>
      <w:pStyle w:val="Lijstopsomteken2"/>
      <w:lvlText w:val="–"/>
      <w:lvlJc w:val="left"/>
      <w:pPr>
        <w:tabs>
          <w:tab w:val="num" w:pos="227"/>
        </w:tabs>
        <w:ind w:left="227" w:firstLine="0"/>
      </w:pPr>
      <w:rPr>
        <w:rFonts w:ascii="Verdana" w:hAnsi="Verdana" w:hint="default"/>
      </w:rPr>
    </w:lvl>
    <w:lvl w:ilvl="1" w:tplc="D4B47EAE" w:tentative="1">
      <w:start w:val="1"/>
      <w:numFmt w:val="bullet"/>
      <w:lvlText w:val="o"/>
      <w:lvlJc w:val="left"/>
      <w:pPr>
        <w:tabs>
          <w:tab w:val="num" w:pos="1440"/>
        </w:tabs>
        <w:ind w:left="1440" w:hanging="360"/>
      </w:pPr>
      <w:rPr>
        <w:rFonts w:ascii="Courier New" w:hAnsi="Courier New" w:cs="Courier New" w:hint="default"/>
      </w:rPr>
    </w:lvl>
    <w:lvl w:ilvl="2" w:tplc="4D60D428" w:tentative="1">
      <w:start w:val="1"/>
      <w:numFmt w:val="bullet"/>
      <w:lvlText w:val=""/>
      <w:lvlJc w:val="left"/>
      <w:pPr>
        <w:tabs>
          <w:tab w:val="num" w:pos="2160"/>
        </w:tabs>
        <w:ind w:left="2160" w:hanging="360"/>
      </w:pPr>
      <w:rPr>
        <w:rFonts w:ascii="Wingdings" w:hAnsi="Wingdings" w:hint="default"/>
      </w:rPr>
    </w:lvl>
    <w:lvl w:ilvl="3" w:tplc="B0DC87A6" w:tentative="1">
      <w:start w:val="1"/>
      <w:numFmt w:val="bullet"/>
      <w:lvlText w:val=""/>
      <w:lvlJc w:val="left"/>
      <w:pPr>
        <w:tabs>
          <w:tab w:val="num" w:pos="2880"/>
        </w:tabs>
        <w:ind w:left="2880" w:hanging="360"/>
      </w:pPr>
      <w:rPr>
        <w:rFonts w:ascii="Symbol" w:hAnsi="Symbol" w:hint="default"/>
      </w:rPr>
    </w:lvl>
    <w:lvl w:ilvl="4" w:tplc="8C68EAF0" w:tentative="1">
      <w:start w:val="1"/>
      <w:numFmt w:val="bullet"/>
      <w:lvlText w:val="o"/>
      <w:lvlJc w:val="left"/>
      <w:pPr>
        <w:tabs>
          <w:tab w:val="num" w:pos="3600"/>
        </w:tabs>
        <w:ind w:left="3600" w:hanging="360"/>
      </w:pPr>
      <w:rPr>
        <w:rFonts w:ascii="Courier New" w:hAnsi="Courier New" w:cs="Courier New" w:hint="default"/>
      </w:rPr>
    </w:lvl>
    <w:lvl w:ilvl="5" w:tplc="8566366A" w:tentative="1">
      <w:start w:val="1"/>
      <w:numFmt w:val="bullet"/>
      <w:lvlText w:val=""/>
      <w:lvlJc w:val="left"/>
      <w:pPr>
        <w:tabs>
          <w:tab w:val="num" w:pos="4320"/>
        </w:tabs>
        <w:ind w:left="4320" w:hanging="360"/>
      </w:pPr>
      <w:rPr>
        <w:rFonts w:ascii="Wingdings" w:hAnsi="Wingdings" w:hint="default"/>
      </w:rPr>
    </w:lvl>
    <w:lvl w:ilvl="6" w:tplc="D4B6C3F4" w:tentative="1">
      <w:start w:val="1"/>
      <w:numFmt w:val="bullet"/>
      <w:lvlText w:val=""/>
      <w:lvlJc w:val="left"/>
      <w:pPr>
        <w:tabs>
          <w:tab w:val="num" w:pos="5040"/>
        </w:tabs>
        <w:ind w:left="5040" w:hanging="360"/>
      </w:pPr>
      <w:rPr>
        <w:rFonts w:ascii="Symbol" w:hAnsi="Symbol" w:hint="default"/>
      </w:rPr>
    </w:lvl>
    <w:lvl w:ilvl="7" w:tplc="E6EEFB7C" w:tentative="1">
      <w:start w:val="1"/>
      <w:numFmt w:val="bullet"/>
      <w:lvlText w:val="o"/>
      <w:lvlJc w:val="left"/>
      <w:pPr>
        <w:tabs>
          <w:tab w:val="num" w:pos="5760"/>
        </w:tabs>
        <w:ind w:left="5760" w:hanging="360"/>
      </w:pPr>
      <w:rPr>
        <w:rFonts w:ascii="Courier New" w:hAnsi="Courier New" w:cs="Courier New" w:hint="default"/>
      </w:rPr>
    </w:lvl>
    <w:lvl w:ilvl="8" w:tplc="55B6AD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916296">
    <w:abstractNumId w:val="10"/>
  </w:num>
  <w:num w:numId="2" w16cid:durableId="1280601794">
    <w:abstractNumId w:val="7"/>
  </w:num>
  <w:num w:numId="3" w16cid:durableId="620527276">
    <w:abstractNumId w:val="6"/>
  </w:num>
  <w:num w:numId="4" w16cid:durableId="539974526">
    <w:abstractNumId w:val="5"/>
  </w:num>
  <w:num w:numId="5" w16cid:durableId="49157814">
    <w:abstractNumId w:val="4"/>
  </w:num>
  <w:num w:numId="6" w16cid:durableId="635455161">
    <w:abstractNumId w:val="8"/>
  </w:num>
  <w:num w:numId="7" w16cid:durableId="893389712">
    <w:abstractNumId w:val="3"/>
  </w:num>
  <w:num w:numId="8" w16cid:durableId="658773141">
    <w:abstractNumId w:val="2"/>
  </w:num>
  <w:num w:numId="9" w16cid:durableId="548031405">
    <w:abstractNumId w:val="1"/>
  </w:num>
  <w:num w:numId="10" w16cid:durableId="599873647">
    <w:abstractNumId w:val="0"/>
  </w:num>
  <w:num w:numId="11" w16cid:durableId="2117557024">
    <w:abstractNumId w:val="9"/>
  </w:num>
  <w:num w:numId="12" w16cid:durableId="1805925578">
    <w:abstractNumId w:val="11"/>
  </w:num>
  <w:num w:numId="13" w16cid:durableId="1988245755">
    <w:abstractNumId w:val="13"/>
  </w:num>
  <w:num w:numId="14" w16cid:durableId="13437020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1B8D"/>
    <w:rsid w:val="0006024D"/>
    <w:rsid w:val="00064021"/>
    <w:rsid w:val="00071F28"/>
    <w:rsid w:val="00074079"/>
    <w:rsid w:val="00092799"/>
    <w:rsid w:val="00092C5F"/>
    <w:rsid w:val="000946AC"/>
    <w:rsid w:val="00096680"/>
    <w:rsid w:val="000A0F36"/>
    <w:rsid w:val="000A174A"/>
    <w:rsid w:val="000A3E0A"/>
    <w:rsid w:val="000A65AC"/>
    <w:rsid w:val="000B3039"/>
    <w:rsid w:val="000B7281"/>
    <w:rsid w:val="000B7FAB"/>
    <w:rsid w:val="000C0163"/>
    <w:rsid w:val="000C1BA1"/>
    <w:rsid w:val="000C3EA9"/>
    <w:rsid w:val="000D0225"/>
    <w:rsid w:val="000D6079"/>
    <w:rsid w:val="000D73D7"/>
    <w:rsid w:val="000E7895"/>
    <w:rsid w:val="000F1558"/>
    <w:rsid w:val="000F161D"/>
    <w:rsid w:val="001113A9"/>
    <w:rsid w:val="001168D6"/>
    <w:rsid w:val="00121BF0"/>
    <w:rsid w:val="00123704"/>
    <w:rsid w:val="001270C7"/>
    <w:rsid w:val="00132540"/>
    <w:rsid w:val="00144B73"/>
    <w:rsid w:val="0014768B"/>
    <w:rsid w:val="0014786A"/>
    <w:rsid w:val="001516A4"/>
    <w:rsid w:val="00151E5F"/>
    <w:rsid w:val="001536B3"/>
    <w:rsid w:val="001569AB"/>
    <w:rsid w:val="00164D63"/>
    <w:rsid w:val="0016725C"/>
    <w:rsid w:val="001726F3"/>
    <w:rsid w:val="00173C51"/>
    <w:rsid w:val="00174CC2"/>
    <w:rsid w:val="00176CC6"/>
    <w:rsid w:val="00181BE4"/>
    <w:rsid w:val="0018284F"/>
    <w:rsid w:val="00185576"/>
    <w:rsid w:val="00185951"/>
    <w:rsid w:val="001865B5"/>
    <w:rsid w:val="00194E51"/>
    <w:rsid w:val="00196B8B"/>
    <w:rsid w:val="001A2BEA"/>
    <w:rsid w:val="001A6D93"/>
    <w:rsid w:val="001B36C9"/>
    <w:rsid w:val="001C2F53"/>
    <w:rsid w:val="001C32EC"/>
    <w:rsid w:val="001C38BD"/>
    <w:rsid w:val="001C4D5A"/>
    <w:rsid w:val="001D317E"/>
    <w:rsid w:val="001E34C6"/>
    <w:rsid w:val="001E5581"/>
    <w:rsid w:val="001E6117"/>
    <w:rsid w:val="001F3C70"/>
    <w:rsid w:val="00200D88"/>
    <w:rsid w:val="00201F68"/>
    <w:rsid w:val="00207BBD"/>
    <w:rsid w:val="00210B6D"/>
    <w:rsid w:val="00212F2A"/>
    <w:rsid w:val="00214F2B"/>
    <w:rsid w:val="00217880"/>
    <w:rsid w:val="00222D66"/>
    <w:rsid w:val="00223DD7"/>
    <w:rsid w:val="00224A8A"/>
    <w:rsid w:val="00225022"/>
    <w:rsid w:val="002309A8"/>
    <w:rsid w:val="00236CFE"/>
    <w:rsid w:val="002428E3"/>
    <w:rsid w:val="00243031"/>
    <w:rsid w:val="002448BA"/>
    <w:rsid w:val="00246524"/>
    <w:rsid w:val="0025592C"/>
    <w:rsid w:val="00260BAF"/>
    <w:rsid w:val="002650F7"/>
    <w:rsid w:val="00266AB2"/>
    <w:rsid w:val="00267D63"/>
    <w:rsid w:val="002720A9"/>
    <w:rsid w:val="00273F3B"/>
    <w:rsid w:val="002749B1"/>
    <w:rsid w:val="00274DB7"/>
    <w:rsid w:val="00275984"/>
    <w:rsid w:val="00276D42"/>
    <w:rsid w:val="00280F74"/>
    <w:rsid w:val="00286998"/>
    <w:rsid w:val="00291AB7"/>
    <w:rsid w:val="0029422B"/>
    <w:rsid w:val="002B153C"/>
    <w:rsid w:val="002B52FC"/>
    <w:rsid w:val="002B7679"/>
    <w:rsid w:val="002C2830"/>
    <w:rsid w:val="002C4ADA"/>
    <w:rsid w:val="002D001A"/>
    <w:rsid w:val="002D28E2"/>
    <w:rsid w:val="002D317B"/>
    <w:rsid w:val="002D3587"/>
    <w:rsid w:val="002D502D"/>
    <w:rsid w:val="002D7256"/>
    <w:rsid w:val="002D7509"/>
    <w:rsid w:val="002E0F69"/>
    <w:rsid w:val="002E25D3"/>
    <w:rsid w:val="002E29AD"/>
    <w:rsid w:val="002E78C1"/>
    <w:rsid w:val="002F5147"/>
    <w:rsid w:val="002F7ABD"/>
    <w:rsid w:val="00312597"/>
    <w:rsid w:val="0031566B"/>
    <w:rsid w:val="00327BA5"/>
    <w:rsid w:val="00332F30"/>
    <w:rsid w:val="00334154"/>
    <w:rsid w:val="003372C4"/>
    <w:rsid w:val="00340ECA"/>
    <w:rsid w:val="00341FA0"/>
    <w:rsid w:val="00344F3D"/>
    <w:rsid w:val="00345299"/>
    <w:rsid w:val="00347B07"/>
    <w:rsid w:val="00351A8D"/>
    <w:rsid w:val="003526BB"/>
    <w:rsid w:val="00352BCF"/>
    <w:rsid w:val="00353932"/>
    <w:rsid w:val="0035464B"/>
    <w:rsid w:val="0035550C"/>
    <w:rsid w:val="00361A56"/>
    <w:rsid w:val="0036252A"/>
    <w:rsid w:val="00364D9D"/>
    <w:rsid w:val="00367A11"/>
    <w:rsid w:val="00371048"/>
    <w:rsid w:val="0037396C"/>
    <w:rsid w:val="0037421D"/>
    <w:rsid w:val="00376093"/>
    <w:rsid w:val="00377C58"/>
    <w:rsid w:val="00380666"/>
    <w:rsid w:val="003810C0"/>
    <w:rsid w:val="0038181A"/>
    <w:rsid w:val="0038259E"/>
    <w:rsid w:val="00383DA1"/>
    <w:rsid w:val="00385F30"/>
    <w:rsid w:val="0039201D"/>
    <w:rsid w:val="00393696"/>
    <w:rsid w:val="00393963"/>
    <w:rsid w:val="00395575"/>
    <w:rsid w:val="00395672"/>
    <w:rsid w:val="0039656C"/>
    <w:rsid w:val="003A06C8"/>
    <w:rsid w:val="003A0D7C"/>
    <w:rsid w:val="003A1B16"/>
    <w:rsid w:val="003A5290"/>
    <w:rsid w:val="003B0155"/>
    <w:rsid w:val="003B3245"/>
    <w:rsid w:val="003B7EE7"/>
    <w:rsid w:val="003C2CCB"/>
    <w:rsid w:val="003C696E"/>
    <w:rsid w:val="003D39EC"/>
    <w:rsid w:val="003E3DD5"/>
    <w:rsid w:val="003F07C6"/>
    <w:rsid w:val="003F1F6B"/>
    <w:rsid w:val="003F3757"/>
    <w:rsid w:val="003F38BD"/>
    <w:rsid w:val="003F44B7"/>
    <w:rsid w:val="004008E9"/>
    <w:rsid w:val="00410398"/>
    <w:rsid w:val="00413D48"/>
    <w:rsid w:val="00441AC2"/>
    <w:rsid w:val="0044249B"/>
    <w:rsid w:val="00445D6A"/>
    <w:rsid w:val="0045023C"/>
    <w:rsid w:val="00451A5B"/>
    <w:rsid w:val="00452BCD"/>
    <w:rsid w:val="00452CEA"/>
    <w:rsid w:val="004542EE"/>
    <w:rsid w:val="00465B52"/>
    <w:rsid w:val="0046708E"/>
    <w:rsid w:val="00472A65"/>
    <w:rsid w:val="00474463"/>
    <w:rsid w:val="00474B75"/>
    <w:rsid w:val="00481085"/>
    <w:rsid w:val="00483984"/>
    <w:rsid w:val="00483F0B"/>
    <w:rsid w:val="00486354"/>
    <w:rsid w:val="00491FE1"/>
    <w:rsid w:val="00494237"/>
    <w:rsid w:val="00496319"/>
    <w:rsid w:val="00497279"/>
    <w:rsid w:val="004A670A"/>
    <w:rsid w:val="004B5465"/>
    <w:rsid w:val="004B5903"/>
    <w:rsid w:val="004B61AC"/>
    <w:rsid w:val="004B70F0"/>
    <w:rsid w:val="004C7875"/>
    <w:rsid w:val="004D505E"/>
    <w:rsid w:val="004D72CA"/>
    <w:rsid w:val="004E2242"/>
    <w:rsid w:val="004E505E"/>
    <w:rsid w:val="004F42FF"/>
    <w:rsid w:val="004F44C2"/>
    <w:rsid w:val="00502512"/>
    <w:rsid w:val="00505262"/>
    <w:rsid w:val="0051132F"/>
    <w:rsid w:val="00516022"/>
    <w:rsid w:val="00521CEE"/>
    <w:rsid w:val="00524FB4"/>
    <w:rsid w:val="00527BD4"/>
    <w:rsid w:val="005323FD"/>
    <w:rsid w:val="005403C8"/>
    <w:rsid w:val="005429DC"/>
    <w:rsid w:val="005511B9"/>
    <w:rsid w:val="005565F9"/>
    <w:rsid w:val="00556BEE"/>
    <w:rsid w:val="005654C3"/>
    <w:rsid w:val="00573041"/>
    <w:rsid w:val="00575B80"/>
    <w:rsid w:val="0057620F"/>
    <w:rsid w:val="005819CE"/>
    <w:rsid w:val="0058298D"/>
    <w:rsid w:val="00584BAC"/>
    <w:rsid w:val="00590FFC"/>
    <w:rsid w:val="00593C2B"/>
    <w:rsid w:val="00595231"/>
    <w:rsid w:val="00596166"/>
    <w:rsid w:val="00597F64"/>
    <w:rsid w:val="005A207F"/>
    <w:rsid w:val="005A2F35"/>
    <w:rsid w:val="005B1DA2"/>
    <w:rsid w:val="005B3814"/>
    <w:rsid w:val="005B463E"/>
    <w:rsid w:val="005B662D"/>
    <w:rsid w:val="005C34E1"/>
    <w:rsid w:val="005C3FE0"/>
    <w:rsid w:val="005C469B"/>
    <w:rsid w:val="005C740C"/>
    <w:rsid w:val="005D625B"/>
    <w:rsid w:val="005E3081"/>
    <w:rsid w:val="005E5D5F"/>
    <w:rsid w:val="005E5FCB"/>
    <w:rsid w:val="005F62D3"/>
    <w:rsid w:val="005F6D11"/>
    <w:rsid w:val="00600CF0"/>
    <w:rsid w:val="006048F4"/>
    <w:rsid w:val="0060660A"/>
    <w:rsid w:val="00612175"/>
    <w:rsid w:val="00613B1D"/>
    <w:rsid w:val="00617A44"/>
    <w:rsid w:val="006202B6"/>
    <w:rsid w:val="006247BE"/>
    <w:rsid w:val="00625CD0"/>
    <w:rsid w:val="0062627D"/>
    <w:rsid w:val="00627432"/>
    <w:rsid w:val="006376CF"/>
    <w:rsid w:val="006448E4"/>
    <w:rsid w:val="00645414"/>
    <w:rsid w:val="00653606"/>
    <w:rsid w:val="00655FD6"/>
    <w:rsid w:val="006610E9"/>
    <w:rsid w:val="00661591"/>
    <w:rsid w:val="00664003"/>
    <w:rsid w:val="0066632F"/>
    <w:rsid w:val="006664D9"/>
    <w:rsid w:val="0067042F"/>
    <w:rsid w:val="00674A89"/>
    <w:rsid w:val="00674F3D"/>
    <w:rsid w:val="00685545"/>
    <w:rsid w:val="006864B3"/>
    <w:rsid w:val="00692D64"/>
    <w:rsid w:val="00696A6A"/>
    <w:rsid w:val="006A10F8"/>
    <w:rsid w:val="006A15A5"/>
    <w:rsid w:val="006A2100"/>
    <w:rsid w:val="006A5C3B"/>
    <w:rsid w:val="006A72E0"/>
    <w:rsid w:val="006B0BF3"/>
    <w:rsid w:val="006B775E"/>
    <w:rsid w:val="006B784F"/>
    <w:rsid w:val="006B7BC7"/>
    <w:rsid w:val="006C2535"/>
    <w:rsid w:val="006C441E"/>
    <w:rsid w:val="006C4B90"/>
    <w:rsid w:val="006D1016"/>
    <w:rsid w:val="006D17F2"/>
    <w:rsid w:val="006E3546"/>
    <w:rsid w:val="006E3FA9"/>
    <w:rsid w:val="006E4BA0"/>
    <w:rsid w:val="006E599D"/>
    <w:rsid w:val="006E7D82"/>
    <w:rsid w:val="006F038F"/>
    <w:rsid w:val="006F0F93"/>
    <w:rsid w:val="006F31F2"/>
    <w:rsid w:val="006F7494"/>
    <w:rsid w:val="006F751F"/>
    <w:rsid w:val="00703FE7"/>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6E42"/>
    <w:rsid w:val="00763768"/>
    <w:rsid w:val="007709EF"/>
    <w:rsid w:val="00774139"/>
    <w:rsid w:val="00783559"/>
    <w:rsid w:val="00792BDD"/>
    <w:rsid w:val="007934CD"/>
    <w:rsid w:val="0079551B"/>
    <w:rsid w:val="00797AA5"/>
    <w:rsid w:val="007A26BD"/>
    <w:rsid w:val="007A4105"/>
    <w:rsid w:val="007B4503"/>
    <w:rsid w:val="007B7FC3"/>
    <w:rsid w:val="007C07C1"/>
    <w:rsid w:val="007C23B5"/>
    <w:rsid w:val="007C406E"/>
    <w:rsid w:val="007C5183"/>
    <w:rsid w:val="007C7573"/>
    <w:rsid w:val="007E2B20"/>
    <w:rsid w:val="007E2B88"/>
    <w:rsid w:val="007F026F"/>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3EB3"/>
    <w:rsid w:val="00842CD8"/>
    <w:rsid w:val="008431FA"/>
    <w:rsid w:val="00843991"/>
    <w:rsid w:val="00846BAA"/>
    <w:rsid w:val="00847444"/>
    <w:rsid w:val="008547BA"/>
    <w:rsid w:val="008553C7"/>
    <w:rsid w:val="00857FEB"/>
    <w:rsid w:val="008601AF"/>
    <w:rsid w:val="0087019B"/>
    <w:rsid w:val="00872271"/>
    <w:rsid w:val="00883137"/>
    <w:rsid w:val="008A0696"/>
    <w:rsid w:val="008A1F5D"/>
    <w:rsid w:val="008A28F5"/>
    <w:rsid w:val="008B1198"/>
    <w:rsid w:val="008B3471"/>
    <w:rsid w:val="008B3929"/>
    <w:rsid w:val="008B4125"/>
    <w:rsid w:val="008B4CB3"/>
    <w:rsid w:val="008B567B"/>
    <w:rsid w:val="008B7B24"/>
    <w:rsid w:val="008C29E3"/>
    <w:rsid w:val="008C356D"/>
    <w:rsid w:val="008D2C0E"/>
    <w:rsid w:val="008D7AA7"/>
    <w:rsid w:val="008D7CBF"/>
    <w:rsid w:val="008E0B3F"/>
    <w:rsid w:val="008E49AD"/>
    <w:rsid w:val="008E698E"/>
    <w:rsid w:val="008F2584"/>
    <w:rsid w:val="008F3246"/>
    <w:rsid w:val="008F3C1B"/>
    <w:rsid w:val="008F508C"/>
    <w:rsid w:val="0090271B"/>
    <w:rsid w:val="00905D3E"/>
    <w:rsid w:val="00910642"/>
    <w:rsid w:val="00910DDF"/>
    <w:rsid w:val="00912923"/>
    <w:rsid w:val="009143D7"/>
    <w:rsid w:val="009237AB"/>
    <w:rsid w:val="00930B13"/>
    <w:rsid w:val="009311C8"/>
    <w:rsid w:val="00933376"/>
    <w:rsid w:val="00933A2F"/>
    <w:rsid w:val="00945EA4"/>
    <w:rsid w:val="009636A7"/>
    <w:rsid w:val="009716D8"/>
    <w:rsid w:val="009718F9"/>
    <w:rsid w:val="009725C4"/>
    <w:rsid w:val="00972FB9"/>
    <w:rsid w:val="00975112"/>
    <w:rsid w:val="00981768"/>
    <w:rsid w:val="00983E8F"/>
    <w:rsid w:val="009873AE"/>
    <w:rsid w:val="0098788A"/>
    <w:rsid w:val="00994FDA"/>
    <w:rsid w:val="009A31BF"/>
    <w:rsid w:val="009A3536"/>
    <w:rsid w:val="009A3B71"/>
    <w:rsid w:val="009A61BC"/>
    <w:rsid w:val="009B0138"/>
    <w:rsid w:val="009B0EC1"/>
    <w:rsid w:val="009B0FE9"/>
    <w:rsid w:val="009B173A"/>
    <w:rsid w:val="009B1B22"/>
    <w:rsid w:val="009C325A"/>
    <w:rsid w:val="009C3F20"/>
    <w:rsid w:val="009C552A"/>
    <w:rsid w:val="009C7CA1"/>
    <w:rsid w:val="009D043D"/>
    <w:rsid w:val="009E2051"/>
    <w:rsid w:val="009E30E8"/>
    <w:rsid w:val="009E5F2B"/>
    <w:rsid w:val="009F3259"/>
    <w:rsid w:val="00A056DE"/>
    <w:rsid w:val="00A128AD"/>
    <w:rsid w:val="00A17236"/>
    <w:rsid w:val="00A21E76"/>
    <w:rsid w:val="00A23BC8"/>
    <w:rsid w:val="00A30E68"/>
    <w:rsid w:val="00A31933"/>
    <w:rsid w:val="00A329D2"/>
    <w:rsid w:val="00A34AA0"/>
    <w:rsid w:val="00A3715C"/>
    <w:rsid w:val="00A41FE2"/>
    <w:rsid w:val="00A452B0"/>
    <w:rsid w:val="00A46FEF"/>
    <w:rsid w:val="00A47948"/>
    <w:rsid w:val="00A47B50"/>
    <w:rsid w:val="00A50CF6"/>
    <w:rsid w:val="00A56946"/>
    <w:rsid w:val="00A6170E"/>
    <w:rsid w:val="00A63B8C"/>
    <w:rsid w:val="00A715F8"/>
    <w:rsid w:val="00A75525"/>
    <w:rsid w:val="00A77F6F"/>
    <w:rsid w:val="00A831FD"/>
    <w:rsid w:val="00A83352"/>
    <w:rsid w:val="00A850A2"/>
    <w:rsid w:val="00A90164"/>
    <w:rsid w:val="00A91FA3"/>
    <w:rsid w:val="00A927D3"/>
    <w:rsid w:val="00A97ECC"/>
    <w:rsid w:val="00AA7506"/>
    <w:rsid w:val="00AA7FC9"/>
    <w:rsid w:val="00AB03FD"/>
    <w:rsid w:val="00AB237D"/>
    <w:rsid w:val="00AB5933"/>
    <w:rsid w:val="00AC0356"/>
    <w:rsid w:val="00AC183A"/>
    <w:rsid w:val="00AE013D"/>
    <w:rsid w:val="00AE11B7"/>
    <w:rsid w:val="00AE7F68"/>
    <w:rsid w:val="00AF2321"/>
    <w:rsid w:val="00AF3EE8"/>
    <w:rsid w:val="00AF52F6"/>
    <w:rsid w:val="00AF52FD"/>
    <w:rsid w:val="00AF54A8"/>
    <w:rsid w:val="00AF7237"/>
    <w:rsid w:val="00B0043A"/>
    <w:rsid w:val="00B00D75"/>
    <w:rsid w:val="00B02DDF"/>
    <w:rsid w:val="00B070CB"/>
    <w:rsid w:val="00B11DD6"/>
    <w:rsid w:val="00B12456"/>
    <w:rsid w:val="00B13AC7"/>
    <w:rsid w:val="00B145F0"/>
    <w:rsid w:val="00B259C8"/>
    <w:rsid w:val="00B26CCF"/>
    <w:rsid w:val="00B30FC2"/>
    <w:rsid w:val="00B331A2"/>
    <w:rsid w:val="00B425F0"/>
    <w:rsid w:val="00B42DFA"/>
    <w:rsid w:val="00B531DD"/>
    <w:rsid w:val="00B55014"/>
    <w:rsid w:val="00B62232"/>
    <w:rsid w:val="00B70BF3"/>
    <w:rsid w:val="00B71DC2"/>
    <w:rsid w:val="00B75339"/>
    <w:rsid w:val="00B76F15"/>
    <w:rsid w:val="00B86CA9"/>
    <w:rsid w:val="00B91CFC"/>
    <w:rsid w:val="00B9300F"/>
    <w:rsid w:val="00B93893"/>
    <w:rsid w:val="00B95FAA"/>
    <w:rsid w:val="00BA11F9"/>
    <w:rsid w:val="00BA129E"/>
    <w:rsid w:val="00BA6EB2"/>
    <w:rsid w:val="00BA7E0A"/>
    <w:rsid w:val="00BC0CF8"/>
    <w:rsid w:val="00BC3B53"/>
    <w:rsid w:val="00BC3B96"/>
    <w:rsid w:val="00BC4AE3"/>
    <w:rsid w:val="00BC5B28"/>
    <w:rsid w:val="00BE3F88"/>
    <w:rsid w:val="00BE4756"/>
    <w:rsid w:val="00BE5ED9"/>
    <w:rsid w:val="00BE7B41"/>
    <w:rsid w:val="00BF09FF"/>
    <w:rsid w:val="00C03D35"/>
    <w:rsid w:val="00C15A91"/>
    <w:rsid w:val="00C206F1"/>
    <w:rsid w:val="00C217E1"/>
    <w:rsid w:val="00C219B1"/>
    <w:rsid w:val="00C23C2D"/>
    <w:rsid w:val="00C336DD"/>
    <w:rsid w:val="00C4015B"/>
    <w:rsid w:val="00C40C60"/>
    <w:rsid w:val="00C41727"/>
    <w:rsid w:val="00C5258E"/>
    <w:rsid w:val="00C530C9"/>
    <w:rsid w:val="00C619A7"/>
    <w:rsid w:val="00C62883"/>
    <w:rsid w:val="00C73D5F"/>
    <w:rsid w:val="00C84744"/>
    <w:rsid w:val="00C851E2"/>
    <w:rsid w:val="00C8584E"/>
    <w:rsid w:val="00C87999"/>
    <w:rsid w:val="00C97C80"/>
    <w:rsid w:val="00CA47D3"/>
    <w:rsid w:val="00CA6533"/>
    <w:rsid w:val="00CA6A25"/>
    <w:rsid w:val="00CA6A3F"/>
    <w:rsid w:val="00CA721E"/>
    <w:rsid w:val="00CA7C99"/>
    <w:rsid w:val="00CB4448"/>
    <w:rsid w:val="00CC4B50"/>
    <w:rsid w:val="00CC6290"/>
    <w:rsid w:val="00CC7BA8"/>
    <w:rsid w:val="00CD233D"/>
    <w:rsid w:val="00CD362D"/>
    <w:rsid w:val="00CD417C"/>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42BA"/>
    <w:rsid w:val="00D34606"/>
    <w:rsid w:val="00D3501C"/>
    <w:rsid w:val="00D36447"/>
    <w:rsid w:val="00D47A93"/>
    <w:rsid w:val="00D516BE"/>
    <w:rsid w:val="00D5423B"/>
    <w:rsid w:val="00D54F4E"/>
    <w:rsid w:val="00D56D05"/>
    <w:rsid w:val="00D57585"/>
    <w:rsid w:val="00D575B7"/>
    <w:rsid w:val="00D604B3"/>
    <w:rsid w:val="00D60BA4"/>
    <w:rsid w:val="00D62419"/>
    <w:rsid w:val="00D75078"/>
    <w:rsid w:val="00D77870"/>
    <w:rsid w:val="00D80977"/>
    <w:rsid w:val="00D80CCE"/>
    <w:rsid w:val="00D825E7"/>
    <w:rsid w:val="00D86412"/>
    <w:rsid w:val="00D865D6"/>
    <w:rsid w:val="00D86EEA"/>
    <w:rsid w:val="00D87D03"/>
    <w:rsid w:val="00D95C88"/>
    <w:rsid w:val="00D97B2E"/>
    <w:rsid w:val="00DA1FAE"/>
    <w:rsid w:val="00DA241E"/>
    <w:rsid w:val="00DB36FE"/>
    <w:rsid w:val="00DB533A"/>
    <w:rsid w:val="00DB6307"/>
    <w:rsid w:val="00DB7BF6"/>
    <w:rsid w:val="00DD1D91"/>
    <w:rsid w:val="00DD1DCD"/>
    <w:rsid w:val="00DD29E6"/>
    <w:rsid w:val="00DD338F"/>
    <w:rsid w:val="00DD66F2"/>
    <w:rsid w:val="00DE35B7"/>
    <w:rsid w:val="00DE3FE0"/>
    <w:rsid w:val="00DE578A"/>
    <w:rsid w:val="00DE63D6"/>
    <w:rsid w:val="00DF2583"/>
    <w:rsid w:val="00DF54D9"/>
    <w:rsid w:val="00DF7283"/>
    <w:rsid w:val="00E01A59"/>
    <w:rsid w:val="00E10DC6"/>
    <w:rsid w:val="00E11F8E"/>
    <w:rsid w:val="00E15881"/>
    <w:rsid w:val="00E16A8F"/>
    <w:rsid w:val="00E21DE3"/>
    <w:rsid w:val="00E307D1"/>
    <w:rsid w:val="00E36638"/>
    <w:rsid w:val="00E3731D"/>
    <w:rsid w:val="00E51469"/>
    <w:rsid w:val="00E634E3"/>
    <w:rsid w:val="00E717C4"/>
    <w:rsid w:val="00E73D1D"/>
    <w:rsid w:val="00E75201"/>
    <w:rsid w:val="00E77E18"/>
    <w:rsid w:val="00E77F89"/>
    <w:rsid w:val="00E80330"/>
    <w:rsid w:val="00E806C5"/>
    <w:rsid w:val="00E80E71"/>
    <w:rsid w:val="00E850D3"/>
    <w:rsid w:val="00E853D6"/>
    <w:rsid w:val="00E876B9"/>
    <w:rsid w:val="00EB4877"/>
    <w:rsid w:val="00EB6583"/>
    <w:rsid w:val="00EC0B75"/>
    <w:rsid w:val="00EC0DFF"/>
    <w:rsid w:val="00EC237D"/>
    <w:rsid w:val="00EC4D0E"/>
    <w:rsid w:val="00EC4E2B"/>
    <w:rsid w:val="00EC58D9"/>
    <w:rsid w:val="00ED072A"/>
    <w:rsid w:val="00ED4AE8"/>
    <w:rsid w:val="00ED539E"/>
    <w:rsid w:val="00ED62CF"/>
    <w:rsid w:val="00EE2D3B"/>
    <w:rsid w:val="00EE4777"/>
    <w:rsid w:val="00EE4A1F"/>
    <w:rsid w:val="00EE4C2D"/>
    <w:rsid w:val="00EE595B"/>
    <w:rsid w:val="00EE7148"/>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813"/>
    <w:rsid w:val="00F413B5"/>
    <w:rsid w:val="00F41A6F"/>
    <w:rsid w:val="00F45A25"/>
    <w:rsid w:val="00F50F86"/>
    <w:rsid w:val="00F53F91"/>
    <w:rsid w:val="00F61569"/>
    <w:rsid w:val="00F61A72"/>
    <w:rsid w:val="00F62B67"/>
    <w:rsid w:val="00F66F13"/>
    <w:rsid w:val="00F67BFF"/>
    <w:rsid w:val="00F67DFF"/>
    <w:rsid w:val="00F71F9E"/>
    <w:rsid w:val="00F74073"/>
    <w:rsid w:val="00F74403"/>
    <w:rsid w:val="00F75603"/>
    <w:rsid w:val="00F845B4"/>
    <w:rsid w:val="00F8713B"/>
    <w:rsid w:val="00F878DD"/>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271D8"/>
  <w15:docId w15:val="{CF87540D-4C60-49B8-82EE-01C23DFD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725C4"/>
    <w:rPr>
      <w:vertAlign w:val="superscript"/>
    </w:rPr>
  </w:style>
  <w:style w:type="character" w:styleId="Verwijzingopmerking">
    <w:name w:val="annotation reference"/>
    <w:basedOn w:val="Standaardalinea-lettertype"/>
    <w:semiHidden/>
    <w:unhideWhenUsed/>
    <w:rsid w:val="00D575B7"/>
    <w:rPr>
      <w:sz w:val="16"/>
      <w:szCs w:val="16"/>
    </w:rPr>
  </w:style>
  <w:style w:type="paragraph" w:styleId="Tekstopmerking">
    <w:name w:val="annotation text"/>
    <w:basedOn w:val="Standaard"/>
    <w:link w:val="TekstopmerkingChar"/>
    <w:unhideWhenUsed/>
    <w:rsid w:val="00D575B7"/>
    <w:pPr>
      <w:spacing w:line="240" w:lineRule="auto"/>
    </w:pPr>
    <w:rPr>
      <w:sz w:val="20"/>
      <w:szCs w:val="20"/>
    </w:rPr>
  </w:style>
  <w:style w:type="character" w:customStyle="1" w:styleId="TekstopmerkingChar">
    <w:name w:val="Tekst opmerking Char"/>
    <w:basedOn w:val="Standaardalinea-lettertype"/>
    <w:link w:val="Tekstopmerking"/>
    <w:rsid w:val="00D575B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575B7"/>
    <w:rPr>
      <w:b/>
      <w:bCs/>
    </w:rPr>
  </w:style>
  <w:style w:type="character" w:customStyle="1" w:styleId="OnderwerpvanopmerkingChar">
    <w:name w:val="Onderwerp van opmerking Char"/>
    <w:basedOn w:val="TekstopmerkingChar"/>
    <w:link w:val="Onderwerpvanopmerking"/>
    <w:semiHidden/>
    <w:rsid w:val="00D575B7"/>
    <w:rPr>
      <w:rFonts w:ascii="Verdana" w:hAnsi="Verdana"/>
      <w:b/>
      <w:bCs/>
      <w:lang w:val="nl-NL" w:eastAsia="nl-NL"/>
    </w:rPr>
  </w:style>
  <w:style w:type="paragraph" w:styleId="Revisie">
    <w:name w:val="Revision"/>
    <w:hidden/>
    <w:uiPriority w:val="99"/>
    <w:semiHidden/>
    <w:rsid w:val="00332F3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3839">
      <w:bodyDiv w:val="1"/>
      <w:marLeft w:val="0"/>
      <w:marRight w:val="0"/>
      <w:marTop w:val="0"/>
      <w:marBottom w:val="0"/>
      <w:divBdr>
        <w:top w:val="none" w:sz="0" w:space="0" w:color="auto"/>
        <w:left w:val="none" w:sz="0" w:space="0" w:color="auto"/>
        <w:bottom w:val="none" w:sz="0" w:space="0" w:color="auto"/>
        <w:right w:val="none" w:sz="0" w:space="0" w:color="auto"/>
      </w:divBdr>
    </w:div>
    <w:div w:id="818226666">
      <w:bodyDiv w:val="1"/>
      <w:marLeft w:val="0"/>
      <w:marRight w:val="0"/>
      <w:marTop w:val="0"/>
      <w:marBottom w:val="0"/>
      <w:divBdr>
        <w:top w:val="none" w:sz="0" w:space="0" w:color="auto"/>
        <w:left w:val="none" w:sz="0" w:space="0" w:color="auto"/>
        <w:bottom w:val="none" w:sz="0" w:space="0" w:color="auto"/>
        <w:right w:val="none" w:sz="0" w:space="0" w:color="auto"/>
      </w:divBdr>
    </w:div>
    <w:div w:id="940988495">
      <w:bodyDiv w:val="1"/>
      <w:marLeft w:val="0"/>
      <w:marRight w:val="0"/>
      <w:marTop w:val="0"/>
      <w:marBottom w:val="0"/>
      <w:divBdr>
        <w:top w:val="none" w:sz="0" w:space="0" w:color="auto"/>
        <w:left w:val="none" w:sz="0" w:space="0" w:color="auto"/>
        <w:bottom w:val="none" w:sz="0" w:space="0" w:color="auto"/>
        <w:right w:val="none" w:sz="0" w:space="0" w:color="auto"/>
      </w:divBdr>
    </w:div>
    <w:div w:id="1351682989">
      <w:bodyDiv w:val="1"/>
      <w:marLeft w:val="0"/>
      <w:marRight w:val="0"/>
      <w:marTop w:val="0"/>
      <w:marBottom w:val="0"/>
      <w:divBdr>
        <w:top w:val="none" w:sz="0" w:space="0" w:color="auto"/>
        <w:left w:val="none" w:sz="0" w:space="0" w:color="auto"/>
        <w:bottom w:val="none" w:sz="0" w:space="0" w:color="auto"/>
        <w:right w:val="none" w:sz="0" w:space="0" w:color="auto"/>
      </w:divBdr>
    </w:div>
    <w:div w:id="1633559670">
      <w:bodyDiv w:val="1"/>
      <w:marLeft w:val="0"/>
      <w:marRight w:val="0"/>
      <w:marTop w:val="0"/>
      <w:marBottom w:val="0"/>
      <w:divBdr>
        <w:top w:val="none" w:sz="0" w:space="0" w:color="auto"/>
        <w:left w:val="none" w:sz="0" w:space="0" w:color="auto"/>
        <w:bottom w:val="none" w:sz="0" w:space="0" w:color="auto"/>
        <w:right w:val="none" w:sz="0" w:space="0" w:color="auto"/>
      </w:divBdr>
    </w:div>
    <w:div w:id="18589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2481</ap:Words>
  <ap:Characters>14254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2025-03-04T12:29:00.0000000Z</lastPrinted>
  <dcterms:created xsi:type="dcterms:W3CDTF">2025-03-07T10:25:00.0000000Z</dcterms:created>
  <dcterms:modified xsi:type="dcterms:W3CDTF">2025-03-07T15:20:00.0000000Z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timmb1</vt:lpwstr>
  </property>
  <property fmtid="{D5CDD505-2E9C-101B-9397-08002B2CF9AE}" pid="3" name="AUTHOR_ID">
    <vt:lpwstr>timmb1</vt:lpwstr>
  </property>
  <property fmtid="{D5CDD505-2E9C-101B-9397-08002B2CF9AE}" pid="4" name="A_ADRES">
    <vt:lpwstr>De Voorzitter van de Tweede Kamer</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 op diverse onderwerpen van het mestbeleid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timmb1</vt:lpwstr>
  </property>
</Properties>
</file>