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3116" w:rsidR="00BD666C" w:rsidP="00BD666C" w:rsidRDefault="00BD666C" w14:paraId="7C1F7E9B" w14:textId="5C22122D">
      <w:pPr>
        <w:pStyle w:val="Heading1"/>
        <w:numPr>
          <w:ilvl w:val="0"/>
          <w:numId w:val="0"/>
        </w:numPr>
        <w:spacing w:after="0" w:line="360" w:lineRule="auto"/>
        <w:rPr>
          <w:rFonts w:ascii="Verdana" w:hAnsi="Verdana"/>
          <w:b/>
          <w:bCs/>
          <w:sz w:val="18"/>
          <w:szCs w:val="18"/>
        </w:rPr>
      </w:pPr>
      <w:r w:rsidRPr="2F0F8D57">
        <w:rPr>
          <w:rFonts w:ascii="Verdana" w:hAnsi="Verdana"/>
          <w:b/>
          <w:bCs/>
          <w:sz w:val="18"/>
          <w:szCs w:val="18"/>
        </w:rPr>
        <w:t>Fiche</w:t>
      </w:r>
      <w:r w:rsidR="00210AC5">
        <w:rPr>
          <w:rFonts w:ascii="Verdana" w:hAnsi="Verdana"/>
          <w:b/>
          <w:bCs/>
          <w:sz w:val="18"/>
          <w:szCs w:val="18"/>
        </w:rPr>
        <w:t xml:space="preserve"> 1</w:t>
      </w:r>
      <w:r w:rsidRPr="2F0F8D57">
        <w:rPr>
          <w:rFonts w:ascii="Verdana" w:hAnsi="Verdana"/>
          <w:b/>
          <w:bCs/>
          <w:sz w:val="18"/>
          <w:szCs w:val="18"/>
        </w:rPr>
        <w:t xml:space="preserve">: </w:t>
      </w:r>
      <w:r w:rsidR="00210AC5">
        <w:rPr>
          <w:rFonts w:ascii="Verdana" w:hAnsi="Verdana"/>
          <w:b/>
          <w:bCs/>
          <w:sz w:val="18"/>
          <w:szCs w:val="18"/>
        </w:rPr>
        <w:t>M</w:t>
      </w:r>
      <w:r w:rsidRPr="2F0F8D57">
        <w:rPr>
          <w:rFonts w:ascii="Verdana" w:hAnsi="Verdana"/>
          <w:b/>
          <w:bCs/>
          <w:sz w:val="18"/>
          <w:szCs w:val="18"/>
        </w:rPr>
        <w:t>ededeling over het EU</w:t>
      </w:r>
      <w:r>
        <w:rPr>
          <w:rFonts w:ascii="Verdana" w:hAnsi="Verdana"/>
          <w:b/>
          <w:bCs/>
          <w:sz w:val="18"/>
          <w:szCs w:val="18"/>
        </w:rPr>
        <w:t>-</w:t>
      </w:r>
      <w:r w:rsidR="00BB2D0F">
        <w:rPr>
          <w:rFonts w:ascii="Verdana" w:hAnsi="Verdana"/>
          <w:b/>
          <w:bCs/>
          <w:sz w:val="18"/>
          <w:szCs w:val="18"/>
        </w:rPr>
        <w:t>kompas voor concurrentievermogen</w:t>
      </w:r>
    </w:p>
    <w:p w:rsidRPr="00C53116" w:rsidR="00BD666C" w:rsidP="00BD666C" w:rsidRDefault="00BD666C" w14:paraId="5F48E9E2" w14:textId="77777777">
      <w:pPr>
        <w:spacing w:line="360" w:lineRule="auto"/>
        <w:rPr>
          <w:rFonts w:ascii="Verdana" w:hAnsi="Verdana"/>
          <w:b/>
          <w:sz w:val="18"/>
          <w:szCs w:val="18"/>
          <w:u w:val="single"/>
        </w:rPr>
      </w:pPr>
    </w:p>
    <w:p w:rsidRPr="00C53116" w:rsidR="00BD666C" w:rsidP="00BD666C" w:rsidRDefault="00BD666C" w14:paraId="0B415A66" w14:textId="77777777">
      <w:pPr>
        <w:numPr>
          <w:ilvl w:val="0"/>
          <w:numId w:val="2"/>
        </w:numPr>
        <w:spacing w:line="360" w:lineRule="auto"/>
        <w:rPr>
          <w:rFonts w:ascii="Verdana" w:hAnsi="Verdana"/>
          <w:b/>
          <w:bCs/>
          <w:sz w:val="18"/>
          <w:szCs w:val="18"/>
        </w:rPr>
      </w:pPr>
      <w:r w:rsidRPr="2F0F8D57">
        <w:rPr>
          <w:rFonts w:ascii="Verdana" w:hAnsi="Verdana"/>
          <w:b/>
          <w:bCs/>
          <w:sz w:val="18"/>
          <w:szCs w:val="18"/>
        </w:rPr>
        <w:t xml:space="preserve">Algemene gegevens </w:t>
      </w:r>
      <w:r w:rsidRPr="00C53116">
        <w:rPr>
          <w:rFonts w:ascii="Verdana" w:hAnsi="Verdana"/>
          <w:b/>
          <w:sz w:val="18"/>
          <w:szCs w:val="18"/>
        </w:rPr>
        <w:br/>
      </w:r>
    </w:p>
    <w:p w:rsidRPr="007C7DCE" w:rsidR="00BD666C" w:rsidP="00BD666C" w:rsidRDefault="00BD666C" w14:paraId="65359F9E" w14:textId="77777777">
      <w:pPr>
        <w:numPr>
          <w:ilvl w:val="0"/>
          <w:numId w:val="3"/>
        </w:numPr>
        <w:spacing w:line="360" w:lineRule="auto"/>
        <w:rPr>
          <w:rFonts w:ascii="Verdana" w:hAnsi="Verdana"/>
          <w:i/>
          <w:sz w:val="18"/>
          <w:szCs w:val="18"/>
        </w:rPr>
      </w:pPr>
      <w:r w:rsidRPr="2F0F8D57">
        <w:rPr>
          <w:rFonts w:ascii="Verdana" w:hAnsi="Verdana"/>
          <w:i/>
          <w:iCs/>
          <w:sz w:val="18"/>
          <w:szCs w:val="18"/>
        </w:rPr>
        <w:t>Titel voorstel</w:t>
      </w:r>
    </w:p>
    <w:p w:rsidRPr="00BD666C" w:rsidR="00BD666C" w:rsidP="00BD666C" w:rsidRDefault="00BD666C" w14:paraId="553962D0" w14:textId="77777777">
      <w:pPr>
        <w:spacing w:line="360" w:lineRule="auto"/>
        <w:rPr>
          <w:rFonts w:ascii="Verdana" w:hAnsi="Verdana"/>
          <w:sz w:val="18"/>
          <w:szCs w:val="18"/>
        </w:rPr>
      </w:pPr>
      <w:r w:rsidRPr="0015174E">
        <w:rPr>
          <w:rFonts w:ascii="Verdana" w:hAnsi="Verdana"/>
          <w:sz w:val="18"/>
          <w:szCs w:val="18"/>
        </w:rPr>
        <w:t xml:space="preserve">Mededeling van de Commissie aan het Europees Parlement, de Europese Raad, de Raad, het Europees Economisch Sociaal Comité en het Comité van de Regio’s. Het EU-kompas voor </w:t>
      </w:r>
      <w:r>
        <w:rPr>
          <w:rFonts w:ascii="Verdana" w:hAnsi="Verdana"/>
          <w:sz w:val="18"/>
          <w:szCs w:val="18"/>
        </w:rPr>
        <w:t>concurrentievermogen.</w:t>
      </w:r>
    </w:p>
    <w:p w:rsidRPr="00BD666C" w:rsidR="00BD666C" w:rsidP="00BD666C" w:rsidRDefault="00BD666C" w14:paraId="1590AD6B" w14:textId="77777777">
      <w:pPr>
        <w:spacing w:line="360" w:lineRule="auto"/>
        <w:rPr>
          <w:rFonts w:ascii="Verdana" w:hAnsi="Verdana"/>
          <w:i/>
          <w:iCs/>
          <w:sz w:val="18"/>
          <w:szCs w:val="18"/>
        </w:rPr>
      </w:pPr>
    </w:p>
    <w:p w:rsidRPr="007C7DCE" w:rsidR="00BD666C" w:rsidP="00BD666C" w:rsidRDefault="00BD666C" w14:paraId="6A598BE7" w14:textId="77777777">
      <w:pPr>
        <w:numPr>
          <w:ilvl w:val="0"/>
          <w:numId w:val="3"/>
        </w:numPr>
        <w:spacing w:line="360" w:lineRule="auto"/>
        <w:rPr>
          <w:rFonts w:ascii="Verdana" w:hAnsi="Verdana"/>
          <w:i/>
          <w:sz w:val="18"/>
          <w:szCs w:val="18"/>
        </w:rPr>
      </w:pPr>
      <w:r w:rsidRPr="2F0F8D57">
        <w:rPr>
          <w:rFonts w:ascii="Verdana" w:hAnsi="Verdana"/>
          <w:i/>
          <w:iCs/>
          <w:sz w:val="18"/>
          <w:szCs w:val="18"/>
        </w:rPr>
        <w:t>Datum ontvangst Commissiedocument</w:t>
      </w:r>
    </w:p>
    <w:p w:rsidRPr="00C53116" w:rsidR="00BD666C" w:rsidP="00BD666C" w:rsidRDefault="00BD666C" w14:paraId="0859194D" w14:textId="77777777">
      <w:pPr>
        <w:tabs>
          <w:tab w:val="left" w:pos="0"/>
          <w:tab w:val="left" w:pos="680"/>
          <w:tab w:val="left" w:pos="1021"/>
          <w:tab w:val="left" w:pos="1361"/>
          <w:tab w:val="left" w:pos="1701"/>
          <w:tab w:val="left" w:pos="3402"/>
        </w:tabs>
        <w:spacing w:line="360" w:lineRule="auto"/>
        <w:rPr>
          <w:rFonts w:ascii="Verdana" w:hAnsi="Verdana"/>
          <w:b/>
          <w:bCs/>
          <w:sz w:val="18"/>
          <w:szCs w:val="18"/>
        </w:rPr>
      </w:pPr>
      <w:r>
        <w:rPr>
          <w:rFonts w:ascii="Verdana" w:hAnsi="Verdana"/>
          <w:sz w:val="18"/>
          <w:szCs w:val="18"/>
        </w:rPr>
        <w:t>29 januari 2025</w:t>
      </w:r>
    </w:p>
    <w:p w:rsidRPr="00C53116" w:rsidR="00BD666C" w:rsidP="00BD666C" w:rsidRDefault="00BD666C" w14:paraId="5D2C6687" w14:textId="77777777">
      <w:pPr>
        <w:spacing w:line="360" w:lineRule="auto"/>
        <w:rPr>
          <w:rFonts w:ascii="Verdana" w:hAnsi="Verdana"/>
          <w:i/>
          <w:iCs/>
          <w:sz w:val="18"/>
          <w:szCs w:val="18"/>
        </w:rPr>
      </w:pPr>
    </w:p>
    <w:p w:rsidRPr="007C7DCE" w:rsidR="00BD666C" w:rsidP="00BD666C" w:rsidRDefault="00BD666C" w14:paraId="0B6634CB" w14:textId="77777777">
      <w:pPr>
        <w:pStyle w:val="ListParagraph"/>
        <w:numPr>
          <w:ilvl w:val="0"/>
          <w:numId w:val="3"/>
        </w:numPr>
        <w:spacing w:line="360" w:lineRule="auto"/>
        <w:rPr>
          <w:rFonts w:ascii="Verdana" w:hAnsi="Verdana"/>
          <w:i/>
          <w:sz w:val="18"/>
          <w:szCs w:val="18"/>
        </w:rPr>
      </w:pPr>
      <w:r w:rsidRPr="2F0F8D57">
        <w:rPr>
          <w:rFonts w:ascii="Verdana" w:hAnsi="Verdana"/>
          <w:i/>
          <w:iCs/>
          <w:sz w:val="18"/>
          <w:szCs w:val="18"/>
        </w:rPr>
        <w:t>Nr. Commissiedocument</w:t>
      </w:r>
    </w:p>
    <w:p w:rsidRPr="00C53116" w:rsidR="00BD666C" w:rsidP="00BD666C" w:rsidRDefault="00BD666C" w14:paraId="6B040ADD" w14:textId="77777777">
      <w:pPr>
        <w:spacing w:line="360" w:lineRule="auto"/>
        <w:rPr>
          <w:rFonts w:ascii="Verdana" w:hAnsi="Verdana"/>
          <w:sz w:val="18"/>
          <w:szCs w:val="18"/>
        </w:rPr>
      </w:pPr>
      <w:r>
        <w:rPr>
          <w:rFonts w:ascii="Verdana" w:hAnsi="Verdana"/>
          <w:sz w:val="18"/>
          <w:szCs w:val="18"/>
        </w:rPr>
        <w:t xml:space="preserve">COM(2025) 30 </w:t>
      </w:r>
    </w:p>
    <w:p w:rsidRPr="00C53116" w:rsidR="00BD666C" w:rsidP="00BD666C" w:rsidRDefault="00BD666C" w14:paraId="1521A631" w14:textId="77777777">
      <w:pPr>
        <w:spacing w:line="360" w:lineRule="auto"/>
        <w:rPr>
          <w:rFonts w:ascii="Verdana" w:hAnsi="Verdana"/>
          <w:i/>
          <w:iCs/>
          <w:sz w:val="18"/>
          <w:szCs w:val="18"/>
        </w:rPr>
      </w:pPr>
    </w:p>
    <w:p w:rsidRPr="007C7DCE" w:rsidR="00BD666C" w:rsidP="00BD666C" w:rsidRDefault="00BD666C" w14:paraId="46F15A7A" w14:textId="77777777">
      <w:pPr>
        <w:numPr>
          <w:ilvl w:val="0"/>
          <w:numId w:val="3"/>
        </w:numPr>
        <w:spacing w:line="360" w:lineRule="auto"/>
        <w:rPr>
          <w:rFonts w:ascii="Verdana" w:hAnsi="Verdana"/>
          <w:i/>
          <w:sz w:val="18"/>
          <w:szCs w:val="18"/>
        </w:rPr>
      </w:pPr>
      <w:r w:rsidRPr="2F0F8D57">
        <w:rPr>
          <w:rFonts w:ascii="Verdana" w:hAnsi="Verdana"/>
          <w:i/>
          <w:iCs/>
          <w:sz w:val="18"/>
          <w:szCs w:val="18"/>
        </w:rPr>
        <w:t>EUR-Lex</w:t>
      </w:r>
    </w:p>
    <w:p w:rsidRPr="00CC6048" w:rsidR="00BD666C" w:rsidP="00BD666C" w:rsidRDefault="00BC3698" w14:paraId="3428C866" w14:textId="77777777">
      <w:pPr>
        <w:spacing w:line="360" w:lineRule="auto"/>
        <w:rPr>
          <w:rFonts w:ascii="Verdana" w:hAnsi="Verdana"/>
          <w:i/>
          <w:iCs/>
          <w:sz w:val="18"/>
          <w:szCs w:val="18"/>
        </w:rPr>
      </w:pPr>
      <w:hyperlink w:history="1" r:id="rId11">
        <w:r w:rsidRPr="00CC6048" w:rsidR="00BD666C">
          <w:rPr>
            <w:rStyle w:val="Hyperlink"/>
            <w:rFonts w:ascii="Verdana" w:hAnsi="Verdana"/>
            <w:sz w:val="18"/>
            <w:szCs w:val="18"/>
          </w:rPr>
          <w:t>https://eur-lex.europa.eu/legal-content/NL/TXT/?uri=CELEX%3A52025DC0030&amp;qid=1738327392634</w:t>
        </w:r>
      </w:hyperlink>
    </w:p>
    <w:p w:rsidRPr="00CC6048" w:rsidR="00BD666C" w:rsidP="00BD666C" w:rsidRDefault="00BD666C" w14:paraId="1B9CAEE0" w14:textId="77777777">
      <w:pPr>
        <w:spacing w:line="360" w:lineRule="auto"/>
        <w:rPr>
          <w:rFonts w:ascii="Verdana" w:hAnsi="Verdana"/>
          <w:i/>
          <w:sz w:val="18"/>
          <w:szCs w:val="18"/>
        </w:rPr>
      </w:pPr>
    </w:p>
    <w:p w:rsidRPr="007C7DCE" w:rsidR="00BD666C" w:rsidP="00BD666C" w:rsidRDefault="00BD666C" w14:paraId="64ED753B" w14:textId="77777777">
      <w:pPr>
        <w:numPr>
          <w:ilvl w:val="0"/>
          <w:numId w:val="3"/>
        </w:numPr>
        <w:spacing w:line="360" w:lineRule="auto"/>
        <w:rPr>
          <w:rFonts w:ascii="Verdana" w:hAnsi="Verdana"/>
          <w:i/>
          <w:sz w:val="18"/>
          <w:szCs w:val="18"/>
        </w:rPr>
      </w:pPr>
      <w:r w:rsidRPr="2F0F8D57">
        <w:rPr>
          <w:rFonts w:ascii="Verdana" w:hAnsi="Verdana"/>
          <w:i/>
          <w:iCs/>
          <w:sz w:val="18"/>
          <w:szCs w:val="18"/>
        </w:rPr>
        <w:t>Nr. impact assessment Commissie en Opinie Raad voor Regelgevingstoetsing</w:t>
      </w:r>
      <w:r w:rsidRPr="2F0F8D57">
        <w:rPr>
          <w:rFonts w:ascii="Verdana" w:hAnsi="Verdana"/>
          <w:sz w:val="18"/>
          <w:szCs w:val="18"/>
        </w:rPr>
        <w:t xml:space="preserve"> </w:t>
      </w:r>
    </w:p>
    <w:p w:rsidRPr="00C53116" w:rsidR="00BD666C" w:rsidP="00BD666C" w:rsidRDefault="00BD666C" w14:paraId="04B73892" w14:textId="77777777">
      <w:pPr>
        <w:spacing w:line="360" w:lineRule="auto"/>
        <w:rPr>
          <w:rFonts w:ascii="Verdana" w:hAnsi="Verdana"/>
          <w:b/>
          <w:bCs/>
          <w:sz w:val="18"/>
          <w:szCs w:val="18"/>
        </w:rPr>
      </w:pPr>
      <w:r>
        <w:rPr>
          <w:rFonts w:ascii="Verdana" w:hAnsi="Verdana"/>
          <w:sz w:val="18"/>
          <w:szCs w:val="18"/>
          <w:lang w:eastAsia="nl-NL"/>
        </w:rPr>
        <w:t xml:space="preserve">Niet opgesteld </w:t>
      </w:r>
    </w:p>
    <w:p w:rsidRPr="00E11FBE" w:rsidR="00BD666C" w:rsidP="00BD666C" w:rsidRDefault="00BD666C" w14:paraId="0401EE3E" w14:textId="77777777">
      <w:pPr>
        <w:spacing w:line="360" w:lineRule="auto"/>
        <w:rPr>
          <w:rFonts w:ascii="Verdana" w:hAnsi="Verdana"/>
          <w:iCs/>
          <w:sz w:val="18"/>
          <w:szCs w:val="18"/>
        </w:rPr>
      </w:pPr>
    </w:p>
    <w:p w:rsidRPr="007C7DCE" w:rsidR="00BD666C" w:rsidP="00BD666C" w:rsidRDefault="00BD666C" w14:paraId="591D72A6" w14:textId="77777777">
      <w:pPr>
        <w:numPr>
          <w:ilvl w:val="0"/>
          <w:numId w:val="3"/>
        </w:numPr>
        <w:spacing w:line="360" w:lineRule="auto"/>
        <w:rPr>
          <w:rFonts w:ascii="Verdana" w:hAnsi="Verdana"/>
          <w:i/>
          <w:sz w:val="18"/>
          <w:szCs w:val="18"/>
        </w:rPr>
      </w:pPr>
      <w:r w:rsidRPr="2F0F8D57">
        <w:rPr>
          <w:rFonts w:ascii="Verdana" w:hAnsi="Verdana"/>
          <w:i/>
          <w:iCs/>
          <w:sz w:val="18"/>
          <w:szCs w:val="18"/>
        </w:rPr>
        <w:t>Behandelingstraject Raad</w:t>
      </w:r>
    </w:p>
    <w:p w:rsidRPr="00C53116" w:rsidR="00BD666C" w:rsidP="00BD666C" w:rsidRDefault="00BD666C" w14:paraId="59C43800" w14:textId="77777777">
      <w:pPr>
        <w:spacing w:line="360" w:lineRule="auto"/>
        <w:rPr>
          <w:rFonts w:ascii="Verdana" w:hAnsi="Verdana"/>
          <w:sz w:val="18"/>
          <w:szCs w:val="18"/>
        </w:rPr>
      </w:pPr>
      <w:r w:rsidRPr="2F0F8D57">
        <w:rPr>
          <w:rFonts w:ascii="Verdana" w:hAnsi="Verdana"/>
          <w:sz w:val="18"/>
          <w:szCs w:val="18"/>
        </w:rPr>
        <w:t>Raad voor Concurrentievermogen</w:t>
      </w:r>
    </w:p>
    <w:p w:rsidR="00BD666C" w:rsidP="00BD666C" w:rsidRDefault="00BD666C" w14:paraId="57A52ED7" w14:textId="77777777">
      <w:pPr>
        <w:spacing w:line="360" w:lineRule="auto"/>
        <w:rPr>
          <w:rFonts w:ascii="Verdana" w:hAnsi="Verdana"/>
          <w:sz w:val="18"/>
          <w:szCs w:val="18"/>
        </w:rPr>
      </w:pPr>
    </w:p>
    <w:p w:rsidRPr="007C7DCE" w:rsidR="00BD666C" w:rsidP="00BD666C" w:rsidRDefault="00BD666C" w14:paraId="7702DBF3" w14:textId="77777777">
      <w:pPr>
        <w:numPr>
          <w:ilvl w:val="0"/>
          <w:numId w:val="3"/>
        </w:numPr>
        <w:spacing w:line="360" w:lineRule="auto"/>
        <w:rPr>
          <w:rFonts w:ascii="Verdana" w:hAnsi="Verdana"/>
          <w:i/>
          <w:sz w:val="18"/>
          <w:szCs w:val="18"/>
        </w:rPr>
      </w:pPr>
      <w:r w:rsidRPr="2F0F8D57">
        <w:rPr>
          <w:rFonts w:ascii="Verdana" w:hAnsi="Verdana"/>
          <w:i/>
          <w:iCs/>
          <w:sz w:val="18"/>
          <w:szCs w:val="18"/>
        </w:rPr>
        <w:t>Eerstverantwoordelijk ministerie</w:t>
      </w:r>
    </w:p>
    <w:p w:rsidRPr="00C53116" w:rsidR="00BD666C" w:rsidP="00BD666C" w:rsidRDefault="00841333" w14:paraId="43BCDE0E" w14:textId="4C7EF04B">
      <w:pPr>
        <w:spacing w:line="360" w:lineRule="auto"/>
        <w:rPr>
          <w:rFonts w:ascii="Verdana" w:hAnsi="Verdana"/>
          <w:sz w:val="18"/>
          <w:szCs w:val="18"/>
          <w:lang w:eastAsia="nl-NL"/>
        </w:rPr>
      </w:pPr>
      <w:r>
        <w:rPr>
          <w:rFonts w:ascii="Verdana" w:hAnsi="Verdana"/>
          <w:sz w:val="18"/>
          <w:szCs w:val="18"/>
          <w:lang w:eastAsia="nl-NL"/>
        </w:rPr>
        <w:t>Gezamenlijke verantwoordelijkheid van het m</w:t>
      </w:r>
      <w:r w:rsidRPr="68FAE438" w:rsidR="00BD666C">
        <w:rPr>
          <w:rFonts w:ascii="Verdana" w:hAnsi="Verdana"/>
          <w:sz w:val="18"/>
          <w:szCs w:val="18"/>
          <w:lang w:eastAsia="nl-NL"/>
        </w:rPr>
        <w:t xml:space="preserve">inisterie van Buitenlandse Zaken </w:t>
      </w:r>
      <w:r w:rsidR="00BD666C">
        <w:rPr>
          <w:rFonts w:ascii="Verdana" w:hAnsi="Verdana"/>
          <w:sz w:val="18"/>
          <w:szCs w:val="18"/>
          <w:lang w:eastAsia="nl-NL"/>
        </w:rPr>
        <w:t xml:space="preserve">en </w:t>
      </w:r>
      <w:r w:rsidRPr="68FAE438" w:rsidR="00BD666C">
        <w:rPr>
          <w:rFonts w:ascii="Verdana" w:hAnsi="Verdana"/>
          <w:sz w:val="18"/>
          <w:szCs w:val="18"/>
          <w:lang w:eastAsia="nl-NL"/>
        </w:rPr>
        <w:t>het ministerie van Economische Zaken</w:t>
      </w:r>
      <w:r>
        <w:rPr>
          <w:rFonts w:ascii="Verdana" w:hAnsi="Verdana"/>
          <w:sz w:val="18"/>
          <w:szCs w:val="18"/>
          <w:lang w:eastAsia="nl-NL"/>
        </w:rPr>
        <w:t>,</w:t>
      </w:r>
      <w:r w:rsidRPr="68FAE438" w:rsidR="00BD666C">
        <w:rPr>
          <w:rFonts w:ascii="Verdana" w:hAnsi="Verdana"/>
          <w:sz w:val="18"/>
          <w:szCs w:val="18"/>
          <w:lang w:eastAsia="nl-NL"/>
        </w:rPr>
        <w:t xml:space="preserve"> in nauwe samenwerking met het ministerie van Klimaat en Groene Groei</w:t>
      </w:r>
      <w:r w:rsidR="00943BE6">
        <w:rPr>
          <w:rFonts w:ascii="Verdana" w:hAnsi="Verdana"/>
          <w:sz w:val="18"/>
          <w:szCs w:val="18"/>
          <w:lang w:eastAsia="nl-NL"/>
        </w:rPr>
        <w:t xml:space="preserve"> en het ministerie van Onderwijs, Cultuur en Wetenschap</w:t>
      </w:r>
      <w:r w:rsidR="00885111">
        <w:rPr>
          <w:rFonts w:ascii="Verdana" w:hAnsi="Verdana"/>
          <w:sz w:val="18"/>
          <w:szCs w:val="18"/>
          <w:lang w:eastAsia="nl-NL"/>
        </w:rPr>
        <w:t xml:space="preserve"> en het ministerie van Financiën. </w:t>
      </w:r>
    </w:p>
    <w:p w:rsidRPr="00C53116" w:rsidR="00BD666C" w:rsidP="00BD666C" w:rsidRDefault="00BD666C" w14:paraId="3F9FA4C4" w14:textId="77777777">
      <w:pPr>
        <w:spacing w:line="360" w:lineRule="auto"/>
        <w:rPr>
          <w:rFonts w:ascii="Verdana" w:hAnsi="Verdana"/>
          <w:sz w:val="18"/>
          <w:szCs w:val="18"/>
        </w:rPr>
      </w:pPr>
    </w:p>
    <w:p w:rsidR="00BD666C" w:rsidP="00BD666C" w:rsidRDefault="00BD666C" w14:paraId="6A80B955" w14:textId="1DA5634C">
      <w:pPr>
        <w:numPr>
          <w:ilvl w:val="0"/>
          <w:numId w:val="2"/>
        </w:numPr>
        <w:spacing w:line="360" w:lineRule="auto"/>
        <w:rPr>
          <w:rFonts w:ascii="Verdana" w:hAnsi="Verdana"/>
          <w:b/>
          <w:bCs/>
          <w:sz w:val="18"/>
          <w:szCs w:val="18"/>
        </w:rPr>
      </w:pPr>
      <w:r w:rsidRPr="2F0F8D57">
        <w:rPr>
          <w:rFonts w:ascii="Verdana" w:hAnsi="Verdana"/>
          <w:b/>
          <w:bCs/>
          <w:sz w:val="18"/>
          <w:szCs w:val="18"/>
        </w:rPr>
        <w:t>Essentie voorstel</w:t>
      </w:r>
    </w:p>
    <w:p w:rsidR="00532838" w:rsidP="00BD666C" w:rsidRDefault="00BD666C" w14:paraId="3815F059" w14:textId="77777777">
      <w:pPr>
        <w:spacing w:line="360" w:lineRule="auto"/>
        <w:rPr>
          <w:rFonts w:ascii="Verdana" w:hAnsi="Verdana"/>
          <w:sz w:val="18"/>
          <w:szCs w:val="18"/>
          <w:lang w:eastAsia="nl-NL"/>
        </w:rPr>
      </w:pPr>
      <w:r w:rsidRPr="2F0F8D57">
        <w:rPr>
          <w:rFonts w:ascii="Verdana" w:hAnsi="Verdana"/>
          <w:sz w:val="18"/>
          <w:szCs w:val="18"/>
          <w:lang w:eastAsia="nl-NL"/>
        </w:rPr>
        <w:t xml:space="preserve">Op 29 januari </w:t>
      </w:r>
      <w:r>
        <w:rPr>
          <w:rFonts w:ascii="Verdana" w:hAnsi="Verdana"/>
          <w:sz w:val="18"/>
          <w:szCs w:val="18"/>
          <w:lang w:eastAsia="nl-NL"/>
        </w:rPr>
        <w:t xml:space="preserve">2025 </w:t>
      </w:r>
      <w:r w:rsidRPr="2F0F8D57">
        <w:rPr>
          <w:rFonts w:ascii="Verdana" w:hAnsi="Verdana"/>
          <w:sz w:val="18"/>
          <w:szCs w:val="18"/>
          <w:lang w:eastAsia="nl-NL"/>
        </w:rPr>
        <w:t xml:space="preserve">heeft de Europese Commissie (hierna: Commissie) </w:t>
      </w:r>
      <w:r>
        <w:rPr>
          <w:rFonts w:ascii="Verdana" w:hAnsi="Verdana"/>
          <w:sz w:val="18"/>
          <w:szCs w:val="18"/>
          <w:lang w:eastAsia="nl-NL"/>
        </w:rPr>
        <w:t xml:space="preserve">een mededeling over </w:t>
      </w:r>
      <w:r w:rsidRPr="2F0F8D57">
        <w:rPr>
          <w:rFonts w:ascii="Verdana" w:hAnsi="Verdana"/>
          <w:sz w:val="18"/>
          <w:szCs w:val="18"/>
          <w:lang w:eastAsia="nl-NL"/>
        </w:rPr>
        <w:t xml:space="preserve">het </w:t>
      </w:r>
      <w:r w:rsidRPr="00103DAB">
        <w:rPr>
          <w:rFonts w:ascii="Verdana" w:hAnsi="Verdana"/>
          <w:sz w:val="18"/>
          <w:szCs w:val="18"/>
          <w:lang w:eastAsia="nl-NL"/>
        </w:rPr>
        <w:t>EU-kompas voor concurrentievermogen</w:t>
      </w:r>
      <w:r>
        <w:rPr>
          <w:rFonts w:ascii="Verdana" w:hAnsi="Verdana"/>
          <w:sz w:val="18"/>
          <w:szCs w:val="18"/>
          <w:lang w:eastAsia="nl-NL"/>
        </w:rPr>
        <w:t xml:space="preserve"> (hierna: kompas)</w:t>
      </w:r>
      <w:r w:rsidRPr="2F0F8D57">
        <w:rPr>
          <w:rFonts w:ascii="Verdana" w:hAnsi="Verdana"/>
          <w:sz w:val="18"/>
          <w:szCs w:val="18"/>
          <w:lang w:eastAsia="nl-NL"/>
        </w:rPr>
        <w:t xml:space="preserve"> gepubliceerd. De mededeling bouwt voort op de aanbevelingen uit </w:t>
      </w:r>
      <w:r>
        <w:rPr>
          <w:rFonts w:ascii="Verdana" w:hAnsi="Verdana"/>
          <w:sz w:val="18"/>
          <w:szCs w:val="18"/>
          <w:lang w:eastAsia="nl-NL"/>
        </w:rPr>
        <w:t>de</w:t>
      </w:r>
      <w:r w:rsidRPr="2F0F8D57">
        <w:rPr>
          <w:rFonts w:ascii="Verdana" w:hAnsi="Verdana"/>
          <w:sz w:val="18"/>
          <w:szCs w:val="18"/>
          <w:lang w:eastAsia="nl-NL"/>
        </w:rPr>
        <w:t xml:space="preserve"> rapport</w:t>
      </w:r>
      <w:r>
        <w:rPr>
          <w:rFonts w:ascii="Verdana" w:hAnsi="Verdana"/>
          <w:sz w:val="18"/>
          <w:szCs w:val="18"/>
          <w:lang w:eastAsia="nl-NL"/>
        </w:rPr>
        <w:t>en</w:t>
      </w:r>
      <w:r w:rsidRPr="2F0F8D57">
        <w:rPr>
          <w:rFonts w:ascii="Verdana" w:hAnsi="Verdana"/>
          <w:sz w:val="18"/>
          <w:szCs w:val="18"/>
          <w:lang w:eastAsia="nl-NL"/>
        </w:rPr>
        <w:t xml:space="preserve"> van</w:t>
      </w:r>
      <w:r>
        <w:rPr>
          <w:rFonts w:ascii="Verdana" w:hAnsi="Verdana"/>
          <w:sz w:val="18"/>
          <w:szCs w:val="18"/>
          <w:lang w:eastAsia="nl-NL"/>
        </w:rPr>
        <w:t xml:space="preserve"> </w:t>
      </w:r>
      <w:proofErr w:type="spellStart"/>
      <w:r>
        <w:rPr>
          <w:rFonts w:ascii="Verdana" w:hAnsi="Verdana"/>
          <w:sz w:val="18"/>
          <w:szCs w:val="18"/>
          <w:lang w:eastAsia="nl-NL"/>
        </w:rPr>
        <w:t>Letta</w:t>
      </w:r>
      <w:proofErr w:type="spellEnd"/>
      <w:r>
        <w:rPr>
          <w:rStyle w:val="FootnoteReference"/>
          <w:rFonts w:ascii="Verdana" w:hAnsi="Verdana"/>
          <w:sz w:val="18"/>
          <w:szCs w:val="18"/>
          <w:lang w:eastAsia="nl-NL"/>
        </w:rPr>
        <w:footnoteReference w:id="2"/>
      </w:r>
      <w:r>
        <w:rPr>
          <w:rFonts w:ascii="Verdana" w:hAnsi="Verdana"/>
          <w:sz w:val="18"/>
          <w:szCs w:val="18"/>
          <w:lang w:eastAsia="nl-NL"/>
        </w:rPr>
        <w:t xml:space="preserve"> en</w:t>
      </w:r>
      <w:r w:rsidRPr="2F0F8D57">
        <w:rPr>
          <w:rFonts w:ascii="Verdana" w:hAnsi="Verdana"/>
          <w:sz w:val="18"/>
          <w:szCs w:val="18"/>
          <w:lang w:eastAsia="nl-NL"/>
        </w:rPr>
        <w:t xml:space="preserve"> </w:t>
      </w:r>
      <w:proofErr w:type="spellStart"/>
      <w:r w:rsidRPr="2F0F8D57">
        <w:rPr>
          <w:rFonts w:ascii="Verdana" w:hAnsi="Verdana"/>
          <w:sz w:val="18"/>
          <w:szCs w:val="18"/>
          <w:lang w:eastAsia="nl-NL"/>
        </w:rPr>
        <w:t>Draghi</w:t>
      </w:r>
      <w:proofErr w:type="spellEnd"/>
      <w:r>
        <w:rPr>
          <w:rStyle w:val="FootnoteReference"/>
          <w:rFonts w:ascii="Verdana" w:hAnsi="Verdana"/>
          <w:sz w:val="18"/>
          <w:szCs w:val="18"/>
          <w:lang w:eastAsia="nl-NL"/>
        </w:rPr>
        <w:footnoteReference w:id="3"/>
      </w:r>
      <w:r>
        <w:rPr>
          <w:rFonts w:ascii="Verdana" w:hAnsi="Verdana"/>
          <w:sz w:val="18"/>
          <w:szCs w:val="18"/>
          <w:lang w:eastAsia="nl-NL"/>
        </w:rPr>
        <w:t xml:space="preserve"> en biedt e</w:t>
      </w:r>
      <w:r w:rsidRPr="2F0F8D57">
        <w:rPr>
          <w:rFonts w:ascii="Verdana" w:hAnsi="Verdana"/>
          <w:sz w:val="18"/>
          <w:szCs w:val="18"/>
          <w:lang w:eastAsia="nl-NL"/>
        </w:rPr>
        <w:t xml:space="preserve">en </w:t>
      </w:r>
      <w:r>
        <w:rPr>
          <w:rFonts w:ascii="Verdana" w:hAnsi="Verdana"/>
          <w:sz w:val="18"/>
          <w:szCs w:val="18"/>
          <w:lang w:eastAsia="nl-NL"/>
        </w:rPr>
        <w:t>beleids</w:t>
      </w:r>
      <w:r w:rsidRPr="2F0F8D57">
        <w:rPr>
          <w:rFonts w:ascii="Verdana" w:hAnsi="Verdana"/>
          <w:sz w:val="18"/>
          <w:szCs w:val="18"/>
          <w:lang w:eastAsia="nl-NL"/>
        </w:rPr>
        <w:t xml:space="preserve">kader en strategische visie </w:t>
      </w:r>
      <w:r>
        <w:rPr>
          <w:rFonts w:ascii="Verdana" w:hAnsi="Verdana"/>
          <w:sz w:val="18"/>
          <w:szCs w:val="18"/>
          <w:lang w:eastAsia="nl-NL"/>
        </w:rPr>
        <w:t>op versterking van het EU-</w:t>
      </w:r>
      <w:r w:rsidRPr="2F0F8D57">
        <w:rPr>
          <w:rFonts w:ascii="Verdana" w:hAnsi="Verdana"/>
          <w:sz w:val="18"/>
          <w:szCs w:val="18"/>
          <w:lang w:eastAsia="nl-NL"/>
        </w:rPr>
        <w:t>concurrentievermogen.</w:t>
      </w:r>
      <w:r>
        <w:rPr>
          <w:rFonts w:ascii="Verdana" w:hAnsi="Verdana"/>
          <w:sz w:val="18"/>
          <w:szCs w:val="18"/>
          <w:lang w:eastAsia="nl-NL"/>
        </w:rPr>
        <w:t xml:space="preserve"> Het kompas is opgebouwd uit drie pijlers, die ieder een uitdaging voor het concurrentievermogen adresseren, en vijf horizontale katalysatoren.</w:t>
      </w:r>
      <w:r w:rsidRPr="008D01D1">
        <w:rPr>
          <w:rFonts w:ascii="Verdana" w:hAnsi="Verdana"/>
          <w:sz w:val="18"/>
          <w:szCs w:val="18"/>
          <w:lang w:eastAsia="nl-NL"/>
        </w:rPr>
        <w:t xml:space="preserve"> Voor elk van </w:t>
      </w:r>
      <w:r w:rsidR="005B48E4">
        <w:rPr>
          <w:rFonts w:ascii="Verdana" w:hAnsi="Verdana"/>
          <w:sz w:val="18"/>
          <w:szCs w:val="18"/>
          <w:lang w:eastAsia="nl-NL"/>
        </w:rPr>
        <w:t>de</w:t>
      </w:r>
      <w:r w:rsidRPr="008D01D1">
        <w:rPr>
          <w:rFonts w:ascii="Verdana" w:hAnsi="Verdana"/>
          <w:sz w:val="18"/>
          <w:szCs w:val="18"/>
          <w:lang w:eastAsia="nl-NL"/>
        </w:rPr>
        <w:t xml:space="preserve"> drie uitdagingen stelt het </w:t>
      </w:r>
      <w:r>
        <w:rPr>
          <w:rFonts w:ascii="Verdana" w:hAnsi="Verdana"/>
          <w:sz w:val="18"/>
          <w:szCs w:val="18"/>
          <w:lang w:eastAsia="nl-NL"/>
        </w:rPr>
        <w:t>kompas</w:t>
      </w:r>
      <w:r w:rsidRPr="008D01D1">
        <w:rPr>
          <w:rFonts w:ascii="Verdana" w:hAnsi="Verdana"/>
          <w:sz w:val="18"/>
          <w:szCs w:val="18"/>
          <w:lang w:eastAsia="nl-NL"/>
        </w:rPr>
        <w:t xml:space="preserve"> een plan van aanpak voor en kondigt het </w:t>
      </w:r>
      <w:r w:rsidR="00B777E0">
        <w:rPr>
          <w:rFonts w:ascii="Verdana" w:hAnsi="Verdana"/>
          <w:sz w:val="18"/>
          <w:szCs w:val="18"/>
          <w:lang w:eastAsia="nl-NL"/>
        </w:rPr>
        <w:t>(een niet uitputtende lijst van)</w:t>
      </w:r>
      <w:r w:rsidRPr="008D01D1">
        <w:rPr>
          <w:rFonts w:ascii="Verdana" w:hAnsi="Verdana"/>
          <w:sz w:val="18"/>
          <w:szCs w:val="18"/>
          <w:lang w:eastAsia="nl-NL"/>
        </w:rPr>
        <w:t xml:space="preserve"> maatregelen en prioriteiten</w:t>
      </w:r>
      <w:r>
        <w:rPr>
          <w:rFonts w:ascii="Verdana" w:hAnsi="Verdana"/>
          <w:sz w:val="18"/>
          <w:szCs w:val="18"/>
          <w:lang w:eastAsia="nl-NL"/>
        </w:rPr>
        <w:t xml:space="preserve"> aan.</w:t>
      </w:r>
      <w:r w:rsidRPr="2F0F8D57">
        <w:rPr>
          <w:rFonts w:ascii="Verdana" w:hAnsi="Verdana"/>
          <w:sz w:val="18"/>
          <w:szCs w:val="18"/>
          <w:lang w:eastAsia="nl-NL"/>
        </w:rPr>
        <w:t xml:space="preserve"> </w:t>
      </w:r>
      <w:r>
        <w:rPr>
          <w:rFonts w:ascii="Verdana" w:hAnsi="Verdana"/>
          <w:sz w:val="18"/>
          <w:szCs w:val="18"/>
          <w:lang w:eastAsia="nl-NL"/>
        </w:rPr>
        <w:t xml:space="preserve">Met de horizontale </w:t>
      </w:r>
      <w:r w:rsidR="005C72F2">
        <w:rPr>
          <w:rFonts w:ascii="Verdana" w:hAnsi="Verdana"/>
          <w:sz w:val="18"/>
          <w:szCs w:val="18"/>
          <w:lang w:eastAsia="nl-NL"/>
        </w:rPr>
        <w:t>katalysatoren</w:t>
      </w:r>
      <w:r>
        <w:rPr>
          <w:rFonts w:ascii="Verdana" w:hAnsi="Verdana"/>
          <w:sz w:val="18"/>
          <w:szCs w:val="18"/>
          <w:lang w:eastAsia="nl-NL"/>
        </w:rPr>
        <w:t xml:space="preserve"> beoogt de Commissie dwarsdoorsnijdende problemen te adresseren</w:t>
      </w:r>
      <w:r w:rsidRPr="2F0F8D57">
        <w:rPr>
          <w:rFonts w:ascii="Verdana" w:hAnsi="Verdana"/>
          <w:sz w:val="18"/>
          <w:szCs w:val="18"/>
          <w:lang w:eastAsia="nl-NL"/>
        </w:rPr>
        <w:t>.</w:t>
      </w:r>
      <w:r>
        <w:rPr>
          <w:rFonts w:ascii="Verdana" w:hAnsi="Verdana"/>
          <w:sz w:val="18"/>
          <w:szCs w:val="18"/>
          <w:lang w:eastAsia="nl-NL"/>
        </w:rPr>
        <w:t xml:space="preserve"> </w:t>
      </w:r>
    </w:p>
    <w:p w:rsidR="00BD666C" w:rsidP="00BD666C" w:rsidRDefault="00EF03C4" w14:paraId="6752F2AE" w14:textId="055C1172">
      <w:pPr>
        <w:spacing w:line="360" w:lineRule="auto"/>
        <w:rPr>
          <w:rFonts w:ascii="Verdana" w:hAnsi="Verdana"/>
          <w:sz w:val="18"/>
          <w:szCs w:val="18"/>
        </w:rPr>
      </w:pPr>
      <w:r>
        <w:rPr>
          <w:rFonts w:ascii="Verdana" w:hAnsi="Verdana"/>
          <w:sz w:val="18"/>
          <w:szCs w:val="18"/>
          <w:lang w:eastAsia="nl-NL"/>
        </w:rPr>
        <w:lastRenderedPageBreak/>
        <w:t>De mededeling</w:t>
      </w:r>
      <w:r w:rsidR="00BD666C">
        <w:rPr>
          <w:rFonts w:ascii="Verdana" w:hAnsi="Verdana"/>
          <w:sz w:val="18"/>
          <w:szCs w:val="18"/>
          <w:lang w:eastAsia="nl-NL"/>
        </w:rPr>
        <w:t xml:space="preserve"> bevat geen nieuwe wetgeving, maar kondigt wel verschillende (wetgevende) voorstellen aan die in 2025 en 2026 worden verwacht.</w:t>
      </w:r>
      <w:r w:rsidRPr="00AB346E" w:rsidR="00BD666C">
        <w:rPr>
          <w:rFonts w:ascii="Verdana" w:hAnsi="Verdana"/>
          <w:sz w:val="18"/>
          <w:szCs w:val="18"/>
          <w:lang w:eastAsia="nl-NL"/>
        </w:rPr>
        <w:t xml:space="preserve"> </w:t>
      </w:r>
      <w:r w:rsidR="00BD666C">
        <w:rPr>
          <w:rFonts w:ascii="Verdana" w:hAnsi="Verdana"/>
          <w:sz w:val="18"/>
          <w:szCs w:val="18"/>
          <w:lang w:eastAsia="nl-NL"/>
        </w:rPr>
        <w:t>Uw Kamer zal over de hierna beschreven individuele voorstellen te zijner tijd via de geëigende wegen geïnformeerd worden.</w:t>
      </w:r>
    </w:p>
    <w:p w:rsidRPr="00ED4A44" w:rsidR="00BD666C" w:rsidP="00BD666C" w:rsidRDefault="00BD666C" w14:paraId="7434E043" w14:textId="77777777">
      <w:pPr>
        <w:spacing w:line="360" w:lineRule="auto"/>
        <w:rPr>
          <w:rFonts w:ascii="Verdana" w:hAnsi="Verdana"/>
          <w:sz w:val="18"/>
          <w:szCs w:val="18"/>
          <w:lang w:eastAsia="nl-NL"/>
        </w:rPr>
      </w:pPr>
    </w:p>
    <w:p w:rsidRPr="000D13E3" w:rsidR="00BD666C" w:rsidP="00BD666C" w:rsidRDefault="00BD666C" w14:paraId="2B8C6F7D" w14:textId="3FF7B995">
      <w:pPr>
        <w:spacing w:line="360" w:lineRule="auto"/>
        <w:rPr>
          <w:rFonts w:ascii="Verdana" w:hAnsi="Verdana"/>
          <w:b/>
          <w:sz w:val="18"/>
          <w:szCs w:val="18"/>
        </w:rPr>
      </w:pPr>
      <w:r w:rsidRPr="009D0A78">
        <w:rPr>
          <w:rFonts w:ascii="Verdana" w:hAnsi="Verdana"/>
          <w:sz w:val="18"/>
          <w:szCs w:val="18"/>
          <w:lang w:eastAsia="nl-NL"/>
        </w:rPr>
        <w:t>De eerste pijler ziet op het dichte</w:t>
      </w:r>
      <w:r>
        <w:rPr>
          <w:rFonts w:ascii="Verdana" w:hAnsi="Verdana"/>
          <w:sz w:val="18"/>
          <w:szCs w:val="18"/>
          <w:lang w:eastAsia="nl-NL"/>
        </w:rPr>
        <w:t>n</w:t>
      </w:r>
      <w:r w:rsidRPr="009D0A78">
        <w:rPr>
          <w:rFonts w:ascii="Verdana" w:hAnsi="Verdana"/>
          <w:sz w:val="18"/>
          <w:szCs w:val="18"/>
          <w:lang w:eastAsia="nl-NL"/>
        </w:rPr>
        <w:t xml:space="preserve"> van </w:t>
      </w:r>
      <w:r>
        <w:rPr>
          <w:rFonts w:ascii="Verdana" w:hAnsi="Verdana"/>
          <w:sz w:val="18"/>
          <w:szCs w:val="18"/>
          <w:lang w:eastAsia="nl-NL"/>
        </w:rPr>
        <w:t>de innovatiekloof</w:t>
      </w:r>
      <w:r w:rsidRPr="009D0A78">
        <w:rPr>
          <w:rFonts w:ascii="Verdana" w:hAnsi="Verdana"/>
          <w:sz w:val="18"/>
          <w:szCs w:val="18"/>
          <w:lang w:eastAsia="nl-NL"/>
        </w:rPr>
        <w:t xml:space="preserve"> tussen de EU en andere machtsblokken</w:t>
      </w:r>
      <w:r>
        <w:rPr>
          <w:rFonts w:ascii="Verdana" w:hAnsi="Verdana"/>
          <w:sz w:val="18"/>
          <w:szCs w:val="18"/>
          <w:lang w:eastAsia="nl-NL"/>
        </w:rPr>
        <w:t xml:space="preserve"> om de productiviteit te vergroten</w:t>
      </w:r>
      <w:r w:rsidRPr="009D0A78">
        <w:rPr>
          <w:rFonts w:ascii="Verdana" w:hAnsi="Verdana"/>
          <w:sz w:val="18"/>
          <w:szCs w:val="18"/>
          <w:lang w:eastAsia="nl-NL"/>
        </w:rPr>
        <w:t>.</w:t>
      </w:r>
      <w:r>
        <w:rPr>
          <w:rFonts w:ascii="Verdana" w:hAnsi="Verdana"/>
          <w:sz w:val="18"/>
          <w:szCs w:val="18"/>
          <w:lang w:eastAsia="nl-NL"/>
        </w:rPr>
        <w:t xml:space="preserve"> De Commissie wil met deze pijler nieuwe dynamiek geven aan de innovatie- en economische structuur van de EU, door zich te richten op gunstige voorwaarden voor</w:t>
      </w:r>
      <w:r w:rsidRPr="009D0A78">
        <w:rPr>
          <w:rFonts w:ascii="Verdana" w:hAnsi="Verdana"/>
          <w:sz w:val="18"/>
          <w:szCs w:val="18"/>
          <w:lang w:eastAsia="nl-NL"/>
        </w:rPr>
        <w:t xml:space="preserve"> </w:t>
      </w:r>
      <w:r w:rsidRPr="005C72F2">
        <w:rPr>
          <w:rFonts w:ascii="Verdana" w:hAnsi="Verdana"/>
          <w:i/>
          <w:sz w:val="18"/>
          <w:szCs w:val="18"/>
          <w:lang w:eastAsia="nl-NL"/>
        </w:rPr>
        <w:t>startups</w:t>
      </w:r>
      <w:r w:rsidRPr="009D0A78">
        <w:rPr>
          <w:rFonts w:ascii="Verdana" w:hAnsi="Verdana"/>
          <w:sz w:val="18"/>
          <w:szCs w:val="18"/>
          <w:lang w:eastAsia="nl-NL"/>
        </w:rPr>
        <w:t xml:space="preserve"> en </w:t>
      </w:r>
      <w:proofErr w:type="spellStart"/>
      <w:r w:rsidRPr="005C72F2">
        <w:rPr>
          <w:rFonts w:ascii="Verdana" w:hAnsi="Verdana"/>
          <w:i/>
          <w:sz w:val="18"/>
          <w:szCs w:val="18"/>
          <w:lang w:eastAsia="nl-NL"/>
        </w:rPr>
        <w:t>scale</w:t>
      </w:r>
      <w:proofErr w:type="spellEnd"/>
      <w:r w:rsidRPr="005C72F2">
        <w:rPr>
          <w:rFonts w:ascii="Verdana" w:hAnsi="Verdana"/>
          <w:i/>
          <w:sz w:val="18"/>
          <w:szCs w:val="18"/>
          <w:lang w:eastAsia="nl-NL"/>
        </w:rPr>
        <w:t>-ups</w:t>
      </w:r>
      <w:r>
        <w:rPr>
          <w:rFonts w:ascii="Verdana" w:hAnsi="Verdana"/>
          <w:sz w:val="18"/>
          <w:szCs w:val="18"/>
          <w:lang w:eastAsia="nl-NL"/>
        </w:rPr>
        <w:t>,</w:t>
      </w:r>
      <w:r w:rsidRPr="009D0A78">
        <w:rPr>
          <w:rFonts w:ascii="Verdana" w:hAnsi="Verdana"/>
          <w:sz w:val="18"/>
          <w:szCs w:val="18"/>
          <w:lang w:eastAsia="nl-NL"/>
        </w:rPr>
        <w:t xml:space="preserve"> verbeter</w:t>
      </w:r>
      <w:r>
        <w:rPr>
          <w:rFonts w:ascii="Verdana" w:hAnsi="Verdana"/>
          <w:sz w:val="18"/>
          <w:szCs w:val="18"/>
          <w:lang w:eastAsia="nl-NL"/>
        </w:rPr>
        <w:t>de</w:t>
      </w:r>
      <w:r w:rsidRPr="009D0A78">
        <w:rPr>
          <w:rFonts w:ascii="Verdana" w:hAnsi="Verdana"/>
          <w:sz w:val="18"/>
          <w:szCs w:val="18"/>
          <w:lang w:eastAsia="nl-NL"/>
        </w:rPr>
        <w:t xml:space="preserve"> toegang tot durfkapitaal en </w:t>
      </w:r>
      <w:r>
        <w:rPr>
          <w:rFonts w:ascii="Verdana" w:hAnsi="Verdana"/>
          <w:sz w:val="18"/>
          <w:szCs w:val="18"/>
          <w:lang w:eastAsia="nl-NL"/>
        </w:rPr>
        <w:t>de bevordering van</w:t>
      </w:r>
      <w:r w:rsidRPr="009D0A78">
        <w:rPr>
          <w:rFonts w:ascii="Verdana" w:hAnsi="Verdana"/>
          <w:sz w:val="18"/>
          <w:szCs w:val="18"/>
          <w:lang w:eastAsia="nl-NL"/>
        </w:rPr>
        <w:t xml:space="preserve"> innovatie en onderzoek. </w:t>
      </w:r>
      <w:r w:rsidRPr="2F0F8D57">
        <w:rPr>
          <w:rFonts w:ascii="Verdana" w:hAnsi="Verdana"/>
          <w:sz w:val="18"/>
          <w:szCs w:val="18"/>
          <w:lang w:eastAsia="nl-NL"/>
        </w:rPr>
        <w:t xml:space="preserve">Onder de eerste pijler zijn de volgende (wetgevende) voorstellen aangekondigd: </w:t>
      </w:r>
      <w:r w:rsidR="005C72F2">
        <w:rPr>
          <w:rFonts w:ascii="Verdana" w:hAnsi="Verdana"/>
          <w:sz w:val="18"/>
          <w:szCs w:val="18"/>
          <w:lang w:eastAsia="nl-NL"/>
        </w:rPr>
        <w:t xml:space="preserve">een </w:t>
      </w:r>
      <w:r w:rsidRPr="005C72F2">
        <w:rPr>
          <w:rFonts w:ascii="Verdana" w:hAnsi="Verdana"/>
          <w:i/>
          <w:sz w:val="18"/>
          <w:szCs w:val="18"/>
          <w:lang w:eastAsia="nl-NL"/>
        </w:rPr>
        <w:t xml:space="preserve">startup-en </w:t>
      </w:r>
      <w:proofErr w:type="spellStart"/>
      <w:r w:rsidRPr="005C72F2">
        <w:rPr>
          <w:rFonts w:ascii="Verdana" w:hAnsi="Verdana"/>
          <w:i/>
          <w:sz w:val="18"/>
          <w:szCs w:val="18"/>
          <w:lang w:eastAsia="nl-NL"/>
        </w:rPr>
        <w:t>scale</w:t>
      </w:r>
      <w:proofErr w:type="spellEnd"/>
      <w:r w:rsidRPr="005C72F2">
        <w:rPr>
          <w:rFonts w:ascii="Verdana" w:hAnsi="Verdana"/>
          <w:i/>
          <w:sz w:val="18"/>
          <w:szCs w:val="18"/>
          <w:lang w:eastAsia="nl-NL"/>
        </w:rPr>
        <w:t>-up</w:t>
      </w:r>
      <w:r>
        <w:rPr>
          <w:rFonts w:ascii="Verdana" w:hAnsi="Verdana"/>
          <w:sz w:val="18"/>
          <w:szCs w:val="18"/>
          <w:lang w:eastAsia="nl-NL"/>
        </w:rPr>
        <w:t>-</w:t>
      </w:r>
      <w:r w:rsidRPr="2F0F8D57">
        <w:rPr>
          <w:rFonts w:ascii="Verdana" w:hAnsi="Verdana"/>
          <w:sz w:val="18"/>
          <w:szCs w:val="18"/>
          <w:lang w:eastAsia="nl-NL"/>
        </w:rPr>
        <w:t>strategie, een 28</w:t>
      </w:r>
      <w:r w:rsidR="00B93FBF">
        <w:rPr>
          <w:rFonts w:ascii="Verdana" w:hAnsi="Verdana"/>
          <w:sz w:val="18"/>
          <w:szCs w:val="18"/>
          <w:vertAlign w:val="superscript"/>
          <w:lang w:eastAsia="nl-NL"/>
        </w:rPr>
        <w:t>ste</w:t>
      </w:r>
      <w:r w:rsidRPr="2F0F8D57">
        <w:rPr>
          <w:rFonts w:ascii="Verdana" w:hAnsi="Verdana"/>
          <w:sz w:val="18"/>
          <w:szCs w:val="18"/>
          <w:lang w:eastAsia="nl-NL"/>
        </w:rPr>
        <w:t xml:space="preserve"> </w:t>
      </w:r>
      <w:r>
        <w:rPr>
          <w:rFonts w:ascii="Verdana" w:hAnsi="Verdana"/>
          <w:sz w:val="18"/>
          <w:szCs w:val="18"/>
          <w:lang w:eastAsia="nl-NL"/>
        </w:rPr>
        <w:t>regelgevend</w:t>
      </w:r>
      <w:r w:rsidRPr="2F0F8D57">
        <w:rPr>
          <w:rFonts w:ascii="Verdana" w:hAnsi="Verdana"/>
          <w:sz w:val="18"/>
          <w:szCs w:val="18"/>
          <w:lang w:eastAsia="nl-NL"/>
        </w:rPr>
        <w:t xml:space="preserve"> regime </w:t>
      </w:r>
      <w:r w:rsidRPr="2F0F8D57" w:rsidDel="007C2E79">
        <w:rPr>
          <w:rFonts w:ascii="Verdana" w:hAnsi="Verdana"/>
          <w:sz w:val="18"/>
          <w:szCs w:val="18"/>
          <w:lang w:eastAsia="nl-NL"/>
        </w:rPr>
        <w:t xml:space="preserve">voor </w:t>
      </w:r>
      <w:r>
        <w:rPr>
          <w:rFonts w:ascii="Verdana" w:hAnsi="Verdana"/>
          <w:sz w:val="18"/>
          <w:szCs w:val="18"/>
          <w:lang w:eastAsia="nl-NL"/>
        </w:rPr>
        <w:t>innovatieve bedrijven,</w:t>
      </w:r>
      <w:r w:rsidRPr="2F0F8D57">
        <w:rPr>
          <w:rFonts w:ascii="Verdana" w:hAnsi="Verdana"/>
          <w:sz w:val="18"/>
          <w:szCs w:val="18"/>
          <w:lang w:eastAsia="nl-NL"/>
        </w:rPr>
        <w:t xml:space="preserve"> een</w:t>
      </w:r>
      <w:r w:rsidR="005C72F2">
        <w:rPr>
          <w:rFonts w:ascii="Verdana" w:hAnsi="Verdana"/>
          <w:sz w:val="18"/>
          <w:szCs w:val="18"/>
          <w:lang w:eastAsia="nl-NL"/>
        </w:rPr>
        <w:t xml:space="preserve"> </w:t>
      </w:r>
      <w:r>
        <w:rPr>
          <w:rFonts w:ascii="Verdana" w:hAnsi="Verdana"/>
          <w:sz w:val="18"/>
          <w:szCs w:val="18"/>
          <w:lang w:eastAsia="nl-NL"/>
        </w:rPr>
        <w:t>i</w:t>
      </w:r>
      <w:r w:rsidRPr="2F0F8D57">
        <w:rPr>
          <w:rFonts w:ascii="Verdana" w:hAnsi="Verdana"/>
          <w:sz w:val="18"/>
          <w:szCs w:val="18"/>
          <w:lang w:eastAsia="nl-NL"/>
        </w:rPr>
        <w:t>nnovatie</w:t>
      </w:r>
      <w:r>
        <w:rPr>
          <w:rFonts w:ascii="Verdana" w:hAnsi="Verdana"/>
          <w:sz w:val="18"/>
          <w:szCs w:val="18"/>
          <w:lang w:eastAsia="nl-NL"/>
        </w:rPr>
        <w:t>v</w:t>
      </w:r>
      <w:r w:rsidRPr="2F0F8D57">
        <w:rPr>
          <w:rFonts w:ascii="Verdana" w:hAnsi="Verdana"/>
          <w:sz w:val="18"/>
          <w:szCs w:val="18"/>
          <w:lang w:eastAsia="nl-NL"/>
        </w:rPr>
        <w:t xml:space="preserve">erordening, een </w:t>
      </w:r>
      <w:r>
        <w:rPr>
          <w:rFonts w:ascii="Verdana" w:hAnsi="Verdana"/>
          <w:sz w:val="18"/>
          <w:szCs w:val="18"/>
          <w:lang w:eastAsia="nl-NL"/>
        </w:rPr>
        <w:t>v</w:t>
      </w:r>
      <w:r w:rsidRPr="2F0F8D57">
        <w:rPr>
          <w:rFonts w:ascii="Verdana" w:hAnsi="Verdana"/>
          <w:sz w:val="18"/>
          <w:szCs w:val="18"/>
          <w:lang w:eastAsia="nl-NL"/>
        </w:rPr>
        <w:t xml:space="preserve">erordening </w:t>
      </w:r>
      <w:r>
        <w:rPr>
          <w:rFonts w:ascii="Verdana" w:hAnsi="Verdana"/>
          <w:sz w:val="18"/>
          <w:szCs w:val="18"/>
          <w:lang w:eastAsia="nl-NL"/>
        </w:rPr>
        <w:t>o</w:t>
      </w:r>
      <w:r w:rsidRPr="2F0F8D57">
        <w:rPr>
          <w:rFonts w:ascii="Verdana" w:hAnsi="Verdana"/>
          <w:sz w:val="18"/>
          <w:szCs w:val="18"/>
          <w:lang w:eastAsia="nl-NL"/>
        </w:rPr>
        <w:t>nderzoeksruimte, een AI</w:t>
      </w:r>
      <w:r>
        <w:rPr>
          <w:rFonts w:ascii="Verdana" w:hAnsi="Verdana"/>
          <w:sz w:val="18"/>
          <w:szCs w:val="18"/>
          <w:lang w:eastAsia="nl-NL"/>
        </w:rPr>
        <w:t>-</w:t>
      </w:r>
      <w:r w:rsidRPr="2F0F8D57">
        <w:rPr>
          <w:rFonts w:ascii="Verdana" w:hAnsi="Verdana"/>
          <w:sz w:val="18"/>
          <w:szCs w:val="18"/>
          <w:lang w:eastAsia="nl-NL"/>
        </w:rPr>
        <w:t xml:space="preserve">fabriekeninitiatief, </w:t>
      </w:r>
      <w:r>
        <w:rPr>
          <w:rFonts w:ascii="Verdana" w:hAnsi="Verdana"/>
          <w:sz w:val="18"/>
          <w:szCs w:val="18"/>
          <w:lang w:eastAsia="nl-NL"/>
        </w:rPr>
        <w:t>een strategie ter versterking van AI-</w:t>
      </w:r>
      <w:r w:rsidR="005E04C2">
        <w:rPr>
          <w:rFonts w:ascii="Verdana" w:hAnsi="Verdana"/>
          <w:sz w:val="18"/>
          <w:szCs w:val="18"/>
          <w:lang w:eastAsia="nl-NL"/>
        </w:rPr>
        <w:t>toepassing</w:t>
      </w:r>
      <w:r>
        <w:rPr>
          <w:rFonts w:ascii="Verdana" w:hAnsi="Verdana"/>
          <w:sz w:val="18"/>
          <w:szCs w:val="18"/>
          <w:lang w:eastAsia="nl-NL"/>
        </w:rPr>
        <w:t xml:space="preserve">, </w:t>
      </w:r>
      <w:r w:rsidRPr="2F0F8D57">
        <w:rPr>
          <w:rFonts w:ascii="Verdana" w:hAnsi="Verdana"/>
          <w:sz w:val="18"/>
          <w:szCs w:val="18"/>
          <w:lang w:eastAsia="nl-NL"/>
        </w:rPr>
        <w:t>een AI</w:t>
      </w:r>
      <w:r w:rsidR="009705B5">
        <w:rPr>
          <w:rFonts w:ascii="Verdana" w:hAnsi="Verdana"/>
          <w:sz w:val="18"/>
          <w:szCs w:val="18"/>
          <w:lang w:eastAsia="nl-NL"/>
        </w:rPr>
        <w:t>-</w:t>
      </w:r>
      <w:r w:rsidRPr="2F0F8D57">
        <w:rPr>
          <w:rFonts w:ascii="Verdana" w:hAnsi="Verdana"/>
          <w:sz w:val="18"/>
          <w:szCs w:val="18"/>
          <w:lang w:eastAsia="nl-NL"/>
        </w:rPr>
        <w:t>wetenschap</w:t>
      </w:r>
      <w:r>
        <w:rPr>
          <w:rFonts w:ascii="Verdana" w:hAnsi="Verdana"/>
          <w:sz w:val="18"/>
          <w:szCs w:val="18"/>
          <w:lang w:eastAsia="nl-NL"/>
        </w:rPr>
        <w:t>s-</w:t>
      </w:r>
      <w:r w:rsidRPr="2F0F8D57">
        <w:rPr>
          <w:rFonts w:ascii="Verdana" w:hAnsi="Verdana"/>
          <w:sz w:val="18"/>
          <w:szCs w:val="18"/>
          <w:lang w:eastAsia="nl-NL"/>
        </w:rPr>
        <w:t xml:space="preserve"> en data</w:t>
      </w:r>
      <w:r>
        <w:rPr>
          <w:rFonts w:ascii="Verdana" w:hAnsi="Verdana"/>
          <w:sz w:val="18"/>
          <w:szCs w:val="18"/>
          <w:lang w:eastAsia="nl-NL"/>
        </w:rPr>
        <w:t>-</w:t>
      </w:r>
      <w:r w:rsidRPr="2F0F8D57">
        <w:rPr>
          <w:rFonts w:ascii="Verdana" w:hAnsi="Verdana"/>
          <w:sz w:val="18"/>
          <w:szCs w:val="18"/>
          <w:lang w:eastAsia="nl-NL"/>
        </w:rPr>
        <w:t xml:space="preserve">uniestrategie, een verordening voor de ontwikkeling van </w:t>
      </w:r>
      <w:proofErr w:type="spellStart"/>
      <w:r w:rsidRPr="005C72F2" w:rsidR="00F33CAF">
        <w:rPr>
          <w:rFonts w:ascii="Verdana" w:hAnsi="Verdana"/>
          <w:i/>
          <w:sz w:val="18"/>
          <w:szCs w:val="18"/>
          <w:lang w:eastAsia="nl-NL"/>
        </w:rPr>
        <w:t>c</w:t>
      </w:r>
      <w:r w:rsidRPr="005C72F2">
        <w:rPr>
          <w:rFonts w:ascii="Verdana" w:hAnsi="Verdana"/>
          <w:i/>
          <w:sz w:val="18"/>
          <w:szCs w:val="18"/>
          <w:lang w:eastAsia="nl-NL"/>
        </w:rPr>
        <w:t>loud</w:t>
      </w:r>
      <w:proofErr w:type="spellEnd"/>
      <w:r w:rsidR="009705B5">
        <w:rPr>
          <w:rFonts w:ascii="Verdana" w:hAnsi="Verdana"/>
          <w:sz w:val="18"/>
          <w:szCs w:val="18"/>
          <w:lang w:eastAsia="nl-NL"/>
        </w:rPr>
        <w:t>-</w:t>
      </w:r>
      <w:r w:rsidRPr="2F0F8D57">
        <w:rPr>
          <w:rFonts w:ascii="Verdana" w:hAnsi="Verdana"/>
          <w:sz w:val="18"/>
          <w:szCs w:val="18"/>
          <w:lang w:eastAsia="nl-NL"/>
        </w:rPr>
        <w:t xml:space="preserve"> en AI</w:t>
      </w:r>
      <w:r w:rsidR="009705B5">
        <w:rPr>
          <w:rFonts w:ascii="Verdana" w:hAnsi="Verdana"/>
          <w:sz w:val="18"/>
          <w:szCs w:val="18"/>
          <w:lang w:eastAsia="nl-NL"/>
        </w:rPr>
        <w:t>-</w:t>
      </w:r>
      <w:r w:rsidR="00F33CAF">
        <w:rPr>
          <w:rFonts w:ascii="Verdana" w:hAnsi="Verdana"/>
          <w:sz w:val="18"/>
          <w:szCs w:val="18"/>
          <w:lang w:eastAsia="nl-NL"/>
        </w:rPr>
        <w:t>infrastructuur</w:t>
      </w:r>
      <w:r w:rsidRPr="2F0F8D57">
        <w:rPr>
          <w:rFonts w:ascii="Verdana" w:hAnsi="Verdana"/>
          <w:sz w:val="18"/>
          <w:szCs w:val="18"/>
          <w:lang w:eastAsia="nl-NL"/>
        </w:rPr>
        <w:t xml:space="preserve">, een </w:t>
      </w:r>
      <w:r>
        <w:rPr>
          <w:rFonts w:ascii="Verdana" w:hAnsi="Verdana"/>
          <w:sz w:val="18"/>
          <w:szCs w:val="18"/>
          <w:lang w:eastAsia="nl-NL"/>
        </w:rPr>
        <w:t>kw</w:t>
      </w:r>
      <w:r w:rsidRPr="2F0F8D57">
        <w:rPr>
          <w:rFonts w:ascii="Verdana" w:hAnsi="Verdana"/>
          <w:sz w:val="18"/>
          <w:szCs w:val="18"/>
          <w:lang w:eastAsia="nl-NL"/>
        </w:rPr>
        <w:t xml:space="preserve">antumstrategie, een </w:t>
      </w:r>
      <w:r>
        <w:rPr>
          <w:rFonts w:ascii="Verdana" w:hAnsi="Verdana"/>
          <w:sz w:val="18"/>
          <w:szCs w:val="18"/>
          <w:lang w:eastAsia="nl-NL"/>
        </w:rPr>
        <w:t>kw</w:t>
      </w:r>
      <w:r w:rsidRPr="2F0F8D57">
        <w:rPr>
          <w:rFonts w:ascii="Verdana" w:hAnsi="Verdana"/>
          <w:sz w:val="18"/>
          <w:szCs w:val="18"/>
          <w:lang w:eastAsia="nl-NL"/>
        </w:rPr>
        <w:t>antum</w:t>
      </w:r>
      <w:r>
        <w:rPr>
          <w:rFonts w:ascii="Verdana" w:hAnsi="Verdana"/>
          <w:sz w:val="18"/>
          <w:szCs w:val="18"/>
          <w:lang w:eastAsia="nl-NL"/>
        </w:rPr>
        <w:t>v</w:t>
      </w:r>
      <w:r w:rsidRPr="2F0F8D57">
        <w:rPr>
          <w:rFonts w:ascii="Verdana" w:hAnsi="Verdana"/>
          <w:sz w:val="18"/>
          <w:szCs w:val="18"/>
          <w:lang w:eastAsia="nl-NL"/>
        </w:rPr>
        <w:t xml:space="preserve">erordening, een </w:t>
      </w:r>
      <w:r>
        <w:rPr>
          <w:rFonts w:ascii="Verdana" w:hAnsi="Verdana"/>
          <w:sz w:val="18"/>
          <w:szCs w:val="18"/>
          <w:lang w:eastAsia="nl-NL"/>
        </w:rPr>
        <w:t>v</w:t>
      </w:r>
      <w:r w:rsidRPr="2F0F8D57">
        <w:rPr>
          <w:rFonts w:ascii="Verdana" w:hAnsi="Verdana"/>
          <w:sz w:val="18"/>
          <w:szCs w:val="18"/>
          <w:lang w:eastAsia="nl-NL"/>
        </w:rPr>
        <w:t xml:space="preserve">erordening </w:t>
      </w:r>
      <w:r>
        <w:rPr>
          <w:rFonts w:ascii="Verdana" w:hAnsi="Verdana"/>
          <w:sz w:val="18"/>
          <w:szCs w:val="18"/>
          <w:lang w:eastAsia="nl-NL"/>
        </w:rPr>
        <w:t>b</w:t>
      </w:r>
      <w:r w:rsidRPr="2F0F8D57">
        <w:rPr>
          <w:rFonts w:ascii="Verdana" w:hAnsi="Verdana"/>
          <w:sz w:val="18"/>
          <w:szCs w:val="18"/>
          <w:lang w:eastAsia="nl-NL"/>
        </w:rPr>
        <w:t>iotechnologie en een</w:t>
      </w:r>
      <w:r>
        <w:rPr>
          <w:rFonts w:ascii="Verdana" w:hAnsi="Verdana"/>
          <w:sz w:val="18"/>
          <w:szCs w:val="18"/>
          <w:lang w:eastAsia="nl-NL"/>
        </w:rPr>
        <w:t xml:space="preserve"> b</w:t>
      </w:r>
      <w:r w:rsidRPr="2F0F8D57">
        <w:rPr>
          <w:rFonts w:ascii="Verdana" w:hAnsi="Verdana"/>
          <w:sz w:val="18"/>
          <w:szCs w:val="18"/>
          <w:lang w:eastAsia="nl-NL"/>
        </w:rPr>
        <w:t>io</w:t>
      </w:r>
      <w:r>
        <w:rPr>
          <w:rFonts w:ascii="Verdana" w:hAnsi="Verdana"/>
          <w:sz w:val="18"/>
          <w:szCs w:val="18"/>
          <w:lang w:eastAsia="nl-NL"/>
        </w:rPr>
        <w:t>-</w:t>
      </w:r>
      <w:r w:rsidRPr="2F0F8D57">
        <w:rPr>
          <w:rFonts w:ascii="Verdana" w:hAnsi="Verdana"/>
          <w:sz w:val="18"/>
          <w:szCs w:val="18"/>
          <w:lang w:eastAsia="nl-NL"/>
        </w:rPr>
        <w:t xml:space="preserve">economiestrategie, een </w:t>
      </w:r>
      <w:r w:rsidRPr="544F30D5">
        <w:rPr>
          <w:rFonts w:ascii="Verdana" w:hAnsi="Verdana"/>
          <w:i/>
          <w:iCs/>
          <w:sz w:val="18"/>
          <w:szCs w:val="18"/>
          <w:lang w:eastAsia="nl-NL"/>
        </w:rPr>
        <w:t xml:space="preserve">life </w:t>
      </w:r>
      <w:proofErr w:type="spellStart"/>
      <w:r w:rsidRPr="544F30D5">
        <w:rPr>
          <w:rFonts w:ascii="Verdana" w:hAnsi="Verdana"/>
          <w:i/>
          <w:iCs/>
          <w:sz w:val="18"/>
          <w:szCs w:val="18"/>
          <w:lang w:eastAsia="nl-NL"/>
        </w:rPr>
        <w:t>sciences</w:t>
      </w:r>
      <w:proofErr w:type="spellEnd"/>
      <w:r>
        <w:rPr>
          <w:rFonts w:ascii="Verdana" w:hAnsi="Verdana"/>
          <w:sz w:val="18"/>
          <w:szCs w:val="18"/>
          <w:lang w:eastAsia="nl-NL"/>
        </w:rPr>
        <w:t>-</w:t>
      </w:r>
      <w:r w:rsidRPr="2F0F8D57">
        <w:rPr>
          <w:rFonts w:ascii="Verdana" w:hAnsi="Verdana"/>
          <w:sz w:val="18"/>
          <w:szCs w:val="18"/>
          <w:lang w:eastAsia="nl-NL"/>
        </w:rPr>
        <w:t xml:space="preserve">strategie, een </w:t>
      </w:r>
      <w:r>
        <w:rPr>
          <w:rFonts w:ascii="Verdana" w:hAnsi="Verdana"/>
          <w:sz w:val="18"/>
          <w:szCs w:val="18"/>
          <w:lang w:eastAsia="nl-NL"/>
        </w:rPr>
        <w:t>v</w:t>
      </w:r>
      <w:r w:rsidRPr="2F0F8D57">
        <w:rPr>
          <w:rFonts w:ascii="Verdana" w:hAnsi="Verdana"/>
          <w:sz w:val="18"/>
          <w:szCs w:val="18"/>
          <w:lang w:eastAsia="nl-NL"/>
        </w:rPr>
        <w:t xml:space="preserve">erordening </w:t>
      </w:r>
      <w:r>
        <w:rPr>
          <w:rFonts w:ascii="Verdana" w:hAnsi="Verdana"/>
          <w:sz w:val="18"/>
          <w:szCs w:val="18"/>
          <w:lang w:eastAsia="nl-NL"/>
        </w:rPr>
        <w:t>geavanceerde materialen</w:t>
      </w:r>
      <w:r w:rsidRPr="2F0F8D57">
        <w:rPr>
          <w:rFonts w:ascii="Verdana" w:hAnsi="Verdana"/>
          <w:sz w:val="18"/>
          <w:szCs w:val="18"/>
          <w:lang w:eastAsia="nl-NL"/>
        </w:rPr>
        <w:t xml:space="preserve">, een </w:t>
      </w:r>
      <w:r>
        <w:rPr>
          <w:rFonts w:ascii="Verdana" w:hAnsi="Verdana"/>
          <w:sz w:val="18"/>
          <w:szCs w:val="18"/>
          <w:lang w:eastAsia="nl-NL"/>
        </w:rPr>
        <w:t>r</w:t>
      </w:r>
      <w:r w:rsidRPr="2F0F8D57">
        <w:rPr>
          <w:rFonts w:ascii="Verdana" w:hAnsi="Verdana"/>
          <w:sz w:val="18"/>
          <w:szCs w:val="18"/>
          <w:lang w:eastAsia="nl-NL"/>
        </w:rPr>
        <w:t xml:space="preserve">uimtevaartverordening, een herziening van de richtsnoeren voor horizontale fusies en een </w:t>
      </w:r>
      <w:r>
        <w:rPr>
          <w:rFonts w:ascii="Verdana" w:hAnsi="Verdana"/>
          <w:sz w:val="18"/>
          <w:szCs w:val="18"/>
          <w:lang w:eastAsia="nl-NL"/>
        </w:rPr>
        <w:t>v</w:t>
      </w:r>
      <w:r w:rsidRPr="2F0F8D57">
        <w:rPr>
          <w:rFonts w:ascii="Verdana" w:hAnsi="Verdana"/>
          <w:sz w:val="18"/>
          <w:szCs w:val="18"/>
          <w:lang w:eastAsia="nl-NL"/>
        </w:rPr>
        <w:t xml:space="preserve">erordening </w:t>
      </w:r>
      <w:r w:rsidR="003500E8">
        <w:rPr>
          <w:rFonts w:ascii="Verdana" w:hAnsi="Verdana"/>
          <w:sz w:val="18"/>
          <w:szCs w:val="18"/>
          <w:lang w:eastAsia="nl-NL"/>
        </w:rPr>
        <w:t xml:space="preserve">ter versterking van Europese digitale </w:t>
      </w:r>
      <w:r w:rsidR="00F3183F">
        <w:rPr>
          <w:rFonts w:ascii="Verdana" w:hAnsi="Verdana"/>
          <w:sz w:val="18"/>
          <w:szCs w:val="18"/>
          <w:lang w:eastAsia="nl-NL"/>
        </w:rPr>
        <w:t>netwerken</w:t>
      </w:r>
      <w:r w:rsidRPr="2F0F8D57">
        <w:rPr>
          <w:rFonts w:ascii="Verdana" w:hAnsi="Verdana"/>
          <w:sz w:val="18"/>
          <w:szCs w:val="18"/>
          <w:lang w:eastAsia="nl-NL"/>
        </w:rPr>
        <w:t>.</w:t>
      </w:r>
      <w:r w:rsidR="00C236E3">
        <w:rPr>
          <w:rFonts w:ascii="Verdana" w:hAnsi="Verdana"/>
          <w:sz w:val="18"/>
          <w:szCs w:val="18"/>
          <w:lang w:eastAsia="nl-NL"/>
        </w:rPr>
        <w:t xml:space="preserve"> Ook is de ontwikkeling van een </w:t>
      </w:r>
      <w:proofErr w:type="spellStart"/>
      <w:r w:rsidR="00C236E3">
        <w:rPr>
          <w:rFonts w:ascii="Verdana" w:hAnsi="Verdana"/>
          <w:sz w:val="18"/>
          <w:szCs w:val="18"/>
          <w:lang w:eastAsia="nl-NL"/>
        </w:rPr>
        <w:t>TechE</w:t>
      </w:r>
      <w:r w:rsidR="00153954">
        <w:rPr>
          <w:rFonts w:ascii="Verdana" w:hAnsi="Verdana"/>
          <w:sz w:val="18"/>
          <w:szCs w:val="18"/>
          <w:lang w:eastAsia="nl-NL"/>
        </w:rPr>
        <w:t>U</w:t>
      </w:r>
      <w:proofErr w:type="spellEnd"/>
      <w:r w:rsidR="00153954">
        <w:rPr>
          <w:rFonts w:ascii="Verdana" w:hAnsi="Verdana"/>
          <w:sz w:val="18"/>
          <w:szCs w:val="18"/>
          <w:lang w:eastAsia="nl-NL"/>
        </w:rPr>
        <w:t>-investerings</w:t>
      </w:r>
      <w:r w:rsidR="00C236E3">
        <w:rPr>
          <w:rFonts w:ascii="Verdana" w:hAnsi="Verdana"/>
          <w:sz w:val="18"/>
          <w:szCs w:val="18"/>
          <w:lang w:eastAsia="nl-NL"/>
        </w:rPr>
        <w:t>programma aangekondigd dat samen met de Europese Investeringsbank (EIB) moet helpen om de financieringskloof voor disruptieve technologie te overbruggen.</w:t>
      </w:r>
    </w:p>
    <w:p w:rsidR="00BD666C" w:rsidP="00BD666C" w:rsidRDefault="00BD666C" w14:paraId="459DDFB5" w14:textId="77777777">
      <w:pPr>
        <w:spacing w:line="360" w:lineRule="auto"/>
        <w:rPr>
          <w:rFonts w:ascii="Verdana" w:hAnsi="Verdana"/>
          <w:sz w:val="18"/>
          <w:szCs w:val="18"/>
        </w:rPr>
      </w:pPr>
    </w:p>
    <w:p w:rsidR="00BD666C" w:rsidP="00BD666C" w:rsidRDefault="00BD666C" w14:paraId="549BFFAA" w14:textId="76745015">
      <w:pPr>
        <w:spacing w:line="360" w:lineRule="auto"/>
        <w:rPr>
          <w:rFonts w:ascii="Verdana" w:hAnsi="Verdana"/>
          <w:sz w:val="18"/>
          <w:szCs w:val="18"/>
        </w:rPr>
      </w:pPr>
      <w:r w:rsidRPr="2F0F8D57">
        <w:rPr>
          <w:rFonts w:ascii="Verdana" w:hAnsi="Verdana"/>
          <w:sz w:val="18"/>
          <w:szCs w:val="18"/>
          <w:lang w:eastAsia="nl-NL"/>
        </w:rPr>
        <w:t xml:space="preserve">De tweede pijler ziet op het </w:t>
      </w:r>
      <w:proofErr w:type="spellStart"/>
      <w:r>
        <w:rPr>
          <w:rFonts w:ascii="Verdana" w:hAnsi="Verdana"/>
          <w:sz w:val="18"/>
          <w:szCs w:val="18"/>
          <w:lang w:eastAsia="nl-NL"/>
        </w:rPr>
        <w:t>decarboniseren</w:t>
      </w:r>
      <w:proofErr w:type="spellEnd"/>
      <w:r w:rsidRPr="2F0F8D57">
        <w:rPr>
          <w:rFonts w:ascii="Verdana" w:hAnsi="Verdana"/>
          <w:sz w:val="18"/>
          <w:szCs w:val="18"/>
          <w:lang w:eastAsia="nl-NL"/>
        </w:rPr>
        <w:t xml:space="preserve"> van </w:t>
      </w:r>
      <w:r>
        <w:rPr>
          <w:rFonts w:ascii="Verdana" w:hAnsi="Verdana"/>
          <w:sz w:val="18"/>
          <w:szCs w:val="18"/>
          <w:lang w:eastAsia="nl-NL"/>
        </w:rPr>
        <w:t xml:space="preserve">de </w:t>
      </w:r>
      <w:r w:rsidRPr="2F0F8D57">
        <w:rPr>
          <w:rFonts w:ascii="Verdana" w:hAnsi="Verdana"/>
          <w:sz w:val="18"/>
          <w:szCs w:val="18"/>
          <w:lang w:eastAsia="nl-NL"/>
        </w:rPr>
        <w:t>industrie</w:t>
      </w:r>
      <w:r>
        <w:rPr>
          <w:rFonts w:ascii="Verdana" w:hAnsi="Verdana"/>
          <w:sz w:val="18"/>
          <w:szCs w:val="18"/>
          <w:lang w:eastAsia="nl-NL"/>
        </w:rPr>
        <w:t xml:space="preserve"> en het </w:t>
      </w:r>
      <w:r w:rsidR="007C5975">
        <w:rPr>
          <w:rFonts w:ascii="Verdana" w:hAnsi="Verdana"/>
          <w:sz w:val="18"/>
          <w:szCs w:val="18"/>
          <w:lang w:eastAsia="nl-NL"/>
        </w:rPr>
        <w:t xml:space="preserve">in lijn brengen </w:t>
      </w:r>
      <w:r>
        <w:rPr>
          <w:rFonts w:ascii="Verdana" w:hAnsi="Verdana"/>
          <w:sz w:val="18"/>
          <w:szCs w:val="18"/>
          <w:lang w:eastAsia="nl-NL"/>
        </w:rPr>
        <w:t>hiervan met industrie-</w:t>
      </w:r>
      <w:r w:rsidR="0012545B">
        <w:rPr>
          <w:rFonts w:ascii="Verdana" w:hAnsi="Verdana"/>
          <w:sz w:val="18"/>
          <w:szCs w:val="18"/>
          <w:lang w:eastAsia="nl-NL"/>
        </w:rPr>
        <w:t>,</w:t>
      </w:r>
      <w:r>
        <w:rPr>
          <w:rFonts w:ascii="Verdana" w:hAnsi="Verdana"/>
          <w:sz w:val="18"/>
          <w:szCs w:val="18"/>
          <w:lang w:eastAsia="nl-NL"/>
        </w:rPr>
        <w:t xml:space="preserve"> mededingings-</w:t>
      </w:r>
      <w:r w:rsidR="0012545B">
        <w:rPr>
          <w:rFonts w:ascii="Verdana" w:hAnsi="Verdana"/>
          <w:sz w:val="18"/>
          <w:szCs w:val="18"/>
          <w:lang w:eastAsia="nl-NL"/>
        </w:rPr>
        <w:t>,</w:t>
      </w:r>
      <w:r>
        <w:rPr>
          <w:rFonts w:ascii="Verdana" w:hAnsi="Verdana"/>
          <w:sz w:val="18"/>
          <w:szCs w:val="18"/>
          <w:lang w:eastAsia="nl-NL"/>
        </w:rPr>
        <w:t xml:space="preserve"> staatssteun-, economisch</w:t>
      </w:r>
      <w:r w:rsidR="0012545B">
        <w:rPr>
          <w:rFonts w:ascii="Verdana" w:hAnsi="Verdana"/>
          <w:sz w:val="18"/>
          <w:szCs w:val="18"/>
          <w:lang w:eastAsia="nl-NL"/>
        </w:rPr>
        <w:t>-</w:t>
      </w:r>
      <w:r>
        <w:rPr>
          <w:rFonts w:ascii="Verdana" w:hAnsi="Verdana"/>
          <w:sz w:val="18"/>
          <w:szCs w:val="18"/>
          <w:lang w:eastAsia="nl-NL"/>
        </w:rPr>
        <w:t xml:space="preserve"> en handelsbeleid. Deze verbinding draagt bij aan </w:t>
      </w:r>
      <w:r w:rsidR="005C72F2">
        <w:rPr>
          <w:rFonts w:ascii="Verdana" w:hAnsi="Verdana"/>
          <w:sz w:val="18"/>
          <w:szCs w:val="18"/>
          <w:lang w:eastAsia="nl-NL"/>
        </w:rPr>
        <w:t xml:space="preserve">de </w:t>
      </w:r>
      <w:r>
        <w:rPr>
          <w:rFonts w:ascii="Verdana" w:hAnsi="Verdana"/>
          <w:sz w:val="18"/>
          <w:szCs w:val="18"/>
          <w:lang w:eastAsia="nl-NL"/>
        </w:rPr>
        <w:t xml:space="preserve">versterking van het concurrentievermogen. Naast verbeterde toegang tot betaalbare energie, pleit de Commissie voor de </w:t>
      </w:r>
      <w:r w:rsidRPr="00F96AD0">
        <w:rPr>
          <w:rFonts w:ascii="Verdana" w:hAnsi="Verdana"/>
          <w:i/>
          <w:sz w:val="18"/>
          <w:szCs w:val="18"/>
          <w:lang w:eastAsia="nl-NL"/>
        </w:rPr>
        <w:t>business case</w:t>
      </w:r>
      <w:r>
        <w:rPr>
          <w:rFonts w:ascii="Verdana" w:hAnsi="Verdana"/>
          <w:sz w:val="18"/>
          <w:szCs w:val="18"/>
          <w:lang w:eastAsia="nl-NL"/>
        </w:rPr>
        <w:t xml:space="preserve"> van de groene transitie en versterking van de concurrentiekracht van </w:t>
      </w:r>
      <w:r w:rsidRPr="544F30D5">
        <w:rPr>
          <w:rFonts w:ascii="Verdana" w:hAnsi="Verdana"/>
          <w:i/>
          <w:iCs/>
          <w:sz w:val="18"/>
          <w:szCs w:val="18"/>
          <w:lang w:eastAsia="nl-NL"/>
        </w:rPr>
        <w:t xml:space="preserve">clean </w:t>
      </w:r>
      <w:proofErr w:type="spellStart"/>
      <w:r w:rsidRPr="544F30D5">
        <w:rPr>
          <w:rFonts w:ascii="Verdana" w:hAnsi="Verdana"/>
          <w:i/>
          <w:iCs/>
          <w:sz w:val="18"/>
          <w:szCs w:val="18"/>
          <w:lang w:eastAsia="nl-NL"/>
        </w:rPr>
        <w:t>tech</w:t>
      </w:r>
      <w:proofErr w:type="spellEnd"/>
      <w:r>
        <w:rPr>
          <w:rFonts w:ascii="Verdana" w:hAnsi="Verdana"/>
          <w:sz w:val="18"/>
          <w:szCs w:val="18"/>
          <w:lang w:eastAsia="nl-NL"/>
        </w:rPr>
        <w:t xml:space="preserve">-producten. De energie-intensieve industrie, met in het kompas expliciete aandacht voor de staal-, metaal- en chemiesector en automobielindustrie, moet concurrerend kunnen </w:t>
      </w:r>
      <w:proofErr w:type="spellStart"/>
      <w:r>
        <w:rPr>
          <w:rFonts w:ascii="Verdana" w:hAnsi="Verdana"/>
          <w:sz w:val="18"/>
          <w:szCs w:val="18"/>
          <w:lang w:eastAsia="nl-NL"/>
        </w:rPr>
        <w:t>decarboniseren</w:t>
      </w:r>
      <w:proofErr w:type="spellEnd"/>
      <w:r>
        <w:rPr>
          <w:rFonts w:ascii="Verdana" w:hAnsi="Verdana"/>
          <w:sz w:val="18"/>
          <w:szCs w:val="18"/>
          <w:lang w:eastAsia="nl-NL"/>
        </w:rPr>
        <w:t xml:space="preserve"> in de EU. </w:t>
      </w:r>
      <w:r w:rsidRPr="2F0F8D57">
        <w:rPr>
          <w:rFonts w:ascii="Verdana" w:hAnsi="Verdana"/>
          <w:sz w:val="18"/>
          <w:szCs w:val="18"/>
          <w:lang w:eastAsia="nl-NL"/>
        </w:rPr>
        <w:t xml:space="preserve">Onder de tweede pijler zijn de volgende (wetgevende) voorstellen aangekondigd: </w:t>
      </w:r>
      <w:r w:rsidR="003121B8">
        <w:rPr>
          <w:rFonts w:ascii="Verdana" w:hAnsi="Verdana"/>
          <w:sz w:val="18"/>
          <w:szCs w:val="18"/>
          <w:lang w:eastAsia="nl-NL"/>
        </w:rPr>
        <w:t>C</w:t>
      </w:r>
      <w:r w:rsidRPr="544F30D5">
        <w:rPr>
          <w:rFonts w:ascii="Verdana" w:hAnsi="Verdana"/>
          <w:i/>
          <w:iCs/>
          <w:sz w:val="18"/>
          <w:szCs w:val="18"/>
          <w:lang w:eastAsia="nl-NL"/>
        </w:rPr>
        <w:t xml:space="preserve">lean </w:t>
      </w:r>
      <w:r w:rsidR="003121B8">
        <w:rPr>
          <w:rFonts w:ascii="Verdana" w:hAnsi="Verdana"/>
          <w:i/>
          <w:iCs/>
          <w:sz w:val="18"/>
          <w:szCs w:val="18"/>
          <w:lang w:eastAsia="nl-NL"/>
        </w:rPr>
        <w:t>I</w:t>
      </w:r>
      <w:r w:rsidRPr="544F30D5">
        <w:rPr>
          <w:rFonts w:ascii="Verdana" w:hAnsi="Verdana"/>
          <w:i/>
          <w:iCs/>
          <w:sz w:val="18"/>
          <w:szCs w:val="18"/>
          <w:lang w:eastAsia="nl-NL"/>
        </w:rPr>
        <w:t xml:space="preserve">ndustrial </w:t>
      </w:r>
      <w:r w:rsidR="003121B8">
        <w:rPr>
          <w:rFonts w:ascii="Verdana" w:hAnsi="Verdana"/>
          <w:i/>
          <w:iCs/>
          <w:sz w:val="18"/>
          <w:szCs w:val="18"/>
          <w:lang w:eastAsia="nl-NL"/>
        </w:rPr>
        <w:t>D</w:t>
      </w:r>
      <w:r w:rsidRPr="544F30D5">
        <w:rPr>
          <w:rFonts w:ascii="Verdana" w:hAnsi="Verdana"/>
          <w:i/>
          <w:iCs/>
          <w:sz w:val="18"/>
          <w:szCs w:val="18"/>
          <w:lang w:eastAsia="nl-NL"/>
        </w:rPr>
        <w:t>eal</w:t>
      </w:r>
      <w:r>
        <w:rPr>
          <w:rFonts w:ascii="Verdana" w:hAnsi="Verdana"/>
          <w:sz w:val="18"/>
          <w:szCs w:val="18"/>
          <w:lang w:eastAsia="nl-NL"/>
        </w:rPr>
        <w:t>-</w:t>
      </w:r>
      <w:r w:rsidRPr="2F0F8D57">
        <w:rPr>
          <w:rFonts w:ascii="Verdana" w:hAnsi="Verdana"/>
          <w:sz w:val="18"/>
          <w:szCs w:val="18"/>
          <w:lang w:eastAsia="nl-NL"/>
        </w:rPr>
        <w:t>mededeling</w:t>
      </w:r>
      <w:r w:rsidR="009705B5">
        <w:rPr>
          <w:rFonts w:ascii="Verdana" w:hAnsi="Verdana"/>
          <w:sz w:val="18"/>
          <w:szCs w:val="18"/>
          <w:lang w:eastAsia="nl-NL"/>
        </w:rPr>
        <w:t>,</w:t>
      </w:r>
      <w:r w:rsidRPr="2F0F8D57">
        <w:rPr>
          <w:rFonts w:ascii="Verdana" w:hAnsi="Verdana"/>
          <w:sz w:val="18"/>
          <w:szCs w:val="18"/>
          <w:lang w:eastAsia="nl-NL"/>
        </w:rPr>
        <w:t xml:space="preserve"> een actieplan betaalbare energie</w:t>
      </w:r>
      <w:r w:rsidR="00106D3C">
        <w:rPr>
          <w:rFonts w:ascii="Verdana" w:hAnsi="Verdana"/>
          <w:sz w:val="18"/>
          <w:szCs w:val="18"/>
          <w:lang w:eastAsia="nl-NL"/>
        </w:rPr>
        <w:t>,</w:t>
      </w:r>
      <w:r w:rsidRPr="2F0F8D57">
        <w:rPr>
          <w:rFonts w:ascii="Verdana" w:hAnsi="Verdana"/>
          <w:sz w:val="18"/>
          <w:szCs w:val="18"/>
          <w:lang w:eastAsia="nl-NL"/>
        </w:rPr>
        <w:t xml:space="preserve"> een verordening om het </w:t>
      </w:r>
      <w:r w:rsidR="003B0E66">
        <w:rPr>
          <w:rFonts w:ascii="Verdana" w:hAnsi="Verdana"/>
          <w:sz w:val="18"/>
          <w:szCs w:val="18"/>
          <w:lang w:eastAsia="nl-NL"/>
        </w:rPr>
        <w:t>fossielvrij</w:t>
      </w:r>
      <w:r w:rsidRPr="2F0F8D57" w:rsidR="003B0E66">
        <w:rPr>
          <w:rFonts w:ascii="Verdana" w:hAnsi="Verdana"/>
          <w:sz w:val="18"/>
          <w:szCs w:val="18"/>
          <w:lang w:eastAsia="nl-NL"/>
        </w:rPr>
        <w:t xml:space="preserve"> </w:t>
      </w:r>
      <w:r w:rsidRPr="2F0F8D57">
        <w:rPr>
          <w:rFonts w:ascii="Verdana" w:hAnsi="Verdana"/>
          <w:sz w:val="18"/>
          <w:szCs w:val="18"/>
          <w:lang w:eastAsia="nl-NL"/>
        </w:rPr>
        <w:t xml:space="preserve">maken van industrie te versnellen, een actieplan elektrificatie en een pakket voor Europese </w:t>
      </w:r>
      <w:r>
        <w:rPr>
          <w:rFonts w:ascii="Verdana" w:hAnsi="Verdana"/>
          <w:sz w:val="18"/>
          <w:szCs w:val="18"/>
          <w:lang w:eastAsia="nl-NL"/>
        </w:rPr>
        <w:t>elektriciteitsnetwerken</w:t>
      </w:r>
      <w:r w:rsidRPr="2F0F8D57">
        <w:rPr>
          <w:rFonts w:ascii="Verdana" w:hAnsi="Verdana"/>
          <w:sz w:val="18"/>
          <w:szCs w:val="18"/>
          <w:lang w:eastAsia="nl-NL"/>
        </w:rPr>
        <w:t xml:space="preserve">, een nieuw staatssteunkader, een actieplan voor staal en metaal, een pakket voor de chemische industrie, een strategische dialoog </w:t>
      </w:r>
      <w:r>
        <w:rPr>
          <w:rFonts w:ascii="Verdana" w:hAnsi="Verdana"/>
          <w:sz w:val="18"/>
          <w:szCs w:val="18"/>
          <w:lang w:eastAsia="nl-NL"/>
        </w:rPr>
        <w:t xml:space="preserve">en actieplan </w:t>
      </w:r>
      <w:r w:rsidRPr="2F0F8D57">
        <w:rPr>
          <w:rFonts w:ascii="Verdana" w:hAnsi="Verdana"/>
          <w:sz w:val="18"/>
          <w:szCs w:val="18"/>
          <w:lang w:eastAsia="nl-NL"/>
        </w:rPr>
        <w:t>over de toekomst van de auto</w:t>
      </w:r>
      <w:r w:rsidR="006D5935">
        <w:rPr>
          <w:rFonts w:ascii="Verdana" w:hAnsi="Verdana"/>
          <w:sz w:val="18"/>
          <w:szCs w:val="18"/>
          <w:lang w:eastAsia="nl-NL"/>
        </w:rPr>
        <w:t>mobiel</w:t>
      </w:r>
      <w:r w:rsidRPr="2F0F8D57">
        <w:rPr>
          <w:rFonts w:ascii="Verdana" w:hAnsi="Verdana"/>
          <w:sz w:val="18"/>
          <w:szCs w:val="18"/>
          <w:lang w:eastAsia="nl-NL"/>
        </w:rPr>
        <w:t>industrie, een investeringsplan voor duurza</w:t>
      </w:r>
      <w:r>
        <w:rPr>
          <w:rFonts w:ascii="Verdana" w:hAnsi="Verdana"/>
          <w:sz w:val="18"/>
          <w:szCs w:val="18"/>
          <w:lang w:eastAsia="nl-NL"/>
        </w:rPr>
        <w:t>a</w:t>
      </w:r>
      <w:r w:rsidRPr="2F0F8D57">
        <w:rPr>
          <w:rFonts w:ascii="Verdana" w:hAnsi="Verdana"/>
          <w:sz w:val="18"/>
          <w:szCs w:val="18"/>
          <w:lang w:eastAsia="nl-NL"/>
        </w:rPr>
        <w:t xml:space="preserve">m transport, </w:t>
      </w:r>
      <w:r>
        <w:rPr>
          <w:rFonts w:ascii="Verdana" w:hAnsi="Verdana"/>
          <w:sz w:val="18"/>
          <w:szCs w:val="18"/>
          <w:lang w:eastAsia="nl-NL"/>
        </w:rPr>
        <w:t xml:space="preserve">een plan voor een Europees </w:t>
      </w:r>
      <w:r w:rsidRPr="544F30D5">
        <w:rPr>
          <w:rFonts w:ascii="Verdana" w:hAnsi="Verdana"/>
          <w:i/>
          <w:iCs/>
          <w:sz w:val="18"/>
          <w:szCs w:val="18"/>
          <w:lang w:eastAsia="nl-NL"/>
        </w:rPr>
        <w:t xml:space="preserve">high speed </w:t>
      </w:r>
      <w:proofErr w:type="spellStart"/>
      <w:r w:rsidRPr="544F30D5">
        <w:rPr>
          <w:rFonts w:ascii="Verdana" w:hAnsi="Verdana"/>
          <w:i/>
          <w:iCs/>
          <w:sz w:val="18"/>
          <w:szCs w:val="18"/>
          <w:lang w:eastAsia="nl-NL"/>
        </w:rPr>
        <w:t>rail</w:t>
      </w:r>
      <w:r>
        <w:rPr>
          <w:rFonts w:ascii="Verdana" w:hAnsi="Verdana"/>
          <w:sz w:val="18"/>
          <w:szCs w:val="18"/>
          <w:lang w:eastAsia="nl-NL"/>
        </w:rPr>
        <w:t>-netwerk</w:t>
      </w:r>
      <w:proofErr w:type="spellEnd"/>
      <w:r w:rsidRPr="2F0F8D57">
        <w:rPr>
          <w:rFonts w:ascii="Verdana" w:hAnsi="Verdana"/>
          <w:sz w:val="18"/>
          <w:szCs w:val="18"/>
          <w:lang w:eastAsia="nl-NL"/>
        </w:rPr>
        <w:t>, een Europese havenstrategie en een maritieme industrie</w:t>
      </w:r>
      <w:r>
        <w:rPr>
          <w:rFonts w:ascii="Verdana" w:hAnsi="Verdana"/>
          <w:sz w:val="18"/>
          <w:szCs w:val="18"/>
          <w:lang w:eastAsia="nl-NL"/>
        </w:rPr>
        <w:t>strategie</w:t>
      </w:r>
      <w:r w:rsidRPr="2F0F8D57">
        <w:rPr>
          <w:rFonts w:ascii="Verdana" w:hAnsi="Verdana"/>
          <w:sz w:val="18"/>
          <w:szCs w:val="18"/>
          <w:lang w:eastAsia="nl-NL"/>
        </w:rPr>
        <w:t xml:space="preserve">, een plan voor hoge snelheidslijnen, een </w:t>
      </w:r>
      <w:r w:rsidR="00D2048C">
        <w:rPr>
          <w:rFonts w:ascii="Verdana" w:hAnsi="Verdana"/>
          <w:sz w:val="18"/>
          <w:szCs w:val="18"/>
          <w:lang w:eastAsia="nl-NL"/>
        </w:rPr>
        <w:t>evaluatie</w:t>
      </w:r>
      <w:r w:rsidRPr="2F0F8D57">
        <w:rPr>
          <w:rFonts w:ascii="Verdana" w:hAnsi="Verdana"/>
          <w:sz w:val="18"/>
          <w:szCs w:val="18"/>
          <w:lang w:eastAsia="nl-NL"/>
        </w:rPr>
        <w:t xml:space="preserve"> van het </w:t>
      </w:r>
      <w:r w:rsidRPr="544F30D5">
        <w:rPr>
          <w:rFonts w:ascii="Verdana" w:hAnsi="Verdana"/>
          <w:i/>
          <w:iCs/>
          <w:sz w:val="18"/>
          <w:szCs w:val="18"/>
          <w:lang w:eastAsia="nl-NL"/>
        </w:rPr>
        <w:t xml:space="preserve">Carbon Border </w:t>
      </w:r>
      <w:proofErr w:type="spellStart"/>
      <w:r w:rsidRPr="544F30D5">
        <w:rPr>
          <w:rFonts w:ascii="Verdana" w:hAnsi="Verdana"/>
          <w:i/>
          <w:iCs/>
          <w:sz w:val="18"/>
          <w:szCs w:val="18"/>
          <w:lang w:eastAsia="nl-NL"/>
        </w:rPr>
        <w:t>Adjustment</w:t>
      </w:r>
      <w:proofErr w:type="spellEnd"/>
      <w:r w:rsidRPr="544F30D5">
        <w:rPr>
          <w:rFonts w:ascii="Verdana" w:hAnsi="Verdana"/>
          <w:i/>
          <w:iCs/>
          <w:sz w:val="18"/>
          <w:szCs w:val="18"/>
          <w:lang w:eastAsia="nl-NL"/>
        </w:rPr>
        <w:t xml:space="preserve"> </w:t>
      </w:r>
      <w:proofErr w:type="spellStart"/>
      <w:r w:rsidRPr="544F30D5">
        <w:rPr>
          <w:rFonts w:ascii="Verdana" w:hAnsi="Verdana"/>
          <w:i/>
          <w:iCs/>
          <w:sz w:val="18"/>
          <w:szCs w:val="18"/>
          <w:lang w:eastAsia="nl-NL"/>
        </w:rPr>
        <w:t>Mechanism</w:t>
      </w:r>
      <w:proofErr w:type="spellEnd"/>
      <w:r w:rsidRPr="0BF72A3A" w:rsidR="008801E1">
        <w:rPr>
          <w:rFonts w:ascii="Verdana" w:hAnsi="Verdana"/>
          <w:i/>
          <w:iCs/>
          <w:sz w:val="18"/>
          <w:szCs w:val="18"/>
          <w:lang w:eastAsia="nl-NL"/>
        </w:rPr>
        <w:t xml:space="preserve"> </w:t>
      </w:r>
      <w:r w:rsidRPr="000D13E3" w:rsidR="008801E1">
        <w:rPr>
          <w:rFonts w:ascii="Verdana" w:hAnsi="Verdana"/>
          <w:sz w:val="18"/>
          <w:szCs w:val="18"/>
          <w:lang w:eastAsia="nl-NL"/>
        </w:rPr>
        <w:t>(CBAM)</w:t>
      </w:r>
      <w:r w:rsidRPr="008801E1">
        <w:rPr>
          <w:rFonts w:ascii="Verdana" w:hAnsi="Verdana"/>
          <w:sz w:val="18"/>
          <w:szCs w:val="18"/>
          <w:lang w:eastAsia="nl-NL"/>
        </w:rPr>
        <w:t>,</w:t>
      </w:r>
      <w:r w:rsidRPr="2F0F8D57">
        <w:rPr>
          <w:rFonts w:ascii="Verdana" w:hAnsi="Verdana"/>
          <w:sz w:val="18"/>
          <w:szCs w:val="18"/>
          <w:lang w:eastAsia="nl-NL"/>
        </w:rPr>
        <w:t xml:space="preserve"> een </w:t>
      </w:r>
      <w:r>
        <w:rPr>
          <w:rFonts w:ascii="Verdana" w:hAnsi="Verdana"/>
          <w:sz w:val="18"/>
          <w:szCs w:val="18"/>
          <w:lang w:eastAsia="nl-NL"/>
        </w:rPr>
        <w:t>c</w:t>
      </w:r>
      <w:r w:rsidRPr="2F0F8D57">
        <w:rPr>
          <w:rFonts w:ascii="Verdana" w:hAnsi="Verdana"/>
          <w:sz w:val="18"/>
          <w:szCs w:val="18"/>
          <w:lang w:eastAsia="nl-NL"/>
        </w:rPr>
        <w:t>irculaire economie</w:t>
      </w:r>
      <w:r>
        <w:rPr>
          <w:rFonts w:ascii="Verdana" w:hAnsi="Verdana"/>
          <w:sz w:val="18"/>
          <w:szCs w:val="18"/>
          <w:lang w:eastAsia="nl-NL"/>
        </w:rPr>
        <w:t>-wet</w:t>
      </w:r>
      <w:r w:rsidRPr="2F0F8D57">
        <w:rPr>
          <w:rFonts w:ascii="Verdana" w:hAnsi="Verdana"/>
          <w:sz w:val="18"/>
          <w:szCs w:val="18"/>
          <w:lang w:eastAsia="nl-NL"/>
        </w:rPr>
        <w:t xml:space="preserve">, een visie </w:t>
      </w:r>
      <w:r w:rsidR="006D5935">
        <w:rPr>
          <w:rFonts w:ascii="Verdana" w:hAnsi="Verdana"/>
          <w:sz w:val="18"/>
          <w:szCs w:val="18"/>
          <w:lang w:eastAsia="nl-NL"/>
        </w:rPr>
        <w:t>voor</w:t>
      </w:r>
      <w:r w:rsidRPr="2F0F8D57">
        <w:rPr>
          <w:rFonts w:ascii="Verdana" w:hAnsi="Verdana"/>
          <w:sz w:val="18"/>
          <w:szCs w:val="18"/>
          <w:lang w:eastAsia="nl-NL"/>
        </w:rPr>
        <w:t xml:space="preserve"> </w:t>
      </w:r>
      <w:r w:rsidR="00857947">
        <w:rPr>
          <w:rFonts w:ascii="Verdana" w:hAnsi="Verdana"/>
          <w:sz w:val="18"/>
          <w:szCs w:val="18"/>
          <w:lang w:eastAsia="nl-NL"/>
        </w:rPr>
        <w:t>landbouw</w:t>
      </w:r>
      <w:r w:rsidR="0070546D">
        <w:rPr>
          <w:rFonts w:ascii="Verdana" w:hAnsi="Verdana"/>
          <w:sz w:val="18"/>
          <w:szCs w:val="18"/>
          <w:lang w:eastAsia="nl-NL"/>
        </w:rPr>
        <w:t xml:space="preserve"> </w:t>
      </w:r>
      <w:r w:rsidRPr="2F0F8D57">
        <w:rPr>
          <w:rFonts w:ascii="Verdana" w:hAnsi="Verdana"/>
          <w:sz w:val="18"/>
          <w:szCs w:val="18"/>
          <w:lang w:eastAsia="nl-NL"/>
        </w:rPr>
        <w:t>en voedsel</w:t>
      </w:r>
      <w:r>
        <w:rPr>
          <w:rFonts w:ascii="Verdana" w:hAnsi="Verdana"/>
          <w:sz w:val="18"/>
          <w:szCs w:val="18"/>
          <w:lang w:eastAsia="nl-NL"/>
        </w:rPr>
        <w:t xml:space="preserve">, </w:t>
      </w:r>
      <w:r w:rsidRPr="2F0F8D57">
        <w:rPr>
          <w:rFonts w:ascii="Verdana" w:hAnsi="Verdana"/>
          <w:sz w:val="18"/>
          <w:szCs w:val="18"/>
          <w:lang w:eastAsia="nl-NL"/>
        </w:rPr>
        <w:t xml:space="preserve">een </w:t>
      </w:r>
      <w:r>
        <w:rPr>
          <w:rFonts w:ascii="Verdana" w:hAnsi="Verdana"/>
          <w:sz w:val="18"/>
          <w:szCs w:val="18"/>
          <w:lang w:eastAsia="nl-NL"/>
        </w:rPr>
        <w:t>o</w:t>
      </w:r>
      <w:r w:rsidRPr="2F0F8D57">
        <w:rPr>
          <w:rFonts w:ascii="Verdana" w:hAnsi="Verdana"/>
          <w:sz w:val="18"/>
          <w:szCs w:val="18"/>
          <w:lang w:eastAsia="nl-NL"/>
        </w:rPr>
        <w:t>cea</w:t>
      </w:r>
      <w:r w:rsidR="006D5935">
        <w:rPr>
          <w:rFonts w:ascii="Verdana" w:hAnsi="Verdana"/>
          <w:sz w:val="18"/>
          <w:szCs w:val="18"/>
          <w:lang w:eastAsia="nl-NL"/>
        </w:rPr>
        <w:t>a</w:t>
      </w:r>
      <w:r w:rsidRPr="2F0F8D57">
        <w:rPr>
          <w:rFonts w:ascii="Verdana" w:hAnsi="Verdana"/>
          <w:sz w:val="18"/>
          <w:szCs w:val="18"/>
          <w:lang w:eastAsia="nl-NL"/>
        </w:rPr>
        <w:t>npact</w:t>
      </w:r>
      <w:r>
        <w:rPr>
          <w:rFonts w:ascii="Verdana" w:hAnsi="Verdana"/>
          <w:sz w:val="18"/>
          <w:szCs w:val="18"/>
          <w:lang w:eastAsia="nl-NL"/>
        </w:rPr>
        <w:t xml:space="preserve"> en wijziging van de klimaatwet. </w:t>
      </w:r>
    </w:p>
    <w:p w:rsidR="00BD666C" w:rsidP="00BD666C" w:rsidRDefault="00BD666C" w14:paraId="7FABFF96" w14:textId="11E648CF">
      <w:pPr>
        <w:spacing w:line="360" w:lineRule="auto"/>
        <w:rPr>
          <w:rFonts w:ascii="Verdana" w:hAnsi="Verdana"/>
          <w:sz w:val="18"/>
          <w:szCs w:val="18"/>
          <w:lang w:eastAsia="nl-NL"/>
        </w:rPr>
      </w:pPr>
      <w:r w:rsidRPr="2F0F8D57">
        <w:rPr>
          <w:rFonts w:ascii="Verdana" w:hAnsi="Verdana"/>
          <w:sz w:val="18"/>
          <w:szCs w:val="18"/>
          <w:lang w:eastAsia="nl-NL"/>
        </w:rPr>
        <w:t xml:space="preserve"> </w:t>
      </w:r>
    </w:p>
    <w:p w:rsidR="00532838" w:rsidP="00BD666C" w:rsidRDefault="00BD666C" w14:paraId="1E5D54FC" w14:textId="77777777">
      <w:pPr>
        <w:spacing w:line="360" w:lineRule="auto"/>
        <w:rPr>
          <w:rFonts w:ascii="Verdana" w:hAnsi="Verdana"/>
          <w:sz w:val="18"/>
          <w:szCs w:val="18"/>
          <w:lang w:eastAsia="nl-NL"/>
        </w:rPr>
      </w:pPr>
      <w:bookmarkStart w:name="_Hlk189219963" w:id="0"/>
      <w:r w:rsidRPr="2F0F8D57">
        <w:rPr>
          <w:rFonts w:ascii="Verdana" w:hAnsi="Verdana"/>
          <w:sz w:val="18"/>
          <w:szCs w:val="18"/>
          <w:lang w:eastAsia="nl-NL"/>
        </w:rPr>
        <w:t xml:space="preserve">De derde pijler ziet op het </w:t>
      </w:r>
      <w:r>
        <w:rPr>
          <w:rFonts w:ascii="Verdana" w:hAnsi="Verdana"/>
          <w:sz w:val="18"/>
          <w:szCs w:val="18"/>
          <w:lang w:eastAsia="nl-NL"/>
        </w:rPr>
        <w:t xml:space="preserve">belang van open handel als motor voor de toekomstige groei van de EU, het </w:t>
      </w:r>
      <w:r w:rsidRPr="2F0F8D57">
        <w:rPr>
          <w:rFonts w:ascii="Verdana" w:hAnsi="Verdana"/>
          <w:sz w:val="18"/>
          <w:szCs w:val="18"/>
          <w:lang w:eastAsia="nl-NL"/>
        </w:rPr>
        <w:t xml:space="preserve">verminderen van </w:t>
      </w:r>
      <w:r>
        <w:rPr>
          <w:rFonts w:ascii="Verdana" w:hAnsi="Verdana"/>
          <w:sz w:val="18"/>
          <w:szCs w:val="18"/>
          <w:lang w:eastAsia="nl-NL"/>
        </w:rPr>
        <w:t xml:space="preserve">buitensporige </w:t>
      </w:r>
      <w:r w:rsidRPr="2F0F8D57">
        <w:rPr>
          <w:rFonts w:ascii="Verdana" w:hAnsi="Verdana"/>
          <w:sz w:val="18"/>
          <w:szCs w:val="18"/>
          <w:lang w:eastAsia="nl-NL"/>
        </w:rPr>
        <w:t>afhankelijkheden</w:t>
      </w:r>
      <w:r>
        <w:rPr>
          <w:rFonts w:ascii="Verdana" w:hAnsi="Verdana"/>
          <w:sz w:val="18"/>
          <w:szCs w:val="18"/>
          <w:lang w:eastAsia="nl-NL"/>
        </w:rPr>
        <w:t xml:space="preserve"> e</w:t>
      </w:r>
      <w:r w:rsidRPr="2F0F8D57">
        <w:rPr>
          <w:rFonts w:ascii="Verdana" w:hAnsi="Verdana"/>
          <w:sz w:val="18"/>
          <w:szCs w:val="18"/>
          <w:lang w:eastAsia="nl-NL"/>
        </w:rPr>
        <w:t>n het vergroten van de Europese veiligheid</w:t>
      </w:r>
      <w:r>
        <w:rPr>
          <w:rFonts w:ascii="Verdana" w:hAnsi="Verdana"/>
          <w:sz w:val="18"/>
          <w:szCs w:val="18"/>
          <w:lang w:eastAsia="nl-NL"/>
        </w:rPr>
        <w:t xml:space="preserve">, via integratie van </w:t>
      </w:r>
      <w:r w:rsidR="000023A8">
        <w:rPr>
          <w:rFonts w:ascii="Verdana" w:hAnsi="Verdana"/>
          <w:sz w:val="18"/>
          <w:szCs w:val="18"/>
          <w:lang w:eastAsia="nl-NL"/>
        </w:rPr>
        <w:t xml:space="preserve">overwegingen omtrent </w:t>
      </w:r>
      <w:r>
        <w:rPr>
          <w:rFonts w:ascii="Verdana" w:hAnsi="Verdana"/>
          <w:sz w:val="18"/>
          <w:szCs w:val="18"/>
          <w:lang w:eastAsia="nl-NL"/>
        </w:rPr>
        <w:t xml:space="preserve">veiligheid en open strategische autonomie in </w:t>
      </w:r>
      <w:r w:rsidR="00B938EA">
        <w:rPr>
          <w:rFonts w:ascii="Verdana" w:hAnsi="Verdana"/>
          <w:sz w:val="18"/>
          <w:szCs w:val="18"/>
          <w:lang w:eastAsia="nl-NL"/>
        </w:rPr>
        <w:t xml:space="preserve">het </w:t>
      </w:r>
      <w:r>
        <w:rPr>
          <w:rFonts w:ascii="Verdana" w:hAnsi="Verdana"/>
          <w:sz w:val="18"/>
          <w:szCs w:val="18"/>
          <w:lang w:eastAsia="nl-NL"/>
        </w:rPr>
        <w:t>economisc</w:t>
      </w:r>
      <w:r w:rsidR="00B938EA">
        <w:rPr>
          <w:rFonts w:ascii="Verdana" w:hAnsi="Verdana"/>
          <w:sz w:val="18"/>
          <w:szCs w:val="18"/>
          <w:lang w:eastAsia="nl-NL"/>
        </w:rPr>
        <w:t xml:space="preserve">he </w:t>
      </w:r>
      <w:r>
        <w:rPr>
          <w:rFonts w:ascii="Verdana" w:hAnsi="Verdana"/>
          <w:sz w:val="18"/>
          <w:szCs w:val="18"/>
          <w:lang w:eastAsia="nl-NL"/>
        </w:rPr>
        <w:t>beleid</w:t>
      </w:r>
      <w:r w:rsidR="00B938EA">
        <w:rPr>
          <w:rFonts w:ascii="Verdana" w:hAnsi="Verdana"/>
          <w:sz w:val="18"/>
          <w:szCs w:val="18"/>
          <w:lang w:eastAsia="nl-NL"/>
        </w:rPr>
        <w:t xml:space="preserve"> van de EU</w:t>
      </w:r>
      <w:r>
        <w:rPr>
          <w:rFonts w:ascii="Verdana" w:hAnsi="Verdana"/>
          <w:sz w:val="18"/>
          <w:szCs w:val="18"/>
          <w:lang w:eastAsia="nl-NL"/>
        </w:rPr>
        <w:t xml:space="preserve">. </w:t>
      </w:r>
    </w:p>
    <w:p w:rsidR="00BD666C" w:rsidP="00BD666C" w:rsidRDefault="00BD666C" w14:paraId="04790DBD" w14:textId="3CB24712">
      <w:pPr>
        <w:spacing w:line="360" w:lineRule="auto"/>
        <w:rPr>
          <w:rFonts w:ascii="Verdana" w:hAnsi="Verdana"/>
          <w:sz w:val="18"/>
          <w:szCs w:val="18"/>
        </w:rPr>
      </w:pPr>
      <w:r>
        <w:rPr>
          <w:rFonts w:ascii="Verdana" w:hAnsi="Verdana"/>
          <w:sz w:val="18"/>
          <w:szCs w:val="18"/>
          <w:lang w:eastAsia="nl-NL"/>
        </w:rPr>
        <w:lastRenderedPageBreak/>
        <w:t>De Commissie presenteert dit in het kompas als een randvoorwaarde voor de concurrentiekracht van de EU. De weerbaarheid van de EU moet worden verbeterd</w:t>
      </w:r>
      <w:r w:rsidR="00993D81">
        <w:rPr>
          <w:rFonts w:ascii="Verdana" w:hAnsi="Verdana"/>
          <w:sz w:val="18"/>
          <w:szCs w:val="18"/>
          <w:lang w:eastAsia="nl-NL"/>
        </w:rPr>
        <w:t xml:space="preserve"> en</w:t>
      </w:r>
      <w:r>
        <w:rPr>
          <w:rFonts w:ascii="Verdana" w:hAnsi="Verdana"/>
          <w:sz w:val="18"/>
          <w:szCs w:val="18"/>
          <w:lang w:eastAsia="nl-NL"/>
        </w:rPr>
        <w:t xml:space="preserve"> de defensie-industrie en pan-Europese samenwerking moeten worden versterkt. De Commissie wil dat de EU nieuwe manieren vindt om bestaande partnerschappen te verdiepen</w:t>
      </w:r>
      <w:r w:rsidR="009705B5">
        <w:rPr>
          <w:rFonts w:ascii="Verdana" w:hAnsi="Verdana"/>
          <w:sz w:val="18"/>
          <w:szCs w:val="18"/>
          <w:lang w:eastAsia="nl-NL"/>
        </w:rPr>
        <w:t xml:space="preserve"> en nieuwe aan te gaan</w:t>
      </w:r>
      <w:r>
        <w:rPr>
          <w:rFonts w:ascii="Verdana" w:hAnsi="Verdana"/>
          <w:sz w:val="18"/>
          <w:szCs w:val="18"/>
          <w:lang w:eastAsia="nl-NL"/>
        </w:rPr>
        <w:t xml:space="preserve">, bijvoorbeeld door middel van </w:t>
      </w:r>
      <w:r w:rsidR="009705B5">
        <w:rPr>
          <w:rFonts w:ascii="Verdana" w:hAnsi="Verdana"/>
          <w:sz w:val="18"/>
          <w:szCs w:val="18"/>
          <w:lang w:eastAsia="nl-NL"/>
        </w:rPr>
        <w:t xml:space="preserve">(sectorale) </w:t>
      </w:r>
      <w:r>
        <w:rPr>
          <w:rFonts w:ascii="Verdana" w:hAnsi="Verdana"/>
          <w:sz w:val="18"/>
          <w:szCs w:val="18"/>
          <w:lang w:eastAsia="nl-NL"/>
        </w:rPr>
        <w:t xml:space="preserve">handelsakkoorden en </w:t>
      </w:r>
      <w:r w:rsidRPr="007A7DE1">
        <w:rPr>
          <w:rFonts w:ascii="Verdana" w:hAnsi="Verdana"/>
          <w:i/>
          <w:sz w:val="18"/>
          <w:szCs w:val="18"/>
          <w:lang w:eastAsia="nl-NL"/>
        </w:rPr>
        <w:t xml:space="preserve">Clean Trade </w:t>
      </w:r>
      <w:proofErr w:type="spellStart"/>
      <w:r w:rsidRPr="007A7DE1">
        <w:rPr>
          <w:rFonts w:ascii="Verdana" w:hAnsi="Verdana"/>
          <w:i/>
          <w:sz w:val="18"/>
          <w:szCs w:val="18"/>
          <w:lang w:eastAsia="nl-NL"/>
        </w:rPr>
        <w:t>and</w:t>
      </w:r>
      <w:proofErr w:type="spellEnd"/>
      <w:r w:rsidRPr="007A7DE1">
        <w:rPr>
          <w:rFonts w:ascii="Verdana" w:hAnsi="Verdana"/>
          <w:i/>
          <w:sz w:val="18"/>
          <w:szCs w:val="18"/>
          <w:lang w:eastAsia="nl-NL"/>
        </w:rPr>
        <w:t xml:space="preserve"> Investment Partnerships</w:t>
      </w:r>
      <w:r>
        <w:rPr>
          <w:rFonts w:ascii="Verdana" w:hAnsi="Verdana"/>
          <w:sz w:val="18"/>
          <w:szCs w:val="18"/>
          <w:lang w:eastAsia="nl-NL"/>
        </w:rPr>
        <w:t xml:space="preserve"> (</w:t>
      </w:r>
      <w:proofErr w:type="spellStart"/>
      <w:r>
        <w:rPr>
          <w:rFonts w:ascii="Verdana" w:hAnsi="Verdana"/>
          <w:sz w:val="18"/>
          <w:szCs w:val="18"/>
          <w:lang w:eastAsia="nl-NL"/>
        </w:rPr>
        <w:t>CTIP’s</w:t>
      </w:r>
      <w:proofErr w:type="spellEnd"/>
      <w:r>
        <w:rPr>
          <w:rFonts w:ascii="Verdana" w:hAnsi="Verdana"/>
          <w:sz w:val="18"/>
          <w:szCs w:val="18"/>
          <w:lang w:eastAsia="nl-NL"/>
        </w:rPr>
        <w:t xml:space="preserve">). Tegelijkertijd dient de EU oneerlijke concurrentie door derde landen te bestrijden, bijvoorbeeld door inzet van </w:t>
      </w:r>
      <w:proofErr w:type="spellStart"/>
      <w:r>
        <w:rPr>
          <w:rFonts w:ascii="Verdana" w:hAnsi="Verdana"/>
          <w:sz w:val="18"/>
          <w:szCs w:val="18"/>
          <w:lang w:eastAsia="nl-NL"/>
        </w:rPr>
        <w:t>handelsdefensieve</w:t>
      </w:r>
      <w:proofErr w:type="spellEnd"/>
      <w:r>
        <w:rPr>
          <w:rFonts w:ascii="Verdana" w:hAnsi="Verdana"/>
          <w:sz w:val="18"/>
          <w:szCs w:val="18"/>
          <w:lang w:eastAsia="nl-NL"/>
        </w:rPr>
        <w:t xml:space="preserve"> instrumenten en het gebruik van de </w:t>
      </w:r>
      <w:r w:rsidR="00C67953">
        <w:rPr>
          <w:rFonts w:ascii="Verdana" w:hAnsi="Verdana"/>
          <w:sz w:val="18"/>
          <w:szCs w:val="18"/>
          <w:lang w:eastAsia="nl-NL"/>
        </w:rPr>
        <w:t>v</w:t>
      </w:r>
      <w:r w:rsidRPr="006D29C5">
        <w:rPr>
          <w:rFonts w:ascii="Verdana" w:hAnsi="Verdana"/>
          <w:sz w:val="18"/>
          <w:szCs w:val="18"/>
        </w:rPr>
        <w:t xml:space="preserve">erordening </w:t>
      </w:r>
      <w:r w:rsidR="00C67953">
        <w:rPr>
          <w:rFonts w:ascii="Verdana" w:hAnsi="Verdana"/>
          <w:sz w:val="18"/>
          <w:szCs w:val="18"/>
        </w:rPr>
        <w:t>b</w:t>
      </w:r>
      <w:r w:rsidRPr="006D29C5">
        <w:rPr>
          <w:rFonts w:ascii="Verdana" w:hAnsi="Verdana"/>
          <w:sz w:val="18"/>
          <w:szCs w:val="18"/>
        </w:rPr>
        <w:t xml:space="preserve">uitenlandse </w:t>
      </w:r>
      <w:r w:rsidR="00C67953">
        <w:rPr>
          <w:rFonts w:ascii="Verdana" w:hAnsi="Verdana"/>
          <w:sz w:val="18"/>
          <w:szCs w:val="18"/>
        </w:rPr>
        <w:t>s</w:t>
      </w:r>
      <w:r w:rsidRPr="006D29C5">
        <w:rPr>
          <w:rFonts w:ascii="Verdana" w:hAnsi="Verdana"/>
          <w:sz w:val="18"/>
          <w:szCs w:val="18"/>
        </w:rPr>
        <w:t>ubsidies</w:t>
      </w:r>
      <w:r>
        <w:rPr>
          <w:rFonts w:ascii="Verdana" w:hAnsi="Verdana"/>
          <w:sz w:val="18"/>
          <w:szCs w:val="18"/>
          <w:lang w:eastAsia="nl-NL"/>
        </w:rPr>
        <w:t xml:space="preserve">. </w:t>
      </w:r>
      <w:r w:rsidRPr="000D13E3" w:rsidR="7EC83E5D">
        <w:rPr>
          <w:rFonts w:ascii="Verdana" w:hAnsi="Verdana"/>
          <w:sz w:val="18"/>
          <w:szCs w:val="18"/>
          <w:lang w:eastAsia="nl-NL"/>
        </w:rPr>
        <w:t xml:space="preserve">Onder de derde pijler zijn de volgende (wetgevende) voorstellen aangekondigd: het afsluiten en implementeren van ambitieuze handelsakkoorden en </w:t>
      </w:r>
      <w:proofErr w:type="spellStart"/>
      <w:r w:rsidRPr="000D13E3" w:rsidR="7EC83E5D">
        <w:rPr>
          <w:rFonts w:ascii="Verdana" w:hAnsi="Verdana"/>
          <w:sz w:val="18"/>
          <w:szCs w:val="18"/>
          <w:lang w:eastAsia="nl-NL"/>
        </w:rPr>
        <w:t>CTIP’s</w:t>
      </w:r>
      <w:proofErr w:type="spellEnd"/>
      <w:r w:rsidRPr="000D13E3" w:rsidR="7EC83E5D">
        <w:rPr>
          <w:rFonts w:ascii="Verdana" w:hAnsi="Verdana"/>
          <w:sz w:val="18"/>
          <w:szCs w:val="18"/>
          <w:lang w:eastAsia="nl-NL"/>
        </w:rPr>
        <w:t xml:space="preserve">, een trans-mediterraan samenwerkingsinitiatief op het gebied van energie en schone technologieën, een gezamenlijk platform voor de aankoop van kritieke grondstoffen, herziening van richtlijnen voor publieke aanbestedingen, een witboek over de toekomst van Europese defensie, een </w:t>
      </w:r>
      <w:proofErr w:type="spellStart"/>
      <w:r w:rsidRPr="000D13E3" w:rsidR="7EC83E5D">
        <w:rPr>
          <w:rFonts w:ascii="Verdana" w:hAnsi="Verdana"/>
          <w:i/>
          <w:iCs/>
          <w:sz w:val="18"/>
          <w:szCs w:val="18"/>
          <w:lang w:eastAsia="nl-NL"/>
        </w:rPr>
        <w:t>Preparedness</w:t>
      </w:r>
      <w:proofErr w:type="spellEnd"/>
      <w:r w:rsidRPr="000D13E3" w:rsidR="7EC83E5D">
        <w:rPr>
          <w:rFonts w:ascii="Verdana" w:hAnsi="Verdana"/>
          <w:i/>
          <w:iCs/>
          <w:sz w:val="18"/>
          <w:szCs w:val="18"/>
          <w:lang w:eastAsia="nl-NL"/>
        </w:rPr>
        <w:t xml:space="preserve"> Union</w:t>
      </w:r>
      <w:r w:rsidRPr="000D13E3" w:rsidR="7EC83E5D">
        <w:rPr>
          <w:rFonts w:ascii="Verdana" w:hAnsi="Verdana"/>
          <w:sz w:val="18"/>
          <w:szCs w:val="18"/>
          <w:lang w:eastAsia="nl-NL"/>
        </w:rPr>
        <w:t xml:space="preserve">-strategie, een interne veiligheidsstrategie, een verordening kritieke medicijnen, een </w:t>
      </w:r>
      <w:r w:rsidR="00B7154B">
        <w:rPr>
          <w:rFonts w:ascii="Verdana" w:hAnsi="Verdana"/>
          <w:sz w:val="18"/>
          <w:szCs w:val="18"/>
          <w:lang w:eastAsia="nl-NL"/>
        </w:rPr>
        <w:t xml:space="preserve">Europees </w:t>
      </w:r>
      <w:r w:rsidRPr="002E2FD8" w:rsidR="00B7154B">
        <w:rPr>
          <w:rFonts w:ascii="Verdana" w:hAnsi="Verdana"/>
          <w:sz w:val="18"/>
          <w:szCs w:val="18"/>
          <w:lang w:eastAsia="nl-NL"/>
        </w:rPr>
        <w:t>klimaat</w:t>
      </w:r>
      <w:r w:rsidRPr="002E2FD8" w:rsidR="00AB7EAC">
        <w:rPr>
          <w:rFonts w:ascii="Verdana" w:hAnsi="Verdana"/>
          <w:sz w:val="18"/>
          <w:szCs w:val="18"/>
          <w:lang w:eastAsia="nl-NL"/>
        </w:rPr>
        <w:t>adaptatie</w:t>
      </w:r>
      <w:r w:rsidRPr="002E2FD8" w:rsidR="00B7154B">
        <w:rPr>
          <w:rFonts w:ascii="Verdana" w:hAnsi="Verdana"/>
          <w:sz w:val="18"/>
          <w:szCs w:val="18"/>
          <w:lang w:eastAsia="nl-NL"/>
        </w:rPr>
        <w:t>plan</w:t>
      </w:r>
      <w:r w:rsidRPr="002E2FD8" w:rsidR="7EC83E5D">
        <w:rPr>
          <w:rFonts w:ascii="Verdana" w:hAnsi="Verdana"/>
          <w:sz w:val="18"/>
          <w:szCs w:val="18"/>
          <w:lang w:eastAsia="nl-NL"/>
        </w:rPr>
        <w:t xml:space="preserve"> en een</w:t>
      </w:r>
      <w:r w:rsidRPr="000D13E3" w:rsidR="7EC83E5D">
        <w:rPr>
          <w:rFonts w:ascii="Verdana" w:hAnsi="Verdana"/>
          <w:sz w:val="18"/>
          <w:szCs w:val="18"/>
          <w:lang w:eastAsia="nl-NL"/>
        </w:rPr>
        <w:t xml:space="preserve"> strategie </w:t>
      </w:r>
      <w:r w:rsidR="00B7154B">
        <w:rPr>
          <w:rFonts w:ascii="Verdana" w:hAnsi="Verdana"/>
          <w:sz w:val="18"/>
          <w:szCs w:val="18"/>
          <w:lang w:eastAsia="nl-NL"/>
        </w:rPr>
        <w:t>voor</w:t>
      </w:r>
      <w:r w:rsidRPr="000D13E3" w:rsidR="7EC83E5D">
        <w:rPr>
          <w:rFonts w:ascii="Verdana" w:hAnsi="Verdana"/>
          <w:sz w:val="18"/>
          <w:szCs w:val="18"/>
          <w:lang w:eastAsia="nl-NL"/>
        </w:rPr>
        <w:t xml:space="preserve"> waterweerbaarheid</w:t>
      </w:r>
      <w:r w:rsidRPr="2F0F8D57">
        <w:rPr>
          <w:rFonts w:ascii="Verdana" w:hAnsi="Verdana"/>
          <w:sz w:val="18"/>
          <w:szCs w:val="18"/>
          <w:lang w:eastAsia="nl-NL"/>
        </w:rPr>
        <w:t>.</w:t>
      </w:r>
    </w:p>
    <w:bookmarkEnd w:id="0"/>
    <w:p w:rsidR="00BD666C" w:rsidP="00BD666C" w:rsidRDefault="00BD666C" w14:paraId="3310C309" w14:textId="77777777">
      <w:pPr>
        <w:spacing w:line="360" w:lineRule="auto"/>
        <w:rPr>
          <w:rFonts w:ascii="Verdana" w:hAnsi="Verdana"/>
          <w:sz w:val="18"/>
          <w:szCs w:val="18"/>
          <w:lang w:eastAsia="nl-NL"/>
        </w:rPr>
      </w:pPr>
    </w:p>
    <w:p w:rsidR="00BD666C" w:rsidP="00BD666C" w:rsidRDefault="00BD666C" w14:paraId="2516ECAA" w14:textId="5406A41C">
      <w:pPr>
        <w:spacing w:line="360" w:lineRule="auto"/>
        <w:rPr>
          <w:rFonts w:ascii="Verdana" w:hAnsi="Verdana"/>
          <w:sz w:val="18"/>
          <w:szCs w:val="18"/>
          <w:lang w:eastAsia="nl-NL"/>
        </w:rPr>
      </w:pPr>
      <w:r w:rsidRPr="2F0F8D57">
        <w:rPr>
          <w:rFonts w:ascii="Verdana" w:hAnsi="Verdana"/>
          <w:sz w:val="18"/>
          <w:szCs w:val="18"/>
          <w:lang w:eastAsia="nl-NL"/>
        </w:rPr>
        <w:t xml:space="preserve">De horizontale </w:t>
      </w:r>
      <w:r>
        <w:rPr>
          <w:rFonts w:ascii="Verdana" w:hAnsi="Verdana"/>
          <w:sz w:val="18"/>
          <w:szCs w:val="18"/>
          <w:lang w:eastAsia="nl-NL"/>
        </w:rPr>
        <w:t>katalysatoren zien op maatregelen die</w:t>
      </w:r>
      <w:r w:rsidRPr="2F0F8D57">
        <w:rPr>
          <w:rFonts w:ascii="Verdana" w:hAnsi="Verdana"/>
          <w:sz w:val="18"/>
          <w:szCs w:val="18"/>
          <w:lang w:eastAsia="nl-NL"/>
        </w:rPr>
        <w:t xml:space="preserve"> </w:t>
      </w:r>
      <w:r>
        <w:rPr>
          <w:rFonts w:ascii="Verdana" w:hAnsi="Verdana"/>
          <w:sz w:val="18"/>
          <w:szCs w:val="18"/>
          <w:lang w:eastAsia="nl-NL"/>
        </w:rPr>
        <w:t xml:space="preserve">volgens de Commissie </w:t>
      </w:r>
      <w:r w:rsidRPr="2F0F8D57">
        <w:rPr>
          <w:rFonts w:ascii="Verdana" w:hAnsi="Verdana"/>
          <w:sz w:val="18"/>
          <w:szCs w:val="18"/>
          <w:lang w:eastAsia="nl-NL"/>
        </w:rPr>
        <w:t>noodzakelijk</w:t>
      </w:r>
      <w:r>
        <w:rPr>
          <w:rFonts w:ascii="Verdana" w:hAnsi="Verdana"/>
          <w:sz w:val="18"/>
          <w:szCs w:val="18"/>
          <w:lang w:eastAsia="nl-NL"/>
        </w:rPr>
        <w:t xml:space="preserve"> zijn </w:t>
      </w:r>
      <w:r w:rsidRPr="2F0F8D57">
        <w:rPr>
          <w:rFonts w:ascii="Verdana" w:hAnsi="Verdana"/>
          <w:sz w:val="18"/>
          <w:szCs w:val="18"/>
          <w:lang w:eastAsia="nl-NL"/>
        </w:rPr>
        <w:t xml:space="preserve">om het concurrentievermogen in alle sectoren te versterken. Het gaat om </w:t>
      </w:r>
      <w:r>
        <w:rPr>
          <w:rFonts w:ascii="Verdana" w:hAnsi="Verdana"/>
          <w:sz w:val="18"/>
          <w:szCs w:val="18"/>
          <w:lang w:eastAsia="nl-NL"/>
        </w:rPr>
        <w:t xml:space="preserve">de vereenvoudiging </w:t>
      </w:r>
      <w:r w:rsidRPr="2F0F8D57">
        <w:rPr>
          <w:rFonts w:ascii="Verdana" w:hAnsi="Verdana"/>
          <w:sz w:val="18"/>
          <w:szCs w:val="18"/>
          <w:lang w:eastAsia="nl-NL"/>
        </w:rPr>
        <w:t xml:space="preserve">van regelgeving en </w:t>
      </w:r>
      <w:r>
        <w:rPr>
          <w:rFonts w:ascii="Verdana" w:hAnsi="Verdana"/>
          <w:sz w:val="18"/>
          <w:szCs w:val="18"/>
          <w:lang w:eastAsia="nl-NL"/>
        </w:rPr>
        <w:t>verminder</w:t>
      </w:r>
      <w:r w:rsidR="00292F9F">
        <w:rPr>
          <w:rFonts w:ascii="Verdana" w:hAnsi="Verdana"/>
          <w:sz w:val="18"/>
          <w:szCs w:val="18"/>
          <w:lang w:eastAsia="nl-NL"/>
        </w:rPr>
        <w:t>ing</w:t>
      </w:r>
      <w:r>
        <w:rPr>
          <w:rFonts w:ascii="Verdana" w:hAnsi="Verdana"/>
          <w:sz w:val="18"/>
          <w:szCs w:val="18"/>
          <w:lang w:eastAsia="nl-NL"/>
        </w:rPr>
        <w:t xml:space="preserve"> </w:t>
      </w:r>
      <w:r w:rsidRPr="2F0F8D57">
        <w:rPr>
          <w:rFonts w:ascii="Verdana" w:hAnsi="Verdana"/>
          <w:sz w:val="18"/>
          <w:szCs w:val="18"/>
          <w:lang w:eastAsia="nl-NL"/>
        </w:rPr>
        <w:t xml:space="preserve">van regeldruk, </w:t>
      </w:r>
      <w:r>
        <w:rPr>
          <w:rFonts w:ascii="Verdana" w:hAnsi="Verdana"/>
          <w:sz w:val="18"/>
          <w:szCs w:val="18"/>
          <w:lang w:eastAsia="nl-NL"/>
        </w:rPr>
        <w:t>versterking</w:t>
      </w:r>
      <w:r w:rsidRPr="2F0F8D57">
        <w:rPr>
          <w:rFonts w:ascii="Verdana" w:hAnsi="Verdana"/>
          <w:sz w:val="18"/>
          <w:szCs w:val="18"/>
          <w:lang w:eastAsia="nl-NL"/>
        </w:rPr>
        <w:t xml:space="preserve"> van de interne markt, </w:t>
      </w:r>
      <w:r>
        <w:rPr>
          <w:rFonts w:ascii="Verdana" w:hAnsi="Verdana"/>
          <w:sz w:val="18"/>
          <w:szCs w:val="18"/>
          <w:lang w:eastAsia="nl-NL"/>
        </w:rPr>
        <w:t>financiering en een</w:t>
      </w:r>
      <w:r w:rsidRPr="2F0F8D57">
        <w:rPr>
          <w:rFonts w:ascii="Verdana" w:hAnsi="Verdana"/>
          <w:sz w:val="18"/>
          <w:szCs w:val="18"/>
          <w:lang w:eastAsia="nl-NL"/>
        </w:rPr>
        <w:t xml:space="preserve"> spaar</w:t>
      </w:r>
      <w:r>
        <w:rPr>
          <w:rFonts w:ascii="Verdana" w:hAnsi="Verdana"/>
          <w:sz w:val="18"/>
          <w:szCs w:val="18"/>
          <w:lang w:eastAsia="nl-NL"/>
        </w:rPr>
        <w:t>-</w:t>
      </w:r>
      <w:r w:rsidRPr="2F0F8D57">
        <w:rPr>
          <w:rFonts w:ascii="Verdana" w:hAnsi="Verdana"/>
          <w:sz w:val="18"/>
          <w:szCs w:val="18"/>
          <w:lang w:eastAsia="nl-NL"/>
        </w:rPr>
        <w:t xml:space="preserve"> en investeringsunie, </w:t>
      </w:r>
      <w:r>
        <w:rPr>
          <w:rFonts w:ascii="Verdana" w:hAnsi="Verdana"/>
          <w:sz w:val="18"/>
          <w:szCs w:val="18"/>
          <w:lang w:eastAsia="nl-NL"/>
        </w:rPr>
        <w:t>stimul</w:t>
      </w:r>
      <w:r w:rsidR="0BF72A3A">
        <w:rPr>
          <w:rFonts w:ascii="Verdana" w:hAnsi="Verdana"/>
          <w:sz w:val="18"/>
          <w:szCs w:val="18"/>
          <w:lang w:eastAsia="nl-NL"/>
        </w:rPr>
        <w:t>eren</w:t>
      </w:r>
      <w:r w:rsidRPr="2F0F8D57">
        <w:rPr>
          <w:rFonts w:ascii="Verdana" w:hAnsi="Verdana"/>
          <w:sz w:val="18"/>
          <w:szCs w:val="18"/>
          <w:lang w:eastAsia="nl-NL"/>
        </w:rPr>
        <w:t xml:space="preserve"> van vaardigheden en kwaliteitsbanen en het beter coördineren van beleid op nationaal en EU</w:t>
      </w:r>
      <w:r>
        <w:rPr>
          <w:rFonts w:ascii="Verdana" w:hAnsi="Verdana"/>
          <w:sz w:val="18"/>
          <w:szCs w:val="18"/>
          <w:lang w:eastAsia="nl-NL"/>
        </w:rPr>
        <w:t>-</w:t>
      </w:r>
      <w:r w:rsidRPr="2F0F8D57">
        <w:rPr>
          <w:rFonts w:ascii="Verdana" w:hAnsi="Verdana"/>
          <w:sz w:val="18"/>
          <w:szCs w:val="18"/>
          <w:lang w:eastAsia="nl-NL"/>
        </w:rPr>
        <w:t xml:space="preserve">niveau. Onder de horizontale </w:t>
      </w:r>
      <w:r w:rsidR="005C72F2">
        <w:rPr>
          <w:rFonts w:ascii="Verdana" w:hAnsi="Verdana"/>
          <w:sz w:val="18"/>
          <w:szCs w:val="18"/>
          <w:lang w:eastAsia="nl-NL"/>
        </w:rPr>
        <w:t>katalysatoren</w:t>
      </w:r>
      <w:r>
        <w:rPr>
          <w:rFonts w:ascii="Verdana" w:hAnsi="Verdana"/>
          <w:sz w:val="18"/>
          <w:szCs w:val="18"/>
          <w:lang w:eastAsia="nl-NL"/>
        </w:rPr>
        <w:t xml:space="preserve"> zijn</w:t>
      </w:r>
      <w:r w:rsidRPr="2F0F8D57">
        <w:rPr>
          <w:rFonts w:ascii="Verdana" w:hAnsi="Verdana"/>
          <w:sz w:val="18"/>
          <w:szCs w:val="18"/>
          <w:lang w:eastAsia="nl-NL"/>
        </w:rPr>
        <w:t xml:space="preserve"> de volgende (wetgevende) voorstellen aangekondigd: een Omnibus </w:t>
      </w:r>
      <w:r>
        <w:rPr>
          <w:rFonts w:ascii="Verdana" w:hAnsi="Verdana"/>
          <w:sz w:val="18"/>
          <w:szCs w:val="18"/>
          <w:lang w:eastAsia="nl-NL"/>
        </w:rPr>
        <w:t xml:space="preserve">gericht op vermindering van lasten en regeldruk </w:t>
      </w:r>
      <w:r w:rsidRPr="2F0F8D57">
        <w:rPr>
          <w:rFonts w:ascii="Verdana" w:hAnsi="Verdana"/>
          <w:sz w:val="18"/>
          <w:szCs w:val="18"/>
          <w:lang w:eastAsia="nl-NL"/>
        </w:rPr>
        <w:t xml:space="preserve">en een definitie van kleine </w:t>
      </w:r>
      <w:proofErr w:type="spellStart"/>
      <w:r w:rsidRPr="544F30D5">
        <w:rPr>
          <w:rFonts w:ascii="Verdana" w:hAnsi="Verdana"/>
          <w:i/>
          <w:iCs/>
          <w:sz w:val="18"/>
          <w:szCs w:val="18"/>
          <w:lang w:eastAsia="nl-NL"/>
        </w:rPr>
        <w:t>midcap</w:t>
      </w:r>
      <w:proofErr w:type="spellEnd"/>
      <w:r>
        <w:rPr>
          <w:rFonts w:ascii="Verdana" w:hAnsi="Verdana"/>
          <w:sz w:val="18"/>
          <w:szCs w:val="18"/>
          <w:lang w:eastAsia="nl-NL"/>
        </w:rPr>
        <w:t>-</w:t>
      </w:r>
      <w:r w:rsidRPr="2F0F8D57">
        <w:rPr>
          <w:rFonts w:ascii="Verdana" w:hAnsi="Verdana"/>
          <w:sz w:val="18"/>
          <w:szCs w:val="18"/>
          <w:lang w:eastAsia="nl-NL"/>
        </w:rPr>
        <w:t xml:space="preserve">bedrijven, een Europese </w:t>
      </w:r>
      <w:r w:rsidRPr="544F30D5">
        <w:rPr>
          <w:rFonts w:ascii="Verdana" w:hAnsi="Verdana"/>
          <w:i/>
          <w:iCs/>
          <w:sz w:val="18"/>
          <w:szCs w:val="18"/>
          <w:lang w:eastAsia="nl-NL"/>
        </w:rPr>
        <w:t>business wallet</w:t>
      </w:r>
      <w:r w:rsidRPr="2F0F8D57">
        <w:rPr>
          <w:rFonts w:ascii="Verdana" w:hAnsi="Verdana"/>
          <w:sz w:val="18"/>
          <w:szCs w:val="18"/>
          <w:lang w:eastAsia="nl-NL"/>
        </w:rPr>
        <w:t xml:space="preserve">, een horizontale interne marktstrategie, een herziening van de </w:t>
      </w:r>
      <w:r>
        <w:rPr>
          <w:rFonts w:ascii="Verdana" w:hAnsi="Verdana"/>
          <w:sz w:val="18"/>
          <w:szCs w:val="18"/>
          <w:lang w:eastAsia="nl-NL"/>
        </w:rPr>
        <w:t>normalisatie</w:t>
      </w:r>
      <w:r w:rsidRPr="2F0F8D57">
        <w:rPr>
          <w:rFonts w:ascii="Verdana" w:hAnsi="Verdana"/>
          <w:sz w:val="18"/>
          <w:szCs w:val="18"/>
          <w:lang w:eastAsia="nl-NL"/>
        </w:rPr>
        <w:t xml:space="preserve">verordening, een </w:t>
      </w:r>
      <w:r>
        <w:rPr>
          <w:rFonts w:ascii="Verdana" w:hAnsi="Verdana"/>
          <w:sz w:val="18"/>
          <w:szCs w:val="18"/>
          <w:lang w:eastAsia="nl-NL"/>
        </w:rPr>
        <w:t>strategie</w:t>
      </w:r>
      <w:r w:rsidRPr="2F0F8D57">
        <w:rPr>
          <w:rFonts w:ascii="Verdana" w:hAnsi="Verdana"/>
          <w:sz w:val="18"/>
          <w:szCs w:val="18"/>
          <w:lang w:eastAsia="nl-NL"/>
        </w:rPr>
        <w:t xml:space="preserve"> voor de Europese </w:t>
      </w:r>
      <w:r>
        <w:rPr>
          <w:rFonts w:ascii="Verdana" w:hAnsi="Verdana"/>
          <w:sz w:val="18"/>
          <w:szCs w:val="18"/>
          <w:lang w:eastAsia="nl-NL"/>
        </w:rPr>
        <w:t>s</w:t>
      </w:r>
      <w:r w:rsidRPr="2F0F8D57">
        <w:rPr>
          <w:rFonts w:ascii="Verdana" w:hAnsi="Verdana"/>
          <w:sz w:val="18"/>
          <w:szCs w:val="18"/>
          <w:lang w:eastAsia="nl-NL"/>
        </w:rPr>
        <w:t>paar</w:t>
      </w:r>
      <w:r>
        <w:rPr>
          <w:rFonts w:ascii="Verdana" w:hAnsi="Verdana"/>
          <w:sz w:val="18"/>
          <w:szCs w:val="18"/>
          <w:lang w:eastAsia="nl-NL"/>
        </w:rPr>
        <w:t>-</w:t>
      </w:r>
      <w:r w:rsidRPr="2F0F8D57">
        <w:rPr>
          <w:rFonts w:ascii="Verdana" w:hAnsi="Verdana"/>
          <w:sz w:val="18"/>
          <w:szCs w:val="18"/>
          <w:lang w:eastAsia="nl-NL"/>
        </w:rPr>
        <w:t xml:space="preserve"> en </w:t>
      </w:r>
      <w:r>
        <w:rPr>
          <w:rFonts w:ascii="Verdana" w:hAnsi="Verdana"/>
          <w:sz w:val="18"/>
          <w:szCs w:val="18"/>
          <w:lang w:eastAsia="nl-NL"/>
        </w:rPr>
        <w:t>i</w:t>
      </w:r>
      <w:r w:rsidRPr="2F0F8D57">
        <w:rPr>
          <w:rFonts w:ascii="Verdana" w:hAnsi="Verdana"/>
          <w:sz w:val="18"/>
          <w:szCs w:val="18"/>
          <w:lang w:eastAsia="nl-NL"/>
        </w:rPr>
        <w:t xml:space="preserve">nvesteringsunie, een mededeling over het volgende </w:t>
      </w:r>
      <w:r>
        <w:rPr>
          <w:rFonts w:ascii="Verdana" w:hAnsi="Verdana"/>
          <w:sz w:val="18"/>
          <w:szCs w:val="18"/>
          <w:lang w:eastAsia="nl-NL"/>
        </w:rPr>
        <w:t>Meerjarig Financieel Kader (</w:t>
      </w:r>
      <w:r w:rsidRPr="2F0F8D57">
        <w:rPr>
          <w:rFonts w:ascii="Verdana" w:hAnsi="Verdana"/>
          <w:sz w:val="18"/>
          <w:szCs w:val="18"/>
          <w:lang w:eastAsia="nl-NL"/>
        </w:rPr>
        <w:t>MFK</w:t>
      </w:r>
      <w:r>
        <w:rPr>
          <w:rFonts w:ascii="Verdana" w:hAnsi="Verdana"/>
          <w:sz w:val="18"/>
          <w:szCs w:val="18"/>
          <w:lang w:eastAsia="nl-NL"/>
        </w:rPr>
        <w:t>)</w:t>
      </w:r>
      <w:r w:rsidRPr="2F0F8D57">
        <w:rPr>
          <w:rFonts w:ascii="Verdana" w:hAnsi="Verdana"/>
          <w:sz w:val="18"/>
          <w:szCs w:val="18"/>
          <w:lang w:eastAsia="nl-NL"/>
        </w:rPr>
        <w:t xml:space="preserve">, inclusief een voorstel voor een </w:t>
      </w:r>
      <w:r>
        <w:rPr>
          <w:rFonts w:ascii="Verdana" w:hAnsi="Verdana"/>
          <w:sz w:val="18"/>
          <w:szCs w:val="18"/>
          <w:lang w:eastAsia="nl-NL"/>
        </w:rPr>
        <w:t xml:space="preserve">Europees Fonds voor </w:t>
      </w:r>
      <w:r w:rsidRPr="2F0F8D57">
        <w:rPr>
          <w:rFonts w:ascii="Verdana" w:hAnsi="Verdana"/>
          <w:sz w:val="18"/>
          <w:szCs w:val="18"/>
          <w:lang w:eastAsia="nl-NL"/>
        </w:rPr>
        <w:t xml:space="preserve">concurrentievermogen en een voorstel voor </w:t>
      </w:r>
      <w:r>
        <w:rPr>
          <w:rFonts w:ascii="Verdana" w:hAnsi="Verdana"/>
          <w:sz w:val="18"/>
          <w:szCs w:val="18"/>
          <w:lang w:eastAsia="nl-NL"/>
        </w:rPr>
        <w:t xml:space="preserve">een </w:t>
      </w:r>
      <w:r w:rsidRPr="2F0F8D57">
        <w:rPr>
          <w:rFonts w:ascii="Verdana" w:hAnsi="Verdana"/>
          <w:sz w:val="18"/>
          <w:szCs w:val="18"/>
          <w:lang w:eastAsia="nl-NL"/>
        </w:rPr>
        <w:t>concurrentievermogen</w:t>
      </w:r>
      <w:r>
        <w:rPr>
          <w:rFonts w:ascii="Verdana" w:hAnsi="Verdana"/>
          <w:sz w:val="18"/>
          <w:szCs w:val="18"/>
          <w:lang w:eastAsia="nl-NL"/>
        </w:rPr>
        <w:t>-</w:t>
      </w:r>
      <w:r w:rsidRPr="2F0F8D57">
        <w:rPr>
          <w:rFonts w:ascii="Verdana" w:hAnsi="Verdana"/>
          <w:sz w:val="18"/>
          <w:szCs w:val="18"/>
          <w:lang w:eastAsia="nl-NL"/>
        </w:rPr>
        <w:t>co</w:t>
      </w:r>
      <w:r>
        <w:rPr>
          <w:rFonts w:ascii="Verdana" w:hAnsi="Verdana"/>
          <w:sz w:val="18"/>
          <w:szCs w:val="18"/>
          <w:lang w:eastAsia="nl-NL"/>
        </w:rPr>
        <w:t>ö</w:t>
      </w:r>
      <w:r w:rsidRPr="2F0F8D57">
        <w:rPr>
          <w:rFonts w:ascii="Verdana" w:hAnsi="Verdana"/>
          <w:sz w:val="18"/>
          <w:szCs w:val="18"/>
          <w:lang w:eastAsia="nl-NL"/>
        </w:rPr>
        <w:t xml:space="preserve">rdinatietool, een vaardighedenunie, een routekaart voor kwaliteitsbanen en een initiatief </w:t>
      </w:r>
      <w:r>
        <w:rPr>
          <w:rFonts w:ascii="Verdana" w:hAnsi="Verdana"/>
          <w:sz w:val="18"/>
          <w:szCs w:val="18"/>
          <w:lang w:eastAsia="nl-NL"/>
        </w:rPr>
        <w:t>om de erkenning van vaardigheden te faciliteren.</w:t>
      </w:r>
    </w:p>
    <w:p w:rsidRPr="00C53116" w:rsidR="00BD666C" w:rsidP="00BD666C" w:rsidRDefault="00BD666C" w14:paraId="7B81F8AA" w14:textId="77777777">
      <w:pPr>
        <w:tabs>
          <w:tab w:val="left" w:pos="360"/>
          <w:tab w:val="left" w:pos="4500"/>
          <w:tab w:val="left" w:pos="5580"/>
        </w:tabs>
        <w:spacing w:line="360" w:lineRule="auto"/>
        <w:rPr>
          <w:rFonts w:ascii="Verdana" w:hAnsi="Verdana"/>
          <w:sz w:val="18"/>
          <w:szCs w:val="18"/>
        </w:rPr>
      </w:pPr>
    </w:p>
    <w:p w:rsidRPr="00C53116" w:rsidR="00BD666C" w:rsidP="00BD666C" w:rsidRDefault="00BD666C" w14:paraId="442D99D4" w14:textId="77777777">
      <w:pPr>
        <w:numPr>
          <w:ilvl w:val="0"/>
          <w:numId w:val="2"/>
        </w:numPr>
        <w:spacing w:line="360" w:lineRule="auto"/>
        <w:rPr>
          <w:rFonts w:ascii="Verdana" w:hAnsi="Verdana"/>
          <w:b/>
          <w:bCs/>
          <w:sz w:val="18"/>
          <w:szCs w:val="18"/>
        </w:rPr>
      </w:pPr>
      <w:r w:rsidRPr="2F0F8D57">
        <w:rPr>
          <w:rFonts w:ascii="Verdana" w:hAnsi="Verdana"/>
          <w:b/>
          <w:bCs/>
          <w:sz w:val="18"/>
          <w:szCs w:val="18"/>
        </w:rPr>
        <w:t>Nederlandse positie ten aanzien van de mededeling/aanbeveling</w:t>
      </w:r>
    </w:p>
    <w:p w:rsidRPr="007C7DCE" w:rsidR="00BD666C" w:rsidP="00BD666C" w:rsidRDefault="00BD666C" w14:paraId="24732E76" w14:textId="77777777">
      <w:pPr>
        <w:numPr>
          <w:ilvl w:val="0"/>
          <w:numId w:val="5"/>
        </w:numPr>
        <w:spacing w:line="360" w:lineRule="auto"/>
        <w:rPr>
          <w:rFonts w:ascii="Verdana" w:hAnsi="Verdana"/>
          <w:i/>
          <w:sz w:val="18"/>
          <w:szCs w:val="18"/>
        </w:rPr>
      </w:pPr>
      <w:r w:rsidRPr="2F0F8D57">
        <w:rPr>
          <w:rFonts w:ascii="Verdana" w:hAnsi="Verdana"/>
          <w:i/>
          <w:iCs/>
          <w:sz w:val="18"/>
          <w:szCs w:val="18"/>
        </w:rPr>
        <w:t xml:space="preserve">Essentie Nederlands beleid op dit terrein </w:t>
      </w:r>
    </w:p>
    <w:p w:rsidR="00D5722F" w:rsidP="00BD666C" w:rsidRDefault="00BD666C" w14:paraId="68245EAF" w14:textId="77777777">
      <w:pPr>
        <w:spacing w:line="360" w:lineRule="auto"/>
        <w:rPr>
          <w:rFonts w:ascii="Verdana" w:hAnsi="Verdana"/>
          <w:sz w:val="18"/>
          <w:szCs w:val="18"/>
        </w:rPr>
      </w:pPr>
      <w:r>
        <w:rPr>
          <w:rFonts w:ascii="Verdana" w:hAnsi="Verdana"/>
          <w:sz w:val="18"/>
          <w:szCs w:val="18"/>
        </w:rPr>
        <w:t>De</w:t>
      </w:r>
      <w:r w:rsidRPr="00413CD5">
        <w:rPr>
          <w:rFonts w:ascii="Verdana" w:hAnsi="Verdana"/>
          <w:sz w:val="18"/>
          <w:szCs w:val="18"/>
        </w:rPr>
        <w:t xml:space="preserve"> </w:t>
      </w:r>
      <w:r>
        <w:rPr>
          <w:rFonts w:ascii="Verdana" w:hAnsi="Verdana"/>
          <w:sz w:val="18"/>
          <w:szCs w:val="18"/>
        </w:rPr>
        <w:t>brede</w:t>
      </w:r>
      <w:r w:rsidRPr="00413CD5" w:rsidDel="00817CF3">
        <w:rPr>
          <w:rFonts w:ascii="Verdana" w:hAnsi="Verdana"/>
          <w:sz w:val="18"/>
          <w:szCs w:val="18"/>
        </w:rPr>
        <w:t xml:space="preserve"> </w:t>
      </w:r>
      <w:r w:rsidRPr="00413CD5">
        <w:rPr>
          <w:rFonts w:ascii="Verdana" w:hAnsi="Verdana"/>
          <w:sz w:val="18"/>
          <w:szCs w:val="18"/>
        </w:rPr>
        <w:t>kabinets</w:t>
      </w:r>
      <w:r>
        <w:rPr>
          <w:rFonts w:ascii="Verdana" w:hAnsi="Verdana"/>
          <w:sz w:val="18"/>
          <w:szCs w:val="18"/>
        </w:rPr>
        <w:t>inzet</w:t>
      </w:r>
      <w:r w:rsidRPr="00413CD5">
        <w:rPr>
          <w:rFonts w:ascii="Verdana" w:hAnsi="Verdana"/>
          <w:sz w:val="18"/>
          <w:szCs w:val="18"/>
        </w:rPr>
        <w:t xml:space="preserve"> </w:t>
      </w:r>
      <w:r>
        <w:rPr>
          <w:rFonts w:ascii="Verdana" w:hAnsi="Verdana"/>
          <w:sz w:val="18"/>
          <w:szCs w:val="18"/>
        </w:rPr>
        <w:t>is</w:t>
      </w:r>
      <w:r w:rsidRPr="00413CD5">
        <w:rPr>
          <w:rFonts w:ascii="Verdana" w:hAnsi="Verdana"/>
          <w:sz w:val="18"/>
          <w:szCs w:val="18"/>
        </w:rPr>
        <w:t xml:space="preserve"> uiteengezet in de </w:t>
      </w:r>
      <w:r>
        <w:rPr>
          <w:rFonts w:ascii="Verdana" w:hAnsi="Verdana"/>
          <w:sz w:val="18"/>
          <w:szCs w:val="18"/>
        </w:rPr>
        <w:t>Kamerbrief EU-concurrentievermogen.</w:t>
      </w:r>
      <w:r w:rsidR="006F3468">
        <w:rPr>
          <w:rFonts w:ascii="Verdana" w:hAnsi="Verdana"/>
          <w:sz w:val="18"/>
          <w:szCs w:val="18"/>
        </w:rPr>
        <w:t xml:space="preserve"> De onderdelen van het kompas vallen in de reikwijdte van de Kamerbrief.</w:t>
      </w:r>
      <w:r>
        <w:rPr>
          <w:rStyle w:val="FootnoteReference"/>
          <w:rFonts w:ascii="Verdana" w:hAnsi="Verdana"/>
          <w:sz w:val="18"/>
          <w:szCs w:val="18"/>
        </w:rPr>
        <w:footnoteReference w:id="4"/>
      </w:r>
      <w:r>
        <w:rPr>
          <w:rFonts w:ascii="Verdana" w:hAnsi="Verdana"/>
          <w:sz w:val="18"/>
          <w:szCs w:val="18"/>
        </w:rPr>
        <w:t xml:space="preserve"> </w:t>
      </w:r>
      <w:r w:rsidRPr="00413CD5">
        <w:rPr>
          <w:rFonts w:ascii="Verdana" w:hAnsi="Verdana"/>
          <w:sz w:val="18"/>
          <w:szCs w:val="18"/>
        </w:rPr>
        <w:t xml:space="preserve">In deze brief </w:t>
      </w:r>
      <w:r>
        <w:rPr>
          <w:rFonts w:ascii="Verdana" w:hAnsi="Verdana"/>
          <w:sz w:val="18"/>
          <w:szCs w:val="18"/>
        </w:rPr>
        <w:t>wordt eerst de</w:t>
      </w:r>
      <w:r w:rsidRPr="00413CD5">
        <w:rPr>
          <w:rFonts w:ascii="Verdana" w:hAnsi="Verdana"/>
          <w:sz w:val="18"/>
          <w:szCs w:val="18"/>
        </w:rPr>
        <w:t xml:space="preserve"> economische en geopolitieke context geschetst</w:t>
      </w:r>
      <w:r>
        <w:rPr>
          <w:rFonts w:ascii="Verdana" w:hAnsi="Verdana"/>
          <w:sz w:val="18"/>
          <w:szCs w:val="18"/>
        </w:rPr>
        <w:t xml:space="preserve"> en aangegeven dat een sterke, concurrerende EU belangrijk is voor Nederland om onze welvaart en bestaanszekerheid te behouden en veerkrachtig te blijven in een geopolitiek veranderende wereld. De inzet van het kabinet op EU-concurrentievermogen</w:t>
      </w:r>
      <w:r w:rsidRPr="00413CD5">
        <w:rPr>
          <w:rFonts w:ascii="Verdana" w:hAnsi="Verdana"/>
          <w:sz w:val="18"/>
          <w:szCs w:val="18"/>
        </w:rPr>
        <w:t xml:space="preserve"> </w:t>
      </w:r>
      <w:r>
        <w:rPr>
          <w:rFonts w:ascii="Verdana" w:hAnsi="Verdana"/>
          <w:sz w:val="18"/>
          <w:szCs w:val="18"/>
        </w:rPr>
        <w:t xml:space="preserve">is vervolgens </w:t>
      </w:r>
      <w:r w:rsidRPr="00413CD5">
        <w:rPr>
          <w:rFonts w:ascii="Verdana" w:hAnsi="Verdana"/>
          <w:sz w:val="18"/>
          <w:szCs w:val="18"/>
        </w:rPr>
        <w:t>langs zes thema’s</w:t>
      </w:r>
      <w:r>
        <w:rPr>
          <w:rFonts w:ascii="Verdana" w:hAnsi="Verdana"/>
          <w:sz w:val="18"/>
          <w:szCs w:val="18"/>
        </w:rPr>
        <w:t xml:space="preserve"> </w:t>
      </w:r>
      <w:r w:rsidRPr="00413CD5">
        <w:rPr>
          <w:rFonts w:ascii="Verdana" w:hAnsi="Verdana"/>
          <w:sz w:val="18"/>
          <w:szCs w:val="18"/>
        </w:rPr>
        <w:t>uitgewerkt</w:t>
      </w:r>
      <w:r>
        <w:rPr>
          <w:rFonts w:ascii="Verdana" w:hAnsi="Verdana"/>
          <w:sz w:val="18"/>
          <w:szCs w:val="18"/>
        </w:rPr>
        <w:t xml:space="preserve">. Ten eerste wil het kabinet dat de EU inzet op </w:t>
      </w:r>
      <w:r w:rsidR="5955F9BD">
        <w:rPr>
          <w:rFonts w:ascii="Verdana" w:hAnsi="Verdana"/>
          <w:sz w:val="18"/>
          <w:szCs w:val="18"/>
        </w:rPr>
        <w:t xml:space="preserve">minder </w:t>
      </w:r>
      <w:r w:rsidR="0017321F">
        <w:rPr>
          <w:rFonts w:ascii="Verdana" w:hAnsi="Verdana"/>
          <w:sz w:val="18"/>
          <w:szCs w:val="18"/>
        </w:rPr>
        <w:t xml:space="preserve">onnodige </w:t>
      </w:r>
      <w:r w:rsidR="5955F9BD">
        <w:rPr>
          <w:rFonts w:ascii="Verdana" w:hAnsi="Verdana"/>
          <w:sz w:val="18"/>
          <w:szCs w:val="18"/>
        </w:rPr>
        <w:t>regeldruk en</w:t>
      </w:r>
      <w:r>
        <w:rPr>
          <w:rFonts w:ascii="Verdana" w:hAnsi="Verdana"/>
          <w:sz w:val="18"/>
          <w:szCs w:val="18"/>
        </w:rPr>
        <w:t xml:space="preserve"> het </w:t>
      </w:r>
      <w:r w:rsidRPr="0088687A">
        <w:rPr>
          <w:rFonts w:ascii="Verdana" w:hAnsi="Verdana"/>
          <w:sz w:val="18"/>
          <w:szCs w:val="18"/>
        </w:rPr>
        <w:t xml:space="preserve">versterken van de interne markt, met effectieve handhaving van interne marktregels, staatssteunregels en </w:t>
      </w:r>
      <w:r w:rsidRPr="0088687A" w:rsidR="5955F9BD">
        <w:rPr>
          <w:rFonts w:ascii="Verdana" w:hAnsi="Verdana"/>
          <w:sz w:val="18"/>
          <w:szCs w:val="18"/>
        </w:rPr>
        <w:t xml:space="preserve">sterke </w:t>
      </w:r>
      <w:r w:rsidRPr="0088687A">
        <w:rPr>
          <w:rFonts w:ascii="Verdana" w:hAnsi="Verdana"/>
          <w:sz w:val="18"/>
          <w:szCs w:val="18"/>
        </w:rPr>
        <w:t>mededingingsregels</w:t>
      </w:r>
      <w:r>
        <w:rPr>
          <w:rFonts w:ascii="Verdana" w:hAnsi="Verdana"/>
          <w:sz w:val="18"/>
          <w:szCs w:val="18"/>
        </w:rPr>
        <w:t xml:space="preserve">. </w:t>
      </w:r>
    </w:p>
    <w:p w:rsidR="00532838" w:rsidP="00BD666C" w:rsidRDefault="00BD666C" w14:paraId="64328888" w14:textId="030168F6">
      <w:pPr>
        <w:spacing w:line="360" w:lineRule="auto"/>
        <w:rPr>
          <w:rFonts w:ascii="Verdana" w:hAnsi="Verdana"/>
          <w:sz w:val="18"/>
          <w:szCs w:val="18"/>
        </w:rPr>
      </w:pPr>
      <w:r>
        <w:rPr>
          <w:rFonts w:ascii="Verdana" w:hAnsi="Verdana"/>
          <w:sz w:val="18"/>
          <w:szCs w:val="18"/>
        </w:rPr>
        <w:lastRenderedPageBreak/>
        <w:t>Ten tweede s</w:t>
      </w:r>
      <w:r w:rsidRPr="0088687A">
        <w:rPr>
          <w:rFonts w:ascii="Verdana" w:hAnsi="Verdana"/>
          <w:sz w:val="18"/>
          <w:szCs w:val="18"/>
        </w:rPr>
        <w:t>tre</w:t>
      </w:r>
      <w:r>
        <w:rPr>
          <w:rFonts w:ascii="Verdana" w:hAnsi="Verdana"/>
          <w:sz w:val="18"/>
          <w:szCs w:val="18"/>
        </w:rPr>
        <w:t>eft het kabinet</w:t>
      </w:r>
      <w:r w:rsidRPr="0088687A">
        <w:rPr>
          <w:rFonts w:ascii="Verdana" w:hAnsi="Verdana"/>
          <w:sz w:val="18"/>
          <w:szCs w:val="18"/>
        </w:rPr>
        <w:t xml:space="preserve"> naar een sterke Europese </w:t>
      </w:r>
      <w:r w:rsidR="000D13E3">
        <w:rPr>
          <w:rFonts w:ascii="Verdana" w:hAnsi="Verdana"/>
          <w:sz w:val="18"/>
          <w:szCs w:val="18"/>
        </w:rPr>
        <w:t>positie</w:t>
      </w:r>
      <w:r w:rsidRPr="0088687A" w:rsidR="000D13E3">
        <w:rPr>
          <w:rFonts w:ascii="Verdana" w:hAnsi="Verdana"/>
          <w:sz w:val="18"/>
          <w:szCs w:val="18"/>
        </w:rPr>
        <w:t xml:space="preserve"> </w:t>
      </w:r>
      <w:r w:rsidRPr="0088687A">
        <w:rPr>
          <w:rFonts w:ascii="Verdana" w:hAnsi="Verdana"/>
          <w:sz w:val="18"/>
          <w:szCs w:val="18"/>
        </w:rPr>
        <w:t xml:space="preserve">op het gebied van onderzoek en innovatie en aandacht voor talent en vaardigheden. </w:t>
      </w:r>
    </w:p>
    <w:p w:rsidR="00BD666C" w:rsidP="00BD666C" w:rsidRDefault="00BD666C" w14:paraId="71CA338A" w14:textId="7D91FA0C">
      <w:pPr>
        <w:spacing w:line="360" w:lineRule="auto"/>
        <w:rPr>
          <w:rFonts w:ascii="Verdana" w:hAnsi="Verdana"/>
          <w:sz w:val="18"/>
          <w:szCs w:val="18"/>
        </w:rPr>
      </w:pPr>
      <w:r>
        <w:rPr>
          <w:rFonts w:ascii="Verdana" w:hAnsi="Verdana"/>
          <w:sz w:val="18"/>
          <w:szCs w:val="18"/>
        </w:rPr>
        <w:t xml:space="preserve">Ten derde zet het in op </w:t>
      </w:r>
      <w:r w:rsidRPr="0088687A">
        <w:rPr>
          <w:rFonts w:ascii="Verdana" w:hAnsi="Verdana"/>
          <w:sz w:val="18"/>
          <w:szCs w:val="18"/>
        </w:rPr>
        <w:t>een toekomstbestendige economie met strategisch en toekomst</w:t>
      </w:r>
      <w:r>
        <w:rPr>
          <w:rFonts w:ascii="Verdana" w:hAnsi="Verdana"/>
          <w:sz w:val="18"/>
          <w:szCs w:val="18"/>
        </w:rPr>
        <w:t>bestendig</w:t>
      </w:r>
      <w:r w:rsidRPr="0088687A">
        <w:rPr>
          <w:rFonts w:ascii="Verdana" w:hAnsi="Verdana"/>
          <w:sz w:val="18"/>
          <w:szCs w:val="18"/>
        </w:rPr>
        <w:t xml:space="preserve"> industriebeleid</w:t>
      </w:r>
      <w:r>
        <w:rPr>
          <w:rFonts w:ascii="Verdana" w:hAnsi="Verdana"/>
          <w:sz w:val="18"/>
          <w:szCs w:val="18"/>
        </w:rPr>
        <w:t>.</w:t>
      </w:r>
      <w:r w:rsidRPr="0088687A">
        <w:rPr>
          <w:rFonts w:ascii="Verdana" w:hAnsi="Verdana"/>
          <w:sz w:val="18"/>
          <w:szCs w:val="18"/>
        </w:rPr>
        <w:t xml:space="preserve"> </w:t>
      </w:r>
      <w:r>
        <w:rPr>
          <w:rFonts w:ascii="Verdana" w:hAnsi="Verdana"/>
          <w:sz w:val="18"/>
          <w:szCs w:val="18"/>
        </w:rPr>
        <w:t>Ten vierde dient de EU de</w:t>
      </w:r>
      <w:r w:rsidRPr="0088687A">
        <w:rPr>
          <w:rFonts w:ascii="Verdana" w:hAnsi="Verdana"/>
          <w:sz w:val="18"/>
          <w:szCs w:val="18"/>
        </w:rPr>
        <w:t xml:space="preserve"> duurzame transitie </w:t>
      </w:r>
      <w:r>
        <w:rPr>
          <w:rFonts w:ascii="Verdana" w:hAnsi="Verdana"/>
          <w:sz w:val="18"/>
          <w:szCs w:val="18"/>
        </w:rPr>
        <w:t xml:space="preserve">te omarmen </w:t>
      </w:r>
      <w:r w:rsidRPr="0088687A">
        <w:rPr>
          <w:rFonts w:ascii="Verdana" w:hAnsi="Verdana"/>
          <w:sz w:val="18"/>
          <w:szCs w:val="18"/>
        </w:rPr>
        <w:t>als kans om internationaal concurrerender te worden</w:t>
      </w:r>
      <w:r w:rsidRPr="004E4D88">
        <w:rPr>
          <w:rFonts w:ascii="Verdana" w:hAnsi="Verdana"/>
          <w:sz w:val="18"/>
          <w:szCs w:val="18"/>
        </w:rPr>
        <w:t xml:space="preserve"> </w:t>
      </w:r>
      <w:r>
        <w:rPr>
          <w:rFonts w:ascii="Verdana" w:hAnsi="Verdana"/>
          <w:sz w:val="18"/>
          <w:szCs w:val="18"/>
        </w:rPr>
        <w:t>en de economische weerbaarheid te vergroten, o</w:t>
      </w:r>
      <w:r w:rsidRPr="0088687A">
        <w:rPr>
          <w:rFonts w:ascii="Verdana" w:hAnsi="Verdana"/>
          <w:sz w:val="18"/>
          <w:szCs w:val="18"/>
        </w:rPr>
        <w:t xml:space="preserve">nder andere door </w:t>
      </w:r>
      <w:r>
        <w:rPr>
          <w:rFonts w:ascii="Verdana" w:hAnsi="Verdana"/>
          <w:sz w:val="18"/>
          <w:szCs w:val="18"/>
        </w:rPr>
        <w:t>de realisatie</w:t>
      </w:r>
      <w:r w:rsidRPr="0088687A">
        <w:rPr>
          <w:rFonts w:ascii="Verdana" w:hAnsi="Verdana"/>
          <w:sz w:val="18"/>
          <w:szCs w:val="18"/>
        </w:rPr>
        <w:t xml:space="preserve"> van een circulaire economie en voldoende beschikbaarheid van </w:t>
      </w:r>
      <w:r>
        <w:rPr>
          <w:rFonts w:ascii="Verdana" w:hAnsi="Verdana"/>
          <w:sz w:val="18"/>
          <w:szCs w:val="18"/>
        </w:rPr>
        <w:t xml:space="preserve">betaalbare </w:t>
      </w:r>
      <w:r w:rsidRPr="0088687A">
        <w:rPr>
          <w:rFonts w:ascii="Verdana" w:hAnsi="Verdana"/>
          <w:sz w:val="18"/>
          <w:szCs w:val="18"/>
        </w:rPr>
        <w:t>duurzame energie</w:t>
      </w:r>
      <w:r>
        <w:rPr>
          <w:rFonts w:ascii="Verdana" w:hAnsi="Verdana"/>
          <w:sz w:val="18"/>
          <w:szCs w:val="18"/>
        </w:rPr>
        <w:t>. Ten vijfde dient de EU e</w:t>
      </w:r>
      <w:r w:rsidRPr="0088687A">
        <w:rPr>
          <w:rFonts w:ascii="Verdana" w:hAnsi="Verdana"/>
          <w:sz w:val="18"/>
          <w:szCs w:val="18"/>
        </w:rPr>
        <w:t>en</w:t>
      </w:r>
      <w:r>
        <w:rPr>
          <w:rFonts w:ascii="Verdana" w:hAnsi="Verdana"/>
          <w:sz w:val="18"/>
          <w:szCs w:val="18"/>
        </w:rPr>
        <w:t xml:space="preserve"> solide</w:t>
      </w:r>
      <w:r w:rsidRPr="0088687A">
        <w:rPr>
          <w:rFonts w:ascii="Verdana" w:hAnsi="Verdana"/>
          <w:sz w:val="18"/>
          <w:szCs w:val="18"/>
        </w:rPr>
        <w:t xml:space="preserve"> economisch buitenlandbeleid</w:t>
      </w:r>
      <w:r>
        <w:rPr>
          <w:rFonts w:ascii="Verdana" w:hAnsi="Verdana"/>
          <w:sz w:val="18"/>
          <w:szCs w:val="18"/>
        </w:rPr>
        <w:t xml:space="preserve"> te voeren</w:t>
      </w:r>
      <w:r w:rsidRPr="0088687A">
        <w:rPr>
          <w:rFonts w:ascii="Verdana" w:hAnsi="Verdana"/>
          <w:sz w:val="18"/>
          <w:szCs w:val="18"/>
        </w:rPr>
        <w:t>, dat uitgaat van open handel en een mondiaal gelijk speelveld</w:t>
      </w:r>
      <w:r>
        <w:rPr>
          <w:rFonts w:ascii="Verdana" w:hAnsi="Verdana"/>
          <w:sz w:val="18"/>
          <w:szCs w:val="18"/>
        </w:rPr>
        <w:t xml:space="preserve">, </w:t>
      </w:r>
      <w:r w:rsidR="00065D5D">
        <w:rPr>
          <w:rFonts w:ascii="Verdana" w:hAnsi="Verdana"/>
          <w:sz w:val="18"/>
          <w:szCs w:val="18"/>
        </w:rPr>
        <w:t>en</w:t>
      </w:r>
      <w:r w:rsidRPr="0088687A">
        <w:rPr>
          <w:rFonts w:ascii="Verdana" w:hAnsi="Verdana"/>
          <w:sz w:val="18"/>
          <w:szCs w:val="18"/>
        </w:rPr>
        <w:t xml:space="preserve"> economische veiligheid</w:t>
      </w:r>
      <w:r w:rsidR="00065D5D">
        <w:rPr>
          <w:rFonts w:ascii="Verdana" w:hAnsi="Verdana"/>
          <w:sz w:val="18"/>
          <w:szCs w:val="18"/>
        </w:rPr>
        <w:t>srisico’s mitigeert</w:t>
      </w:r>
      <w:r w:rsidRPr="0088687A">
        <w:rPr>
          <w:rFonts w:ascii="Verdana" w:hAnsi="Verdana"/>
          <w:sz w:val="18"/>
          <w:szCs w:val="18"/>
        </w:rPr>
        <w:t>.</w:t>
      </w:r>
      <w:r>
        <w:rPr>
          <w:rFonts w:ascii="Verdana" w:hAnsi="Verdana"/>
          <w:sz w:val="18"/>
          <w:szCs w:val="18"/>
        </w:rPr>
        <w:t xml:space="preserve"> Ten zesde moet de</w:t>
      </w:r>
      <w:r w:rsidRPr="0088687A">
        <w:rPr>
          <w:rFonts w:ascii="Verdana" w:hAnsi="Verdana"/>
          <w:sz w:val="18"/>
          <w:szCs w:val="18"/>
        </w:rPr>
        <w:t xml:space="preserve"> toegang tot kapitaal</w:t>
      </w:r>
      <w:r>
        <w:rPr>
          <w:rFonts w:ascii="Verdana" w:hAnsi="Verdana"/>
          <w:sz w:val="18"/>
          <w:szCs w:val="18"/>
        </w:rPr>
        <w:t xml:space="preserve"> worden vergroot, met name via </w:t>
      </w:r>
      <w:r w:rsidRPr="0088687A">
        <w:rPr>
          <w:rFonts w:ascii="Verdana" w:hAnsi="Verdana"/>
          <w:sz w:val="18"/>
          <w:szCs w:val="18"/>
        </w:rPr>
        <w:t>verdieping van de kapitaalmarktunie.</w:t>
      </w:r>
    </w:p>
    <w:p w:rsidR="00BD666C" w:rsidP="00BD666C" w:rsidRDefault="00BD666C" w14:paraId="75282AB1" w14:textId="77777777">
      <w:pPr>
        <w:spacing w:line="360" w:lineRule="auto"/>
        <w:rPr>
          <w:rFonts w:ascii="Verdana" w:hAnsi="Verdana"/>
          <w:sz w:val="18"/>
          <w:szCs w:val="18"/>
        </w:rPr>
      </w:pPr>
    </w:p>
    <w:p w:rsidRPr="007C7DCE" w:rsidR="00BD666C" w:rsidP="00BD666C" w:rsidRDefault="00BD666C" w14:paraId="20FAC85B" w14:textId="2BF541EB">
      <w:pPr>
        <w:numPr>
          <w:ilvl w:val="0"/>
          <w:numId w:val="5"/>
        </w:numPr>
        <w:spacing w:line="360" w:lineRule="auto"/>
        <w:rPr>
          <w:rFonts w:ascii="Verdana" w:hAnsi="Verdana"/>
          <w:i/>
          <w:sz w:val="18"/>
          <w:szCs w:val="18"/>
        </w:rPr>
      </w:pPr>
      <w:r w:rsidRPr="2F0F8D57">
        <w:rPr>
          <w:rFonts w:ascii="Verdana" w:hAnsi="Verdana"/>
          <w:i/>
          <w:iCs/>
          <w:sz w:val="18"/>
          <w:szCs w:val="18"/>
        </w:rPr>
        <w:t>Beoordeling + inzet ten aanzien van dit voorstel</w:t>
      </w:r>
    </w:p>
    <w:p w:rsidR="00BD666C" w:rsidP="00BD666C" w:rsidRDefault="00BD666C" w14:paraId="4FE50EDE" w14:textId="34BDBD92">
      <w:pPr>
        <w:spacing w:line="360" w:lineRule="auto"/>
        <w:rPr>
          <w:rFonts w:ascii="Verdana" w:hAnsi="Verdana"/>
          <w:sz w:val="18"/>
          <w:szCs w:val="18"/>
        </w:rPr>
      </w:pPr>
      <w:r w:rsidRPr="004D5668">
        <w:rPr>
          <w:rFonts w:ascii="Verdana" w:hAnsi="Verdana"/>
          <w:sz w:val="18"/>
          <w:szCs w:val="18"/>
        </w:rPr>
        <w:t xml:space="preserve">Het kabinet </w:t>
      </w:r>
      <w:r>
        <w:rPr>
          <w:rFonts w:ascii="Verdana" w:hAnsi="Verdana"/>
          <w:sz w:val="18"/>
          <w:szCs w:val="18"/>
        </w:rPr>
        <w:t xml:space="preserve">is </w:t>
      </w:r>
      <w:r w:rsidRPr="004D5668">
        <w:rPr>
          <w:rFonts w:ascii="Verdana" w:hAnsi="Verdana"/>
          <w:sz w:val="18"/>
          <w:szCs w:val="18"/>
        </w:rPr>
        <w:t>positief over de mededeling</w:t>
      </w:r>
      <w:r>
        <w:rPr>
          <w:rFonts w:ascii="Verdana" w:hAnsi="Verdana"/>
          <w:sz w:val="18"/>
          <w:szCs w:val="18"/>
        </w:rPr>
        <w:t xml:space="preserve"> en </w:t>
      </w:r>
      <w:r w:rsidRPr="004D5668">
        <w:rPr>
          <w:rFonts w:ascii="Verdana" w:hAnsi="Verdana"/>
          <w:sz w:val="18"/>
          <w:szCs w:val="18"/>
        </w:rPr>
        <w:t xml:space="preserve">verwelkomt de nadruk </w:t>
      </w:r>
      <w:r>
        <w:rPr>
          <w:rFonts w:ascii="Verdana" w:hAnsi="Verdana"/>
          <w:sz w:val="18"/>
          <w:szCs w:val="18"/>
        </w:rPr>
        <w:t>van</w:t>
      </w:r>
      <w:r w:rsidRPr="004D5668">
        <w:rPr>
          <w:rFonts w:ascii="Verdana" w:hAnsi="Verdana"/>
          <w:sz w:val="18"/>
          <w:szCs w:val="18"/>
        </w:rPr>
        <w:t xml:space="preserve"> de Commissie op </w:t>
      </w:r>
      <w:r>
        <w:rPr>
          <w:rFonts w:ascii="Verdana" w:hAnsi="Verdana"/>
          <w:sz w:val="18"/>
          <w:szCs w:val="18"/>
        </w:rPr>
        <w:t>productiviteitsgroei om het</w:t>
      </w:r>
      <w:r w:rsidRPr="004D5668">
        <w:rPr>
          <w:rFonts w:ascii="Verdana" w:hAnsi="Verdana"/>
          <w:sz w:val="18"/>
          <w:szCs w:val="18"/>
        </w:rPr>
        <w:t xml:space="preserve"> EU-concurrentievermogen</w:t>
      </w:r>
      <w:r>
        <w:rPr>
          <w:rFonts w:ascii="Verdana" w:hAnsi="Verdana"/>
          <w:sz w:val="18"/>
          <w:szCs w:val="18"/>
        </w:rPr>
        <w:t xml:space="preserve"> te versterken, evenals de focus op innovatiekracht, </w:t>
      </w:r>
      <w:proofErr w:type="spellStart"/>
      <w:r>
        <w:rPr>
          <w:rFonts w:ascii="Verdana" w:hAnsi="Verdana"/>
          <w:sz w:val="18"/>
          <w:szCs w:val="18"/>
        </w:rPr>
        <w:t>decarbonisatie</w:t>
      </w:r>
      <w:proofErr w:type="spellEnd"/>
      <w:r>
        <w:rPr>
          <w:rFonts w:ascii="Verdana" w:hAnsi="Verdana"/>
          <w:sz w:val="18"/>
          <w:szCs w:val="18"/>
        </w:rPr>
        <w:t xml:space="preserve"> en weerbaarheid. Het kabinet verwelkomt de centrale plaats van concurrentievermogen in het mandaat van de nieuwe Commissie en deelt de doelstelling van de Commissie om een welvarend</w:t>
      </w:r>
      <w:r w:rsidR="008E7A1B">
        <w:rPr>
          <w:rFonts w:ascii="Verdana" w:hAnsi="Verdana"/>
          <w:sz w:val="18"/>
          <w:szCs w:val="18"/>
        </w:rPr>
        <w:t>,</w:t>
      </w:r>
      <w:r>
        <w:rPr>
          <w:rFonts w:ascii="Verdana" w:hAnsi="Verdana"/>
          <w:sz w:val="18"/>
          <w:szCs w:val="18"/>
        </w:rPr>
        <w:t xml:space="preserve"> </w:t>
      </w:r>
      <w:r w:rsidR="00C279AF">
        <w:rPr>
          <w:rFonts w:ascii="Verdana" w:hAnsi="Verdana"/>
          <w:sz w:val="18"/>
          <w:szCs w:val="18"/>
        </w:rPr>
        <w:t xml:space="preserve">veilig, duurzaam </w:t>
      </w:r>
      <w:r>
        <w:rPr>
          <w:rFonts w:ascii="Verdana" w:hAnsi="Verdana"/>
          <w:sz w:val="18"/>
          <w:szCs w:val="18"/>
        </w:rPr>
        <w:t xml:space="preserve">en concurrerend Europa veilig te stellen. </w:t>
      </w:r>
      <w:r w:rsidRPr="004D5668">
        <w:rPr>
          <w:rFonts w:ascii="Verdana" w:hAnsi="Verdana"/>
          <w:sz w:val="18"/>
          <w:szCs w:val="18"/>
        </w:rPr>
        <w:t>Een concurrerende</w:t>
      </w:r>
      <w:r>
        <w:rPr>
          <w:rFonts w:ascii="Verdana" w:hAnsi="Verdana"/>
          <w:sz w:val="18"/>
          <w:szCs w:val="18"/>
        </w:rPr>
        <w:t xml:space="preserve"> </w:t>
      </w:r>
      <w:r w:rsidR="009D26B1">
        <w:rPr>
          <w:rFonts w:ascii="Verdana" w:hAnsi="Verdana"/>
          <w:sz w:val="18"/>
          <w:szCs w:val="18"/>
        </w:rPr>
        <w:t>EU-</w:t>
      </w:r>
      <w:r w:rsidRPr="004D5668">
        <w:rPr>
          <w:rFonts w:ascii="Verdana" w:hAnsi="Verdana"/>
          <w:sz w:val="18"/>
          <w:szCs w:val="18"/>
        </w:rPr>
        <w:t>economie</w:t>
      </w:r>
      <w:r>
        <w:rPr>
          <w:rFonts w:ascii="Verdana" w:hAnsi="Verdana"/>
          <w:sz w:val="18"/>
          <w:szCs w:val="18"/>
        </w:rPr>
        <w:t xml:space="preserve"> </w:t>
      </w:r>
      <w:r w:rsidRPr="004D5668">
        <w:rPr>
          <w:rFonts w:ascii="Verdana" w:hAnsi="Verdana"/>
          <w:sz w:val="18"/>
          <w:szCs w:val="18"/>
        </w:rPr>
        <w:t xml:space="preserve">is belangrijk voor </w:t>
      </w:r>
      <w:r>
        <w:rPr>
          <w:rFonts w:ascii="Verdana" w:hAnsi="Verdana"/>
          <w:sz w:val="18"/>
          <w:szCs w:val="18"/>
        </w:rPr>
        <w:t>onze</w:t>
      </w:r>
      <w:r w:rsidRPr="004D5668">
        <w:rPr>
          <w:rFonts w:ascii="Verdana" w:hAnsi="Verdana"/>
          <w:sz w:val="18"/>
          <w:szCs w:val="18"/>
        </w:rPr>
        <w:t xml:space="preserve"> brede welvaart</w:t>
      </w:r>
      <w:r>
        <w:rPr>
          <w:rFonts w:ascii="Verdana" w:hAnsi="Verdana"/>
          <w:sz w:val="18"/>
          <w:szCs w:val="18"/>
        </w:rPr>
        <w:t xml:space="preserve">, </w:t>
      </w:r>
      <w:r w:rsidRPr="004D5668">
        <w:rPr>
          <w:rFonts w:ascii="Verdana" w:hAnsi="Verdana"/>
          <w:sz w:val="18"/>
          <w:szCs w:val="18"/>
        </w:rPr>
        <w:t>een veilig</w:t>
      </w:r>
      <w:r w:rsidR="009D26B1">
        <w:rPr>
          <w:rFonts w:ascii="Verdana" w:hAnsi="Verdana"/>
          <w:sz w:val="18"/>
          <w:szCs w:val="18"/>
        </w:rPr>
        <w:t>e</w:t>
      </w:r>
      <w:r w:rsidRPr="004D5668">
        <w:rPr>
          <w:rFonts w:ascii="Verdana" w:hAnsi="Verdana"/>
          <w:sz w:val="18"/>
          <w:szCs w:val="18"/>
        </w:rPr>
        <w:t xml:space="preserve"> </w:t>
      </w:r>
      <w:r>
        <w:rPr>
          <w:rFonts w:ascii="Verdana" w:hAnsi="Verdana"/>
          <w:sz w:val="18"/>
          <w:szCs w:val="18"/>
        </w:rPr>
        <w:t>en duurzam</w:t>
      </w:r>
      <w:r w:rsidR="009D26B1">
        <w:rPr>
          <w:rFonts w:ascii="Verdana" w:hAnsi="Verdana"/>
          <w:sz w:val="18"/>
          <w:szCs w:val="18"/>
        </w:rPr>
        <w:t>e</w:t>
      </w:r>
      <w:r w:rsidRPr="004D5668">
        <w:rPr>
          <w:rFonts w:ascii="Verdana" w:hAnsi="Verdana"/>
          <w:sz w:val="18"/>
          <w:szCs w:val="18"/>
        </w:rPr>
        <w:t xml:space="preserve"> </w:t>
      </w:r>
      <w:r w:rsidR="009D26B1">
        <w:rPr>
          <w:rFonts w:ascii="Verdana" w:hAnsi="Verdana"/>
          <w:sz w:val="18"/>
          <w:szCs w:val="18"/>
        </w:rPr>
        <w:t>EU</w:t>
      </w:r>
      <w:r w:rsidRPr="004D5668">
        <w:rPr>
          <w:rFonts w:ascii="Verdana" w:hAnsi="Verdana"/>
          <w:sz w:val="18"/>
          <w:szCs w:val="18"/>
        </w:rPr>
        <w:t xml:space="preserve"> en een weerbare economie</w:t>
      </w:r>
      <w:r>
        <w:rPr>
          <w:rFonts w:ascii="Verdana" w:hAnsi="Verdana"/>
          <w:sz w:val="18"/>
          <w:szCs w:val="18"/>
        </w:rPr>
        <w:t xml:space="preserve"> </w:t>
      </w:r>
      <w:r w:rsidRPr="004D5668">
        <w:rPr>
          <w:rFonts w:ascii="Verdana" w:hAnsi="Verdana"/>
          <w:sz w:val="18"/>
          <w:szCs w:val="18"/>
        </w:rPr>
        <w:t>die bestand is tegen economische schokken en veranderende geopolitieke omstandigheden</w:t>
      </w:r>
      <w:r>
        <w:rPr>
          <w:rFonts w:ascii="Verdana" w:hAnsi="Verdana"/>
          <w:sz w:val="18"/>
          <w:szCs w:val="18"/>
        </w:rPr>
        <w:t>. Versterking van het concurrentievermogen vraagt in deze veranderende context om aanpassingen van het industrie-, innovatie-</w:t>
      </w:r>
      <w:r w:rsidR="003D4E85">
        <w:rPr>
          <w:rFonts w:ascii="Verdana" w:hAnsi="Verdana"/>
          <w:sz w:val="18"/>
          <w:szCs w:val="18"/>
        </w:rPr>
        <w:t>, handels</w:t>
      </w:r>
      <w:r>
        <w:rPr>
          <w:rFonts w:ascii="Verdana" w:hAnsi="Verdana"/>
          <w:sz w:val="18"/>
          <w:szCs w:val="18"/>
        </w:rPr>
        <w:t xml:space="preserve">- en klimaatbeleid, waar het kompas aan bijdraagt.  </w:t>
      </w:r>
    </w:p>
    <w:p w:rsidRPr="004D5668" w:rsidR="00BD666C" w:rsidP="00BD666C" w:rsidRDefault="00BD666C" w14:paraId="21784340" w14:textId="77777777">
      <w:pPr>
        <w:spacing w:line="276" w:lineRule="auto"/>
        <w:rPr>
          <w:rFonts w:ascii="Verdana" w:hAnsi="Verdana"/>
          <w:sz w:val="18"/>
          <w:szCs w:val="18"/>
        </w:rPr>
      </w:pPr>
    </w:p>
    <w:p w:rsidR="00D5722F" w:rsidP="000D13E3" w:rsidRDefault="00BD666C" w14:paraId="0A9220F2" w14:textId="77777777">
      <w:pPr>
        <w:spacing w:line="360" w:lineRule="auto"/>
        <w:rPr>
          <w:rFonts w:ascii="Verdana" w:hAnsi="Verdana"/>
          <w:sz w:val="18"/>
          <w:szCs w:val="18"/>
        </w:rPr>
      </w:pPr>
      <w:bookmarkStart w:name="_Hlk189559467" w:id="1"/>
      <w:r>
        <w:rPr>
          <w:rFonts w:ascii="Verdana" w:hAnsi="Verdana"/>
          <w:sz w:val="18"/>
          <w:szCs w:val="18"/>
        </w:rPr>
        <w:t>Het</w:t>
      </w:r>
      <w:r w:rsidRPr="00A777D6">
        <w:rPr>
          <w:rFonts w:ascii="Verdana" w:hAnsi="Verdana"/>
          <w:sz w:val="18"/>
          <w:szCs w:val="18"/>
        </w:rPr>
        <w:t xml:space="preserve"> kabinet </w:t>
      </w:r>
      <w:r>
        <w:rPr>
          <w:rFonts w:ascii="Verdana" w:hAnsi="Verdana"/>
          <w:sz w:val="18"/>
          <w:szCs w:val="18"/>
        </w:rPr>
        <w:t xml:space="preserve">verwelkomt </w:t>
      </w:r>
      <w:r w:rsidRPr="00A777D6">
        <w:rPr>
          <w:rFonts w:ascii="Verdana" w:hAnsi="Verdana"/>
          <w:sz w:val="18"/>
          <w:szCs w:val="18"/>
        </w:rPr>
        <w:t xml:space="preserve">de focus </w:t>
      </w:r>
      <w:r>
        <w:rPr>
          <w:rFonts w:ascii="Verdana" w:hAnsi="Verdana"/>
          <w:sz w:val="18"/>
          <w:szCs w:val="18"/>
        </w:rPr>
        <w:t xml:space="preserve">van de eerste pijler van </w:t>
      </w:r>
      <w:r w:rsidRPr="00A777D6">
        <w:rPr>
          <w:rFonts w:ascii="Verdana" w:hAnsi="Verdana"/>
          <w:sz w:val="18"/>
          <w:szCs w:val="18"/>
        </w:rPr>
        <w:t xml:space="preserve">het kompas op innovatie en strategische </w:t>
      </w:r>
      <w:r w:rsidR="003500E8">
        <w:rPr>
          <w:rFonts w:ascii="Verdana" w:hAnsi="Verdana"/>
          <w:sz w:val="18"/>
          <w:szCs w:val="18"/>
        </w:rPr>
        <w:t xml:space="preserve">(digitale) </w:t>
      </w:r>
      <w:r w:rsidRPr="00A777D6">
        <w:rPr>
          <w:rFonts w:ascii="Verdana" w:hAnsi="Verdana"/>
          <w:sz w:val="18"/>
          <w:szCs w:val="18"/>
        </w:rPr>
        <w:t>technologieën</w:t>
      </w:r>
      <w:r w:rsidRPr="00C37D1C">
        <w:rPr>
          <w:rFonts w:ascii="Verdana" w:hAnsi="Verdana"/>
          <w:sz w:val="18"/>
          <w:szCs w:val="18"/>
        </w:rPr>
        <w:t>,</w:t>
      </w:r>
      <w:r w:rsidRPr="00AF201B">
        <w:rPr>
          <w:rFonts w:ascii="Verdana" w:hAnsi="Verdana"/>
          <w:sz w:val="18"/>
          <w:szCs w:val="18"/>
        </w:rPr>
        <w:t xml:space="preserve"> </w:t>
      </w:r>
      <w:r>
        <w:rPr>
          <w:rFonts w:ascii="Verdana" w:hAnsi="Verdana"/>
          <w:sz w:val="18"/>
          <w:szCs w:val="18"/>
        </w:rPr>
        <w:t>de prioritering van specifieke sleuteltechnologieën</w:t>
      </w:r>
      <w:r w:rsidR="003500E8">
        <w:rPr>
          <w:rFonts w:ascii="Verdana" w:hAnsi="Verdana"/>
          <w:sz w:val="18"/>
          <w:szCs w:val="18"/>
        </w:rPr>
        <w:t xml:space="preserve"> en</w:t>
      </w:r>
      <w:r>
        <w:rPr>
          <w:rFonts w:ascii="Verdana" w:hAnsi="Verdana"/>
          <w:sz w:val="18"/>
          <w:szCs w:val="18"/>
        </w:rPr>
        <w:t xml:space="preserve"> ruimtevaart</w:t>
      </w:r>
      <w:r w:rsidR="003500E8">
        <w:rPr>
          <w:rFonts w:ascii="Verdana" w:hAnsi="Verdana"/>
          <w:sz w:val="18"/>
          <w:szCs w:val="18"/>
        </w:rPr>
        <w:t>. Het kabinet is positief over</w:t>
      </w:r>
      <w:r>
        <w:rPr>
          <w:rFonts w:ascii="Verdana" w:hAnsi="Verdana"/>
          <w:sz w:val="18"/>
          <w:szCs w:val="18"/>
        </w:rPr>
        <w:t xml:space="preserve"> </w:t>
      </w:r>
      <w:r w:rsidR="003500E8">
        <w:rPr>
          <w:rFonts w:ascii="Verdana" w:hAnsi="Verdana"/>
          <w:sz w:val="18"/>
          <w:szCs w:val="18"/>
        </w:rPr>
        <w:t>de</w:t>
      </w:r>
      <w:r>
        <w:rPr>
          <w:rFonts w:ascii="Verdana" w:hAnsi="Verdana"/>
          <w:sz w:val="18"/>
          <w:szCs w:val="18"/>
        </w:rPr>
        <w:t xml:space="preserve"> aandacht voor de toepassing van AI</w:t>
      </w:r>
      <w:r w:rsidR="003500E8">
        <w:rPr>
          <w:rFonts w:ascii="Verdana" w:hAnsi="Verdana"/>
          <w:sz w:val="18"/>
          <w:szCs w:val="18"/>
        </w:rPr>
        <w:t xml:space="preserve"> </w:t>
      </w:r>
      <w:r w:rsidRPr="1D19F3EE" w:rsidR="003500E8">
        <w:rPr>
          <w:rFonts w:ascii="Verdana" w:hAnsi="Verdana"/>
          <w:sz w:val="18"/>
          <w:szCs w:val="18"/>
        </w:rPr>
        <w:t>en het voornemen om AI-fabrieken mogelijk te maken</w:t>
      </w:r>
      <w:r>
        <w:rPr>
          <w:rFonts w:ascii="Verdana" w:hAnsi="Verdana"/>
          <w:sz w:val="18"/>
          <w:szCs w:val="18"/>
        </w:rPr>
        <w:t>.</w:t>
      </w:r>
      <w:r w:rsidR="00B93FBF">
        <w:rPr>
          <w:rFonts w:ascii="Verdana" w:hAnsi="Verdana"/>
          <w:sz w:val="18"/>
          <w:szCs w:val="18"/>
        </w:rPr>
        <w:t xml:space="preserve"> </w:t>
      </w:r>
      <w:r w:rsidR="00437FEA">
        <w:rPr>
          <w:rFonts w:ascii="Verdana" w:hAnsi="Verdana"/>
          <w:sz w:val="18"/>
          <w:szCs w:val="18"/>
        </w:rPr>
        <w:t xml:space="preserve">Daarnaast verwelkomt het kabinet de aandacht voor de Life Sciences &amp; Health sector. </w:t>
      </w:r>
      <w:r w:rsidR="00943BE6">
        <w:rPr>
          <w:rFonts w:ascii="Verdana" w:hAnsi="Verdana"/>
          <w:sz w:val="18"/>
          <w:szCs w:val="18"/>
        </w:rPr>
        <w:t>Wel ontbreekt cybersecurity als technologische prioriteit, terwijl dit wel onderdeel is van de Nederlandse inzet voor een Europese strategie voor innovatie en voor (digitale) technologie.</w:t>
      </w:r>
      <w:r w:rsidR="00943BE6">
        <w:rPr>
          <w:rStyle w:val="FootnoteReference"/>
          <w:rFonts w:ascii="Verdana" w:hAnsi="Verdana"/>
          <w:sz w:val="18"/>
          <w:szCs w:val="18"/>
        </w:rPr>
        <w:footnoteReference w:id="5"/>
      </w:r>
      <w:r w:rsidRPr="00A777D6">
        <w:rPr>
          <w:rFonts w:ascii="Verdana" w:hAnsi="Verdana"/>
          <w:sz w:val="18"/>
          <w:szCs w:val="18"/>
        </w:rPr>
        <w:t xml:space="preserve"> </w:t>
      </w:r>
      <w:r w:rsidR="00943BE6">
        <w:rPr>
          <w:rFonts w:ascii="Verdana" w:hAnsi="Verdana"/>
          <w:sz w:val="18"/>
          <w:szCs w:val="18"/>
        </w:rPr>
        <w:t>Ook</w:t>
      </w:r>
      <w:r w:rsidRPr="00AF201B" w:rsidDel="00B61645">
        <w:rPr>
          <w:rFonts w:ascii="Verdana" w:hAnsi="Verdana"/>
          <w:sz w:val="18"/>
          <w:szCs w:val="18"/>
        </w:rPr>
        <w:t xml:space="preserve"> </w:t>
      </w:r>
      <w:r>
        <w:rPr>
          <w:rFonts w:ascii="Verdana" w:hAnsi="Verdana"/>
          <w:sz w:val="18"/>
          <w:szCs w:val="18"/>
        </w:rPr>
        <w:t xml:space="preserve">wil het kabinet </w:t>
      </w:r>
      <w:r w:rsidRPr="00AF201B">
        <w:rPr>
          <w:rFonts w:ascii="Verdana" w:hAnsi="Verdana"/>
          <w:sz w:val="18"/>
          <w:szCs w:val="18"/>
        </w:rPr>
        <w:t xml:space="preserve">aandacht </w:t>
      </w:r>
      <w:r>
        <w:rPr>
          <w:rFonts w:ascii="Verdana" w:hAnsi="Verdana"/>
          <w:sz w:val="18"/>
          <w:szCs w:val="18"/>
        </w:rPr>
        <w:t xml:space="preserve">vragen </w:t>
      </w:r>
      <w:r w:rsidRPr="00AF201B">
        <w:rPr>
          <w:rFonts w:ascii="Verdana" w:hAnsi="Verdana"/>
          <w:sz w:val="18"/>
          <w:szCs w:val="18"/>
        </w:rPr>
        <w:t xml:space="preserve">voor de rol van ongebonden </w:t>
      </w:r>
      <w:r>
        <w:rPr>
          <w:rFonts w:ascii="Verdana" w:hAnsi="Verdana"/>
          <w:sz w:val="18"/>
          <w:szCs w:val="18"/>
        </w:rPr>
        <w:t>en</w:t>
      </w:r>
      <w:r w:rsidRPr="00AF201B">
        <w:rPr>
          <w:rFonts w:ascii="Verdana" w:hAnsi="Verdana"/>
          <w:sz w:val="18"/>
          <w:szCs w:val="18"/>
        </w:rPr>
        <w:t xml:space="preserve"> excellent onderzoek met lagere </w:t>
      </w:r>
      <w:r w:rsidRPr="00AF201B">
        <w:rPr>
          <w:rFonts w:ascii="Verdana" w:hAnsi="Verdana"/>
          <w:i/>
          <w:iCs/>
          <w:sz w:val="18"/>
          <w:szCs w:val="18"/>
        </w:rPr>
        <w:t>Technology Readiness Levels</w:t>
      </w:r>
      <w:r w:rsidR="00115520">
        <w:rPr>
          <w:rFonts w:ascii="Verdana" w:hAnsi="Verdana"/>
          <w:sz w:val="18"/>
          <w:szCs w:val="18"/>
        </w:rPr>
        <w:t xml:space="preserve"> en</w:t>
      </w:r>
      <w:r w:rsidRPr="00943BE6" w:rsidR="00943BE6">
        <w:rPr>
          <w:rFonts w:ascii="Verdana" w:hAnsi="Verdana"/>
          <w:sz w:val="18"/>
          <w:szCs w:val="18"/>
        </w:rPr>
        <w:t xml:space="preserve"> het belang dat onderzoek en innovatie in den bre</w:t>
      </w:r>
      <w:r w:rsidR="00115520">
        <w:rPr>
          <w:rFonts w:ascii="Verdana" w:hAnsi="Verdana"/>
          <w:sz w:val="18"/>
          <w:szCs w:val="18"/>
        </w:rPr>
        <w:t>de</w:t>
      </w:r>
      <w:r w:rsidRPr="00943BE6" w:rsidR="00943BE6">
        <w:rPr>
          <w:rFonts w:ascii="Verdana" w:hAnsi="Verdana"/>
          <w:sz w:val="18"/>
          <w:szCs w:val="18"/>
        </w:rPr>
        <w:t xml:space="preserve"> en over de hele kennisketen geadresseerd word</w:t>
      </w:r>
      <w:r w:rsidR="00115520">
        <w:rPr>
          <w:rFonts w:ascii="Verdana" w:hAnsi="Verdana"/>
          <w:sz w:val="18"/>
          <w:szCs w:val="18"/>
        </w:rPr>
        <w:t>en</w:t>
      </w:r>
      <w:r w:rsidRPr="00943BE6" w:rsidR="00943BE6">
        <w:rPr>
          <w:rFonts w:ascii="Verdana" w:hAnsi="Verdana"/>
          <w:sz w:val="18"/>
          <w:szCs w:val="18"/>
        </w:rPr>
        <w:t xml:space="preserve">: van fundamenteel onderzoek tot toegepast onderzoek en opschaling. </w:t>
      </w:r>
      <w:r w:rsidRPr="008A0BDB" w:rsidR="008A0BDB">
        <w:rPr>
          <w:rFonts w:ascii="Verdana" w:hAnsi="Verdana"/>
          <w:sz w:val="18"/>
          <w:szCs w:val="18"/>
        </w:rPr>
        <w:t xml:space="preserve">Dit is cruciaal voor het veiligstellen van het concurrentievermogen op de lange termijn, waarbij het van belang is de </w:t>
      </w:r>
      <w:r w:rsidR="008A0BDB">
        <w:rPr>
          <w:rFonts w:ascii="Verdana" w:hAnsi="Verdana"/>
          <w:sz w:val="18"/>
          <w:szCs w:val="18"/>
        </w:rPr>
        <w:t>onderzoeks- en ontwikkelings</w:t>
      </w:r>
      <w:r w:rsidRPr="008A0BDB" w:rsidR="008A0BDB">
        <w:rPr>
          <w:rFonts w:ascii="Verdana" w:hAnsi="Verdana"/>
          <w:sz w:val="18"/>
          <w:szCs w:val="18"/>
        </w:rPr>
        <w:t>pijplijn voor hoog-innovatieve bedrijven te optimaliseren</w:t>
      </w:r>
      <w:r w:rsidR="008A0BDB">
        <w:rPr>
          <w:rFonts w:ascii="Verdana" w:hAnsi="Verdana"/>
          <w:sz w:val="18"/>
          <w:szCs w:val="18"/>
        </w:rPr>
        <w:t>.</w:t>
      </w:r>
      <w:r w:rsidRPr="008A0BDB" w:rsidR="008A0BDB">
        <w:rPr>
          <w:rFonts w:ascii="Verdana" w:hAnsi="Verdana"/>
          <w:sz w:val="18"/>
          <w:szCs w:val="18"/>
        </w:rPr>
        <w:t xml:space="preserve"> </w:t>
      </w:r>
      <w:r w:rsidRPr="00943BE6" w:rsidR="00943BE6">
        <w:rPr>
          <w:rFonts w:ascii="Verdana" w:hAnsi="Verdana"/>
          <w:sz w:val="18"/>
          <w:szCs w:val="18"/>
        </w:rPr>
        <w:t xml:space="preserve">Dit draagt ook bij aan de EU-ambitie om 3% van het bbp te investeren in </w:t>
      </w:r>
      <w:r w:rsidR="00B11A2E">
        <w:rPr>
          <w:rFonts w:ascii="Verdana" w:hAnsi="Verdana"/>
          <w:sz w:val="18"/>
          <w:szCs w:val="18"/>
        </w:rPr>
        <w:t>onderzoek en ontwikkeling</w:t>
      </w:r>
      <w:r w:rsidR="00943BE6">
        <w:rPr>
          <w:rFonts w:ascii="Verdana" w:hAnsi="Verdana"/>
          <w:sz w:val="18"/>
          <w:szCs w:val="18"/>
        </w:rPr>
        <w:t xml:space="preserve">. </w:t>
      </w:r>
      <w:r>
        <w:rPr>
          <w:rFonts w:ascii="Verdana" w:hAnsi="Verdana"/>
          <w:sz w:val="18"/>
          <w:szCs w:val="18"/>
        </w:rPr>
        <w:t>H</w:t>
      </w:r>
      <w:r w:rsidRPr="000A7617">
        <w:rPr>
          <w:rFonts w:ascii="Verdana" w:hAnsi="Verdana"/>
          <w:sz w:val="18"/>
          <w:szCs w:val="18"/>
        </w:rPr>
        <w:t>et kabinet</w:t>
      </w:r>
      <w:r>
        <w:rPr>
          <w:rFonts w:ascii="Verdana" w:hAnsi="Verdana"/>
          <w:sz w:val="18"/>
          <w:szCs w:val="18"/>
        </w:rPr>
        <w:t xml:space="preserve"> steunt</w:t>
      </w:r>
      <w:r w:rsidRPr="000A7617" w:rsidDel="00B61645">
        <w:rPr>
          <w:rFonts w:ascii="Verdana" w:hAnsi="Verdana"/>
          <w:sz w:val="18"/>
          <w:szCs w:val="18"/>
        </w:rPr>
        <w:t xml:space="preserve"> </w:t>
      </w:r>
      <w:r>
        <w:rPr>
          <w:rFonts w:ascii="Verdana" w:hAnsi="Verdana"/>
          <w:sz w:val="18"/>
          <w:szCs w:val="18"/>
        </w:rPr>
        <w:t>een meer</w:t>
      </w:r>
      <w:r w:rsidRPr="000A7617">
        <w:rPr>
          <w:rFonts w:ascii="Verdana" w:hAnsi="Verdana"/>
          <w:sz w:val="18"/>
          <w:szCs w:val="18"/>
        </w:rPr>
        <w:t xml:space="preserve"> </w:t>
      </w:r>
      <w:r w:rsidRPr="00E73740">
        <w:rPr>
          <w:rFonts w:ascii="Verdana" w:hAnsi="Verdana"/>
          <w:sz w:val="18"/>
          <w:szCs w:val="18"/>
        </w:rPr>
        <w:t>strategische benadering</w:t>
      </w:r>
      <w:r w:rsidRPr="000A7617">
        <w:rPr>
          <w:rFonts w:ascii="Verdana" w:hAnsi="Verdana"/>
          <w:sz w:val="18"/>
          <w:szCs w:val="18"/>
        </w:rPr>
        <w:t xml:space="preserve"> </w:t>
      </w:r>
      <w:r w:rsidRPr="00E73740">
        <w:rPr>
          <w:rFonts w:ascii="Verdana" w:hAnsi="Verdana"/>
          <w:sz w:val="18"/>
          <w:szCs w:val="18"/>
        </w:rPr>
        <w:t xml:space="preserve">van </w:t>
      </w:r>
      <w:r w:rsidRPr="00E73740">
        <w:rPr>
          <w:rFonts w:ascii="Verdana" w:hAnsi="Verdana"/>
          <w:i/>
          <w:iCs/>
          <w:sz w:val="18"/>
          <w:szCs w:val="18"/>
        </w:rPr>
        <w:t xml:space="preserve">start- </w:t>
      </w:r>
      <w:proofErr w:type="spellStart"/>
      <w:r w:rsidRPr="00E73740">
        <w:rPr>
          <w:rFonts w:ascii="Verdana" w:hAnsi="Verdana"/>
          <w:i/>
          <w:iCs/>
          <w:sz w:val="18"/>
          <w:szCs w:val="18"/>
        </w:rPr>
        <w:t>and</w:t>
      </w:r>
      <w:proofErr w:type="spellEnd"/>
      <w:r w:rsidRPr="00E73740">
        <w:rPr>
          <w:rFonts w:ascii="Verdana" w:hAnsi="Verdana"/>
          <w:i/>
          <w:iCs/>
          <w:sz w:val="18"/>
          <w:szCs w:val="18"/>
        </w:rPr>
        <w:t xml:space="preserve"> </w:t>
      </w:r>
      <w:proofErr w:type="spellStart"/>
      <w:r w:rsidRPr="00E73740">
        <w:rPr>
          <w:rFonts w:ascii="Verdana" w:hAnsi="Verdana"/>
          <w:i/>
          <w:iCs/>
          <w:sz w:val="18"/>
          <w:szCs w:val="18"/>
        </w:rPr>
        <w:t>scale</w:t>
      </w:r>
      <w:proofErr w:type="spellEnd"/>
      <w:r w:rsidRPr="00E73740">
        <w:rPr>
          <w:rFonts w:ascii="Verdana" w:hAnsi="Verdana"/>
          <w:i/>
          <w:iCs/>
          <w:sz w:val="18"/>
          <w:szCs w:val="18"/>
        </w:rPr>
        <w:t>-ups</w:t>
      </w:r>
      <w:r w:rsidRPr="00E73740">
        <w:rPr>
          <w:rFonts w:ascii="Verdana" w:hAnsi="Verdana"/>
          <w:sz w:val="18"/>
          <w:szCs w:val="18"/>
        </w:rPr>
        <w:t xml:space="preserve"> om innovatie en de toepassing van technologieën in bestaande industrieën </w:t>
      </w:r>
      <w:r w:rsidR="007251E1">
        <w:rPr>
          <w:rFonts w:ascii="Verdana" w:hAnsi="Verdana"/>
          <w:sz w:val="18"/>
          <w:szCs w:val="18"/>
        </w:rPr>
        <w:t xml:space="preserve">en sectoren, </w:t>
      </w:r>
      <w:r w:rsidRPr="00E73740">
        <w:rPr>
          <w:rFonts w:ascii="Verdana" w:hAnsi="Verdana"/>
          <w:sz w:val="18"/>
          <w:szCs w:val="18"/>
        </w:rPr>
        <w:t>te stimulere</w:t>
      </w:r>
      <w:r w:rsidRPr="00A777D6">
        <w:rPr>
          <w:rFonts w:ascii="Verdana" w:hAnsi="Verdana"/>
          <w:sz w:val="18"/>
          <w:szCs w:val="18"/>
        </w:rPr>
        <w:t>n</w:t>
      </w:r>
      <w:r>
        <w:rPr>
          <w:rFonts w:ascii="Verdana" w:hAnsi="Verdana"/>
          <w:sz w:val="18"/>
          <w:szCs w:val="18"/>
        </w:rPr>
        <w:t xml:space="preserve"> en </w:t>
      </w:r>
      <w:r w:rsidRPr="00A777D6">
        <w:rPr>
          <w:rFonts w:ascii="Verdana" w:hAnsi="Verdana"/>
          <w:sz w:val="18"/>
          <w:szCs w:val="18"/>
        </w:rPr>
        <w:t>de belemmeringen voor het oprichten en opschalen van nieuwe bedrijven</w:t>
      </w:r>
      <w:r>
        <w:rPr>
          <w:rFonts w:ascii="Verdana" w:hAnsi="Verdana"/>
          <w:sz w:val="18"/>
          <w:szCs w:val="18"/>
        </w:rPr>
        <w:t xml:space="preserve"> weg te nemen</w:t>
      </w:r>
      <w:bookmarkStart w:name="_Hlk189742820" w:id="2"/>
      <w:r w:rsidRPr="00A777D6">
        <w:rPr>
          <w:rFonts w:ascii="Verdana" w:hAnsi="Verdana"/>
          <w:sz w:val="18"/>
          <w:szCs w:val="18"/>
        </w:rPr>
        <w:t xml:space="preserve">. </w:t>
      </w:r>
      <w:r>
        <w:rPr>
          <w:rFonts w:ascii="Verdana" w:hAnsi="Verdana"/>
          <w:sz w:val="18"/>
          <w:szCs w:val="18"/>
        </w:rPr>
        <w:t xml:space="preserve">De Commissie zal hiervoor voorstellen doen voor een </w:t>
      </w:r>
      <w:r w:rsidRPr="2F0F8D57" w:rsidR="002C6B5B">
        <w:rPr>
          <w:rFonts w:ascii="Verdana" w:hAnsi="Verdana"/>
          <w:sz w:val="18"/>
          <w:szCs w:val="18"/>
          <w:lang w:eastAsia="nl-NL"/>
        </w:rPr>
        <w:t>28</w:t>
      </w:r>
      <w:r w:rsidRPr="00335179" w:rsidR="00B93FBF">
        <w:rPr>
          <w:rFonts w:ascii="Verdana" w:hAnsi="Verdana"/>
          <w:sz w:val="18"/>
          <w:szCs w:val="18"/>
          <w:vertAlign w:val="superscript"/>
          <w:lang w:eastAsia="nl-NL"/>
        </w:rPr>
        <w:t>ste</w:t>
      </w:r>
      <w:r w:rsidRPr="2F0F8D57" w:rsidR="002C6B5B">
        <w:rPr>
          <w:rFonts w:ascii="Verdana" w:hAnsi="Verdana"/>
          <w:sz w:val="18"/>
          <w:szCs w:val="18"/>
          <w:lang w:eastAsia="nl-NL"/>
        </w:rPr>
        <w:t xml:space="preserve"> </w:t>
      </w:r>
      <w:r>
        <w:rPr>
          <w:rFonts w:ascii="Verdana" w:hAnsi="Verdana"/>
          <w:sz w:val="18"/>
          <w:szCs w:val="18"/>
        </w:rPr>
        <w:t>regime</w:t>
      </w:r>
      <w:r w:rsidRPr="00A777D6">
        <w:rPr>
          <w:rFonts w:ascii="Verdana" w:hAnsi="Verdana"/>
          <w:sz w:val="18"/>
          <w:szCs w:val="18"/>
        </w:rPr>
        <w:t xml:space="preserve"> waarin regels </w:t>
      </w:r>
      <w:r>
        <w:rPr>
          <w:rFonts w:ascii="Verdana" w:hAnsi="Verdana"/>
          <w:sz w:val="18"/>
          <w:szCs w:val="18"/>
        </w:rPr>
        <w:t xml:space="preserve">op </w:t>
      </w:r>
      <w:r w:rsidRPr="00A777D6">
        <w:rPr>
          <w:rFonts w:ascii="Verdana" w:hAnsi="Verdana"/>
          <w:sz w:val="18"/>
          <w:szCs w:val="18"/>
        </w:rPr>
        <w:t>bepaalde aspecten van het vennootschaps-, insolventie-, arbeids- en belastingrecht</w:t>
      </w:r>
      <w:r w:rsidRPr="005200C8">
        <w:rPr>
          <w:rFonts w:ascii="Verdana" w:hAnsi="Verdana"/>
          <w:sz w:val="18"/>
          <w:szCs w:val="18"/>
        </w:rPr>
        <w:t xml:space="preserve"> </w:t>
      </w:r>
      <w:r w:rsidRPr="00A777D6">
        <w:rPr>
          <w:rFonts w:ascii="Verdana" w:hAnsi="Verdana"/>
          <w:sz w:val="18"/>
          <w:szCs w:val="18"/>
        </w:rPr>
        <w:t>worden vereenvoudigd</w:t>
      </w:r>
      <w:r w:rsidR="00D35690">
        <w:rPr>
          <w:rFonts w:ascii="Verdana" w:hAnsi="Verdana"/>
          <w:sz w:val="18"/>
          <w:szCs w:val="18"/>
        </w:rPr>
        <w:t xml:space="preserve"> middels een overkoepelend Europees kader</w:t>
      </w:r>
      <w:r w:rsidRPr="00A777D6">
        <w:rPr>
          <w:rFonts w:ascii="Verdana" w:hAnsi="Verdana"/>
          <w:sz w:val="18"/>
          <w:szCs w:val="18"/>
        </w:rPr>
        <w:t xml:space="preserve">. </w:t>
      </w:r>
      <w:bookmarkStart w:name="_Hlk189751158" w:id="3"/>
      <w:bookmarkStart w:name="_Hlk190338492" w:id="4"/>
    </w:p>
    <w:p w:rsidRPr="00420230" w:rsidR="6726DDF7" w:rsidP="000D13E3" w:rsidRDefault="00BD666C" w14:paraId="3E015B3E" w14:textId="56515E0E">
      <w:pPr>
        <w:spacing w:line="360" w:lineRule="auto"/>
        <w:rPr>
          <w:rFonts w:ascii="Verdana" w:hAnsi="Verdana"/>
          <w:sz w:val="18"/>
          <w:szCs w:val="18"/>
        </w:rPr>
      </w:pPr>
      <w:r>
        <w:rPr>
          <w:rFonts w:ascii="Verdana" w:hAnsi="Verdana"/>
          <w:sz w:val="18"/>
          <w:szCs w:val="18"/>
        </w:rPr>
        <w:lastRenderedPageBreak/>
        <w:t xml:space="preserve">Dit is een </w:t>
      </w:r>
      <w:r w:rsidDel="00843A62">
        <w:rPr>
          <w:rFonts w:ascii="Verdana" w:hAnsi="Verdana"/>
          <w:sz w:val="18"/>
          <w:szCs w:val="18"/>
        </w:rPr>
        <w:t>complexe</w:t>
      </w:r>
      <w:r w:rsidR="00843A62">
        <w:rPr>
          <w:rFonts w:ascii="Verdana" w:hAnsi="Verdana"/>
          <w:sz w:val="18"/>
          <w:szCs w:val="18"/>
        </w:rPr>
        <w:t xml:space="preserve"> </w:t>
      </w:r>
      <w:r>
        <w:rPr>
          <w:rFonts w:ascii="Verdana" w:hAnsi="Verdana"/>
          <w:sz w:val="18"/>
          <w:szCs w:val="18"/>
        </w:rPr>
        <w:t>exercitie waarbij het kabinet kansen voor innovatie</w:t>
      </w:r>
      <w:r w:rsidR="00F214C0">
        <w:rPr>
          <w:rFonts w:ascii="Verdana" w:hAnsi="Verdana"/>
          <w:sz w:val="18"/>
          <w:szCs w:val="18"/>
        </w:rPr>
        <w:t>ve</w:t>
      </w:r>
      <w:r>
        <w:rPr>
          <w:rFonts w:ascii="Verdana" w:hAnsi="Verdana"/>
          <w:sz w:val="18"/>
          <w:szCs w:val="18"/>
        </w:rPr>
        <w:t xml:space="preserve"> </w:t>
      </w:r>
      <w:r w:rsidDel="00843B63">
        <w:rPr>
          <w:rFonts w:ascii="Verdana" w:hAnsi="Verdana"/>
          <w:sz w:val="18"/>
          <w:szCs w:val="18"/>
        </w:rPr>
        <w:t xml:space="preserve">bedrijven </w:t>
      </w:r>
      <w:r>
        <w:rPr>
          <w:rFonts w:ascii="Verdana" w:hAnsi="Verdana"/>
          <w:sz w:val="18"/>
          <w:szCs w:val="18"/>
        </w:rPr>
        <w:t xml:space="preserve">ziet, </w:t>
      </w:r>
      <w:r w:rsidR="0075030E">
        <w:rPr>
          <w:rFonts w:ascii="Verdana" w:hAnsi="Verdana"/>
          <w:sz w:val="18"/>
          <w:szCs w:val="18"/>
        </w:rPr>
        <w:t xml:space="preserve">omdat </w:t>
      </w:r>
      <w:r w:rsidR="00B07B26">
        <w:rPr>
          <w:rFonts w:ascii="Verdana" w:hAnsi="Verdana"/>
          <w:sz w:val="18"/>
          <w:szCs w:val="18"/>
        </w:rPr>
        <w:t xml:space="preserve">onnodige </w:t>
      </w:r>
      <w:r w:rsidR="00B11A2E">
        <w:rPr>
          <w:rFonts w:ascii="Verdana" w:hAnsi="Verdana"/>
          <w:sz w:val="18"/>
          <w:szCs w:val="18"/>
        </w:rPr>
        <w:t>barrières</w:t>
      </w:r>
      <w:r w:rsidR="0075030E">
        <w:rPr>
          <w:rFonts w:ascii="Verdana" w:hAnsi="Verdana"/>
          <w:sz w:val="18"/>
          <w:szCs w:val="18"/>
        </w:rPr>
        <w:t xml:space="preserve"> op de interne markt nu een voorname belemmering vormen voor groei van innovatieve bedrijven</w:t>
      </w:r>
      <w:r w:rsidR="00C30497">
        <w:rPr>
          <w:rFonts w:ascii="Verdana" w:hAnsi="Verdana"/>
          <w:sz w:val="18"/>
          <w:szCs w:val="18"/>
        </w:rPr>
        <w:t>,</w:t>
      </w:r>
      <w:r w:rsidRPr="00C30497" w:rsidR="00C30497">
        <w:rPr>
          <w:rFonts w:ascii="Verdana" w:hAnsi="Verdana"/>
          <w:i/>
          <w:iCs/>
          <w:sz w:val="18"/>
          <w:szCs w:val="18"/>
        </w:rPr>
        <w:t xml:space="preserve"> </w:t>
      </w:r>
      <w:r w:rsidRPr="008F6764" w:rsidR="00C30497">
        <w:rPr>
          <w:rFonts w:ascii="Verdana" w:hAnsi="Verdana"/>
          <w:sz w:val="18"/>
          <w:szCs w:val="18"/>
        </w:rPr>
        <w:t>wat het Europese concurrentievermogen schaadt</w:t>
      </w:r>
      <w:r w:rsidR="0075030E">
        <w:rPr>
          <w:rFonts w:ascii="Verdana" w:hAnsi="Verdana"/>
          <w:sz w:val="18"/>
          <w:szCs w:val="18"/>
        </w:rPr>
        <w:t>. Wel zijn er bij de vormgeving van een 28</w:t>
      </w:r>
      <w:r w:rsidRPr="00335179" w:rsidR="00B93FBF">
        <w:rPr>
          <w:rFonts w:ascii="Verdana" w:hAnsi="Verdana"/>
          <w:sz w:val="18"/>
          <w:szCs w:val="18"/>
          <w:vertAlign w:val="superscript"/>
        </w:rPr>
        <w:t>ste</w:t>
      </w:r>
      <w:r w:rsidR="00B93FBF">
        <w:rPr>
          <w:rFonts w:ascii="Verdana" w:hAnsi="Verdana"/>
          <w:sz w:val="18"/>
          <w:szCs w:val="18"/>
        </w:rPr>
        <w:t xml:space="preserve"> </w:t>
      </w:r>
      <w:r w:rsidR="0075030E">
        <w:rPr>
          <w:rFonts w:ascii="Verdana" w:hAnsi="Verdana"/>
          <w:sz w:val="18"/>
          <w:szCs w:val="18"/>
        </w:rPr>
        <w:t>regime</w:t>
      </w:r>
      <w:r>
        <w:rPr>
          <w:rFonts w:ascii="Verdana" w:hAnsi="Verdana"/>
          <w:sz w:val="18"/>
          <w:szCs w:val="18"/>
        </w:rPr>
        <w:t xml:space="preserve"> </w:t>
      </w:r>
      <w:r w:rsidR="00FC263E">
        <w:rPr>
          <w:rFonts w:ascii="Verdana" w:hAnsi="Verdana"/>
          <w:sz w:val="18"/>
          <w:szCs w:val="18"/>
        </w:rPr>
        <w:t xml:space="preserve">vraagpunten </w:t>
      </w:r>
      <w:r>
        <w:rPr>
          <w:rFonts w:ascii="Verdana" w:hAnsi="Verdana"/>
          <w:sz w:val="18"/>
          <w:szCs w:val="18"/>
        </w:rPr>
        <w:t xml:space="preserve">op bijvoorbeeld het gebied van eventuele </w:t>
      </w:r>
      <w:bookmarkEnd w:id="2"/>
      <w:bookmarkEnd w:id="3"/>
      <w:r>
        <w:rPr>
          <w:rFonts w:ascii="Verdana" w:hAnsi="Verdana"/>
          <w:sz w:val="18"/>
          <w:szCs w:val="18"/>
        </w:rPr>
        <w:t>fiscal</w:t>
      </w:r>
      <w:r w:rsidR="00C279AF">
        <w:rPr>
          <w:rFonts w:ascii="Verdana" w:hAnsi="Verdana"/>
          <w:sz w:val="18"/>
          <w:szCs w:val="18"/>
        </w:rPr>
        <w:t>iteit</w:t>
      </w:r>
      <w:r>
        <w:rPr>
          <w:rFonts w:ascii="Verdana" w:hAnsi="Verdana"/>
          <w:sz w:val="18"/>
          <w:szCs w:val="18"/>
        </w:rPr>
        <w:t xml:space="preserve"> </w:t>
      </w:r>
      <w:r w:rsidR="44578C16">
        <w:rPr>
          <w:rFonts w:ascii="Verdana" w:hAnsi="Verdana"/>
          <w:sz w:val="18"/>
          <w:szCs w:val="18"/>
        </w:rPr>
        <w:t xml:space="preserve">en </w:t>
      </w:r>
      <w:r w:rsidR="00C279AF">
        <w:rPr>
          <w:rFonts w:ascii="Verdana" w:hAnsi="Verdana"/>
          <w:sz w:val="18"/>
          <w:szCs w:val="18"/>
        </w:rPr>
        <w:t xml:space="preserve">rechtszekerheid </w:t>
      </w:r>
      <w:r w:rsidR="44578C16">
        <w:rPr>
          <w:rFonts w:ascii="Verdana" w:hAnsi="Verdana"/>
          <w:sz w:val="18"/>
          <w:szCs w:val="18"/>
        </w:rPr>
        <w:t xml:space="preserve">en arbeidsrechtelijke </w:t>
      </w:r>
      <w:r>
        <w:rPr>
          <w:rFonts w:ascii="Verdana" w:hAnsi="Verdana"/>
          <w:sz w:val="18"/>
          <w:szCs w:val="18"/>
        </w:rPr>
        <w:t>harmonisatievoorstellen</w:t>
      </w:r>
      <w:r w:rsidDel="00843B63">
        <w:rPr>
          <w:rFonts w:ascii="Verdana" w:hAnsi="Verdana"/>
          <w:sz w:val="18"/>
          <w:szCs w:val="18"/>
        </w:rPr>
        <w:t xml:space="preserve">. </w:t>
      </w:r>
      <w:bookmarkEnd w:id="4"/>
      <w:r>
        <w:rPr>
          <w:rFonts w:ascii="Verdana" w:hAnsi="Verdana"/>
          <w:sz w:val="18"/>
          <w:szCs w:val="18"/>
        </w:rPr>
        <w:t>D</w:t>
      </w:r>
      <w:r w:rsidRPr="00A777D6">
        <w:rPr>
          <w:rFonts w:ascii="Verdana" w:hAnsi="Verdana"/>
          <w:sz w:val="18"/>
          <w:szCs w:val="18"/>
        </w:rPr>
        <w:t>e aankondiging van de herziening van de richtsnoeren voor fusies, zodat weerbaarheids- innovatie- en investeringsintensiviteit in strategische sectoren gewogen kunnen worden in het licht van wat de economie nodig heeft</w:t>
      </w:r>
      <w:r>
        <w:rPr>
          <w:rFonts w:ascii="Verdana" w:hAnsi="Verdana"/>
          <w:sz w:val="18"/>
          <w:szCs w:val="18"/>
        </w:rPr>
        <w:t>, is een aandachtspunt voor het kabinet</w:t>
      </w:r>
      <w:r w:rsidRPr="00A777D6" w:rsidDel="00072FDE">
        <w:rPr>
          <w:rFonts w:ascii="Verdana" w:hAnsi="Verdana"/>
          <w:sz w:val="18"/>
          <w:szCs w:val="18"/>
        </w:rPr>
        <w:t xml:space="preserve">. </w:t>
      </w:r>
      <w:r>
        <w:rPr>
          <w:rFonts w:ascii="Verdana" w:hAnsi="Verdana"/>
          <w:sz w:val="18"/>
          <w:szCs w:val="18"/>
        </w:rPr>
        <w:t>Het is</w:t>
      </w:r>
      <w:r w:rsidDel="00072FDE">
        <w:rPr>
          <w:rFonts w:ascii="Verdana" w:hAnsi="Verdana"/>
          <w:sz w:val="18"/>
          <w:szCs w:val="18"/>
        </w:rPr>
        <w:t xml:space="preserve"> </w:t>
      </w:r>
      <w:r>
        <w:rPr>
          <w:rFonts w:ascii="Verdana" w:hAnsi="Verdana"/>
          <w:sz w:val="18"/>
          <w:szCs w:val="18"/>
        </w:rPr>
        <w:t xml:space="preserve">een positieve ontwikkeling dat innovatie en weerbaarheidscriteria voor strategische sectoren meegewogen worden bij de beoordeling van fusies, echter hangt de uiteindelijke </w:t>
      </w:r>
      <w:r w:rsidR="006F3468">
        <w:rPr>
          <w:rFonts w:ascii="Verdana" w:hAnsi="Verdana"/>
          <w:sz w:val="18"/>
          <w:szCs w:val="18"/>
        </w:rPr>
        <w:t>positie</w:t>
      </w:r>
      <w:r>
        <w:rPr>
          <w:rFonts w:ascii="Verdana" w:hAnsi="Verdana"/>
          <w:sz w:val="18"/>
          <w:szCs w:val="18"/>
        </w:rPr>
        <w:t xml:space="preserve"> van het kabinet af van de verdere uitwerking van de richtsnoeren én de mate waarin waarborgen worden meegenomen in de herziening.</w:t>
      </w:r>
      <w:r>
        <w:rPr>
          <w:rStyle w:val="FootnoteReference"/>
          <w:rFonts w:ascii="Verdana" w:hAnsi="Verdana"/>
          <w:sz w:val="18"/>
          <w:szCs w:val="18"/>
        </w:rPr>
        <w:footnoteReference w:id="6"/>
      </w:r>
      <w:r>
        <w:rPr>
          <w:rFonts w:ascii="Verdana" w:hAnsi="Verdana"/>
          <w:sz w:val="18"/>
          <w:szCs w:val="18"/>
        </w:rPr>
        <w:t xml:space="preserve"> </w:t>
      </w:r>
      <w:r w:rsidRPr="00420230" w:rsidR="6726DDF7">
        <w:rPr>
          <w:rFonts w:ascii="Verdana" w:hAnsi="Verdana" w:eastAsia="Verdana" w:cs="Verdana"/>
          <w:sz w:val="18"/>
          <w:szCs w:val="18"/>
        </w:rPr>
        <w:t xml:space="preserve">Deze waarborgen </w:t>
      </w:r>
      <w:r w:rsidR="00A16F31">
        <w:rPr>
          <w:rFonts w:ascii="Verdana" w:hAnsi="Verdana" w:eastAsia="Verdana" w:cs="Verdana"/>
          <w:sz w:val="18"/>
          <w:szCs w:val="18"/>
        </w:rPr>
        <w:t>moeten erop toezien</w:t>
      </w:r>
      <w:r w:rsidRPr="00420230" w:rsidR="6726DDF7">
        <w:rPr>
          <w:rFonts w:ascii="Verdana" w:hAnsi="Verdana" w:eastAsia="Verdana" w:cs="Verdana"/>
          <w:sz w:val="18"/>
          <w:szCs w:val="18"/>
        </w:rPr>
        <w:t xml:space="preserve"> dat een aanpassing van de richtsnoeren daadwerkelijk leid</w:t>
      </w:r>
      <w:r w:rsidR="00A16F31">
        <w:rPr>
          <w:rFonts w:ascii="Verdana" w:hAnsi="Verdana" w:eastAsia="Verdana" w:cs="Verdana"/>
          <w:sz w:val="18"/>
          <w:szCs w:val="18"/>
        </w:rPr>
        <w:t>t</w:t>
      </w:r>
      <w:r w:rsidRPr="00420230" w:rsidR="6726DDF7">
        <w:rPr>
          <w:rFonts w:ascii="Verdana" w:hAnsi="Verdana" w:eastAsia="Verdana" w:cs="Verdana"/>
          <w:sz w:val="18"/>
          <w:szCs w:val="18"/>
        </w:rPr>
        <w:t xml:space="preserve"> tot meer innovatie en gezonde concurrentie in de EU.</w:t>
      </w:r>
      <w:bookmarkEnd w:id="1"/>
    </w:p>
    <w:p w:rsidRPr="00D32533" w:rsidR="00BD666C" w:rsidP="00BD666C" w:rsidRDefault="00BD666C" w14:paraId="5268887A" w14:textId="77777777">
      <w:pPr>
        <w:spacing w:line="360" w:lineRule="auto"/>
        <w:rPr>
          <w:rFonts w:ascii="Verdana" w:hAnsi="Verdana"/>
          <w:b/>
          <w:bCs/>
          <w:iCs/>
          <w:color w:val="FF0000"/>
          <w:sz w:val="18"/>
          <w:szCs w:val="18"/>
        </w:rPr>
      </w:pPr>
    </w:p>
    <w:p w:rsidR="00D5722F" w:rsidP="00210AC5" w:rsidRDefault="00BD666C" w14:paraId="4F9ADC47" w14:textId="77777777">
      <w:pPr>
        <w:spacing w:line="360" w:lineRule="auto"/>
        <w:rPr>
          <w:rFonts w:ascii="Verdana" w:hAnsi="Verdana"/>
          <w:sz w:val="18"/>
          <w:szCs w:val="18"/>
        </w:rPr>
      </w:pPr>
      <w:r>
        <w:rPr>
          <w:rFonts w:ascii="Verdana" w:hAnsi="Verdana"/>
          <w:sz w:val="18"/>
          <w:szCs w:val="18"/>
        </w:rPr>
        <w:t xml:space="preserve">Voor wat betreft de tweede pijler acht het kabinet van belang dat </w:t>
      </w:r>
      <w:r w:rsidR="007C5975">
        <w:rPr>
          <w:rFonts w:ascii="Verdana" w:hAnsi="Verdana"/>
          <w:sz w:val="18"/>
          <w:szCs w:val="18"/>
        </w:rPr>
        <w:t xml:space="preserve">in </w:t>
      </w:r>
      <w:r>
        <w:rPr>
          <w:rFonts w:ascii="Verdana" w:hAnsi="Verdana"/>
          <w:sz w:val="18"/>
          <w:szCs w:val="18"/>
        </w:rPr>
        <w:t>d</w:t>
      </w:r>
      <w:r w:rsidRPr="003C0F56">
        <w:rPr>
          <w:rFonts w:ascii="Verdana" w:hAnsi="Verdana"/>
          <w:sz w:val="18"/>
          <w:szCs w:val="18"/>
        </w:rPr>
        <w:t xml:space="preserve">e </w:t>
      </w:r>
      <w:r w:rsidR="002E5E19">
        <w:rPr>
          <w:rFonts w:ascii="Verdana" w:hAnsi="Verdana"/>
          <w:sz w:val="18"/>
          <w:szCs w:val="18"/>
        </w:rPr>
        <w:t>op 26 februari jl. gepubliceerde</w:t>
      </w:r>
      <w:r>
        <w:rPr>
          <w:rFonts w:ascii="Verdana" w:hAnsi="Verdana"/>
          <w:sz w:val="18"/>
          <w:szCs w:val="18"/>
        </w:rPr>
        <w:t xml:space="preserve"> </w:t>
      </w:r>
      <w:r w:rsidRPr="00E12833">
        <w:rPr>
          <w:rFonts w:ascii="Verdana" w:hAnsi="Verdana"/>
          <w:i/>
          <w:sz w:val="18"/>
          <w:szCs w:val="18"/>
        </w:rPr>
        <w:t>Clean Industrial Deal</w:t>
      </w:r>
      <w:r w:rsidR="009A5CD5">
        <w:rPr>
          <w:rFonts w:ascii="Verdana" w:hAnsi="Verdana"/>
          <w:i/>
          <w:sz w:val="18"/>
          <w:szCs w:val="18"/>
        </w:rPr>
        <w:t xml:space="preserve"> (CID)</w:t>
      </w:r>
      <w:r w:rsidRPr="003C0F56">
        <w:rPr>
          <w:rFonts w:ascii="Verdana" w:hAnsi="Verdana"/>
          <w:sz w:val="18"/>
          <w:szCs w:val="18"/>
        </w:rPr>
        <w:t xml:space="preserve"> </w:t>
      </w:r>
      <w:proofErr w:type="spellStart"/>
      <w:r>
        <w:rPr>
          <w:rFonts w:ascii="Verdana" w:hAnsi="Verdana"/>
          <w:sz w:val="18"/>
          <w:szCs w:val="18"/>
        </w:rPr>
        <w:t>decarbonisatie</w:t>
      </w:r>
      <w:proofErr w:type="spellEnd"/>
      <w:r>
        <w:rPr>
          <w:rFonts w:ascii="Verdana" w:hAnsi="Verdana"/>
          <w:sz w:val="18"/>
          <w:szCs w:val="18"/>
        </w:rPr>
        <w:t xml:space="preserve"> en het behalen van de klimaatdoelen hand in hand gaan met versterking van het concurrentievermogen. </w:t>
      </w:r>
      <w:r w:rsidRPr="003C0F56">
        <w:rPr>
          <w:rFonts w:ascii="Verdana" w:hAnsi="Verdana"/>
          <w:sz w:val="18"/>
          <w:szCs w:val="18"/>
        </w:rPr>
        <w:t>Dit moet onder andere door een stevige uitvoeringsagenda worden mogelijk gemaakt (conform motie Erkens</w:t>
      </w:r>
      <w:r w:rsidR="00947FD7">
        <w:rPr>
          <w:rStyle w:val="FootnoteReference"/>
          <w:rFonts w:ascii="Verdana" w:hAnsi="Verdana"/>
          <w:sz w:val="18"/>
          <w:szCs w:val="18"/>
        </w:rPr>
        <w:footnoteReference w:id="7"/>
      </w:r>
      <w:r w:rsidRPr="003C0F56">
        <w:rPr>
          <w:rFonts w:ascii="Verdana" w:hAnsi="Verdana"/>
          <w:sz w:val="18"/>
          <w:szCs w:val="18"/>
        </w:rPr>
        <w:t>)</w:t>
      </w:r>
      <w:r>
        <w:rPr>
          <w:rFonts w:ascii="Verdana" w:hAnsi="Verdana"/>
          <w:sz w:val="18"/>
          <w:szCs w:val="18"/>
        </w:rPr>
        <w:t xml:space="preserve">. Ook de aangekondigde </w:t>
      </w:r>
      <w:r w:rsidRPr="005B7D08">
        <w:rPr>
          <w:rFonts w:ascii="Verdana" w:hAnsi="Verdana"/>
          <w:i/>
          <w:sz w:val="18"/>
          <w:szCs w:val="18"/>
        </w:rPr>
        <w:t xml:space="preserve">Industrial </w:t>
      </w:r>
      <w:proofErr w:type="spellStart"/>
      <w:r w:rsidRPr="005B7D08">
        <w:rPr>
          <w:rFonts w:ascii="Verdana" w:hAnsi="Verdana"/>
          <w:i/>
          <w:sz w:val="18"/>
          <w:szCs w:val="18"/>
        </w:rPr>
        <w:t>Decarbonisation</w:t>
      </w:r>
      <w:proofErr w:type="spellEnd"/>
      <w:r w:rsidRPr="005B7D08">
        <w:rPr>
          <w:rFonts w:ascii="Verdana" w:hAnsi="Verdana"/>
          <w:i/>
          <w:sz w:val="18"/>
          <w:szCs w:val="18"/>
        </w:rPr>
        <w:t xml:space="preserve"> Accelerator Act</w:t>
      </w:r>
      <w:r>
        <w:rPr>
          <w:rFonts w:ascii="Verdana" w:hAnsi="Verdana"/>
          <w:sz w:val="18"/>
          <w:szCs w:val="18"/>
        </w:rPr>
        <w:t xml:space="preserve"> kan </w:t>
      </w:r>
      <w:r w:rsidR="00236E2B">
        <w:rPr>
          <w:rFonts w:ascii="Verdana" w:hAnsi="Verdana"/>
          <w:sz w:val="18"/>
          <w:szCs w:val="18"/>
        </w:rPr>
        <w:t>hieraan bijdragen</w:t>
      </w:r>
      <w:r w:rsidRPr="003C0F56">
        <w:rPr>
          <w:rFonts w:ascii="Verdana" w:hAnsi="Verdana"/>
          <w:sz w:val="18"/>
          <w:szCs w:val="18"/>
        </w:rPr>
        <w:t xml:space="preserve">. </w:t>
      </w:r>
      <w:r w:rsidRPr="00CE3FB2">
        <w:rPr>
          <w:rFonts w:ascii="Verdana" w:hAnsi="Verdana"/>
          <w:sz w:val="18"/>
          <w:szCs w:val="18"/>
        </w:rPr>
        <w:t>Het kabinet is positief over de aandacht voor toegang tot betaalbare energie in het kompas.</w:t>
      </w:r>
      <w:r>
        <w:rPr>
          <w:rStyle w:val="FootnoteReference"/>
          <w:rFonts w:ascii="Verdana" w:hAnsi="Verdana"/>
          <w:sz w:val="18"/>
          <w:szCs w:val="18"/>
        </w:rPr>
        <w:footnoteReference w:id="8"/>
      </w:r>
      <w:r w:rsidRPr="00CE3FB2" w:rsidDel="00295ED8">
        <w:rPr>
          <w:rFonts w:ascii="Verdana" w:hAnsi="Verdana"/>
          <w:sz w:val="18"/>
          <w:szCs w:val="18"/>
        </w:rPr>
        <w:t xml:space="preserve"> </w:t>
      </w:r>
      <w:r>
        <w:rPr>
          <w:rFonts w:ascii="Verdana" w:hAnsi="Verdana"/>
          <w:sz w:val="18"/>
          <w:szCs w:val="18"/>
        </w:rPr>
        <w:t>Het kabinet verwelkomt d</w:t>
      </w:r>
      <w:r w:rsidRPr="00B3543A">
        <w:rPr>
          <w:rFonts w:ascii="Verdana" w:hAnsi="Verdana"/>
          <w:sz w:val="18"/>
          <w:szCs w:val="18"/>
        </w:rPr>
        <w:t xml:space="preserve">e expliciete aandacht voor </w:t>
      </w:r>
      <w:r>
        <w:rPr>
          <w:rFonts w:ascii="Verdana" w:hAnsi="Verdana"/>
          <w:sz w:val="18"/>
          <w:szCs w:val="18"/>
        </w:rPr>
        <w:t xml:space="preserve">(private investeringen in) schone technologieën, voor </w:t>
      </w:r>
      <w:r w:rsidRPr="00B3543A">
        <w:rPr>
          <w:rFonts w:ascii="Verdana" w:hAnsi="Verdana"/>
          <w:sz w:val="18"/>
          <w:szCs w:val="18"/>
        </w:rPr>
        <w:t xml:space="preserve">de </w:t>
      </w:r>
      <w:proofErr w:type="spellStart"/>
      <w:r w:rsidR="00D46121">
        <w:rPr>
          <w:rFonts w:ascii="Verdana" w:hAnsi="Verdana"/>
          <w:sz w:val="18"/>
          <w:szCs w:val="18"/>
        </w:rPr>
        <w:t>decarbonisatie</w:t>
      </w:r>
      <w:proofErr w:type="spellEnd"/>
      <w:r w:rsidR="00D46121">
        <w:rPr>
          <w:rFonts w:ascii="Verdana" w:hAnsi="Verdana"/>
          <w:sz w:val="18"/>
          <w:szCs w:val="18"/>
        </w:rPr>
        <w:t xml:space="preserve"> en het concurrentievermogen van de </w:t>
      </w:r>
      <w:r w:rsidRPr="00B3543A">
        <w:rPr>
          <w:rFonts w:ascii="Verdana" w:hAnsi="Verdana"/>
          <w:sz w:val="18"/>
          <w:szCs w:val="18"/>
        </w:rPr>
        <w:t>staal</w:t>
      </w:r>
      <w:r>
        <w:rPr>
          <w:rFonts w:ascii="Verdana" w:hAnsi="Verdana"/>
          <w:sz w:val="18"/>
          <w:szCs w:val="18"/>
        </w:rPr>
        <w:t>-</w:t>
      </w:r>
      <w:r w:rsidRPr="00B3543A">
        <w:rPr>
          <w:rFonts w:ascii="Verdana" w:hAnsi="Verdana"/>
          <w:sz w:val="18"/>
          <w:szCs w:val="18"/>
        </w:rPr>
        <w:t>/metaal- en chemische sector</w:t>
      </w:r>
      <w:r>
        <w:rPr>
          <w:rFonts w:ascii="Verdana" w:hAnsi="Verdana"/>
          <w:sz w:val="18"/>
          <w:szCs w:val="18"/>
        </w:rPr>
        <w:t>en, de automobielindustrie</w:t>
      </w:r>
      <w:r w:rsidR="000E6E7C">
        <w:rPr>
          <w:rStyle w:val="FootnoteReference"/>
          <w:rFonts w:ascii="Verdana" w:hAnsi="Verdana"/>
          <w:sz w:val="18"/>
          <w:szCs w:val="18"/>
        </w:rPr>
        <w:footnoteReference w:id="9"/>
      </w:r>
      <w:r>
        <w:rPr>
          <w:rFonts w:ascii="Verdana" w:hAnsi="Verdana"/>
          <w:sz w:val="18"/>
          <w:szCs w:val="18"/>
        </w:rPr>
        <w:t xml:space="preserve">, de hoogtechnologische maakindustrie, de haven- en maritieme sector en het plan voor </w:t>
      </w:r>
      <w:r w:rsidRPr="544F30D5">
        <w:rPr>
          <w:rFonts w:ascii="Verdana" w:hAnsi="Verdana"/>
          <w:i/>
          <w:iCs/>
          <w:sz w:val="18"/>
          <w:szCs w:val="18"/>
        </w:rPr>
        <w:t>high speed rail</w:t>
      </w:r>
      <w:r>
        <w:rPr>
          <w:rFonts w:ascii="Verdana" w:hAnsi="Verdana"/>
          <w:sz w:val="18"/>
          <w:szCs w:val="18"/>
        </w:rPr>
        <w:t>. Ook kijkt het</w:t>
      </w:r>
      <w:r w:rsidRPr="002C2C77">
        <w:rPr>
          <w:rFonts w:ascii="Verdana" w:hAnsi="Verdana"/>
          <w:sz w:val="18"/>
          <w:szCs w:val="18"/>
        </w:rPr>
        <w:t xml:space="preserve"> </w:t>
      </w:r>
      <w:r>
        <w:rPr>
          <w:rFonts w:ascii="Verdana" w:hAnsi="Verdana"/>
          <w:sz w:val="18"/>
          <w:szCs w:val="18"/>
        </w:rPr>
        <w:t xml:space="preserve">kabinet </w:t>
      </w:r>
      <w:r w:rsidRPr="002C2C77">
        <w:rPr>
          <w:rFonts w:ascii="Verdana" w:hAnsi="Verdana"/>
          <w:sz w:val="18"/>
          <w:szCs w:val="18"/>
        </w:rPr>
        <w:t xml:space="preserve">uit naar de publicatie van het </w:t>
      </w:r>
      <w:proofErr w:type="spellStart"/>
      <w:r w:rsidRPr="544F30D5">
        <w:rPr>
          <w:rFonts w:ascii="Verdana" w:hAnsi="Verdana"/>
          <w:i/>
          <w:iCs/>
          <w:sz w:val="18"/>
          <w:szCs w:val="18"/>
        </w:rPr>
        <w:t>Sustainable</w:t>
      </w:r>
      <w:proofErr w:type="spellEnd"/>
      <w:r w:rsidRPr="544F30D5">
        <w:rPr>
          <w:rFonts w:ascii="Verdana" w:hAnsi="Verdana"/>
          <w:i/>
          <w:iCs/>
          <w:sz w:val="18"/>
          <w:szCs w:val="18"/>
        </w:rPr>
        <w:t xml:space="preserve"> Transport Investment Plan</w:t>
      </w:r>
      <w:r>
        <w:rPr>
          <w:rFonts w:ascii="Verdana" w:hAnsi="Verdana"/>
          <w:sz w:val="18"/>
          <w:szCs w:val="18"/>
        </w:rPr>
        <w:t>,</w:t>
      </w:r>
      <w:r w:rsidRPr="002C2C77">
        <w:rPr>
          <w:rFonts w:ascii="Verdana" w:hAnsi="Verdana"/>
          <w:sz w:val="18"/>
          <w:szCs w:val="18"/>
        </w:rPr>
        <w:t xml:space="preserve"> met daarin maatregelen om de opschaling van</w:t>
      </w:r>
      <w:r w:rsidR="000C6A1B">
        <w:rPr>
          <w:rFonts w:ascii="Verdana" w:hAnsi="Verdana"/>
          <w:sz w:val="18"/>
          <w:szCs w:val="18"/>
        </w:rPr>
        <w:t xml:space="preserve"> de productie van hernieuwbare</w:t>
      </w:r>
      <w:r w:rsidRPr="002C2C77">
        <w:rPr>
          <w:rFonts w:ascii="Verdana" w:hAnsi="Verdana"/>
          <w:sz w:val="18"/>
          <w:szCs w:val="18"/>
        </w:rPr>
        <w:t xml:space="preserve"> transportbrandstoffen in </w:t>
      </w:r>
      <w:r w:rsidR="00A16F31">
        <w:rPr>
          <w:rFonts w:ascii="Verdana" w:hAnsi="Verdana"/>
          <w:sz w:val="18"/>
          <w:szCs w:val="18"/>
        </w:rPr>
        <w:t>de EU</w:t>
      </w:r>
      <w:r w:rsidRPr="002C2C77">
        <w:rPr>
          <w:rFonts w:ascii="Verdana" w:hAnsi="Verdana"/>
          <w:sz w:val="18"/>
          <w:szCs w:val="18"/>
        </w:rPr>
        <w:t xml:space="preserve"> zeker te stellen</w:t>
      </w:r>
      <w:r w:rsidR="000C6A1B">
        <w:rPr>
          <w:rFonts w:ascii="Verdana" w:hAnsi="Verdana"/>
          <w:sz w:val="18"/>
          <w:szCs w:val="18"/>
        </w:rPr>
        <w:t>,</w:t>
      </w:r>
      <w:r w:rsidRPr="000C6A1B" w:rsidR="000C6A1B">
        <w:rPr>
          <w:rFonts w:ascii="Verdana" w:hAnsi="Verdana"/>
          <w:sz w:val="18"/>
          <w:szCs w:val="18"/>
        </w:rPr>
        <w:t xml:space="preserve"> </w:t>
      </w:r>
      <w:r w:rsidR="000C6A1B">
        <w:rPr>
          <w:rFonts w:ascii="Verdana" w:hAnsi="Verdana"/>
          <w:sz w:val="18"/>
          <w:szCs w:val="18"/>
        </w:rPr>
        <w:t>en te investeren in het bespoedigen van de uitrol van noodzakelijke laadinfrastructuur</w:t>
      </w:r>
      <w:r>
        <w:rPr>
          <w:rFonts w:ascii="Verdana" w:hAnsi="Verdana"/>
          <w:sz w:val="18"/>
          <w:szCs w:val="18"/>
        </w:rPr>
        <w:t>.</w:t>
      </w:r>
      <w:r w:rsidRPr="00203AB6">
        <w:rPr>
          <w:rFonts w:ascii="Verdana" w:hAnsi="Verdana"/>
          <w:sz w:val="18"/>
          <w:szCs w:val="18"/>
        </w:rPr>
        <w:t xml:space="preserve"> </w:t>
      </w:r>
      <w:r>
        <w:rPr>
          <w:rFonts w:ascii="Verdana" w:hAnsi="Verdana"/>
          <w:sz w:val="18"/>
          <w:szCs w:val="18"/>
        </w:rPr>
        <w:t>Het kabinet hecht belang aan meer groene marktcreatie en waardeert de aandacht voor nieuwe circulaire bedrijfsmodellen</w:t>
      </w:r>
      <w:r w:rsidRPr="00007536">
        <w:rPr>
          <w:rFonts w:ascii="Verdana" w:hAnsi="Verdana"/>
          <w:sz w:val="18"/>
          <w:szCs w:val="18"/>
        </w:rPr>
        <w:t xml:space="preserve"> </w:t>
      </w:r>
      <w:r>
        <w:rPr>
          <w:rFonts w:ascii="Verdana" w:hAnsi="Verdana"/>
          <w:sz w:val="18"/>
          <w:szCs w:val="18"/>
        </w:rPr>
        <w:t>en d</w:t>
      </w:r>
      <w:r w:rsidRPr="00007536">
        <w:rPr>
          <w:rFonts w:ascii="Verdana" w:hAnsi="Verdana"/>
          <w:sz w:val="18"/>
          <w:szCs w:val="18"/>
        </w:rPr>
        <w:t>e aankondiging van een</w:t>
      </w:r>
      <w:r>
        <w:rPr>
          <w:rFonts w:ascii="Verdana" w:hAnsi="Verdana"/>
          <w:sz w:val="18"/>
          <w:szCs w:val="18"/>
        </w:rPr>
        <w:t xml:space="preserve"> circulaire economiewet. </w:t>
      </w:r>
      <w:r w:rsidRPr="00D35690" w:rsidR="00D35690">
        <w:rPr>
          <w:rFonts w:ascii="Verdana" w:hAnsi="Verdana"/>
          <w:sz w:val="18"/>
          <w:szCs w:val="18"/>
        </w:rPr>
        <w:t>Ondanks de aandacht voor bepaalde industrieën via initiatieven onder pijlers 1 en 2, is het onduidelijk of deze voorstellen, waaronder de CID, ook een coherent Europees industriekader vormen</w:t>
      </w:r>
      <w:r>
        <w:rPr>
          <w:rFonts w:ascii="Verdana" w:hAnsi="Verdana"/>
          <w:sz w:val="18"/>
          <w:szCs w:val="18"/>
        </w:rPr>
        <w:t xml:space="preserve">. </w:t>
      </w:r>
      <w:r w:rsidR="00A16F31">
        <w:rPr>
          <w:rFonts w:ascii="Verdana" w:hAnsi="Verdana"/>
          <w:sz w:val="18"/>
          <w:szCs w:val="18"/>
        </w:rPr>
        <w:t>H</w:t>
      </w:r>
      <w:r>
        <w:rPr>
          <w:rFonts w:ascii="Verdana" w:hAnsi="Verdana"/>
          <w:sz w:val="18"/>
          <w:szCs w:val="18"/>
        </w:rPr>
        <w:t xml:space="preserve">et kabinet </w:t>
      </w:r>
      <w:r w:rsidR="00A16F31">
        <w:rPr>
          <w:rFonts w:ascii="Verdana" w:hAnsi="Verdana"/>
          <w:sz w:val="18"/>
          <w:szCs w:val="18"/>
        </w:rPr>
        <w:t xml:space="preserve">acht </w:t>
      </w:r>
      <w:r>
        <w:rPr>
          <w:rFonts w:ascii="Verdana" w:hAnsi="Verdana"/>
          <w:sz w:val="18"/>
          <w:szCs w:val="18"/>
        </w:rPr>
        <w:t xml:space="preserve">coördinatie en een duidelijk kader voor Europees industriebeleid </w:t>
      </w:r>
      <w:r w:rsidR="00A16F31">
        <w:rPr>
          <w:rFonts w:ascii="Verdana" w:hAnsi="Verdana"/>
          <w:sz w:val="18"/>
          <w:szCs w:val="18"/>
        </w:rPr>
        <w:t xml:space="preserve">echter </w:t>
      </w:r>
      <w:r w:rsidRPr="002E2FD8" w:rsidR="00A16F31">
        <w:rPr>
          <w:rFonts w:ascii="Verdana" w:hAnsi="Verdana"/>
          <w:sz w:val="18"/>
          <w:szCs w:val="18"/>
        </w:rPr>
        <w:t xml:space="preserve">wel </w:t>
      </w:r>
      <w:r w:rsidRPr="002E2FD8">
        <w:rPr>
          <w:rFonts w:ascii="Verdana" w:hAnsi="Verdana"/>
          <w:sz w:val="18"/>
          <w:szCs w:val="18"/>
        </w:rPr>
        <w:t xml:space="preserve">van belang. Dit is nodig om gericht beleid te kunnen voeren, te bepalen wat strategische </w:t>
      </w:r>
      <w:r w:rsidRPr="002E2FD8" w:rsidR="00FC263E">
        <w:rPr>
          <w:rFonts w:ascii="Verdana" w:hAnsi="Verdana"/>
          <w:sz w:val="18"/>
          <w:szCs w:val="18"/>
        </w:rPr>
        <w:t xml:space="preserve">markten </w:t>
      </w:r>
      <w:r w:rsidRPr="002E2FD8" w:rsidR="007B1FA5">
        <w:rPr>
          <w:rFonts w:ascii="Verdana" w:hAnsi="Verdana"/>
          <w:sz w:val="18"/>
          <w:szCs w:val="18"/>
        </w:rPr>
        <w:t>en sectoren</w:t>
      </w:r>
      <w:r w:rsidRPr="002E2FD8" w:rsidR="00FC263E">
        <w:rPr>
          <w:rFonts w:ascii="Verdana" w:hAnsi="Verdana"/>
          <w:sz w:val="18"/>
          <w:szCs w:val="18"/>
        </w:rPr>
        <w:t xml:space="preserve"> </w:t>
      </w:r>
      <w:r w:rsidRPr="002E2FD8">
        <w:rPr>
          <w:rFonts w:ascii="Verdana" w:hAnsi="Verdana"/>
          <w:sz w:val="18"/>
          <w:szCs w:val="18"/>
        </w:rPr>
        <w:t xml:space="preserve">zijn en </w:t>
      </w:r>
      <w:r w:rsidRPr="002E2FD8" w:rsidR="005107AC">
        <w:rPr>
          <w:rFonts w:ascii="Verdana" w:hAnsi="Verdana"/>
          <w:sz w:val="18"/>
          <w:szCs w:val="18"/>
        </w:rPr>
        <w:t xml:space="preserve">voor het creëren van een mondiaal </w:t>
      </w:r>
      <w:r w:rsidRPr="002E2FD8">
        <w:rPr>
          <w:rFonts w:ascii="Verdana" w:hAnsi="Verdana"/>
          <w:sz w:val="18"/>
          <w:szCs w:val="18"/>
        </w:rPr>
        <w:t>gelijk speelveld. Proportionaliteit, praktische uitvoerbaarheid en compatibiliteit met de regels van de Wereldhandelsorganisatie</w:t>
      </w:r>
      <w:r>
        <w:rPr>
          <w:rFonts w:ascii="Verdana" w:hAnsi="Verdana"/>
          <w:sz w:val="18"/>
          <w:szCs w:val="18"/>
        </w:rPr>
        <w:t xml:space="preserve"> (WTO) bij de voorgestelde maatregelen en bij</w:t>
      </w:r>
      <w:r w:rsidRPr="00B3543A">
        <w:rPr>
          <w:rFonts w:ascii="Verdana" w:hAnsi="Verdana"/>
          <w:sz w:val="18"/>
          <w:szCs w:val="18"/>
        </w:rPr>
        <w:t xml:space="preserve"> de </w:t>
      </w:r>
      <w:r>
        <w:rPr>
          <w:rFonts w:ascii="Verdana" w:hAnsi="Verdana"/>
          <w:sz w:val="18"/>
          <w:szCs w:val="18"/>
        </w:rPr>
        <w:t xml:space="preserve">aankomende </w:t>
      </w:r>
      <w:r w:rsidRPr="00B3543A">
        <w:rPr>
          <w:rFonts w:ascii="Verdana" w:hAnsi="Verdana"/>
          <w:sz w:val="18"/>
          <w:szCs w:val="18"/>
        </w:rPr>
        <w:t xml:space="preserve">evaluatie van </w:t>
      </w:r>
      <w:r>
        <w:rPr>
          <w:rFonts w:ascii="Verdana" w:hAnsi="Verdana"/>
          <w:sz w:val="18"/>
          <w:szCs w:val="18"/>
        </w:rPr>
        <w:t>het CBAM</w:t>
      </w:r>
      <w:r w:rsidRPr="00B3543A">
        <w:rPr>
          <w:rFonts w:ascii="Verdana" w:hAnsi="Verdana"/>
          <w:sz w:val="18"/>
          <w:szCs w:val="18"/>
        </w:rPr>
        <w:t xml:space="preserve"> aan de grens</w:t>
      </w:r>
      <w:r w:rsidR="005E7FAD">
        <w:rPr>
          <w:rFonts w:ascii="Verdana" w:hAnsi="Verdana"/>
          <w:sz w:val="18"/>
          <w:szCs w:val="18"/>
        </w:rPr>
        <w:t>,</w:t>
      </w:r>
      <w:r>
        <w:rPr>
          <w:rFonts w:ascii="Verdana" w:hAnsi="Verdana"/>
          <w:sz w:val="18"/>
          <w:szCs w:val="18"/>
        </w:rPr>
        <w:t xml:space="preserve"> </w:t>
      </w:r>
      <w:r w:rsidR="000E6E7C">
        <w:rPr>
          <w:rFonts w:ascii="Verdana" w:hAnsi="Verdana"/>
          <w:sz w:val="18"/>
          <w:szCs w:val="18"/>
        </w:rPr>
        <w:t>zijn hierbij belangrijke overwegingen</w:t>
      </w:r>
      <w:r>
        <w:rPr>
          <w:rFonts w:ascii="Verdana" w:hAnsi="Verdana"/>
          <w:sz w:val="18"/>
          <w:szCs w:val="18"/>
        </w:rPr>
        <w:t xml:space="preserve">. </w:t>
      </w:r>
    </w:p>
    <w:p w:rsidR="00532838" w:rsidP="00210AC5" w:rsidRDefault="00BD666C" w14:paraId="4C08C2FB" w14:textId="14D5228B">
      <w:pPr>
        <w:spacing w:line="360" w:lineRule="auto"/>
        <w:rPr>
          <w:rFonts w:ascii="Verdana" w:hAnsi="Verdana"/>
          <w:sz w:val="18"/>
          <w:szCs w:val="18"/>
        </w:rPr>
      </w:pPr>
      <w:r w:rsidRPr="00390D86">
        <w:rPr>
          <w:rFonts w:ascii="Verdana" w:hAnsi="Verdana"/>
          <w:sz w:val="18"/>
          <w:szCs w:val="18"/>
        </w:rPr>
        <w:lastRenderedPageBreak/>
        <w:t>Ten aanzien van de aankomende herziening van de Europese klimaatwet is de kabinetsinzet reeds gedeeld met de Kamer</w:t>
      </w:r>
      <w:r w:rsidR="005E7FAD">
        <w:rPr>
          <w:rFonts w:ascii="Verdana" w:hAnsi="Verdana"/>
          <w:sz w:val="18"/>
          <w:szCs w:val="18"/>
        </w:rPr>
        <w:t>.</w:t>
      </w:r>
      <w:r>
        <w:rPr>
          <w:rStyle w:val="FootnoteReference"/>
          <w:rFonts w:ascii="Verdana" w:hAnsi="Verdana"/>
          <w:sz w:val="18"/>
          <w:szCs w:val="18"/>
        </w:rPr>
        <w:footnoteReference w:id="10"/>
      </w:r>
      <w:r w:rsidRPr="00390D86">
        <w:rPr>
          <w:rFonts w:ascii="Verdana" w:hAnsi="Verdana"/>
          <w:sz w:val="18"/>
          <w:szCs w:val="18"/>
        </w:rPr>
        <w:t xml:space="preserve"> </w:t>
      </w:r>
    </w:p>
    <w:p w:rsidR="00BD666C" w:rsidP="00210AC5" w:rsidRDefault="00BD666C" w14:paraId="707B2F70" w14:textId="6C5D22B1">
      <w:pPr>
        <w:spacing w:line="360" w:lineRule="auto"/>
        <w:rPr>
          <w:rFonts w:ascii="Verdana" w:hAnsi="Verdana"/>
          <w:sz w:val="18"/>
          <w:szCs w:val="18"/>
        </w:rPr>
      </w:pPr>
      <w:r w:rsidRPr="00C8081D">
        <w:rPr>
          <w:rFonts w:ascii="Verdana" w:hAnsi="Verdana"/>
          <w:sz w:val="18"/>
          <w:szCs w:val="18"/>
        </w:rPr>
        <w:t>Voor staatssteun werkt de Commissie aan een nieuw</w:t>
      </w:r>
      <w:r>
        <w:rPr>
          <w:rFonts w:ascii="Verdana" w:hAnsi="Verdana"/>
          <w:sz w:val="18"/>
          <w:szCs w:val="18"/>
        </w:rPr>
        <w:t>, flexibel en ondersteunend</w:t>
      </w:r>
      <w:r w:rsidRPr="00C8081D">
        <w:rPr>
          <w:rFonts w:ascii="Verdana" w:hAnsi="Verdana"/>
          <w:sz w:val="18"/>
          <w:szCs w:val="18"/>
        </w:rPr>
        <w:t xml:space="preserve"> steunkader </w:t>
      </w:r>
      <w:r w:rsidR="0089434C">
        <w:rPr>
          <w:rFonts w:ascii="Verdana" w:hAnsi="Verdana"/>
          <w:sz w:val="18"/>
          <w:szCs w:val="18"/>
        </w:rPr>
        <w:t xml:space="preserve">voor </w:t>
      </w:r>
      <w:proofErr w:type="spellStart"/>
      <w:r w:rsidR="0089434C">
        <w:rPr>
          <w:rFonts w:ascii="Verdana" w:hAnsi="Verdana"/>
          <w:sz w:val="18"/>
          <w:szCs w:val="18"/>
        </w:rPr>
        <w:t>decarbonisatie</w:t>
      </w:r>
      <w:proofErr w:type="spellEnd"/>
      <w:r w:rsidR="0089434C">
        <w:rPr>
          <w:rFonts w:ascii="Verdana" w:hAnsi="Verdana"/>
          <w:sz w:val="18"/>
          <w:szCs w:val="18"/>
        </w:rPr>
        <w:t>-investeringen</w:t>
      </w:r>
      <w:r w:rsidRPr="00C8081D" w:rsidR="0089434C">
        <w:rPr>
          <w:rFonts w:ascii="Verdana" w:hAnsi="Verdana"/>
          <w:sz w:val="18"/>
          <w:szCs w:val="18"/>
        </w:rPr>
        <w:t xml:space="preserve"> </w:t>
      </w:r>
      <w:r w:rsidRPr="00C8081D">
        <w:rPr>
          <w:rFonts w:ascii="Verdana" w:hAnsi="Verdana"/>
          <w:sz w:val="18"/>
          <w:szCs w:val="18"/>
        </w:rPr>
        <w:t xml:space="preserve">als onderdeel van de </w:t>
      </w:r>
      <w:r w:rsidRPr="009811D7">
        <w:rPr>
          <w:rFonts w:ascii="Verdana" w:hAnsi="Verdana"/>
          <w:i/>
          <w:iCs/>
          <w:sz w:val="18"/>
          <w:szCs w:val="18"/>
        </w:rPr>
        <w:t>Clean Industrial Deal</w:t>
      </w:r>
      <w:r w:rsidRPr="00C8081D">
        <w:rPr>
          <w:rFonts w:ascii="Verdana" w:hAnsi="Verdana"/>
          <w:sz w:val="18"/>
          <w:szCs w:val="18"/>
        </w:rPr>
        <w:t xml:space="preserve">. </w:t>
      </w:r>
      <w:r w:rsidRPr="005B7D08">
        <w:rPr>
          <w:rFonts w:ascii="Verdana" w:hAnsi="Verdana"/>
          <w:sz w:val="18"/>
          <w:szCs w:val="18"/>
        </w:rPr>
        <w:t xml:space="preserve">Het uitgangspunt van het kabinet voor staatssteun is in beginsel terughoudend. Dit neemt niet weg dat er in het licht van de transities en in geval van </w:t>
      </w:r>
      <w:proofErr w:type="spellStart"/>
      <w:r w:rsidRPr="005B7D08">
        <w:rPr>
          <w:rFonts w:ascii="Verdana" w:hAnsi="Verdana"/>
          <w:sz w:val="18"/>
          <w:szCs w:val="18"/>
        </w:rPr>
        <w:t>marktfalen</w:t>
      </w:r>
      <w:proofErr w:type="spellEnd"/>
      <w:r w:rsidRPr="005B7D08">
        <w:rPr>
          <w:rFonts w:ascii="Verdana" w:hAnsi="Verdana"/>
          <w:sz w:val="18"/>
          <w:szCs w:val="18"/>
        </w:rPr>
        <w:t xml:space="preserve"> gerichte staatssteun nodig kan zijn</w:t>
      </w:r>
      <w:r w:rsidR="000E6E7C">
        <w:rPr>
          <w:rFonts w:ascii="Verdana" w:hAnsi="Verdana"/>
          <w:sz w:val="18"/>
          <w:szCs w:val="18"/>
        </w:rPr>
        <w:t>.</w:t>
      </w:r>
      <w:r w:rsidR="00B63E09">
        <w:rPr>
          <w:rFonts w:ascii="Verdana" w:hAnsi="Verdana"/>
          <w:sz w:val="18"/>
          <w:szCs w:val="18"/>
        </w:rPr>
        <w:t xml:space="preserve"> </w:t>
      </w:r>
    </w:p>
    <w:p w:rsidRPr="00210AC5" w:rsidR="00210AC5" w:rsidP="00210AC5" w:rsidRDefault="00210AC5" w14:paraId="4ABB7776" w14:textId="77777777">
      <w:pPr>
        <w:spacing w:line="360" w:lineRule="auto"/>
        <w:rPr>
          <w:rFonts w:ascii="Verdana" w:hAnsi="Verdana"/>
          <w:sz w:val="18"/>
          <w:szCs w:val="18"/>
        </w:rPr>
      </w:pPr>
    </w:p>
    <w:p w:rsidR="00D5722F" w:rsidP="00BD666C" w:rsidRDefault="00BD666C" w14:paraId="50325A42" w14:textId="77777777">
      <w:pPr>
        <w:spacing w:line="360" w:lineRule="auto"/>
        <w:rPr>
          <w:rFonts w:ascii="Verdana" w:hAnsi="Verdana"/>
          <w:sz w:val="18"/>
          <w:szCs w:val="18"/>
        </w:rPr>
      </w:pPr>
      <w:r>
        <w:rPr>
          <w:rFonts w:ascii="Verdana" w:hAnsi="Verdana"/>
          <w:color w:val="000000" w:themeColor="text1"/>
          <w:sz w:val="18"/>
          <w:szCs w:val="18"/>
        </w:rPr>
        <w:t>Voor wat betreft</w:t>
      </w:r>
      <w:r w:rsidRPr="00E12833">
        <w:rPr>
          <w:rFonts w:ascii="Verdana" w:hAnsi="Verdana"/>
          <w:color w:val="000000" w:themeColor="text1"/>
          <w:sz w:val="18"/>
          <w:szCs w:val="18"/>
        </w:rPr>
        <w:t xml:space="preserve"> pijler drie verwelkomt</w:t>
      </w:r>
      <w:r>
        <w:rPr>
          <w:rFonts w:ascii="Verdana" w:hAnsi="Verdana"/>
          <w:i/>
          <w:iCs/>
          <w:color w:val="000000" w:themeColor="text1"/>
          <w:sz w:val="18"/>
          <w:szCs w:val="18"/>
        </w:rPr>
        <w:t xml:space="preserve"> </w:t>
      </w:r>
      <w:r w:rsidRPr="008D5272">
        <w:rPr>
          <w:rFonts w:ascii="Verdana" w:hAnsi="Verdana"/>
          <w:color w:val="000000" w:themeColor="text1"/>
          <w:sz w:val="18"/>
          <w:szCs w:val="18"/>
        </w:rPr>
        <w:t>het</w:t>
      </w:r>
      <w:r>
        <w:rPr>
          <w:rFonts w:ascii="Verdana" w:hAnsi="Verdana"/>
          <w:sz w:val="18"/>
          <w:szCs w:val="18"/>
        </w:rPr>
        <w:t xml:space="preserve"> kabinet het belang dat het kompas hecht aan </w:t>
      </w:r>
      <w:r w:rsidR="000E6E7C">
        <w:rPr>
          <w:rFonts w:ascii="Verdana" w:hAnsi="Verdana"/>
          <w:sz w:val="18"/>
          <w:szCs w:val="18"/>
        </w:rPr>
        <w:t xml:space="preserve">open handel </w:t>
      </w:r>
      <w:r>
        <w:rPr>
          <w:rFonts w:ascii="Verdana" w:hAnsi="Verdana"/>
          <w:sz w:val="18"/>
          <w:szCs w:val="18"/>
        </w:rPr>
        <w:t xml:space="preserve">als motor van de Europese economie en tegelijkertijd de aandacht voor </w:t>
      </w:r>
      <w:r w:rsidR="00C279AF">
        <w:rPr>
          <w:rFonts w:ascii="Verdana" w:hAnsi="Verdana"/>
          <w:sz w:val="18"/>
          <w:szCs w:val="18"/>
        </w:rPr>
        <w:t xml:space="preserve">veiligheid en </w:t>
      </w:r>
      <w:r>
        <w:rPr>
          <w:rFonts w:ascii="Verdana" w:hAnsi="Verdana"/>
          <w:sz w:val="18"/>
          <w:szCs w:val="18"/>
        </w:rPr>
        <w:t xml:space="preserve">weerbaarheid, waaronder </w:t>
      </w:r>
      <w:r w:rsidR="006D66AA">
        <w:rPr>
          <w:rFonts w:ascii="Verdana" w:hAnsi="Verdana"/>
          <w:sz w:val="18"/>
          <w:szCs w:val="18"/>
        </w:rPr>
        <w:t xml:space="preserve">risicovolle </w:t>
      </w:r>
      <w:r>
        <w:rPr>
          <w:rFonts w:ascii="Verdana" w:hAnsi="Verdana"/>
          <w:sz w:val="18"/>
          <w:szCs w:val="18"/>
        </w:rPr>
        <w:t xml:space="preserve">strategische afhankelijkheden en het vergroten van (economische) veiligheid. Het kabinet acht het van belang om </w:t>
      </w:r>
      <w:r w:rsidR="00887534">
        <w:rPr>
          <w:rFonts w:ascii="Verdana" w:hAnsi="Verdana"/>
          <w:sz w:val="18"/>
          <w:szCs w:val="18"/>
        </w:rPr>
        <w:t xml:space="preserve">onderscheid te blijven maken tussen het </w:t>
      </w:r>
      <w:proofErr w:type="spellStart"/>
      <w:r w:rsidR="00887534">
        <w:rPr>
          <w:rFonts w:ascii="Verdana" w:hAnsi="Verdana"/>
          <w:sz w:val="18"/>
          <w:szCs w:val="18"/>
        </w:rPr>
        <w:t>handelsdefensieve</w:t>
      </w:r>
      <w:proofErr w:type="spellEnd"/>
      <w:r w:rsidR="00887534">
        <w:rPr>
          <w:rFonts w:ascii="Verdana" w:hAnsi="Verdana"/>
          <w:sz w:val="18"/>
          <w:szCs w:val="18"/>
        </w:rPr>
        <w:t xml:space="preserve"> instrumentarium en instrumenten gericht op het adresseren van (economische) veiligheidsrisico’s. </w:t>
      </w:r>
      <w:bookmarkStart w:name="_Hlk190339178" w:id="5"/>
      <w:r w:rsidRPr="006D29C5">
        <w:rPr>
          <w:rFonts w:ascii="Verdana" w:hAnsi="Verdana"/>
          <w:sz w:val="18"/>
          <w:szCs w:val="18"/>
        </w:rPr>
        <w:t xml:space="preserve">Het kabinet </w:t>
      </w:r>
      <w:r>
        <w:rPr>
          <w:rFonts w:ascii="Verdana" w:hAnsi="Verdana"/>
          <w:sz w:val="18"/>
          <w:szCs w:val="18"/>
        </w:rPr>
        <w:t xml:space="preserve">is </w:t>
      </w:r>
      <w:r w:rsidR="00C17DBF">
        <w:rPr>
          <w:rFonts w:ascii="Verdana" w:hAnsi="Verdana"/>
          <w:sz w:val="18"/>
          <w:szCs w:val="18"/>
        </w:rPr>
        <w:t>tevens</w:t>
      </w:r>
      <w:r>
        <w:rPr>
          <w:rFonts w:ascii="Verdana" w:hAnsi="Verdana"/>
          <w:sz w:val="18"/>
          <w:szCs w:val="18"/>
        </w:rPr>
        <w:t xml:space="preserve"> positief over de</w:t>
      </w:r>
      <w:r w:rsidRPr="006D29C5">
        <w:rPr>
          <w:rFonts w:ascii="Verdana" w:hAnsi="Verdana"/>
          <w:sz w:val="18"/>
          <w:szCs w:val="18"/>
        </w:rPr>
        <w:t xml:space="preserve"> aandacht voor </w:t>
      </w:r>
      <w:r w:rsidR="00843A62">
        <w:rPr>
          <w:rFonts w:ascii="Verdana" w:hAnsi="Verdana"/>
          <w:sz w:val="18"/>
          <w:szCs w:val="18"/>
        </w:rPr>
        <w:t>het aangaan van nieuwe partnerschappen</w:t>
      </w:r>
      <w:r w:rsidR="00321A4A">
        <w:rPr>
          <w:rFonts w:ascii="Verdana" w:hAnsi="Verdana"/>
          <w:sz w:val="18"/>
          <w:szCs w:val="18"/>
        </w:rPr>
        <w:t xml:space="preserve">, </w:t>
      </w:r>
      <w:r w:rsidR="00A830BF">
        <w:rPr>
          <w:rFonts w:ascii="Verdana" w:hAnsi="Verdana"/>
          <w:sz w:val="18"/>
          <w:szCs w:val="18"/>
        </w:rPr>
        <w:t xml:space="preserve">zoals </w:t>
      </w:r>
      <w:proofErr w:type="spellStart"/>
      <w:r w:rsidR="00A830BF">
        <w:rPr>
          <w:rFonts w:ascii="Verdana" w:hAnsi="Verdana"/>
          <w:sz w:val="18"/>
          <w:szCs w:val="18"/>
        </w:rPr>
        <w:t>CTIP’s</w:t>
      </w:r>
      <w:proofErr w:type="spellEnd"/>
      <w:r w:rsidR="00A830BF">
        <w:rPr>
          <w:rFonts w:ascii="Verdana" w:hAnsi="Verdana"/>
          <w:sz w:val="18"/>
          <w:szCs w:val="18"/>
        </w:rPr>
        <w:t>, en verdiepen van bestaande</w:t>
      </w:r>
      <w:r w:rsidR="00843A62">
        <w:rPr>
          <w:rFonts w:ascii="Verdana" w:hAnsi="Verdana"/>
          <w:sz w:val="18"/>
          <w:szCs w:val="18"/>
        </w:rPr>
        <w:t xml:space="preserve"> partnerschappen</w:t>
      </w:r>
      <w:r w:rsidR="00A830BF">
        <w:rPr>
          <w:rFonts w:ascii="Verdana" w:hAnsi="Verdana"/>
          <w:sz w:val="18"/>
          <w:szCs w:val="18"/>
        </w:rPr>
        <w:t xml:space="preserve">. Verder heeft het kabinet een positieve grondhouding ten aanzien van </w:t>
      </w:r>
      <w:r w:rsidR="00CA3FD2">
        <w:rPr>
          <w:rFonts w:ascii="Verdana" w:hAnsi="Verdana"/>
          <w:sz w:val="18"/>
          <w:szCs w:val="18"/>
        </w:rPr>
        <w:t>handelsakkoorden</w:t>
      </w:r>
      <w:r w:rsidR="00321A4A">
        <w:rPr>
          <w:rFonts w:ascii="Verdana" w:hAnsi="Verdana"/>
          <w:sz w:val="18"/>
          <w:szCs w:val="18"/>
        </w:rPr>
        <w:t xml:space="preserve"> en</w:t>
      </w:r>
      <w:r w:rsidR="00691A30">
        <w:rPr>
          <w:rFonts w:ascii="Verdana" w:hAnsi="Verdana"/>
          <w:sz w:val="18"/>
          <w:szCs w:val="18"/>
        </w:rPr>
        <w:t xml:space="preserve"> </w:t>
      </w:r>
      <w:r w:rsidR="00A830BF">
        <w:rPr>
          <w:rFonts w:ascii="Verdana" w:hAnsi="Verdana"/>
          <w:sz w:val="18"/>
          <w:szCs w:val="18"/>
        </w:rPr>
        <w:t xml:space="preserve">deelt het de aandacht van de Commissie voor de inzet op </w:t>
      </w:r>
      <w:r w:rsidRPr="006D29C5">
        <w:rPr>
          <w:rFonts w:ascii="Verdana" w:hAnsi="Verdana"/>
          <w:sz w:val="18"/>
          <w:szCs w:val="18"/>
        </w:rPr>
        <w:t>een mondiaal gelijk speelveld</w:t>
      </w:r>
      <w:r w:rsidR="00CA3FD2">
        <w:rPr>
          <w:rFonts w:ascii="Verdana" w:hAnsi="Verdana"/>
          <w:sz w:val="18"/>
          <w:szCs w:val="18"/>
        </w:rPr>
        <w:t>. H</w:t>
      </w:r>
      <w:r w:rsidR="00843A62">
        <w:rPr>
          <w:rFonts w:ascii="Verdana" w:hAnsi="Verdana"/>
          <w:sz w:val="18"/>
          <w:szCs w:val="18"/>
        </w:rPr>
        <w:t>et kabinet</w:t>
      </w:r>
      <w:r>
        <w:rPr>
          <w:rFonts w:ascii="Verdana" w:hAnsi="Verdana"/>
          <w:sz w:val="18"/>
          <w:szCs w:val="18"/>
        </w:rPr>
        <w:t xml:space="preserve"> </w:t>
      </w:r>
      <w:r w:rsidRPr="006D29C5">
        <w:rPr>
          <w:rFonts w:ascii="Verdana" w:hAnsi="Verdana"/>
          <w:sz w:val="18"/>
          <w:szCs w:val="18"/>
        </w:rPr>
        <w:t xml:space="preserve">zet in op </w:t>
      </w:r>
      <w:r>
        <w:rPr>
          <w:rFonts w:ascii="Verdana" w:hAnsi="Verdana"/>
          <w:sz w:val="18"/>
          <w:szCs w:val="18"/>
        </w:rPr>
        <w:t xml:space="preserve">een </w:t>
      </w:r>
      <w:r w:rsidRPr="006D29C5">
        <w:rPr>
          <w:rFonts w:ascii="Verdana" w:hAnsi="Verdana"/>
          <w:sz w:val="18"/>
          <w:szCs w:val="18"/>
        </w:rPr>
        <w:t xml:space="preserve">effectieve toepassing van </w:t>
      </w:r>
      <w:r w:rsidR="00C17DBF">
        <w:rPr>
          <w:rFonts w:ascii="Verdana" w:hAnsi="Verdana"/>
          <w:sz w:val="18"/>
          <w:szCs w:val="18"/>
        </w:rPr>
        <w:t>daarvoor</w:t>
      </w:r>
      <w:r w:rsidRPr="006D29C5">
        <w:rPr>
          <w:rFonts w:ascii="Verdana" w:hAnsi="Verdana"/>
          <w:sz w:val="18"/>
          <w:szCs w:val="18"/>
        </w:rPr>
        <w:t xml:space="preserve"> </w:t>
      </w:r>
      <w:r w:rsidRPr="00C17DBF" w:rsidR="00C17DBF">
        <w:rPr>
          <w:rFonts w:ascii="Verdana" w:hAnsi="Verdana"/>
          <w:sz w:val="18"/>
          <w:szCs w:val="18"/>
        </w:rPr>
        <w:t>geëigende</w:t>
      </w:r>
      <w:r w:rsidR="00C17DBF">
        <w:rPr>
          <w:rFonts w:ascii="Verdana" w:hAnsi="Verdana"/>
          <w:sz w:val="18"/>
          <w:szCs w:val="18"/>
        </w:rPr>
        <w:t xml:space="preserve"> </w:t>
      </w:r>
      <w:r w:rsidRPr="006D29C5">
        <w:rPr>
          <w:rFonts w:ascii="Verdana" w:hAnsi="Verdana"/>
          <w:sz w:val="18"/>
          <w:szCs w:val="18"/>
        </w:rPr>
        <w:t>instrumenten</w:t>
      </w:r>
      <w:r w:rsidR="00E82E68">
        <w:rPr>
          <w:rFonts w:ascii="Verdana" w:hAnsi="Verdana"/>
          <w:sz w:val="18"/>
          <w:szCs w:val="18"/>
        </w:rPr>
        <w:t>,</w:t>
      </w:r>
      <w:r w:rsidRPr="006D29C5">
        <w:rPr>
          <w:rFonts w:ascii="Verdana" w:hAnsi="Verdana"/>
          <w:sz w:val="18"/>
          <w:szCs w:val="18"/>
        </w:rPr>
        <w:t xml:space="preserve"> </w:t>
      </w:r>
      <w:r>
        <w:rPr>
          <w:rFonts w:ascii="Verdana" w:hAnsi="Verdana"/>
          <w:sz w:val="18"/>
          <w:szCs w:val="18"/>
        </w:rPr>
        <w:t>zoals de verordening buitenlandse subsidies</w:t>
      </w:r>
      <w:bookmarkEnd w:id="5"/>
      <w:r>
        <w:rPr>
          <w:rFonts w:ascii="Verdana" w:hAnsi="Verdana"/>
          <w:sz w:val="18"/>
          <w:szCs w:val="18"/>
        </w:rPr>
        <w:t xml:space="preserve">. </w:t>
      </w:r>
      <w:r w:rsidRPr="00AF6CEB">
        <w:rPr>
          <w:rFonts w:ascii="Verdana" w:hAnsi="Verdana"/>
          <w:sz w:val="18"/>
          <w:szCs w:val="18"/>
        </w:rPr>
        <w:t xml:space="preserve">Om bepaalde productiecapaciteit te blijven borgen, </w:t>
      </w:r>
      <w:r>
        <w:rPr>
          <w:rFonts w:ascii="Verdana" w:hAnsi="Verdana"/>
          <w:sz w:val="18"/>
          <w:szCs w:val="18"/>
        </w:rPr>
        <w:t xml:space="preserve">komt de </w:t>
      </w:r>
      <w:r w:rsidRPr="00AF6CEB">
        <w:rPr>
          <w:rFonts w:ascii="Verdana" w:hAnsi="Verdana"/>
          <w:sz w:val="18"/>
          <w:szCs w:val="18"/>
        </w:rPr>
        <w:t xml:space="preserve">Commissie </w:t>
      </w:r>
      <w:r>
        <w:rPr>
          <w:rFonts w:ascii="Verdana" w:hAnsi="Verdana"/>
          <w:sz w:val="18"/>
          <w:szCs w:val="18"/>
        </w:rPr>
        <w:t xml:space="preserve">met </w:t>
      </w:r>
      <w:r w:rsidRPr="00AF6CEB">
        <w:rPr>
          <w:rFonts w:ascii="Verdana" w:hAnsi="Verdana"/>
          <w:sz w:val="18"/>
          <w:szCs w:val="18"/>
        </w:rPr>
        <w:t xml:space="preserve">een voorstel voor </w:t>
      </w:r>
      <w:r>
        <w:rPr>
          <w:rFonts w:ascii="Verdana" w:hAnsi="Verdana"/>
          <w:sz w:val="18"/>
          <w:szCs w:val="18"/>
        </w:rPr>
        <w:t xml:space="preserve">een Europees voorkeursprincipe </w:t>
      </w:r>
      <w:r w:rsidRPr="00F24E6C">
        <w:rPr>
          <w:rFonts w:ascii="Verdana" w:hAnsi="Verdana"/>
          <w:sz w:val="18"/>
          <w:szCs w:val="18"/>
        </w:rPr>
        <w:t>in publieke</w:t>
      </w:r>
      <w:r w:rsidRPr="00AF6CEB">
        <w:rPr>
          <w:rFonts w:ascii="Verdana" w:hAnsi="Verdana"/>
          <w:sz w:val="18"/>
          <w:szCs w:val="18"/>
        </w:rPr>
        <w:t xml:space="preserve"> aanbestedingsregels voor strategische sectoren en technologieën</w:t>
      </w:r>
      <w:r>
        <w:rPr>
          <w:rFonts w:ascii="Verdana" w:hAnsi="Verdana"/>
          <w:sz w:val="18"/>
          <w:szCs w:val="18"/>
        </w:rPr>
        <w:t xml:space="preserve">. </w:t>
      </w:r>
      <w:r w:rsidRPr="00AD7C94" w:rsidR="00AD7C94">
        <w:rPr>
          <w:rFonts w:ascii="Verdana" w:hAnsi="Verdana"/>
          <w:sz w:val="18"/>
          <w:szCs w:val="18"/>
        </w:rPr>
        <w:t xml:space="preserve">Een Europees voorkeursprincipe kan in </w:t>
      </w:r>
      <w:r w:rsidRPr="00322EFC" w:rsidR="0015577E">
        <w:rPr>
          <w:rFonts w:ascii="Verdana" w:hAnsi="Verdana"/>
          <w:sz w:val="18"/>
          <w:szCs w:val="18"/>
        </w:rPr>
        <w:t xml:space="preserve">bepaalde </w:t>
      </w:r>
      <w:r w:rsidRPr="00AD7C94" w:rsidR="00AD7C94">
        <w:rPr>
          <w:rFonts w:ascii="Verdana" w:hAnsi="Verdana"/>
          <w:sz w:val="18"/>
          <w:szCs w:val="18"/>
        </w:rPr>
        <w:t xml:space="preserve">gevallen wenselijk zijn, maar </w:t>
      </w:r>
      <w:r w:rsidR="00C341BB">
        <w:rPr>
          <w:rFonts w:ascii="Verdana" w:hAnsi="Verdana"/>
          <w:sz w:val="18"/>
          <w:szCs w:val="18"/>
        </w:rPr>
        <w:t>kan</w:t>
      </w:r>
      <w:r w:rsidRPr="00AD7C94" w:rsidR="00C341BB">
        <w:rPr>
          <w:rFonts w:ascii="Verdana" w:hAnsi="Verdana"/>
          <w:sz w:val="18"/>
          <w:szCs w:val="18"/>
        </w:rPr>
        <w:t xml:space="preserve"> </w:t>
      </w:r>
      <w:r w:rsidRPr="00AD7C94" w:rsidR="00AD7C94">
        <w:rPr>
          <w:rFonts w:ascii="Verdana" w:hAnsi="Verdana"/>
          <w:sz w:val="18"/>
          <w:szCs w:val="18"/>
        </w:rPr>
        <w:t>ook negatieve effecten met zich mee</w:t>
      </w:r>
      <w:r w:rsidR="00C341BB">
        <w:rPr>
          <w:rFonts w:ascii="Verdana" w:hAnsi="Verdana"/>
          <w:sz w:val="18"/>
          <w:szCs w:val="18"/>
        </w:rPr>
        <w:t>brengen</w:t>
      </w:r>
      <w:r w:rsidRPr="00AD7C94" w:rsidR="00AD7C94">
        <w:rPr>
          <w:rFonts w:ascii="Verdana" w:hAnsi="Verdana"/>
          <w:sz w:val="18"/>
          <w:szCs w:val="18"/>
        </w:rPr>
        <w:t>.</w:t>
      </w:r>
      <w:r w:rsidR="00AD7C94">
        <w:rPr>
          <w:rFonts w:ascii="Verdana" w:hAnsi="Verdana"/>
          <w:sz w:val="18"/>
          <w:szCs w:val="18"/>
        </w:rPr>
        <w:t xml:space="preserve"> </w:t>
      </w:r>
      <w:bookmarkStart w:name="_Hlk191465257" w:id="6"/>
      <w:r w:rsidRPr="00420230" w:rsidR="63E51B03">
        <w:rPr>
          <w:rFonts w:ascii="Verdana" w:hAnsi="Verdana" w:eastAsia="Verdana" w:cs="Verdana"/>
          <w:sz w:val="18"/>
          <w:szCs w:val="18"/>
        </w:rPr>
        <w:t>Zo moet gewaakt worden voor het ondermijnen van de wederkerigheid van internationale markten</w:t>
      </w:r>
      <w:r w:rsidR="003C5970">
        <w:rPr>
          <w:rFonts w:ascii="Verdana" w:hAnsi="Verdana" w:eastAsia="Verdana" w:cs="Verdana"/>
          <w:sz w:val="18"/>
          <w:szCs w:val="18"/>
        </w:rPr>
        <w:t>, kan er een</w:t>
      </w:r>
      <w:r w:rsidR="003C5970">
        <w:rPr>
          <w:rFonts w:ascii="Verdana" w:hAnsi="Verdana"/>
          <w:sz w:val="18"/>
          <w:szCs w:val="18"/>
        </w:rPr>
        <w:t xml:space="preserve"> </w:t>
      </w:r>
      <w:proofErr w:type="spellStart"/>
      <w:r w:rsidR="003C5970">
        <w:rPr>
          <w:rFonts w:ascii="Verdana" w:hAnsi="Verdana"/>
          <w:sz w:val="18"/>
          <w:szCs w:val="18"/>
        </w:rPr>
        <w:t>kostenopdrijvend</w:t>
      </w:r>
      <w:proofErr w:type="spellEnd"/>
      <w:r w:rsidR="003C5970">
        <w:rPr>
          <w:rFonts w:ascii="Verdana" w:hAnsi="Verdana"/>
          <w:sz w:val="18"/>
          <w:szCs w:val="18"/>
        </w:rPr>
        <w:t xml:space="preserve"> effect optreden</w:t>
      </w:r>
      <w:r w:rsidR="007251E1">
        <w:rPr>
          <w:rFonts w:ascii="Verdana" w:hAnsi="Verdana"/>
          <w:sz w:val="18"/>
          <w:szCs w:val="18"/>
        </w:rPr>
        <w:t>, kan dit leiden tot gevolgen voor de uitvoering,</w:t>
      </w:r>
      <w:r w:rsidR="003C5970">
        <w:rPr>
          <w:rFonts w:ascii="Verdana" w:hAnsi="Verdana"/>
          <w:sz w:val="18"/>
          <w:szCs w:val="18"/>
        </w:rPr>
        <w:t xml:space="preserve"> en </w:t>
      </w:r>
      <w:r w:rsidR="00C67953">
        <w:rPr>
          <w:rFonts w:ascii="Verdana" w:hAnsi="Verdana"/>
          <w:sz w:val="18"/>
          <w:szCs w:val="18"/>
        </w:rPr>
        <w:t xml:space="preserve">kan </w:t>
      </w:r>
      <w:r w:rsidR="003C5970">
        <w:rPr>
          <w:rFonts w:ascii="Verdana" w:hAnsi="Verdana"/>
          <w:sz w:val="18"/>
          <w:szCs w:val="18"/>
        </w:rPr>
        <w:t>zo’n maatregel d</w:t>
      </w:r>
      <w:r w:rsidRPr="00ED11DA" w:rsidR="003C5970">
        <w:rPr>
          <w:rFonts w:ascii="Verdana" w:hAnsi="Verdana"/>
          <w:sz w:val="18"/>
          <w:szCs w:val="18"/>
        </w:rPr>
        <w:t xml:space="preserve">e Europese inzet op betere toegang tot </w:t>
      </w:r>
      <w:r w:rsidR="003C5970">
        <w:rPr>
          <w:rFonts w:ascii="Verdana" w:hAnsi="Verdana"/>
          <w:sz w:val="18"/>
          <w:szCs w:val="18"/>
        </w:rPr>
        <w:t>a</w:t>
      </w:r>
      <w:r w:rsidRPr="00ED11DA" w:rsidR="003C5970">
        <w:rPr>
          <w:rFonts w:ascii="Verdana" w:hAnsi="Verdana"/>
          <w:sz w:val="18"/>
          <w:szCs w:val="18"/>
        </w:rPr>
        <w:t>anbestedingsmarkten van derde landen</w:t>
      </w:r>
      <w:r w:rsidRPr="007A7DE1" w:rsidR="003C5970">
        <w:rPr>
          <w:rFonts w:ascii="Verdana" w:hAnsi="Verdana"/>
          <w:sz w:val="18"/>
          <w:szCs w:val="18"/>
        </w:rPr>
        <w:t xml:space="preserve"> </w:t>
      </w:r>
      <w:r w:rsidRPr="00ED11DA" w:rsidR="003C5970">
        <w:rPr>
          <w:rFonts w:ascii="Verdana" w:hAnsi="Verdana"/>
          <w:sz w:val="18"/>
          <w:szCs w:val="18"/>
        </w:rPr>
        <w:t>ondermijnen</w:t>
      </w:r>
      <w:r w:rsidR="003C5970">
        <w:rPr>
          <w:rFonts w:ascii="Verdana" w:hAnsi="Verdana"/>
          <w:sz w:val="18"/>
          <w:szCs w:val="18"/>
        </w:rPr>
        <w:t>.</w:t>
      </w:r>
      <w:bookmarkEnd w:id="6"/>
      <w:r w:rsidR="003C5970">
        <w:rPr>
          <w:rFonts w:ascii="Verdana" w:hAnsi="Verdana"/>
          <w:sz w:val="18"/>
          <w:szCs w:val="18"/>
        </w:rPr>
        <w:t xml:space="preserve"> </w:t>
      </w:r>
      <w:r w:rsidR="00AD7C94">
        <w:rPr>
          <w:rFonts w:ascii="Verdana" w:hAnsi="Verdana"/>
          <w:sz w:val="18"/>
          <w:szCs w:val="18"/>
        </w:rPr>
        <w:t>Een goede inkadering is dus nodig om een verdere afweging over dit voorstel te maken.</w:t>
      </w:r>
      <w:r w:rsidRPr="00ED11DA">
        <w:rPr>
          <w:rFonts w:ascii="Verdana" w:hAnsi="Verdana"/>
          <w:sz w:val="18"/>
          <w:szCs w:val="18"/>
        </w:rPr>
        <w:t xml:space="preserve"> </w:t>
      </w:r>
      <w:r w:rsidRPr="00472708" w:rsidR="6EFA05DF">
        <w:rPr>
          <w:rFonts w:ascii="Verdana" w:hAnsi="Verdana"/>
          <w:sz w:val="18"/>
          <w:szCs w:val="18"/>
        </w:rPr>
        <w:t xml:space="preserve">Het kabinet geeft </w:t>
      </w:r>
      <w:r w:rsidRPr="00472708" w:rsidR="4BB86161">
        <w:rPr>
          <w:rFonts w:ascii="Verdana" w:hAnsi="Verdana"/>
          <w:sz w:val="18"/>
          <w:szCs w:val="18"/>
        </w:rPr>
        <w:t xml:space="preserve">daarom </w:t>
      </w:r>
      <w:r w:rsidRPr="00472708" w:rsidR="6EFA05DF">
        <w:rPr>
          <w:rFonts w:ascii="Verdana" w:hAnsi="Verdana"/>
          <w:sz w:val="18"/>
          <w:szCs w:val="18"/>
        </w:rPr>
        <w:t>vooralsnog de voorkeur aan een gerichte inzet van kwalitatieve eisen om de vraag naar producten van EU-bedrijven te bevorderen in strategische sectoren</w:t>
      </w:r>
      <w:r w:rsidRPr="00472708" w:rsidR="4BB86161">
        <w:rPr>
          <w:rFonts w:ascii="Verdana" w:hAnsi="Verdana"/>
          <w:sz w:val="18"/>
          <w:szCs w:val="18"/>
        </w:rPr>
        <w:t xml:space="preserve">, zoals dat ook is gebeurd bij de </w:t>
      </w:r>
      <w:r w:rsidRPr="00335179" w:rsidR="00945881">
        <w:rPr>
          <w:rFonts w:ascii="Verdana" w:hAnsi="Verdana"/>
          <w:i/>
          <w:iCs/>
          <w:sz w:val="18"/>
          <w:szCs w:val="18"/>
        </w:rPr>
        <w:t xml:space="preserve">Net Zero </w:t>
      </w:r>
      <w:proofErr w:type="spellStart"/>
      <w:r w:rsidRPr="00335179" w:rsidR="00945881">
        <w:rPr>
          <w:rFonts w:ascii="Verdana" w:hAnsi="Verdana"/>
          <w:i/>
          <w:iCs/>
          <w:sz w:val="18"/>
          <w:szCs w:val="18"/>
        </w:rPr>
        <w:t>Industry</w:t>
      </w:r>
      <w:proofErr w:type="spellEnd"/>
      <w:r w:rsidRPr="00335179" w:rsidR="00945881">
        <w:rPr>
          <w:rFonts w:ascii="Verdana" w:hAnsi="Verdana"/>
          <w:i/>
          <w:iCs/>
          <w:sz w:val="18"/>
          <w:szCs w:val="18"/>
        </w:rPr>
        <w:t xml:space="preserve"> Act</w:t>
      </w:r>
      <w:r w:rsidR="00945881">
        <w:rPr>
          <w:rFonts w:ascii="Verdana" w:hAnsi="Verdana"/>
          <w:sz w:val="18"/>
          <w:szCs w:val="18"/>
        </w:rPr>
        <w:t xml:space="preserve"> (</w:t>
      </w:r>
      <w:r w:rsidRPr="00472708" w:rsidR="4BB86161">
        <w:rPr>
          <w:rFonts w:ascii="Verdana" w:hAnsi="Verdana"/>
          <w:sz w:val="18"/>
          <w:szCs w:val="18"/>
        </w:rPr>
        <w:t>NZIA</w:t>
      </w:r>
      <w:r w:rsidR="00945881">
        <w:rPr>
          <w:rFonts w:ascii="Verdana" w:hAnsi="Verdana"/>
          <w:sz w:val="18"/>
          <w:szCs w:val="18"/>
        </w:rPr>
        <w:t>)</w:t>
      </w:r>
      <w:r w:rsidRPr="00472708" w:rsidR="6EFA05DF">
        <w:rPr>
          <w:rFonts w:ascii="Verdana" w:hAnsi="Verdana"/>
          <w:sz w:val="18"/>
          <w:szCs w:val="18"/>
        </w:rPr>
        <w:t>.</w:t>
      </w:r>
      <w:r w:rsidRPr="00472708" w:rsidR="6EFA05DF">
        <w:rPr>
          <w:rStyle w:val="FootnoteReference"/>
          <w:rFonts w:ascii="Verdana" w:hAnsi="Verdana"/>
          <w:sz w:val="18"/>
          <w:szCs w:val="18"/>
        </w:rPr>
        <w:footnoteReference w:id="11"/>
      </w:r>
      <w:r w:rsidRPr="00472708" w:rsidR="6EFA05DF">
        <w:rPr>
          <w:rFonts w:ascii="Verdana" w:hAnsi="Verdana"/>
          <w:sz w:val="18"/>
          <w:szCs w:val="18"/>
        </w:rPr>
        <w:t xml:space="preserve"> </w:t>
      </w:r>
      <w:r>
        <w:rPr>
          <w:rFonts w:ascii="Verdana" w:hAnsi="Verdana"/>
          <w:sz w:val="18"/>
          <w:szCs w:val="18"/>
        </w:rPr>
        <w:t xml:space="preserve">Het kabinet zal meegeven dat de </w:t>
      </w:r>
      <w:r w:rsidR="008E2BCD">
        <w:rPr>
          <w:rFonts w:ascii="Verdana" w:hAnsi="Verdana"/>
          <w:sz w:val="18"/>
          <w:szCs w:val="18"/>
        </w:rPr>
        <w:t>EU</w:t>
      </w:r>
      <w:r>
        <w:rPr>
          <w:rFonts w:ascii="Verdana" w:hAnsi="Verdana"/>
          <w:sz w:val="18"/>
          <w:szCs w:val="18"/>
        </w:rPr>
        <w:t xml:space="preserve"> </w:t>
      </w:r>
      <w:r w:rsidRPr="00ED11DA">
        <w:rPr>
          <w:rFonts w:ascii="Verdana" w:hAnsi="Verdana"/>
          <w:sz w:val="18"/>
          <w:szCs w:val="18"/>
        </w:rPr>
        <w:t xml:space="preserve">in beginsel baat heeft bij open aanbestedingsmarkten en </w:t>
      </w:r>
      <w:r>
        <w:rPr>
          <w:rFonts w:ascii="Verdana" w:hAnsi="Verdana"/>
          <w:sz w:val="18"/>
          <w:szCs w:val="18"/>
        </w:rPr>
        <w:t xml:space="preserve">dergelijke </w:t>
      </w:r>
      <w:r w:rsidRPr="007F47F0">
        <w:rPr>
          <w:rFonts w:ascii="Verdana" w:hAnsi="Verdana"/>
          <w:sz w:val="18"/>
          <w:szCs w:val="18"/>
        </w:rPr>
        <w:t>voorstel</w:t>
      </w:r>
      <w:r>
        <w:rPr>
          <w:rFonts w:ascii="Verdana" w:hAnsi="Verdana"/>
          <w:sz w:val="18"/>
          <w:szCs w:val="18"/>
        </w:rPr>
        <w:t>len</w:t>
      </w:r>
      <w:r w:rsidRPr="007F47F0">
        <w:rPr>
          <w:rFonts w:ascii="Verdana" w:hAnsi="Verdana"/>
          <w:sz w:val="18"/>
          <w:szCs w:val="18"/>
        </w:rPr>
        <w:t xml:space="preserve"> </w:t>
      </w:r>
      <w:r w:rsidRPr="00ED11DA">
        <w:rPr>
          <w:rFonts w:ascii="Verdana" w:hAnsi="Verdana"/>
          <w:sz w:val="18"/>
          <w:szCs w:val="18"/>
        </w:rPr>
        <w:t xml:space="preserve">niet tot onnodige afscherming van de </w:t>
      </w:r>
      <w:r w:rsidR="00312B38">
        <w:rPr>
          <w:rFonts w:ascii="Verdana" w:hAnsi="Verdana"/>
          <w:sz w:val="18"/>
          <w:szCs w:val="18"/>
        </w:rPr>
        <w:t>EU-</w:t>
      </w:r>
      <w:r w:rsidRPr="00ED11DA">
        <w:rPr>
          <w:rFonts w:ascii="Verdana" w:hAnsi="Verdana"/>
          <w:sz w:val="18"/>
          <w:szCs w:val="18"/>
        </w:rPr>
        <w:t xml:space="preserve">aanbestedingsmarkt </w:t>
      </w:r>
      <w:r w:rsidRPr="007F47F0">
        <w:rPr>
          <w:rFonts w:ascii="Verdana" w:hAnsi="Verdana"/>
          <w:sz w:val="18"/>
          <w:szCs w:val="18"/>
        </w:rPr>
        <w:t>m</w:t>
      </w:r>
      <w:r>
        <w:rPr>
          <w:rFonts w:ascii="Verdana" w:hAnsi="Verdana"/>
          <w:sz w:val="18"/>
          <w:szCs w:val="18"/>
        </w:rPr>
        <w:t>o</w:t>
      </w:r>
      <w:r w:rsidRPr="007F47F0">
        <w:rPr>
          <w:rFonts w:ascii="Verdana" w:hAnsi="Verdana"/>
          <w:sz w:val="18"/>
          <w:szCs w:val="18"/>
        </w:rPr>
        <w:t>g</w:t>
      </w:r>
      <w:r>
        <w:rPr>
          <w:rFonts w:ascii="Verdana" w:hAnsi="Verdana"/>
          <w:sz w:val="18"/>
          <w:szCs w:val="18"/>
        </w:rPr>
        <w:t>en</w:t>
      </w:r>
      <w:r w:rsidRPr="00ED11DA">
        <w:rPr>
          <w:rFonts w:ascii="Verdana" w:hAnsi="Verdana"/>
          <w:sz w:val="18"/>
          <w:szCs w:val="18"/>
        </w:rPr>
        <w:t xml:space="preserve"> leiden. Daarnaast is conformiteit met relevante afspraken uit EU-handelsakkoorden en de Overeenkomst inzake overheidsopdrachten van de WTO</w:t>
      </w:r>
      <w:r w:rsidRPr="544F30D5">
        <w:rPr>
          <w:rStyle w:val="FootnoteReference"/>
          <w:rFonts w:ascii="Verdana" w:hAnsi="Verdana"/>
          <w:i/>
          <w:iCs/>
          <w:sz w:val="18"/>
          <w:szCs w:val="18"/>
        </w:rPr>
        <w:t xml:space="preserve"> </w:t>
      </w:r>
      <w:r w:rsidRPr="00ED11DA">
        <w:rPr>
          <w:rFonts w:ascii="Verdana" w:hAnsi="Verdana"/>
          <w:sz w:val="18"/>
          <w:szCs w:val="18"/>
        </w:rPr>
        <w:t xml:space="preserve">een minimumrandvoorwaarde. Het kabinet onderschrijft de doelstellingen van de Commissie die toezien op het versterken van de </w:t>
      </w:r>
      <w:r w:rsidR="008E2BCD">
        <w:rPr>
          <w:rFonts w:ascii="Verdana" w:hAnsi="Verdana"/>
          <w:sz w:val="18"/>
          <w:szCs w:val="18"/>
        </w:rPr>
        <w:t>EU-</w:t>
      </w:r>
      <w:r w:rsidRPr="00ED11DA">
        <w:rPr>
          <w:rFonts w:ascii="Verdana" w:hAnsi="Verdana"/>
          <w:sz w:val="18"/>
          <w:szCs w:val="18"/>
        </w:rPr>
        <w:t xml:space="preserve">defensie-industrie, zoals </w:t>
      </w:r>
      <w:r w:rsidR="00485798">
        <w:rPr>
          <w:rFonts w:ascii="Verdana" w:hAnsi="Verdana"/>
          <w:sz w:val="18"/>
          <w:szCs w:val="18"/>
        </w:rPr>
        <w:t xml:space="preserve">het bevorderen van samenwerking tussen lidstaten via gemeenschappelijke aanschaf. Dit draagt </w:t>
      </w:r>
      <w:r w:rsidR="00DA0A47">
        <w:rPr>
          <w:rFonts w:ascii="Verdana" w:hAnsi="Verdana"/>
          <w:sz w:val="18"/>
          <w:szCs w:val="18"/>
        </w:rPr>
        <w:t>o</w:t>
      </w:r>
      <w:r w:rsidR="008E2BCD">
        <w:rPr>
          <w:rFonts w:ascii="Verdana" w:hAnsi="Verdana"/>
          <w:sz w:val="18"/>
          <w:szCs w:val="18"/>
        </w:rPr>
        <w:t>nder andere</w:t>
      </w:r>
      <w:r w:rsidR="00DA0A47">
        <w:rPr>
          <w:rFonts w:ascii="Verdana" w:hAnsi="Verdana"/>
          <w:sz w:val="18"/>
          <w:szCs w:val="18"/>
        </w:rPr>
        <w:t xml:space="preserve"> </w:t>
      </w:r>
      <w:r w:rsidR="00485798">
        <w:rPr>
          <w:rFonts w:ascii="Verdana" w:hAnsi="Verdana"/>
          <w:sz w:val="18"/>
          <w:szCs w:val="18"/>
        </w:rPr>
        <w:t xml:space="preserve">bij aan </w:t>
      </w:r>
      <w:r w:rsidR="00DA0A47">
        <w:rPr>
          <w:rFonts w:ascii="Verdana" w:hAnsi="Verdana"/>
          <w:sz w:val="18"/>
          <w:szCs w:val="18"/>
        </w:rPr>
        <w:t xml:space="preserve">harmonisatie van behoeftestelling </w:t>
      </w:r>
      <w:r w:rsidRPr="00ED11DA">
        <w:rPr>
          <w:rFonts w:ascii="Verdana" w:hAnsi="Verdana"/>
          <w:sz w:val="18"/>
          <w:szCs w:val="18"/>
        </w:rPr>
        <w:t xml:space="preserve">en interoperabiliteit. </w:t>
      </w:r>
      <w:r w:rsidRPr="007C1FF2" w:rsidR="007517F6">
        <w:rPr>
          <w:rFonts w:ascii="Verdana" w:hAnsi="Verdana"/>
          <w:sz w:val="18"/>
          <w:szCs w:val="18"/>
        </w:rPr>
        <w:t xml:space="preserve">Het kabinet zet in op onderzoek en ontwikkeling voor Defensie gericht op onder andere geavanceerde en disruptieve technologieën en innovaties </w:t>
      </w:r>
      <w:r w:rsidR="004D006A">
        <w:rPr>
          <w:rFonts w:ascii="Verdana" w:hAnsi="Verdana"/>
          <w:sz w:val="18"/>
          <w:szCs w:val="18"/>
        </w:rPr>
        <w:t xml:space="preserve">met toepassingsmogelijkheden in zowel </w:t>
      </w:r>
      <w:r w:rsidRPr="007C1FF2" w:rsidR="007517F6">
        <w:rPr>
          <w:rFonts w:ascii="Verdana" w:hAnsi="Verdana"/>
          <w:sz w:val="18"/>
          <w:szCs w:val="18"/>
        </w:rPr>
        <w:t xml:space="preserve">het civiele </w:t>
      </w:r>
      <w:r w:rsidR="004D006A">
        <w:rPr>
          <w:rFonts w:ascii="Verdana" w:hAnsi="Verdana"/>
          <w:sz w:val="18"/>
          <w:szCs w:val="18"/>
        </w:rPr>
        <w:t>als</w:t>
      </w:r>
      <w:r w:rsidRPr="007C1FF2" w:rsidR="007517F6">
        <w:rPr>
          <w:rFonts w:ascii="Verdana" w:hAnsi="Verdana"/>
          <w:sz w:val="18"/>
          <w:szCs w:val="18"/>
        </w:rPr>
        <w:t xml:space="preserve"> militaire </w:t>
      </w:r>
      <w:r w:rsidR="004D006A">
        <w:rPr>
          <w:rFonts w:ascii="Verdana" w:hAnsi="Verdana"/>
          <w:sz w:val="18"/>
          <w:szCs w:val="18"/>
        </w:rPr>
        <w:t>domein</w:t>
      </w:r>
      <w:r w:rsidRPr="007C1FF2" w:rsidR="007517F6">
        <w:rPr>
          <w:rFonts w:ascii="Verdana" w:hAnsi="Verdana"/>
          <w:sz w:val="18"/>
          <w:szCs w:val="18"/>
        </w:rPr>
        <w:t>, die breder bijdragen aan het concurrentievermogen van Nederland.</w:t>
      </w:r>
      <w:r w:rsidR="007517F6">
        <w:rPr>
          <w:rFonts w:ascii="Verdana" w:hAnsi="Verdana"/>
          <w:sz w:val="18"/>
          <w:szCs w:val="18"/>
        </w:rPr>
        <w:t xml:space="preserve"> </w:t>
      </w:r>
    </w:p>
    <w:p w:rsidR="00D5722F" w:rsidP="00BD666C" w:rsidRDefault="00D5722F" w14:paraId="1AFC07AC" w14:textId="77777777">
      <w:pPr>
        <w:spacing w:line="360" w:lineRule="auto"/>
        <w:rPr>
          <w:rFonts w:ascii="Verdana" w:hAnsi="Verdana"/>
          <w:sz w:val="18"/>
          <w:szCs w:val="18"/>
        </w:rPr>
      </w:pPr>
    </w:p>
    <w:p w:rsidR="00532838" w:rsidP="00BD666C" w:rsidRDefault="00BD666C" w14:paraId="636EF61B" w14:textId="36BD65ED">
      <w:pPr>
        <w:spacing w:line="360" w:lineRule="auto"/>
        <w:rPr>
          <w:rFonts w:ascii="Verdana" w:hAnsi="Verdana"/>
          <w:sz w:val="18"/>
          <w:szCs w:val="18"/>
        </w:rPr>
      </w:pPr>
      <w:r w:rsidRPr="00ED11DA">
        <w:rPr>
          <w:rFonts w:ascii="Verdana" w:hAnsi="Verdana"/>
          <w:sz w:val="18"/>
          <w:szCs w:val="18"/>
        </w:rPr>
        <w:lastRenderedPageBreak/>
        <w:t xml:space="preserve">Daarnaast hanteert het kabinet een </w:t>
      </w:r>
      <w:proofErr w:type="spellStart"/>
      <w:r w:rsidRPr="00ED11DA">
        <w:rPr>
          <w:rFonts w:ascii="Verdana" w:hAnsi="Verdana"/>
          <w:sz w:val="18"/>
          <w:szCs w:val="18"/>
        </w:rPr>
        <w:t>overheidsbrede</w:t>
      </w:r>
      <w:proofErr w:type="spellEnd"/>
      <w:r w:rsidRPr="00ED11DA">
        <w:rPr>
          <w:rFonts w:ascii="Verdana" w:hAnsi="Verdana"/>
          <w:sz w:val="18"/>
          <w:szCs w:val="18"/>
        </w:rPr>
        <w:t xml:space="preserve"> aanpak om maatschappelijke en economische weerbaarheid en paraatheid te versterken, onder meer in </w:t>
      </w:r>
      <w:r w:rsidR="00C279AF">
        <w:rPr>
          <w:rFonts w:ascii="Verdana" w:hAnsi="Verdana"/>
          <w:sz w:val="18"/>
          <w:szCs w:val="18"/>
        </w:rPr>
        <w:t>voorbereiding op</w:t>
      </w:r>
      <w:r w:rsidRPr="00ED11DA">
        <w:rPr>
          <w:rFonts w:ascii="Verdana" w:hAnsi="Verdana"/>
          <w:sz w:val="18"/>
          <w:szCs w:val="18"/>
        </w:rPr>
        <w:t xml:space="preserve"> hybride </w:t>
      </w:r>
      <w:r w:rsidR="00C279AF">
        <w:rPr>
          <w:rFonts w:ascii="Verdana" w:hAnsi="Verdana"/>
          <w:sz w:val="18"/>
          <w:szCs w:val="18"/>
        </w:rPr>
        <w:t xml:space="preserve">en militaire </w:t>
      </w:r>
      <w:r w:rsidRPr="00ED11DA">
        <w:rPr>
          <w:rFonts w:ascii="Verdana" w:hAnsi="Verdana"/>
          <w:sz w:val="18"/>
          <w:szCs w:val="18"/>
        </w:rPr>
        <w:t>dreigingen</w:t>
      </w:r>
      <w:r w:rsidR="00437FEA">
        <w:rPr>
          <w:rFonts w:ascii="Verdana" w:hAnsi="Verdana"/>
          <w:sz w:val="18"/>
          <w:szCs w:val="18"/>
        </w:rPr>
        <w:t>, gezondheidsdreigingen</w:t>
      </w:r>
      <w:r w:rsidRPr="00ED11DA">
        <w:rPr>
          <w:rFonts w:ascii="Verdana" w:hAnsi="Verdana"/>
          <w:sz w:val="18"/>
          <w:szCs w:val="18"/>
        </w:rPr>
        <w:t xml:space="preserve"> of extreme klimaatomstandigheden. Het kabinet onderkent het grote belang van het bedrijfsleven en maatschappelijke organisaties hiervoor.</w:t>
      </w:r>
      <w:r>
        <w:rPr>
          <w:rStyle w:val="FootnoteReference"/>
          <w:rFonts w:ascii="Verdana" w:hAnsi="Verdana"/>
          <w:sz w:val="18"/>
          <w:szCs w:val="18"/>
        </w:rPr>
        <w:footnoteReference w:id="12"/>
      </w:r>
      <w:r w:rsidRPr="00ED11DA">
        <w:rPr>
          <w:rFonts w:ascii="Verdana" w:hAnsi="Verdana"/>
          <w:sz w:val="18"/>
          <w:szCs w:val="18"/>
        </w:rPr>
        <w:t xml:space="preserve"> </w:t>
      </w:r>
    </w:p>
    <w:p w:rsidRPr="00C713A3" w:rsidR="00BD666C" w:rsidP="00BD666C" w:rsidRDefault="00BD666C" w14:paraId="5C666E8A" w14:textId="072CF991">
      <w:pPr>
        <w:spacing w:line="360" w:lineRule="auto"/>
        <w:rPr>
          <w:rFonts w:ascii="Verdana" w:hAnsi="Verdana"/>
          <w:sz w:val="18"/>
          <w:szCs w:val="18"/>
        </w:rPr>
      </w:pPr>
      <w:r w:rsidRPr="00ED11DA">
        <w:rPr>
          <w:rFonts w:ascii="Verdana" w:hAnsi="Verdana"/>
          <w:sz w:val="18"/>
          <w:szCs w:val="18"/>
        </w:rPr>
        <w:t>Het kabinet zet in nauwe samenspraak met de private sector in op een samenhangende aanpak voor het borgen van de continuïteit van de economie bij een crisis</w:t>
      </w:r>
      <w:r w:rsidRPr="00FE472C">
        <w:rPr>
          <w:rFonts w:ascii="Verdana" w:hAnsi="Verdana"/>
          <w:sz w:val="18"/>
          <w:szCs w:val="18"/>
        </w:rPr>
        <w:t>.</w:t>
      </w:r>
    </w:p>
    <w:p w:rsidRPr="000225E9" w:rsidR="00BD666C" w:rsidP="00BD666C" w:rsidRDefault="00BD666C" w14:paraId="331E96F5" w14:textId="77777777">
      <w:pPr>
        <w:spacing w:line="360" w:lineRule="auto"/>
        <w:rPr>
          <w:rFonts w:ascii="Verdana" w:hAnsi="Verdana"/>
          <w:b/>
          <w:bCs/>
          <w:iCs/>
          <w:sz w:val="18"/>
          <w:szCs w:val="18"/>
        </w:rPr>
      </w:pPr>
    </w:p>
    <w:p w:rsidRPr="00C30497" w:rsidR="00C30497" w:rsidP="00C30497" w:rsidRDefault="00BD666C" w14:paraId="14E3199C" w14:textId="77777777">
      <w:pPr>
        <w:spacing w:line="360" w:lineRule="auto"/>
        <w:rPr>
          <w:rFonts w:ascii="Verdana" w:hAnsi="Verdana"/>
          <w:sz w:val="18"/>
          <w:szCs w:val="18"/>
        </w:rPr>
      </w:pPr>
      <w:r w:rsidRPr="002513B8">
        <w:rPr>
          <w:rFonts w:ascii="Verdana" w:hAnsi="Verdana"/>
          <w:sz w:val="18"/>
          <w:szCs w:val="18"/>
        </w:rPr>
        <w:t xml:space="preserve">Het kabinet </w:t>
      </w:r>
      <w:r w:rsidR="00FC263E">
        <w:rPr>
          <w:rFonts w:ascii="Verdana" w:hAnsi="Verdana"/>
          <w:sz w:val="18"/>
          <w:szCs w:val="18"/>
        </w:rPr>
        <w:t xml:space="preserve">verwelkomt </w:t>
      </w:r>
      <w:r w:rsidRPr="002513B8">
        <w:rPr>
          <w:rFonts w:ascii="Verdana" w:hAnsi="Verdana"/>
          <w:sz w:val="18"/>
          <w:szCs w:val="18"/>
        </w:rPr>
        <w:t>dat de Commissie</w:t>
      </w:r>
      <w:r>
        <w:rPr>
          <w:rFonts w:ascii="Verdana" w:hAnsi="Verdana"/>
          <w:sz w:val="18"/>
          <w:szCs w:val="18"/>
        </w:rPr>
        <w:t xml:space="preserve"> aandacht heeft voor de </w:t>
      </w:r>
      <w:r w:rsidRPr="001E7C96">
        <w:rPr>
          <w:rFonts w:ascii="Verdana" w:hAnsi="Verdana"/>
          <w:sz w:val="18"/>
          <w:szCs w:val="18"/>
        </w:rPr>
        <w:t xml:space="preserve">vereenvoudiging </w:t>
      </w:r>
      <w:r>
        <w:rPr>
          <w:rFonts w:ascii="Verdana" w:hAnsi="Verdana"/>
          <w:sz w:val="18"/>
          <w:szCs w:val="18"/>
        </w:rPr>
        <w:t xml:space="preserve">van regels en het verminderen van regeldruk, onder andere door middel van een aangekondigde serie van omnibusvoorstellen gericht op </w:t>
      </w:r>
      <w:r w:rsidR="0077363C">
        <w:rPr>
          <w:rFonts w:ascii="Verdana" w:hAnsi="Verdana"/>
          <w:sz w:val="18"/>
          <w:szCs w:val="18"/>
        </w:rPr>
        <w:t xml:space="preserve">het </w:t>
      </w:r>
      <w:r>
        <w:rPr>
          <w:rFonts w:ascii="Verdana" w:hAnsi="Verdana"/>
          <w:sz w:val="18"/>
          <w:szCs w:val="18"/>
        </w:rPr>
        <w:t xml:space="preserve">verminderen van lasten en </w:t>
      </w:r>
      <w:r w:rsidR="002C6800">
        <w:rPr>
          <w:rFonts w:ascii="Verdana" w:hAnsi="Verdana"/>
          <w:sz w:val="18"/>
          <w:szCs w:val="18"/>
        </w:rPr>
        <w:t xml:space="preserve">onnodige </w:t>
      </w:r>
      <w:r>
        <w:rPr>
          <w:rFonts w:ascii="Verdana" w:hAnsi="Verdana"/>
          <w:sz w:val="18"/>
          <w:szCs w:val="18"/>
        </w:rPr>
        <w:t>regeldruk.</w:t>
      </w:r>
      <w:r w:rsidRPr="00BE2A42">
        <w:rPr>
          <w:rFonts w:ascii="Segoe UI" w:hAnsi="Segoe UI" w:cs="Segoe UI"/>
          <w:sz w:val="18"/>
          <w:szCs w:val="18"/>
        </w:rPr>
        <w:t xml:space="preserve"> </w:t>
      </w:r>
      <w:r w:rsidRPr="009C72E8">
        <w:rPr>
          <w:rFonts w:ascii="Verdana" w:hAnsi="Verdana"/>
          <w:sz w:val="18"/>
          <w:szCs w:val="18"/>
        </w:rPr>
        <w:t xml:space="preserve">Ook voor </w:t>
      </w:r>
      <w:r>
        <w:rPr>
          <w:rFonts w:ascii="Verdana" w:hAnsi="Verdana"/>
          <w:sz w:val="18"/>
          <w:szCs w:val="18"/>
        </w:rPr>
        <w:t>het kabinet</w:t>
      </w:r>
      <w:r w:rsidRPr="009C72E8">
        <w:rPr>
          <w:rFonts w:ascii="Verdana" w:hAnsi="Verdana"/>
          <w:sz w:val="18"/>
          <w:szCs w:val="18"/>
        </w:rPr>
        <w:t xml:space="preserve"> is het verlichten van regeldruk een prioriteit. </w:t>
      </w:r>
      <w:bookmarkStart w:name="_Hlk191465927" w:id="7"/>
      <w:r w:rsidRPr="00BE2A42" w:rsidR="00693F4D">
        <w:rPr>
          <w:rFonts w:ascii="Verdana" w:hAnsi="Verdana"/>
          <w:sz w:val="18"/>
          <w:szCs w:val="18"/>
        </w:rPr>
        <w:t>Het kabinet verwelkomt daarom deze inspanningen om de regeldruk te verminderen door bijvoorbeeld rapportagevereisten van verschillende wetten te stroomlijnen,</w:t>
      </w:r>
      <w:r w:rsidR="00693F4D">
        <w:rPr>
          <w:rFonts w:ascii="Verdana" w:hAnsi="Verdana"/>
          <w:sz w:val="18"/>
          <w:szCs w:val="18"/>
        </w:rPr>
        <w:t xml:space="preserve"> </w:t>
      </w:r>
      <w:r w:rsidRPr="004D006A" w:rsidR="00693F4D">
        <w:rPr>
          <w:rFonts w:ascii="Verdana" w:hAnsi="Verdana"/>
          <w:sz w:val="18"/>
          <w:szCs w:val="18"/>
        </w:rPr>
        <w:t>zonder de daarmee verband houdende beleidsdoelstellingen te ondermijnen</w:t>
      </w:r>
      <w:r w:rsidRPr="00BE2A42" w:rsidR="00693F4D">
        <w:rPr>
          <w:rFonts w:ascii="Verdana" w:hAnsi="Verdana"/>
          <w:sz w:val="18"/>
          <w:szCs w:val="18"/>
        </w:rPr>
        <w:t>.</w:t>
      </w:r>
      <w:r w:rsidR="00693F4D">
        <w:rPr>
          <w:rFonts w:ascii="Verdana" w:hAnsi="Verdana"/>
          <w:sz w:val="18"/>
          <w:szCs w:val="18"/>
        </w:rPr>
        <w:t xml:space="preserve"> </w:t>
      </w:r>
      <w:r>
        <w:rPr>
          <w:rFonts w:ascii="Verdana" w:hAnsi="Verdana"/>
          <w:sz w:val="18"/>
          <w:szCs w:val="18"/>
        </w:rPr>
        <w:t>V</w:t>
      </w:r>
      <w:r w:rsidRPr="00135EFE">
        <w:rPr>
          <w:rFonts w:ascii="Verdana" w:hAnsi="Verdana"/>
          <w:sz w:val="18"/>
          <w:szCs w:val="18"/>
        </w:rPr>
        <w:t>oorspelbaarheid en rechts</w:t>
      </w:r>
      <w:r w:rsidR="00D46121">
        <w:rPr>
          <w:rFonts w:ascii="Verdana" w:hAnsi="Verdana"/>
          <w:sz w:val="18"/>
          <w:szCs w:val="18"/>
        </w:rPr>
        <w:t>- en investerings</w:t>
      </w:r>
      <w:r w:rsidRPr="00135EFE">
        <w:rPr>
          <w:rFonts w:ascii="Verdana" w:hAnsi="Verdana"/>
          <w:sz w:val="18"/>
          <w:szCs w:val="18"/>
        </w:rPr>
        <w:t>zekerheid voor bedrijven en betrouwbaarheid van het (Europese) wetgevingsproces blij</w:t>
      </w:r>
      <w:r>
        <w:rPr>
          <w:rFonts w:ascii="Verdana" w:hAnsi="Verdana"/>
          <w:sz w:val="18"/>
          <w:szCs w:val="18"/>
        </w:rPr>
        <w:t>ven</w:t>
      </w:r>
      <w:r w:rsidRPr="00135EFE">
        <w:rPr>
          <w:rFonts w:ascii="Verdana" w:hAnsi="Verdana"/>
          <w:sz w:val="18"/>
          <w:szCs w:val="18"/>
        </w:rPr>
        <w:t xml:space="preserve"> daarbij een belangrijk aandachtspunt</w:t>
      </w:r>
      <w:bookmarkEnd w:id="7"/>
      <w:r>
        <w:rPr>
          <w:rFonts w:ascii="Verdana" w:hAnsi="Verdana"/>
          <w:sz w:val="18"/>
          <w:szCs w:val="18"/>
        </w:rPr>
        <w:t xml:space="preserve">. </w:t>
      </w:r>
      <w:r w:rsidRPr="009A665F" w:rsidR="00C30497">
        <w:rPr>
          <w:rFonts w:ascii="Verdana" w:hAnsi="Verdana"/>
          <w:sz w:val="18"/>
          <w:szCs w:val="18"/>
        </w:rPr>
        <w:t>Het kabinet zal deze voorstellen individueel beoordelen op basis van merites. Uw Kamer zal via de geëigende wegen nader worden geïnformeerd over de kabinetspositie.</w:t>
      </w:r>
    </w:p>
    <w:p w:rsidR="00BD666C" w:rsidP="00BD666C" w:rsidRDefault="004031DD" w14:paraId="37920062" w14:textId="675A4026">
      <w:pPr>
        <w:spacing w:line="360" w:lineRule="auto"/>
        <w:rPr>
          <w:rFonts w:ascii="Verdana" w:hAnsi="Verdana"/>
          <w:sz w:val="18"/>
          <w:szCs w:val="18"/>
        </w:rPr>
      </w:pPr>
      <w:r>
        <w:rPr>
          <w:rFonts w:ascii="Verdana" w:hAnsi="Verdana"/>
          <w:sz w:val="18"/>
          <w:szCs w:val="18"/>
        </w:rPr>
        <w:t>Daarbij moet over het kompas worden opgemerkt dat, hoewel</w:t>
      </w:r>
      <w:r w:rsidR="00BD666C">
        <w:rPr>
          <w:rFonts w:ascii="Verdana" w:hAnsi="Verdana"/>
          <w:sz w:val="18"/>
          <w:szCs w:val="18"/>
        </w:rPr>
        <w:t xml:space="preserve"> regeldruk een prioriteit </w:t>
      </w:r>
      <w:r w:rsidR="00FC263E">
        <w:rPr>
          <w:rFonts w:ascii="Verdana" w:hAnsi="Verdana"/>
          <w:sz w:val="18"/>
          <w:szCs w:val="18"/>
        </w:rPr>
        <w:t>is</w:t>
      </w:r>
      <w:r w:rsidR="00BD666C">
        <w:rPr>
          <w:rFonts w:ascii="Verdana" w:hAnsi="Verdana"/>
          <w:sz w:val="18"/>
          <w:szCs w:val="18"/>
        </w:rPr>
        <w:t>, d</w:t>
      </w:r>
      <w:r w:rsidRPr="007A6DD0" w:rsidR="00BD666C">
        <w:rPr>
          <w:rFonts w:ascii="Verdana" w:hAnsi="Verdana"/>
          <w:sz w:val="18"/>
          <w:szCs w:val="18"/>
        </w:rPr>
        <w:t>e mededeling een groot aantal nieuwe voorstellen, plannen en strategieën aan</w:t>
      </w:r>
      <w:r>
        <w:rPr>
          <w:rFonts w:ascii="Verdana" w:hAnsi="Verdana"/>
          <w:sz w:val="18"/>
          <w:szCs w:val="18"/>
        </w:rPr>
        <w:t>kondigt</w:t>
      </w:r>
      <w:r w:rsidRPr="007A6DD0" w:rsidR="00BD666C">
        <w:rPr>
          <w:rFonts w:ascii="Verdana" w:hAnsi="Verdana"/>
          <w:sz w:val="18"/>
          <w:szCs w:val="18"/>
        </w:rPr>
        <w:t>.</w:t>
      </w:r>
      <w:r w:rsidR="00BD666C">
        <w:rPr>
          <w:rFonts w:ascii="Verdana" w:hAnsi="Verdana"/>
          <w:sz w:val="18"/>
          <w:szCs w:val="18"/>
        </w:rPr>
        <w:t xml:space="preserve"> </w:t>
      </w:r>
      <w:r w:rsidRPr="008549C8" w:rsidR="00BD666C">
        <w:rPr>
          <w:rFonts w:ascii="Verdana" w:hAnsi="Verdana"/>
          <w:sz w:val="18"/>
          <w:szCs w:val="18"/>
        </w:rPr>
        <w:t>Het kabinet zal zich ervoor</w:t>
      </w:r>
      <w:r w:rsidR="00BD666C">
        <w:rPr>
          <w:rFonts w:ascii="Verdana" w:hAnsi="Verdana"/>
          <w:sz w:val="18"/>
          <w:szCs w:val="18"/>
        </w:rPr>
        <w:t xml:space="preserve"> blijven</w:t>
      </w:r>
      <w:r w:rsidRPr="008549C8" w:rsidR="00BD666C">
        <w:rPr>
          <w:rFonts w:ascii="Verdana" w:hAnsi="Verdana"/>
          <w:sz w:val="18"/>
          <w:szCs w:val="18"/>
        </w:rPr>
        <w:t xml:space="preserve"> inzetten dat de Commissie </w:t>
      </w:r>
      <w:r w:rsidR="002C6800">
        <w:rPr>
          <w:rFonts w:ascii="Verdana" w:hAnsi="Verdana"/>
          <w:sz w:val="18"/>
          <w:szCs w:val="18"/>
        </w:rPr>
        <w:t xml:space="preserve">gedegen </w:t>
      </w:r>
      <w:r w:rsidRPr="00F72FF5" w:rsidR="00BD666C">
        <w:rPr>
          <w:rFonts w:ascii="Verdana" w:hAnsi="Verdana"/>
          <w:i/>
          <w:sz w:val="18"/>
          <w:szCs w:val="18"/>
        </w:rPr>
        <w:t>impact</w:t>
      </w:r>
      <w:r w:rsidRPr="00F72FF5" w:rsidR="00281EB7">
        <w:rPr>
          <w:rFonts w:ascii="Verdana" w:hAnsi="Verdana"/>
          <w:i/>
          <w:sz w:val="18"/>
          <w:szCs w:val="18"/>
        </w:rPr>
        <w:t xml:space="preserve"> </w:t>
      </w:r>
      <w:r w:rsidRPr="00F72FF5" w:rsidR="00BD666C">
        <w:rPr>
          <w:rFonts w:ascii="Verdana" w:hAnsi="Verdana"/>
          <w:i/>
          <w:sz w:val="18"/>
          <w:szCs w:val="18"/>
        </w:rPr>
        <w:t>assessments</w:t>
      </w:r>
      <w:r w:rsidRPr="008549C8" w:rsidR="00BD666C">
        <w:rPr>
          <w:rFonts w:ascii="Verdana" w:hAnsi="Verdana"/>
          <w:sz w:val="18"/>
          <w:szCs w:val="18"/>
        </w:rPr>
        <w:t xml:space="preserve"> uitvoert voordat de nieuwe wetgeving </w:t>
      </w:r>
      <w:r w:rsidRPr="00335179" w:rsidR="00410DA9">
        <w:rPr>
          <w:rFonts w:ascii="Verdana" w:hAnsi="Verdana"/>
          <w:sz w:val="18"/>
          <w:szCs w:val="18"/>
        </w:rPr>
        <w:t>g</w:t>
      </w:r>
      <w:r w:rsidR="000D099A">
        <w:rPr>
          <w:rFonts w:ascii="Verdana" w:hAnsi="Verdana"/>
          <w:sz w:val="18"/>
          <w:szCs w:val="18"/>
        </w:rPr>
        <w:t>eï</w:t>
      </w:r>
      <w:r w:rsidRPr="008549C8" w:rsidR="00BD666C">
        <w:rPr>
          <w:rFonts w:ascii="Verdana" w:hAnsi="Verdana"/>
          <w:sz w:val="18"/>
          <w:szCs w:val="18"/>
        </w:rPr>
        <w:t>ntroduceer</w:t>
      </w:r>
      <w:r w:rsidR="008E6DB2">
        <w:rPr>
          <w:rFonts w:ascii="Verdana" w:hAnsi="Verdana"/>
          <w:sz w:val="18"/>
          <w:szCs w:val="18"/>
        </w:rPr>
        <w:t>d wordt</w:t>
      </w:r>
      <w:r w:rsidR="00BD666C">
        <w:rPr>
          <w:rStyle w:val="FootnoteReference"/>
          <w:rFonts w:ascii="Verdana" w:hAnsi="Verdana"/>
          <w:sz w:val="18"/>
          <w:szCs w:val="18"/>
        </w:rPr>
        <w:footnoteReference w:id="13"/>
      </w:r>
      <w:r w:rsidR="00BD666C">
        <w:rPr>
          <w:rFonts w:ascii="Verdana" w:hAnsi="Verdana"/>
          <w:sz w:val="18"/>
          <w:szCs w:val="18"/>
        </w:rPr>
        <w:t xml:space="preserve">, </w:t>
      </w:r>
      <w:r w:rsidRPr="00963EB7" w:rsidR="00BD666C">
        <w:rPr>
          <w:rFonts w:ascii="Verdana" w:hAnsi="Verdana"/>
          <w:sz w:val="18"/>
          <w:szCs w:val="18"/>
        </w:rPr>
        <w:t xml:space="preserve">zodat </w:t>
      </w:r>
      <w:r w:rsidRPr="001E7C96" w:rsidR="00BD666C">
        <w:rPr>
          <w:rFonts w:ascii="Verdana" w:hAnsi="Verdana"/>
          <w:sz w:val="18"/>
          <w:szCs w:val="18"/>
        </w:rPr>
        <w:t>duidelijk is hoe Europese wetgeving uitpakt voor onder andere het mkb, uitvoeringsinstanties</w:t>
      </w:r>
      <w:r w:rsidR="008E6DB2">
        <w:rPr>
          <w:rFonts w:ascii="Verdana" w:hAnsi="Verdana"/>
          <w:sz w:val="18"/>
          <w:szCs w:val="18"/>
        </w:rPr>
        <w:t xml:space="preserve"> en</w:t>
      </w:r>
      <w:r w:rsidRPr="001E7C96" w:rsidR="00BD666C">
        <w:rPr>
          <w:rFonts w:ascii="Verdana" w:hAnsi="Verdana"/>
          <w:sz w:val="18"/>
          <w:szCs w:val="18"/>
        </w:rPr>
        <w:t xml:space="preserve"> medeoverheden en wat de territoriale impact is. Het kabinet onderschrijft dat ook de Raad en het Europees Parlement</w:t>
      </w:r>
      <w:r w:rsidR="00AC415E">
        <w:rPr>
          <w:rFonts w:ascii="Verdana" w:hAnsi="Verdana"/>
          <w:sz w:val="18"/>
          <w:szCs w:val="18"/>
        </w:rPr>
        <w:t xml:space="preserve"> </w:t>
      </w:r>
      <w:r w:rsidRPr="001E7C96" w:rsidR="00BD666C">
        <w:rPr>
          <w:rFonts w:ascii="Verdana" w:hAnsi="Verdana"/>
          <w:sz w:val="18"/>
          <w:szCs w:val="18"/>
        </w:rPr>
        <w:t xml:space="preserve">hierbij een rol te spelen hebben, door de impact voor regelgeving in kaart te brengen op het moment dat belangrijke wijzigingen in wetgeving worden voorgesteld. </w:t>
      </w:r>
    </w:p>
    <w:p w:rsidRPr="006140A7" w:rsidR="00BD666C" w:rsidP="00BD666C" w:rsidRDefault="00BD666C" w14:paraId="77257F19" w14:textId="77777777">
      <w:pPr>
        <w:spacing w:line="360" w:lineRule="auto"/>
        <w:rPr>
          <w:rFonts w:ascii="Verdana" w:hAnsi="Verdana"/>
          <w:b/>
          <w:bCs/>
          <w:color w:val="FF0000"/>
          <w:sz w:val="18"/>
          <w:szCs w:val="18"/>
        </w:rPr>
      </w:pPr>
    </w:p>
    <w:p w:rsidR="00D5722F" w:rsidP="00BD666C" w:rsidRDefault="00BD666C" w14:paraId="292557EB" w14:textId="77777777">
      <w:pPr>
        <w:spacing w:line="360" w:lineRule="auto"/>
        <w:rPr>
          <w:rFonts w:ascii="Verdana" w:hAnsi="Verdana"/>
          <w:sz w:val="18"/>
          <w:szCs w:val="18"/>
        </w:rPr>
      </w:pPr>
      <w:r w:rsidRPr="004A445D">
        <w:rPr>
          <w:rFonts w:ascii="Verdana" w:hAnsi="Verdana"/>
          <w:sz w:val="18"/>
          <w:szCs w:val="18"/>
        </w:rPr>
        <w:t>Het kabinet</w:t>
      </w:r>
      <w:r>
        <w:rPr>
          <w:rFonts w:ascii="Verdana" w:hAnsi="Verdana"/>
          <w:sz w:val="18"/>
          <w:szCs w:val="18"/>
        </w:rPr>
        <w:t xml:space="preserve"> </w:t>
      </w:r>
      <w:r w:rsidR="002031ED">
        <w:rPr>
          <w:rFonts w:ascii="Verdana" w:hAnsi="Verdana" w:eastAsia="Verdana" w:cs="Verdana"/>
          <w:sz w:val="18"/>
          <w:szCs w:val="18"/>
        </w:rPr>
        <w:t>verwelkomt</w:t>
      </w:r>
      <w:r w:rsidRPr="002031ED" w:rsidR="7F1D4133">
        <w:rPr>
          <w:rFonts w:ascii="Verdana" w:hAnsi="Verdana" w:eastAsia="Verdana" w:cs="Verdana"/>
          <w:sz w:val="18"/>
          <w:szCs w:val="18"/>
        </w:rPr>
        <w:t xml:space="preserve"> het belang </w:t>
      </w:r>
      <w:r w:rsidR="7F1D4133">
        <w:rPr>
          <w:rFonts w:ascii="Verdana" w:hAnsi="Verdana"/>
          <w:sz w:val="18"/>
          <w:szCs w:val="18"/>
        </w:rPr>
        <w:t xml:space="preserve">van een sterke </w:t>
      </w:r>
      <w:r>
        <w:rPr>
          <w:rFonts w:ascii="Verdana" w:hAnsi="Verdana"/>
          <w:sz w:val="18"/>
          <w:szCs w:val="18"/>
        </w:rPr>
        <w:t>interne markt</w:t>
      </w:r>
      <w:r w:rsidR="40B58542">
        <w:rPr>
          <w:rFonts w:ascii="Verdana" w:hAnsi="Verdana"/>
          <w:sz w:val="18"/>
          <w:szCs w:val="18"/>
        </w:rPr>
        <w:t xml:space="preserve"> als </w:t>
      </w:r>
      <w:r w:rsidRPr="00CB1478" w:rsidR="200F521A">
        <w:rPr>
          <w:rFonts w:ascii="Verdana" w:hAnsi="Verdana" w:eastAsia="Verdana" w:cs="Verdana"/>
          <w:sz w:val="18"/>
          <w:szCs w:val="18"/>
        </w:rPr>
        <w:t xml:space="preserve">het fundament van de Europese economie en ons concurrentievermogen. Een groot deel van de aangekondigde (wetgevende) voorstellen raakt aan de interne markt. </w:t>
      </w:r>
      <w:r w:rsidR="00CB1478">
        <w:rPr>
          <w:rFonts w:ascii="Verdana" w:hAnsi="Verdana" w:eastAsia="Verdana" w:cs="Verdana"/>
          <w:sz w:val="18"/>
          <w:szCs w:val="18"/>
        </w:rPr>
        <w:t>Waar dit het geval is, dient</w:t>
      </w:r>
      <w:r w:rsidRPr="00CB1478" w:rsidR="200F521A">
        <w:rPr>
          <w:rFonts w:ascii="Verdana" w:hAnsi="Verdana" w:eastAsia="Verdana" w:cs="Verdana"/>
          <w:sz w:val="18"/>
          <w:szCs w:val="18"/>
        </w:rPr>
        <w:t xml:space="preserve"> versterking en bescherming van de interne markt </w:t>
      </w:r>
      <w:r w:rsidR="00CB1478">
        <w:rPr>
          <w:rFonts w:ascii="Verdana" w:hAnsi="Verdana" w:eastAsia="Verdana" w:cs="Verdana"/>
          <w:sz w:val="18"/>
          <w:szCs w:val="18"/>
        </w:rPr>
        <w:t xml:space="preserve">te </w:t>
      </w:r>
      <w:r w:rsidR="200F521A">
        <w:rPr>
          <w:rFonts w:ascii="Verdana" w:hAnsi="Verdana" w:eastAsia="Verdana" w:cs="Verdana"/>
          <w:sz w:val="18"/>
          <w:szCs w:val="18"/>
        </w:rPr>
        <w:t>worden</w:t>
      </w:r>
      <w:r w:rsidRPr="00CB1478" w:rsidR="200F521A">
        <w:rPr>
          <w:rFonts w:ascii="Verdana" w:hAnsi="Verdana" w:eastAsia="Verdana" w:cs="Verdana"/>
          <w:sz w:val="18"/>
          <w:szCs w:val="18"/>
        </w:rPr>
        <w:t xml:space="preserve"> gewaarborgd. Het kabinet</w:t>
      </w:r>
      <w:r>
        <w:rPr>
          <w:rFonts w:ascii="Verdana" w:hAnsi="Verdana" w:eastAsia="Verdana"/>
          <w:sz w:val="18"/>
          <w:szCs w:val="18"/>
        </w:rPr>
        <w:t xml:space="preserve"> </w:t>
      </w:r>
      <w:r>
        <w:rPr>
          <w:rFonts w:ascii="Verdana" w:hAnsi="Verdana"/>
          <w:sz w:val="18"/>
          <w:szCs w:val="18"/>
        </w:rPr>
        <w:t>kijkt uit naar de plannen onder de aangekondigde horizontale interne marktstrategie om bestaande on</w:t>
      </w:r>
      <w:r w:rsidR="78F18F5D">
        <w:rPr>
          <w:rFonts w:ascii="Verdana" w:hAnsi="Verdana"/>
          <w:sz w:val="18"/>
          <w:szCs w:val="18"/>
        </w:rPr>
        <w:t>ge</w:t>
      </w:r>
      <w:r>
        <w:rPr>
          <w:rFonts w:ascii="Verdana" w:hAnsi="Verdana"/>
          <w:sz w:val="18"/>
          <w:szCs w:val="18"/>
        </w:rPr>
        <w:t>rechtvaardig</w:t>
      </w:r>
      <w:r w:rsidR="78F18F5D">
        <w:rPr>
          <w:rFonts w:ascii="Verdana" w:hAnsi="Verdana"/>
          <w:sz w:val="18"/>
          <w:szCs w:val="18"/>
        </w:rPr>
        <w:t>d</w:t>
      </w:r>
      <w:r>
        <w:rPr>
          <w:rFonts w:ascii="Verdana" w:hAnsi="Verdana"/>
          <w:sz w:val="18"/>
          <w:szCs w:val="18"/>
        </w:rPr>
        <w:t>e belemmeringen weg te nemen</w:t>
      </w:r>
      <w:r w:rsidR="001B3199">
        <w:rPr>
          <w:rFonts w:ascii="Verdana" w:hAnsi="Verdana"/>
          <w:sz w:val="18"/>
          <w:szCs w:val="18"/>
        </w:rPr>
        <w:t>,</w:t>
      </w:r>
      <w:r>
        <w:rPr>
          <w:rFonts w:ascii="Verdana" w:hAnsi="Verdana"/>
          <w:sz w:val="18"/>
          <w:szCs w:val="18"/>
        </w:rPr>
        <w:t xml:space="preserve"> nieuwe te voorkomen</w:t>
      </w:r>
      <w:r w:rsidR="001B3199">
        <w:rPr>
          <w:rFonts w:ascii="Verdana" w:hAnsi="Verdana"/>
          <w:sz w:val="18"/>
          <w:szCs w:val="18"/>
        </w:rPr>
        <w:t>, bestaande interne marktregels beter te implementeren en toepassen,</w:t>
      </w:r>
      <w:r>
        <w:rPr>
          <w:rFonts w:ascii="Verdana" w:hAnsi="Verdana"/>
          <w:sz w:val="18"/>
          <w:szCs w:val="18"/>
        </w:rPr>
        <w:t xml:space="preserve"> en om </w:t>
      </w:r>
      <w:r w:rsidRPr="004E3494">
        <w:rPr>
          <w:rFonts w:ascii="Verdana" w:hAnsi="Verdana"/>
          <w:sz w:val="18"/>
          <w:szCs w:val="18"/>
        </w:rPr>
        <w:t xml:space="preserve">de </w:t>
      </w:r>
      <w:r w:rsidRPr="00006855">
        <w:rPr>
          <w:rFonts w:ascii="Verdana" w:hAnsi="Verdana"/>
          <w:i/>
          <w:iCs/>
          <w:sz w:val="18"/>
          <w:szCs w:val="18"/>
        </w:rPr>
        <w:t xml:space="preserve">Single Market </w:t>
      </w:r>
      <w:proofErr w:type="spellStart"/>
      <w:r w:rsidRPr="00006855">
        <w:rPr>
          <w:rFonts w:ascii="Verdana" w:hAnsi="Verdana"/>
          <w:i/>
          <w:iCs/>
          <w:sz w:val="18"/>
          <w:szCs w:val="18"/>
        </w:rPr>
        <w:t>Enforcement</w:t>
      </w:r>
      <w:proofErr w:type="spellEnd"/>
      <w:r w:rsidRPr="00006855">
        <w:rPr>
          <w:rFonts w:ascii="Verdana" w:hAnsi="Verdana"/>
          <w:i/>
          <w:iCs/>
          <w:sz w:val="18"/>
          <w:szCs w:val="18"/>
        </w:rPr>
        <w:t xml:space="preserve"> Taskforce</w:t>
      </w:r>
      <w:r w:rsidRPr="004E3494">
        <w:rPr>
          <w:rFonts w:ascii="Verdana" w:hAnsi="Verdana"/>
          <w:sz w:val="18"/>
          <w:szCs w:val="18"/>
        </w:rPr>
        <w:t xml:space="preserve"> (SMET)</w:t>
      </w:r>
      <w:r>
        <w:rPr>
          <w:rFonts w:ascii="Verdana" w:hAnsi="Verdana"/>
          <w:sz w:val="18"/>
          <w:szCs w:val="18"/>
        </w:rPr>
        <w:t xml:space="preserve"> te versterken. </w:t>
      </w:r>
      <w:r w:rsidRPr="004E3494">
        <w:rPr>
          <w:rFonts w:ascii="Verdana" w:hAnsi="Verdana"/>
          <w:sz w:val="18"/>
          <w:szCs w:val="18"/>
        </w:rPr>
        <w:t>Feiten en behoeften uit de praktijk, van ondernemers</w:t>
      </w:r>
      <w:r w:rsidRPr="004E3494" w:rsidR="78F18F5D">
        <w:rPr>
          <w:rFonts w:ascii="Verdana" w:hAnsi="Verdana"/>
          <w:sz w:val="18"/>
          <w:szCs w:val="18"/>
        </w:rPr>
        <w:t xml:space="preserve">, </w:t>
      </w:r>
      <w:r w:rsidRPr="004E3494">
        <w:rPr>
          <w:rFonts w:ascii="Verdana" w:hAnsi="Verdana"/>
          <w:sz w:val="18"/>
          <w:szCs w:val="18"/>
        </w:rPr>
        <w:t>burgers</w:t>
      </w:r>
      <w:r w:rsidRPr="004E3494" w:rsidR="78F18F5D">
        <w:rPr>
          <w:rFonts w:ascii="Verdana" w:hAnsi="Verdana"/>
          <w:sz w:val="18"/>
          <w:szCs w:val="18"/>
        </w:rPr>
        <w:t xml:space="preserve"> en uitvoeringsinstanties</w:t>
      </w:r>
      <w:r w:rsidRPr="004E3494">
        <w:rPr>
          <w:rFonts w:ascii="Verdana" w:hAnsi="Verdana"/>
          <w:sz w:val="18"/>
          <w:szCs w:val="18"/>
        </w:rPr>
        <w:t>, moeten leidend zijn bij de acties in genoemde strategie, op alle beleidsterreinen</w:t>
      </w:r>
      <w:r>
        <w:rPr>
          <w:rFonts w:ascii="Verdana" w:hAnsi="Verdana"/>
          <w:sz w:val="18"/>
          <w:szCs w:val="18"/>
        </w:rPr>
        <w:t xml:space="preserve">. </w:t>
      </w:r>
      <w:r w:rsidR="001B3199">
        <w:rPr>
          <w:rFonts w:ascii="Verdana" w:hAnsi="Verdana"/>
          <w:sz w:val="18"/>
          <w:szCs w:val="18"/>
        </w:rPr>
        <w:t>Waar</w:t>
      </w:r>
      <w:r w:rsidR="5FD2DFAB">
        <w:rPr>
          <w:rFonts w:ascii="Verdana" w:hAnsi="Verdana" w:eastAsia="Verdana"/>
          <w:sz w:val="18"/>
          <w:szCs w:val="18"/>
        </w:rPr>
        <w:t xml:space="preserve"> de </w:t>
      </w:r>
      <w:r w:rsidR="001B3199">
        <w:rPr>
          <w:rFonts w:ascii="Verdana" w:hAnsi="Verdana"/>
          <w:sz w:val="18"/>
          <w:szCs w:val="18"/>
        </w:rPr>
        <w:t>mededeling aangeeft dat</w:t>
      </w:r>
      <w:r w:rsidRPr="004E3494">
        <w:rPr>
          <w:rFonts w:ascii="Verdana" w:hAnsi="Verdana"/>
          <w:sz w:val="18"/>
          <w:szCs w:val="18"/>
        </w:rPr>
        <w:t xml:space="preserve"> de Commissie de processen voor de ontwikkeling van normen sneller en toegankelijker </w:t>
      </w:r>
      <w:r w:rsidR="001B3199">
        <w:rPr>
          <w:rFonts w:ascii="Verdana" w:hAnsi="Verdana"/>
          <w:sz w:val="18"/>
          <w:szCs w:val="18"/>
        </w:rPr>
        <w:t xml:space="preserve">wil </w:t>
      </w:r>
      <w:r w:rsidRPr="004E3494">
        <w:rPr>
          <w:rFonts w:ascii="Verdana" w:hAnsi="Verdana"/>
          <w:sz w:val="18"/>
          <w:szCs w:val="18"/>
        </w:rPr>
        <w:t>maken</w:t>
      </w:r>
      <w:r w:rsidR="001B3199">
        <w:rPr>
          <w:rFonts w:ascii="Verdana" w:hAnsi="Verdana"/>
          <w:sz w:val="18"/>
          <w:szCs w:val="18"/>
        </w:rPr>
        <w:t>, kijkt het</w:t>
      </w:r>
      <w:r w:rsidRPr="004E3494">
        <w:rPr>
          <w:rFonts w:ascii="Verdana" w:hAnsi="Verdana"/>
          <w:sz w:val="18"/>
          <w:szCs w:val="18"/>
        </w:rPr>
        <w:t xml:space="preserve"> kabinet met extra aandacht naar de aangekondigde juridische alternatieve maatregelen in situaties waar (nog) geen geharmoniseerde normen bestaan. </w:t>
      </w:r>
      <w:r>
        <w:rPr>
          <w:rFonts w:ascii="Verdana" w:hAnsi="Verdana"/>
          <w:sz w:val="18"/>
          <w:szCs w:val="18"/>
        </w:rPr>
        <w:t xml:space="preserve">Het heeft de voorkeur van het kabinet om voor normalisatie vast te houden aan gangbare normalisatieprocedures en deze niet te omzeilen. </w:t>
      </w:r>
    </w:p>
    <w:p w:rsidR="00BD666C" w:rsidP="00BD666C" w:rsidRDefault="00BD666C" w14:paraId="7489D791" w14:textId="51BF0B67">
      <w:pPr>
        <w:spacing w:line="360" w:lineRule="auto"/>
        <w:rPr>
          <w:rFonts w:ascii="Verdana" w:hAnsi="Verdana"/>
          <w:sz w:val="18"/>
          <w:szCs w:val="18"/>
        </w:rPr>
      </w:pPr>
      <w:r w:rsidRPr="004E3494">
        <w:rPr>
          <w:rFonts w:ascii="Verdana" w:hAnsi="Verdana"/>
          <w:sz w:val="18"/>
          <w:szCs w:val="18"/>
        </w:rPr>
        <w:lastRenderedPageBreak/>
        <w:t xml:space="preserve">De oproep van de Commissie voor structurele deelname </w:t>
      </w:r>
      <w:r w:rsidRPr="004E3494" w:rsidR="4BAA104F">
        <w:rPr>
          <w:rFonts w:ascii="Verdana" w:hAnsi="Verdana"/>
          <w:sz w:val="18"/>
          <w:szCs w:val="18"/>
        </w:rPr>
        <w:t>door Europese belanghebbenden</w:t>
      </w:r>
      <w:r w:rsidRPr="004E3494">
        <w:rPr>
          <w:rFonts w:ascii="Verdana" w:hAnsi="Verdana"/>
          <w:sz w:val="18"/>
          <w:szCs w:val="18"/>
        </w:rPr>
        <w:t xml:space="preserve"> in internationale normalisatieprocessen om de Europese </w:t>
      </w:r>
      <w:r w:rsidR="00406129">
        <w:rPr>
          <w:rFonts w:ascii="Verdana" w:hAnsi="Verdana"/>
          <w:sz w:val="18"/>
          <w:szCs w:val="18"/>
        </w:rPr>
        <w:t>belangen te waarborgen</w:t>
      </w:r>
      <w:r w:rsidRPr="004E3494" w:rsidR="00406129">
        <w:rPr>
          <w:rFonts w:ascii="Verdana" w:hAnsi="Verdana"/>
          <w:sz w:val="18"/>
          <w:szCs w:val="18"/>
        </w:rPr>
        <w:t xml:space="preserve"> </w:t>
      </w:r>
      <w:r w:rsidRPr="004E3494">
        <w:rPr>
          <w:rFonts w:ascii="Verdana" w:hAnsi="Verdana"/>
          <w:sz w:val="18"/>
          <w:szCs w:val="18"/>
        </w:rPr>
        <w:t xml:space="preserve">sluit goed aan bij het regeerprogramma. </w:t>
      </w:r>
    </w:p>
    <w:p w:rsidR="00BD666C" w:rsidP="00BD666C" w:rsidRDefault="00BD666C" w14:paraId="671FCEAF" w14:textId="77777777">
      <w:pPr>
        <w:spacing w:line="360" w:lineRule="auto"/>
        <w:rPr>
          <w:rFonts w:ascii="Verdana" w:hAnsi="Verdana"/>
          <w:sz w:val="18"/>
          <w:szCs w:val="18"/>
        </w:rPr>
      </w:pPr>
    </w:p>
    <w:p w:rsidR="00532838" w:rsidP="00BD666C" w:rsidRDefault="00BD666C" w14:paraId="7E4857D4" w14:textId="77777777">
      <w:pPr>
        <w:spacing w:line="360" w:lineRule="auto"/>
        <w:rPr>
          <w:rFonts w:ascii="Verdana" w:hAnsi="Verdana"/>
          <w:sz w:val="18"/>
          <w:szCs w:val="18"/>
        </w:rPr>
      </w:pPr>
      <w:bookmarkStart w:name="_Hlk190339956" w:id="8"/>
      <w:r>
        <w:rPr>
          <w:rFonts w:ascii="Verdana" w:hAnsi="Verdana"/>
          <w:sz w:val="18"/>
          <w:szCs w:val="18"/>
        </w:rPr>
        <w:t>Het kabinet hecht aan</w:t>
      </w:r>
      <w:r w:rsidRPr="001F07C2">
        <w:rPr>
          <w:rFonts w:ascii="Verdana" w:hAnsi="Verdana"/>
          <w:sz w:val="18"/>
          <w:szCs w:val="18"/>
        </w:rPr>
        <w:t xml:space="preserve"> het belang van de </w:t>
      </w:r>
      <w:r>
        <w:rPr>
          <w:rFonts w:ascii="Verdana" w:hAnsi="Verdana"/>
          <w:sz w:val="18"/>
          <w:szCs w:val="18"/>
        </w:rPr>
        <w:t xml:space="preserve">integratie en </w:t>
      </w:r>
      <w:r w:rsidRPr="001F07C2">
        <w:rPr>
          <w:rFonts w:ascii="Verdana" w:hAnsi="Verdana"/>
          <w:sz w:val="18"/>
          <w:szCs w:val="18"/>
        </w:rPr>
        <w:t>verdieping van de kapitaalmarktunie</w:t>
      </w:r>
      <w:r w:rsidRPr="001F07C2" w:rsidDel="00446DF9">
        <w:rPr>
          <w:rFonts w:ascii="Verdana" w:hAnsi="Verdana"/>
          <w:sz w:val="18"/>
          <w:szCs w:val="18"/>
        </w:rPr>
        <w:t xml:space="preserve"> </w:t>
      </w:r>
      <w:r>
        <w:rPr>
          <w:rFonts w:ascii="Verdana" w:hAnsi="Verdana"/>
          <w:sz w:val="18"/>
          <w:szCs w:val="18"/>
        </w:rPr>
        <w:t>en verwelkomt de nadruk die de Commissie hierop wil leggen met haar aangekondigde strategie voor een spaar- en investeringsunie</w:t>
      </w:r>
      <w:r w:rsidRPr="001F07C2">
        <w:rPr>
          <w:rFonts w:ascii="Verdana" w:hAnsi="Verdana"/>
          <w:sz w:val="18"/>
          <w:szCs w:val="18"/>
        </w:rPr>
        <w:t xml:space="preserve">. </w:t>
      </w:r>
    </w:p>
    <w:p w:rsidR="00BD666C" w:rsidP="00BD666C" w:rsidRDefault="00BD666C" w14:paraId="4A48F6E6" w14:textId="32E4601F">
      <w:pPr>
        <w:spacing w:line="360" w:lineRule="auto"/>
        <w:rPr>
          <w:rFonts w:ascii="Verdana" w:hAnsi="Verdana"/>
          <w:sz w:val="18"/>
          <w:szCs w:val="18"/>
        </w:rPr>
      </w:pPr>
      <w:r w:rsidRPr="00276E6F">
        <w:rPr>
          <w:rFonts w:ascii="Verdana" w:hAnsi="Verdana"/>
          <w:sz w:val="18"/>
          <w:szCs w:val="18"/>
        </w:rPr>
        <w:t xml:space="preserve">Het kabinet ziet net als de Commissie een rol weggelegd voor de </w:t>
      </w:r>
      <w:r w:rsidR="00AD7D8C">
        <w:rPr>
          <w:rFonts w:ascii="Verdana" w:hAnsi="Verdana"/>
          <w:sz w:val="18"/>
          <w:szCs w:val="18"/>
        </w:rPr>
        <w:t>EIB</w:t>
      </w:r>
      <w:r w:rsidRPr="00276E6F">
        <w:rPr>
          <w:rFonts w:ascii="Verdana" w:hAnsi="Verdana"/>
          <w:sz w:val="18"/>
          <w:szCs w:val="18"/>
        </w:rPr>
        <w:t xml:space="preserve"> om meer private investeringen </w:t>
      </w:r>
      <w:r>
        <w:rPr>
          <w:rFonts w:ascii="Verdana" w:hAnsi="Verdana"/>
          <w:sz w:val="18"/>
          <w:szCs w:val="18"/>
        </w:rPr>
        <w:t>te stimuleren</w:t>
      </w:r>
      <w:r w:rsidR="00E576CF">
        <w:rPr>
          <w:rFonts w:ascii="Verdana" w:hAnsi="Verdana"/>
          <w:sz w:val="18"/>
          <w:szCs w:val="18"/>
        </w:rPr>
        <w:t xml:space="preserve"> die bijdragen aan innovatie en verduurzaming</w:t>
      </w:r>
      <w:r>
        <w:rPr>
          <w:rFonts w:ascii="Verdana" w:hAnsi="Verdana"/>
          <w:sz w:val="18"/>
          <w:szCs w:val="18"/>
        </w:rPr>
        <w:t>.</w:t>
      </w:r>
      <w:r w:rsidRPr="00276E6F">
        <w:rPr>
          <w:rFonts w:ascii="Verdana" w:hAnsi="Verdana"/>
          <w:sz w:val="18"/>
          <w:szCs w:val="18"/>
        </w:rPr>
        <w:t xml:space="preserve"> </w:t>
      </w:r>
      <w:r w:rsidRPr="00C236E3" w:rsidR="00C236E3">
        <w:rPr>
          <w:rFonts w:ascii="Verdana" w:hAnsi="Verdana"/>
          <w:sz w:val="18"/>
          <w:szCs w:val="18"/>
        </w:rPr>
        <w:t xml:space="preserve">Het kabinet steunt </w:t>
      </w:r>
      <w:r w:rsidR="00E576CF">
        <w:rPr>
          <w:rFonts w:ascii="Verdana" w:hAnsi="Verdana"/>
          <w:sz w:val="18"/>
          <w:szCs w:val="18"/>
        </w:rPr>
        <w:t xml:space="preserve">de inzet op versimpeling, verbreding en flexibiliseren van bestaande EU-mandaten (zoals </w:t>
      </w:r>
      <w:proofErr w:type="spellStart"/>
      <w:r w:rsidR="00E576CF">
        <w:rPr>
          <w:rFonts w:ascii="Verdana" w:hAnsi="Verdana"/>
          <w:sz w:val="18"/>
          <w:szCs w:val="18"/>
        </w:rPr>
        <w:t>InvestEU</w:t>
      </w:r>
      <w:proofErr w:type="spellEnd"/>
      <w:r w:rsidR="00E576CF">
        <w:rPr>
          <w:rFonts w:ascii="Verdana" w:hAnsi="Verdana"/>
          <w:sz w:val="18"/>
          <w:szCs w:val="18"/>
        </w:rPr>
        <w:t>) en daarmee het verbeteren van de toegang tot deze mandaten voor de EIB.</w:t>
      </w:r>
      <w:r w:rsidRPr="00276E6F">
        <w:rPr>
          <w:rFonts w:ascii="Verdana" w:hAnsi="Verdana"/>
          <w:sz w:val="18"/>
          <w:szCs w:val="18"/>
        </w:rPr>
        <w:t xml:space="preserve"> </w:t>
      </w:r>
      <w:r w:rsidR="00A55620">
        <w:rPr>
          <w:rFonts w:ascii="Verdana" w:hAnsi="Verdana"/>
          <w:sz w:val="18"/>
          <w:szCs w:val="18"/>
        </w:rPr>
        <w:t>V</w:t>
      </w:r>
      <w:r w:rsidRPr="001F07C2">
        <w:rPr>
          <w:rFonts w:ascii="Verdana" w:hAnsi="Verdana"/>
          <w:sz w:val="18"/>
          <w:szCs w:val="18"/>
        </w:rPr>
        <w:t xml:space="preserve">oorstellen van de Commissie </w:t>
      </w:r>
      <w:r w:rsidR="00AA05CB">
        <w:rPr>
          <w:rFonts w:ascii="Verdana" w:hAnsi="Verdana"/>
          <w:sz w:val="18"/>
          <w:szCs w:val="18"/>
        </w:rPr>
        <w:t xml:space="preserve">voor het volgende MFK, waaronder het </w:t>
      </w:r>
      <w:r w:rsidRPr="00A55620" w:rsidR="00AA05CB">
        <w:rPr>
          <w:rFonts w:ascii="Verdana" w:hAnsi="Verdana"/>
          <w:sz w:val="18"/>
          <w:szCs w:val="18"/>
        </w:rPr>
        <w:t xml:space="preserve">voorstel voor een Europees Fonds voor </w:t>
      </w:r>
      <w:r w:rsidR="00312B38">
        <w:rPr>
          <w:rFonts w:ascii="Verdana" w:hAnsi="Verdana"/>
          <w:sz w:val="18"/>
          <w:szCs w:val="18"/>
        </w:rPr>
        <w:t>C</w:t>
      </w:r>
      <w:r w:rsidRPr="00A55620" w:rsidR="00AA05CB">
        <w:rPr>
          <w:rFonts w:ascii="Verdana" w:hAnsi="Verdana"/>
          <w:sz w:val="18"/>
          <w:szCs w:val="18"/>
        </w:rPr>
        <w:t>oncurrentievermogen</w:t>
      </w:r>
      <w:r w:rsidR="00DE74C7">
        <w:rPr>
          <w:rFonts w:ascii="Verdana" w:hAnsi="Verdana"/>
          <w:sz w:val="18"/>
          <w:szCs w:val="18"/>
        </w:rPr>
        <w:t xml:space="preserve"> en </w:t>
      </w:r>
      <w:r w:rsidR="005D377B">
        <w:rPr>
          <w:rFonts w:ascii="Verdana" w:hAnsi="Verdana"/>
          <w:sz w:val="18"/>
          <w:szCs w:val="18"/>
        </w:rPr>
        <w:t xml:space="preserve">een </w:t>
      </w:r>
      <w:proofErr w:type="spellStart"/>
      <w:r w:rsidR="005D377B">
        <w:rPr>
          <w:rFonts w:ascii="Verdana" w:hAnsi="Verdana"/>
          <w:sz w:val="18"/>
          <w:szCs w:val="18"/>
          <w:lang w:eastAsia="nl-NL"/>
        </w:rPr>
        <w:t>TechEU</w:t>
      </w:r>
      <w:proofErr w:type="spellEnd"/>
      <w:r w:rsidR="005D377B">
        <w:rPr>
          <w:rFonts w:ascii="Verdana" w:hAnsi="Verdana"/>
          <w:sz w:val="18"/>
          <w:szCs w:val="18"/>
          <w:lang w:eastAsia="nl-NL"/>
        </w:rPr>
        <w:t>-investeringsprogramma</w:t>
      </w:r>
      <w:r w:rsidR="00AA05CB">
        <w:rPr>
          <w:rFonts w:ascii="Verdana" w:hAnsi="Verdana"/>
          <w:sz w:val="18"/>
          <w:szCs w:val="18"/>
        </w:rPr>
        <w:t xml:space="preserve">, </w:t>
      </w:r>
      <w:r w:rsidR="00A55620">
        <w:rPr>
          <w:rFonts w:ascii="Verdana" w:hAnsi="Verdana"/>
          <w:sz w:val="18"/>
          <w:szCs w:val="18"/>
        </w:rPr>
        <w:t xml:space="preserve">zullen worden </w:t>
      </w:r>
      <w:r w:rsidRPr="001F07C2">
        <w:rPr>
          <w:rFonts w:ascii="Verdana" w:hAnsi="Verdana"/>
          <w:sz w:val="18"/>
          <w:szCs w:val="18"/>
        </w:rPr>
        <w:t>bezien in het kader van de MFK-onderhandelingen.</w:t>
      </w:r>
    </w:p>
    <w:p w:rsidR="00BD666C" w:rsidP="00BD666C" w:rsidRDefault="00BD666C" w14:paraId="6C34C1E6" w14:textId="77777777">
      <w:pPr>
        <w:spacing w:line="360" w:lineRule="auto"/>
        <w:rPr>
          <w:rFonts w:ascii="Verdana" w:hAnsi="Verdana"/>
          <w:sz w:val="18"/>
          <w:szCs w:val="18"/>
        </w:rPr>
      </w:pPr>
    </w:p>
    <w:bookmarkEnd w:id="8"/>
    <w:p w:rsidR="00BD666C" w:rsidP="00BD666C" w:rsidRDefault="00BD666C" w14:paraId="3EFF876C" w14:textId="7C9A0FBB">
      <w:pPr>
        <w:spacing w:line="360" w:lineRule="auto"/>
        <w:rPr>
          <w:rFonts w:ascii="Verdana" w:hAnsi="Verdana"/>
          <w:sz w:val="18"/>
          <w:szCs w:val="18"/>
          <w:lang w:eastAsia="nl-NL"/>
        </w:rPr>
      </w:pPr>
      <w:r w:rsidRPr="00791BB9">
        <w:rPr>
          <w:rFonts w:ascii="Verdana" w:hAnsi="Verdana"/>
          <w:sz w:val="18"/>
          <w:szCs w:val="18"/>
          <w:lang w:eastAsia="nl-NL"/>
        </w:rPr>
        <w:t xml:space="preserve">Voor het EU-concurrentievermogen is een goed opgeleide beroepsbevolking met de juiste </w:t>
      </w:r>
      <w:r>
        <w:rPr>
          <w:rFonts w:ascii="Verdana" w:hAnsi="Verdana"/>
          <w:sz w:val="18"/>
          <w:szCs w:val="18"/>
          <w:lang w:eastAsia="nl-NL"/>
        </w:rPr>
        <w:t xml:space="preserve">(digitale) </w:t>
      </w:r>
      <w:r w:rsidRPr="00791BB9">
        <w:rPr>
          <w:rFonts w:ascii="Verdana" w:hAnsi="Verdana"/>
          <w:sz w:val="18"/>
          <w:szCs w:val="18"/>
          <w:lang w:eastAsia="nl-NL"/>
        </w:rPr>
        <w:t>vaardigheden essentieel. Het kabinet verwelkomt dan ook de aandacht van de Commissie voor vaardigheden en is benieuwd naar de aankondiging om een vaardighedenunie te creëren</w:t>
      </w:r>
      <w:r w:rsidR="00B76288">
        <w:rPr>
          <w:rFonts w:ascii="Verdana" w:hAnsi="Verdana"/>
          <w:sz w:val="18"/>
          <w:szCs w:val="18"/>
          <w:lang w:eastAsia="nl-NL"/>
        </w:rPr>
        <w:t xml:space="preserve">. </w:t>
      </w:r>
      <w:r w:rsidRPr="00791BB9">
        <w:rPr>
          <w:rFonts w:ascii="Verdana" w:hAnsi="Verdana"/>
          <w:sz w:val="18"/>
          <w:szCs w:val="18"/>
          <w:lang w:eastAsia="nl-NL"/>
        </w:rPr>
        <w:t xml:space="preserve">Het kabinet is positief over een faciliterende rol voor de Commissie en </w:t>
      </w:r>
      <w:r w:rsidR="00943BE6">
        <w:rPr>
          <w:rFonts w:ascii="Verdana" w:hAnsi="Verdana"/>
          <w:sz w:val="18"/>
          <w:szCs w:val="18"/>
          <w:lang w:eastAsia="nl-NL"/>
        </w:rPr>
        <w:t xml:space="preserve">de ondersteuning van </w:t>
      </w:r>
      <w:r w:rsidRPr="00791BB9">
        <w:rPr>
          <w:rFonts w:ascii="Verdana" w:hAnsi="Verdana"/>
          <w:sz w:val="18"/>
          <w:szCs w:val="18"/>
          <w:lang w:eastAsia="nl-NL"/>
        </w:rPr>
        <w:t>initiatieven</w:t>
      </w:r>
      <w:r w:rsidR="00943BE6">
        <w:rPr>
          <w:rFonts w:ascii="Verdana" w:hAnsi="Verdana"/>
          <w:sz w:val="18"/>
          <w:szCs w:val="18"/>
          <w:lang w:eastAsia="nl-NL"/>
        </w:rPr>
        <w:t xml:space="preserve"> van lidstaten</w:t>
      </w:r>
      <w:r w:rsidRPr="00791BB9">
        <w:rPr>
          <w:rFonts w:ascii="Verdana" w:hAnsi="Verdana"/>
          <w:sz w:val="18"/>
          <w:szCs w:val="18"/>
          <w:lang w:eastAsia="nl-NL"/>
        </w:rPr>
        <w:t xml:space="preserve"> die bijdragen aan een sterke ‘skills-infrastructuur’ zoals het ontwikkelen van instrumenten voor herkenning van vaardigheden en het in kaart brengen van de huidige en toekomstige vraag en aanbod naar vaardigheden. Het kabinet </w:t>
      </w:r>
      <w:r>
        <w:rPr>
          <w:rFonts w:ascii="Verdana" w:hAnsi="Verdana"/>
          <w:sz w:val="18"/>
          <w:szCs w:val="18"/>
          <w:lang w:eastAsia="nl-NL"/>
        </w:rPr>
        <w:t xml:space="preserve">acht verdere </w:t>
      </w:r>
      <w:r w:rsidRPr="00791BB9">
        <w:rPr>
          <w:rFonts w:ascii="Verdana" w:hAnsi="Verdana"/>
          <w:sz w:val="18"/>
          <w:szCs w:val="18"/>
          <w:lang w:eastAsia="nl-NL"/>
        </w:rPr>
        <w:t>ontplooi</w:t>
      </w:r>
      <w:r>
        <w:rPr>
          <w:rFonts w:ascii="Verdana" w:hAnsi="Verdana"/>
          <w:sz w:val="18"/>
          <w:szCs w:val="18"/>
          <w:lang w:eastAsia="nl-NL"/>
        </w:rPr>
        <w:t>ing</w:t>
      </w:r>
      <w:r w:rsidRPr="00791BB9">
        <w:rPr>
          <w:rFonts w:ascii="Verdana" w:hAnsi="Verdana"/>
          <w:sz w:val="18"/>
          <w:szCs w:val="18"/>
          <w:lang w:eastAsia="nl-NL"/>
        </w:rPr>
        <w:t xml:space="preserve"> middels kwalitatief goed werk</w:t>
      </w:r>
      <w:r>
        <w:rPr>
          <w:rFonts w:ascii="Verdana" w:hAnsi="Verdana"/>
          <w:sz w:val="18"/>
          <w:szCs w:val="18"/>
          <w:lang w:eastAsia="nl-NL"/>
        </w:rPr>
        <w:t xml:space="preserve"> van belang en ziet </w:t>
      </w:r>
      <w:r w:rsidRPr="00791BB9">
        <w:rPr>
          <w:rFonts w:ascii="Verdana" w:hAnsi="Verdana"/>
          <w:sz w:val="18"/>
          <w:szCs w:val="18"/>
          <w:lang w:eastAsia="nl-NL"/>
        </w:rPr>
        <w:t>uit naar de</w:t>
      </w:r>
      <w:r>
        <w:rPr>
          <w:rFonts w:ascii="Verdana" w:hAnsi="Verdana"/>
          <w:sz w:val="18"/>
          <w:szCs w:val="18"/>
          <w:lang w:eastAsia="nl-NL"/>
        </w:rPr>
        <w:t xml:space="preserve"> routekaart voor kwaliteitsbanen. </w:t>
      </w:r>
    </w:p>
    <w:p w:rsidR="00BD666C" w:rsidP="00BD666C" w:rsidRDefault="00BD666C" w14:paraId="6BFAFF3E" w14:textId="77777777">
      <w:pPr>
        <w:spacing w:line="360" w:lineRule="auto"/>
        <w:rPr>
          <w:rFonts w:ascii="Verdana" w:hAnsi="Verdana"/>
          <w:sz w:val="18"/>
          <w:szCs w:val="18"/>
          <w:lang w:eastAsia="nl-NL"/>
        </w:rPr>
      </w:pPr>
    </w:p>
    <w:p w:rsidRPr="00F72FF5" w:rsidR="00BD666C" w:rsidP="00F72FF5" w:rsidRDefault="00BD666C" w14:paraId="171ED288" w14:textId="05497DD7">
      <w:pPr>
        <w:spacing w:line="360" w:lineRule="auto"/>
        <w:rPr>
          <w:rFonts w:ascii="Verdana" w:hAnsi="Verdana"/>
          <w:i/>
          <w:sz w:val="18"/>
          <w:szCs w:val="18"/>
        </w:rPr>
      </w:pPr>
      <w:bookmarkStart w:name="_Hlk189757350" w:id="9"/>
      <w:r w:rsidRPr="001F07C2">
        <w:rPr>
          <w:rFonts w:ascii="Verdana" w:hAnsi="Verdana"/>
          <w:sz w:val="18"/>
          <w:szCs w:val="18"/>
        </w:rPr>
        <w:t xml:space="preserve">De Commissie </w:t>
      </w:r>
      <w:r>
        <w:rPr>
          <w:rFonts w:ascii="Verdana" w:hAnsi="Verdana"/>
          <w:sz w:val="18"/>
          <w:szCs w:val="18"/>
        </w:rPr>
        <w:t>pleit voor</w:t>
      </w:r>
      <w:r w:rsidRPr="001F07C2">
        <w:rPr>
          <w:rFonts w:ascii="Verdana" w:hAnsi="Verdana"/>
          <w:sz w:val="18"/>
          <w:szCs w:val="18"/>
        </w:rPr>
        <w:t xml:space="preserve"> meer coördinatie van industrie</w:t>
      </w:r>
      <w:r>
        <w:rPr>
          <w:rFonts w:ascii="Verdana" w:hAnsi="Verdana"/>
          <w:sz w:val="18"/>
          <w:szCs w:val="18"/>
        </w:rPr>
        <w:t>- en onderzoeks</w:t>
      </w:r>
      <w:r w:rsidRPr="001F07C2">
        <w:rPr>
          <w:rFonts w:ascii="Verdana" w:hAnsi="Verdana"/>
          <w:sz w:val="18"/>
          <w:szCs w:val="18"/>
        </w:rPr>
        <w:t xml:space="preserve">beleid door </w:t>
      </w:r>
      <w:r>
        <w:rPr>
          <w:rFonts w:ascii="Verdana" w:hAnsi="Verdana"/>
          <w:sz w:val="18"/>
          <w:szCs w:val="18"/>
        </w:rPr>
        <w:t>EU-lidstaten</w:t>
      </w:r>
      <w:r w:rsidRPr="001F07C2">
        <w:rPr>
          <w:rFonts w:ascii="Verdana" w:hAnsi="Verdana"/>
          <w:sz w:val="18"/>
          <w:szCs w:val="18"/>
        </w:rPr>
        <w:t xml:space="preserve"> en de Commissie</w:t>
      </w:r>
      <w:r>
        <w:rPr>
          <w:rFonts w:ascii="Verdana" w:hAnsi="Verdana"/>
          <w:sz w:val="18"/>
          <w:szCs w:val="18"/>
        </w:rPr>
        <w:t xml:space="preserve">, en wil dit in een pilot met een aantal strategische </w:t>
      </w:r>
      <w:r w:rsidRPr="001F07C2">
        <w:rPr>
          <w:rFonts w:ascii="Verdana" w:hAnsi="Verdana"/>
          <w:sz w:val="18"/>
          <w:szCs w:val="18"/>
        </w:rPr>
        <w:t>sectoren</w:t>
      </w:r>
      <w:r>
        <w:rPr>
          <w:rFonts w:ascii="Verdana" w:hAnsi="Verdana"/>
          <w:sz w:val="18"/>
          <w:szCs w:val="18"/>
        </w:rPr>
        <w:t xml:space="preserve"> </w:t>
      </w:r>
      <w:r w:rsidRPr="001F07C2">
        <w:rPr>
          <w:rFonts w:ascii="Verdana" w:hAnsi="Verdana"/>
          <w:sz w:val="18"/>
          <w:szCs w:val="18"/>
        </w:rPr>
        <w:t>vormgeven via een</w:t>
      </w:r>
      <w:r>
        <w:rPr>
          <w:rFonts w:ascii="Verdana" w:hAnsi="Verdana"/>
          <w:sz w:val="18"/>
          <w:szCs w:val="18"/>
        </w:rPr>
        <w:t xml:space="preserve"> </w:t>
      </w:r>
      <w:r w:rsidRPr="2F0F8D57">
        <w:rPr>
          <w:rFonts w:ascii="Verdana" w:hAnsi="Verdana"/>
          <w:sz w:val="18"/>
          <w:szCs w:val="18"/>
          <w:lang w:eastAsia="nl-NL"/>
        </w:rPr>
        <w:t>concurrentievermogen</w:t>
      </w:r>
      <w:r>
        <w:rPr>
          <w:rFonts w:ascii="Verdana" w:hAnsi="Verdana"/>
          <w:sz w:val="18"/>
          <w:szCs w:val="18"/>
          <w:lang w:eastAsia="nl-NL"/>
        </w:rPr>
        <w:t>-</w:t>
      </w:r>
      <w:r w:rsidRPr="2F0F8D57">
        <w:rPr>
          <w:rFonts w:ascii="Verdana" w:hAnsi="Verdana"/>
          <w:sz w:val="18"/>
          <w:szCs w:val="18"/>
          <w:lang w:eastAsia="nl-NL"/>
        </w:rPr>
        <w:t>co</w:t>
      </w:r>
      <w:r>
        <w:rPr>
          <w:rFonts w:ascii="Verdana" w:hAnsi="Verdana"/>
          <w:sz w:val="18"/>
          <w:szCs w:val="18"/>
          <w:lang w:eastAsia="nl-NL"/>
        </w:rPr>
        <w:t>ö</w:t>
      </w:r>
      <w:r w:rsidRPr="2F0F8D57">
        <w:rPr>
          <w:rFonts w:ascii="Verdana" w:hAnsi="Verdana"/>
          <w:sz w:val="18"/>
          <w:szCs w:val="18"/>
          <w:lang w:eastAsia="nl-NL"/>
        </w:rPr>
        <w:t>rdinatietool</w:t>
      </w:r>
      <w:r w:rsidRPr="001F07C2">
        <w:rPr>
          <w:rFonts w:ascii="Verdana" w:hAnsi="Verdana"/>
          <w:sz w:val="18"/>
          <w:szCs w:val="18"/>
        </w:rPr>
        <w:t xml:space="preserve">. Het </w:t>
      </w:r>
      <w:r w:rsidR="002C6800">
        <w:rPr>
          <w:rFonts w:ascii="Verdana" w:hAnsi="Verdana"/>
          <w:sz w:val="18"/>
          <w:szCs w:val="18"/>
        </w:rPr>
        <w:t>kabinet onderschrijft</w:t>
      </w:r>
      <w:r w:rsidRPr="001F07C2">
        <w:rPr>
          <w:rFonts w:ascii="Verdana" w:hAnsi="Verdana"/>
          <w:sz w:val="18"/>
          <w:szCs w:val="18"/>
        </w:rPr>
        <w:t xml:space="preserve"> de noodzaak van een </w:t>
      </w:r>
      <w:r w:rsidR="001E1E2E">
        <w:rPr>
          <w:rFonts w:ascii="Verdana" w:hAnsi="Verdana"/>
          <w:sz w:val="18"/>
          <w:szCs w:val="18"/>
        </w:rPr>
        <w:t>beter op elkaar aansluitende</w:t>
      </w:r>
      <w:r w:rsidRPr="001F07C2">
        <w:rPr>
          <w:rFonts w:ascii="Verdana" w:hAnsi="Verdana"/>
          <w:sz w:val="18"/>
          <w:szCs w:val="18"/>
        </w:rPr>
        <w:t xml:space="preserve"> aanpak op industrie-</w:t>
      </w:r>
      <w:r>
        <w:rPr>
          <w:rFonts w:ascii="Verdana" w:hAnsi="Verdana"/>
          <w:sz w:val="18"/>
          <w:szCs w:val="18"/>
        </w:rPr>
        <w:t>, onderzoeks</w:t>
      </w:r>
      <w:r w:rsidRPr="001F07C2">
        <w:rPr>
          <w:rFonts w:ascii="Verdana" w:hAnsi="Verdana"/>
          <w:sz w:val="18"/>
          <w:szCs w:val="18"/>
        </w:rPr>
        <w:t xml:space="preserve">- en investeringsbeleid, </w:t>
      </w:r>
      <w:r>
        <w:rPr>
          <w:rFonts w:ascii="Verdana" w:hAnsi="Verdana"/>
          <w:sz w:val="18"/>
          <w:szCs w:val="18"/>
        </w:rPr>
        <w:t xml:space="preserve">en </w:t>
      </w:r>
      <w:r w:rsidRPr="1D19F3EE" w:rsidR="002C6800">
        <w:rPr>
          <w:rFonts w:ascii="Verdana" w:hAnsi="Verdana"/>
          <w:sz w:val="18"/>
          <w:szCs w:val="18"/>
        </w:rPr>
        <w:t xml:space="preserve">verwelkomt dat de Commissie </w:t>
      </w:r>
      <w:r>
        <w:rPr>
          <w:rFonts w:ascii="Verdana" w:hAnsi="Verdana"/>
          <w:sz w:val="18"/>
          <w:szCs w:val="18"/>
        </w:rPr>
        <w:t xml:space="preserve">samen met EU-lidstaten aan een </w:t>
      </w:r>
      <w:r w:rsidRPr="001F07C2">
        <w:rPr>
          <w:rFonts w:ascii="Verdana" w:hAnsi="Verdana"/>
          <w:sz w:val="18"/>
          <w:szCs w:val="18"/>
        </w:rPr>
        <w:t>geschikte methodologie</w:t>
      </w:r>
      <w:r>
        <w:rPr>
          <w:rFonts w:ascii="Verdana" w:hAnsi="Verdana"/>
          <w:sz w:val="18"/>
          <w:szCs w:val="18"/>
        </w:rPr>
        <w:t xml:space="preserve"> wil werken</w:t>
      </w:r>
      <w:r w:rsidRPr="001F07C2">
        <w:rPr>
          <w:rFonts w:ascii="Verdana" w:hAnsi="Verdana"/>
          <w:sz w:val="18"/>
          <w:szCs w:val="18"/>
        </w:rPr>
        <w:t>.</w:t>
      </w:r>
      <w:r>
        <w:rPr>
          <w:rFonts w:ascii="Verdana" w:hAnsi="Verdana"/>
          <w:sz w:val="18"/>
          <w:szCs w:val="18"/>
        </w:rPr>
        <w:t xml:space="preserve"> Hierbij is belangrijk dat een goede afweging wordt gemaakt tussen inspanningen en bevoegdheidsverdeling tussen de Commissie</w:t>
      </w:r>
      <w:r w:rsidR="0014688D">
        <w:rPr>
          <w:rFonts w:ascii="Verdana" w:hAnsi="Verdana"/>
          <w:sz w:val="18"/>
          <w:szCs w:val="18"/>
        </w:rPr>
        <w:t>,</w:t>
      </w:r>
      <w:r>
        <w:rPr>
          <w:rFonts w:ascii="Verdana" w:hAnsi="Verdana"/>
          <w:sz w:val="18"/>
          <w:szCs w:val="18"/>
        </w:rPr>
        <w:t xml:space="preserve"> EU-lidstaten en regionale overheden en dat dit initiatief niet leidt tot een (administratieve) lastenverzwaring voor EU-lidstaten</w:t>
      </w:r>
      <w:r w:rsidR="007C6D03">
        <w:rPr>
          <w:rFonts w:ascii="Verdana" w:hAnsi="Verdana"/>
          <w:sz w:val="18"/>
          <w:szCs w:val="18"/>
        </w:rPr>
        <w:t>, uitvoerende lokale en regionale overheden</w:t>
      </w:r>
      <w:r>
        <w:rPr>
          <w:rFonts w:ascii="Verdana" w:hAnsi="Verdana"/>
          <w:sz w:val="18"/>
          <w:szCs w:val="18"/>
        </w:rPr>
        <w:t xml:space="preserve"> en/of indirect voor het bedrijfsleven. Het kabinet zal hier met aandacht naar kijken.</w:t>
      </w:r>
    </w:p>
    <w:bookmarkEnd w:id="9"/>
    <w:p w:rsidRPr="008D169A" w:rsidR="00BD666C" w:rsidP="00BD666C" w:rsidRDefault="00BD666C" w14:paraId="147F5931" w14:textId="77777777">
      <w:pPr>
        <w:spacing w:line="360" w:lineRule="auto"/>
        <w:rPr>
          <w:rFonts w:ascii="Verdana" w:hAnsi="Verdana"/>
          <w:b/>
          <w:bCs/>
          <w:sz w:val="18"/>
          <w:szCs w:val="18"/>
        </w:rPr>
      </w:pPr>
    </w:p>
    <w:p w:rsidRPr="00A25657" w:rsidR="00BD666C" w:rsidP="00BD666C" w:rsidRDefault="00BD666C" w14:paraId="748D5F99" w14:textId="77777777">
      <w:pPr>
        <w:numPr>
          <w:ilvl w:val="0"/>
          <w:numId w:val="5"/>
        </w:numPr>
        <w:spacing w:line="360" w:lineRule="auto"/>
        <w:rPr>
          <w:rFonts w:ascii="Verdana" w:hAnsi="Verdana"/>
          <w:i/>
          <w:sz w:val="18"/>
          <w:szCs w:val="18"/>
        </w:rPr>
      </w:pPr>
      <w:r w:rsidRPr="2F0F8D57">
        <w:rPr>
          <w:rFonts w:ascii="Verdana" w:hAnsi="Verdana"/>
          <w:i/>
          <w:iCs/>
          <w:sz w:val="18"/>
          <w:szCs w:val="18"/>
        </w:rPr>
        <w:t>Eerste inschatting van krachtenveld</w:t>
      </w:r>
      <w:r>
        <w:rPr>
          <w:rFonts w:ascii="Verdana" w:hAnsi="Verdana"/>
          <w:i/>
          <w:iCs/>
          <w:sz w:val="18"/>
          <w:szCs w:val="18"/>
        </w:rPr>
        <w:t xml:space="preserve"> </w:t>
      </w:r>
    </w:p>
    <w:p w:rsidR="00BD666C" w:rsidP="00BD666C" w:rsidRDefault="00BD666C" w14:paraId="6E9976A0" w14:textId="063EE404">
      <w:pPr>
        <w:spacing w:line="360" w:lineRule="auto"/>
        <w:rPr>
          <w:rFonts w:ascii="Verdana" w:hAnsi="Verdana"/>
          <w:sz w:val="18"/>
          <w:szCs w:val="18"/>
        </w:rPr>
      </w:pPr>
      <w:r>
        <w:rPr>
          <w:rFonts w:ascii="Verdana" w:hAnsi="Verdana"/>
          <w:sz w:val="18"/>
          <w:szCs w:val="18"/>
        </w:rPr>
        <w:t xml:space="preserve">Eerste reacties op het kompas zijn overwegend positief. Er is breed draagvlak voor het verbeteren van het EU-concurrentievermogen onder EU-lidstaten. Ook het </w:t>
      </w:r>
      <w:r w:rsidR="00AC415E">
        <w:rPr>
          <w:rFonts w:ascii="Verdana" w:hAnsi="Verdana"/>
          <w:sz w:val="18"/>
          <w:szCs w:val="18"/>
        </w:rPr>
        <w:t>E</w:t>
      </w:r>
      <w:r w:rsidR="00613A38">
        <w:rPr>
          <w:rFonts w:ascii="Verdana" w:hAnsi="Verdana"/>
          <w:sz w:val="18"/>
          <w:szCs w:val="18"/>
        </w:rPr>
        <w:t xml:space="preserve">uropees </w:t>
      </w:r>
      <w:r w:rsidR="00AC415E">
        <w:rPr>
          <w:rFonts w:ascii="Verdana" w:hAnsi="Verdana"/>
          <w:sz w:val="18"/>
          <w:szCs w:val="18"/>
        </w:rPr>
        <w:t>P</w:t>
      </w:r>
      <w:r w:rsidR="00613A38">
        <w:rPr>
          <w:rFonts w:ascii="Verdana" w:hAnsi="Verdana"/>
          <w:sz w:val="18"/>
          <w:szCs w:val="18"/>
        </w:rPr>
        <w:t>arlement</w:t>
      </w:r>
      <w:r>
        <w:rPr>
          <w:rFonts w:ascii="Verdana" w:hAnsi="Verdana"/>
          <w:sz w:val="18"/>
          <w:szCs w:val="18"/>
        </w:rPr>
        <w:t xml:space="preserve"> verwelkomt het initiatief van de Commissie. </w:t>
      </w:r>
      <w:r w:rsidR="00ED2023">
        <w:rPr>
          <w:rFonts w:ascii="Verdana" w:hAnsi="Verdana"/>
          <w:sz w:val="18"/>
          <w:szCs w:val="18"/>
        </w:rPr>
        <w:t>Omdat het kompas zelf nog geen specifieke voorstellen bevat, is het nog niet mogelijk om op de verschillende aangekondigde initiatieven reeds het krachtenveld in kaart te brengen</w:t>
      </w:r>
      <w:r w:rsidR="00E2110C">
        <w:rPr>
          <w:rFonts w:ascii="Verdana" w:hAnsi="Verdana"/>
          <w:sz w:val="18"/>
          <w:szCs w:val="18"/>
        </w:rPr>
        <w:t xml:space="preserve">. </w:t>
      </w:r>
      <w:r w:rsidR="00ED2023">
        <w:rPr>
          <w:rFonts w:ascii="Verdana" w:hAnsi="Verdana"/>
          <w:sz w:val="18"/>
          <w:szCs w:val="18"/>
        </w:rPr>
        <w:t>Wel is bekend</w:t>
      </w:r>
      <w:r>
        <w:rPr>
          <w:rFonts w:ascii="Verdana" w:hAnsi="Verdana"/>
          <w:sz w:val="18"/>
          <w:szCs w:val="18"/>
        </w:rPr>
        <w:t xml:space="preserve"> </w:t>
      </w:r>
      <w:r w:rsidR="00312B38">
        <w:rPr>
          <w:rFonts w:ascii="Verdana" w:hAnsi="Verdana"/>
          <w:sz w:val="18"/>
          <w:szCs w:val="18"/>
        </w:rPr>
        <w:t xml:space="preserve">dat </w:t>
      </w:r>
      <w:r>
        <w:rPr>
          <w:rFonts w:ascii="Verdana" w:hAnsi="Verdana"/>
          <w:sz w:val="18"/>
          <w:szCs w:val="18"/>
        </w:rPr>
        <w:t xml:space="preserve">de zienswijzen van EU-lidstaten over o.a. </w:t>
      </w:r>
      <w:r w:rsidRPr="000A67E5">
        <w:rPr>
          <w:rFonts w:ascii="Verdana" w:hAnsi="Verdana"/>
          <w:sz w:val="18"/>
          <w:szCs w:val="18"/>
        </w:rPr>
        <w:t xml:space="preserve">staatssteun, </w:t>
      </w:r>
      <w:r>
        <w:rPr>
          <w:rFonts w:ascii="Verdana" w:hAnsi="Verdana"/>
          <w:sz w:val="18"/>
          <w:szCs w:val="18"/>
        </w:rPr>
        <w:t>financiering</w:t>
      </w:r>
      <w:r w:rsidRPr="000A67E5">
        <w:rPr>
          <w:rFonts w:ascii="Verdana" w:hAnsi="Verdana"/>
          <w:sz w:val="18"/>
          <w:szCs w:val="18"/>
        </w:rPr>
        <w:t xml:space="preserve"> en mededinging </w:t>
      </w:r>
      <w:r>
        <w:rPr>
          <w:rFonts w:ascii="Verdana" w:hAnsi="Verdana"/>
          <w:sz w:val="18"/>
          <w:szCs w:val="18"/>
        </w:rPr>
        <w:t>uiteen</w:t>
      </w:r>
      <w:r w:rsidR="00ED2023">
        <w:rPr>
          <w:rFonts w:ascii="Verdana" w:hAnsi="Verdana"/>
          <w:sz w:val="18"/>
          <w:szCs w:val="18"/>
        </w:rPr>
        <w:t>lopen</w:t>
      </w:r>
      <w:r>
        <w:rPr>
          <w:rFonts w:ascii="Verdana" w:hAnsi="Verdana"/>
          <w:sz w:val="18"/>
          <w:szCs w:val="18"/>
        </w:rPr>
        <w:t>.</w:t>
      </w:r>
    </w:p>
    <w:p w:rsidR="00275D58" w:rsidP="00BD666C" w:rsidRDefault="00275D58" w14:paraId="0A349A7D" w14:textId="77777777">
      <w:pPr>
        <w:spacing w:line="360" w:lineRule="auto"/>
        <w:rPr>
          <w:rFonts w:ascii="Verdana" w:hAnsi="Verdana"/>
          <w:sz w:val="18"/>
          <w:szCs w:val="18"/>
        </w:rPr>
      </w:pPr>
    </w:p>
    <w:p w:rsidRPr="00DD1664" w:rsidR="00BD666C" w:rsidP="00BD666C" w:rsidRDefault="00BD666C" w14:paraId="2100A31C" w14:textId="7312A38D">
      <w:pPr>
        <w:spacing w:line="360" w:lineRule="auto"/>
        <w:rPr>
          <w:rFonts w:ascii="Verdana" w:hAnsi="Verdana"/>
          <w:sz w:val="18"/>
          <w:szCs w:val="18"/>
        </w:rPr>
      </w:pPr>
      <w:r w:rsidRPr="2F0F8D57">
        <w:rPr>
          <w:rFonts w:ascii="Verdana" w:hAnsi="Verdana"/>
          <w:b/>
          <w:bCs/>
          <w:sz w:val="18"/>
          <w:szCs w:val="18"/>
        </w:rPr>
        <w:lastRenderedPageBreak/>
        <w:t>4. Grondhouding ten aanzien van bevoegdheid, subsidiariteit, proportionaliteit, financiële gevolgen en gevolgen voor regeldruk, concurrentiekracht en geopolitieke aspecten</w:t>
      </w:r>
    </w:p>
    <w:p w:rsidRPr="00A25657" w:rsidR="00BD666C" w:rsidP="00BD666C" w:rsidRDefault="00BD666C" w14:paraId="307E311B" w14:textId="77777777">
      <w:pPr>
        <w:numPr>
          <w:ilvl w:val="0"/>
          <w:numId w:val="4"/>
        </w:numPr>
        <w:spacing w:line="360" w:lineRule="auto"/>
        <w:rPr>
          <w:rFonts w:ascii="Verdana" w:hAnsi="Verdana"/>
          <w:i/>
          <w:sz w:val="18"/>
          <w:szCs w:val="18"/>
        </w:rPr>
      </w:pPr>
      <w:r w:rsidRPr="2F0F8D57">
        <w:rPr>
          <w:rFonts w:ascii="Verdana" w:hAnsi="Verdana"/>
          <w:i/>
          <w:iCs/>
          <w:sz w:val="18"/>
          <w:szCs w:val="18"/>
        </w:rPr>
        <w:t>Bevoegdheid</w:t>
      </w:r>
    </w:p>
    <w:p w:rsidRPr="00C53116" w:rsidR="00BD666C" w:rsidP="00BD666C" w:rsidRDefault="00BD666C" w14:paraId="742E9AAB" w14:textId="303D22BA">
      <w:pPr>
        <w:tabs>
          <w:tab w:val="left" w:pos="0"/>
          <w:tab w:val="left" w:pos="340"/>
          <w:tab w:val="left" w:pos="680"/>
          <w:tab w:val="left" w:pos="1021"/>
          <w:tab w:val="left" w:pos="1361"/>
          <w:tab w:val="left" w:pos="1701"/>
          <w:tab w:val="left" w:pos="3402"/>
        </w:tabs>
        <w:spacing w:line="360" w:lineRule="auto"/>
        <w:rPr>
          <w:rFonts w:ascii="Verdana" w:hAnsi="Verdana"/>
          <w:sz w:val="18"/>
          <w:szCs w:val="18"/>
        </w:rPr>
      </w:pPr>
      <w:r w:rsidRPr="2F0F8D57">
        <w:rPr>
          <w:rFonts w:ascii="Verdana" w:hAnsi="Verdana"/>
          <w:sz w:val="18"/>
          <w:szCs w:val="18"/>
        </w:rPr>
        <w:t xml:space="preserve">De grondhouding van het kabinet is positief. In deze mededeling worden voorstellen aangekondigd die betrekking hebben op vele beleidsterreinen, waaronder interne marktbeleid, mededingingsbeleid, economisch beleid, energiebeleid, milieubeleid, industriebeleid, handelspolitiek, </w:t>
      </w:r>
      <w:r>
        <w:rPr>
          <w:rFonts w:ascii="Verdana" w:hAnsi="Verdana"/>
          <w:sz w:val="18"/>
          <w:szCs w:val="18"/>
        </w:rPr>
        <w:t>onderzoek en</w:t>
      </w:r>
      <w:r w:rsidRPr="2F0F8D57">
        <w:rPr>
          <w:rFonts w:ascii="Verdana" w:hAnsi="Verdana"/>
          <w:sz w:val="18"/>
          <w:szCs w:val="18"/>
        </w:rPr>
        <w:t xml:space="preserve"> innovatiebeleid en gemeenschappelijk buitenland</w:t>
      </w:r>
      <w:r>
        <w:rPr>
          <w:rFonts w:ascii="Verdana" w:hAnsi="Verdana"/>
          <w:sz w:val="18"/>
          <w:szCs w:val="18"/>
        </w:rPr>
        <w:t>-</w:t>
      </w:r>
      <w:r w:rsidRPr="2F0F8D57">
        <w:rPr>
          <w:rFonts w:ascii="Verdana" w:hAnsi="Verdana"/>
          <w:sz w:val="18"/>
          <w:szCs w:val="18"/>
        </w:rPr>
        <w:t xml:space="preserve"> en veiligheidsbeleid. Op het terrein van het vaststellen van mededingingsregels en gemeenschappelijk</w:t>
      </w:r>
      <w:r w:rsidR="00281EB7">
        <w:rPr>
          <w:rFonts w:ascii="Verdana" w:hAnsi="Verdana"/>
          <w:sz w:val="18"/>
          <w:szCs w:val="18"/>
        </w:rPr>
        <w:t>e</w:t>
      </w:r>
      <w:r w:rsidRPr="2F0F8D57">
        <w:rPr>
          <w:rFonts w:ascii="Verdana" w:hAnsi="Verdana"/>
          <w:sz w:val="18"/>
          <w:szCs w:val="18"/>
        </w:rPr>
        <w:t xml:space="preserve"> handelspolitiek is de EU exclusief bevoegd</w:t>
      </w:r>
      <w:r>
        <w:rPr>
          <w:rFonts w:ascii="Verdana" w:hAnsi="Verdana"/>
          <w:sz w:val="18"/>
          <w:szCs w:val="18"/>
        </w:rPr>
        <w:t>,</w:t>
      </w:r>
      <w:r w:rsidRPr="2F0F8D57">
        <w:rPr>
          <w:rFonts w:ascii="Verdana" w:hAnsi="Verdana"/>
          <w:sz w:val="18"/>
          <w:szCs w:val="18"/>
        </w:rPr>
        <w:t xml:space="preserve"> conform artikel 3</w:t>
      </w:r>
      <w:r w:rsidR="001E1CE6">
        <w:rPr>
          <w:rFonts w:ascii="Verdana" w:hAnsi="Verdana"/>
          <w:sz w:val="18"/>
          <w:szCs w:val="18"/>
        </w:rPr>
        <w:t>, lid 1, sub b) en e),</w:t>
      </w:r>
      <w:r w:rsidRPr="2F0F8D57">
        <w:rPr>
          <w:rFonts w:ascii="Verdana" w:hAnsi="Verdana"/>
          <w:sz w:val="18"/>
          <w:szCs w:val="18"/>
        </w:rPr>
        <w:t xml:space="preserve"> VWEU. Op het terrein van interne markt-, milieu- en energiebeleid is er sprake van een gedeelde bevoegdheid tussen de EU en de lidstaten conform artikel 4</w:t>
      </w:r>
      <w:r w:rsidR="001E1CE6">
        <w:rPr>
          <w:rFonts w:ascii="Verdana" w:hAnsi="Verdana"/>
          <w:sz w:val="18"/>
          <w:szCs w:val="18"/>
        </w:rPr>
        <w:t>, lid 2, sub a), e) en i),</w:t>
      </w:r>
      <w:r w:rsidRPr="2F0F8D57">
        <w:rPr>
          <w:rFonts w:ascii="Verdana" w:hAnsi="Verdana"/>
          <w:sz w:val="18"/>
          <w:szCs w:val="18"/>
        </w:rPr>
        <w:t xml:space="preserve"> VWEU. Op het terrein van industriebeleid is er sprake van een aanvullende bevoegdheid van de EU conform artikel 6</w:t>
      </w:r>
      <w:r>
        <w:rPr>
          <w:rFonts w:ascii="Verdana" w:hAnsi="Verdana"/>
          <w:sz w:val="18"/>
          <w:szCs w:val="18"/>
        </w:rPr>
        <w:t>,</w:t>
      </w:r>
      <w:r w:rsidRPr="2F0F8D57">
        <w:rPr>
          <w:rFonts w:ascii="Verdana" w:hAnsi="Verdana"/>
          <w:sz w:val="18"/>
          <w:szCs w:val="18"/>
        </w:rPr>
        <w:t xml:space="preserve"> sub b</w:t>
      </w:r>
      <w:r>
        <w:rPr>
          <w:rFonts w:ascii="Verdana" w:hAnsi="Verdana"/>
          <w:sz w:val="18"/>
          <w:szCs w:val="18"/>
        </w:rPr>
        <w:t>,</w:t>
      </w:r>
      <w:r w:rsidRPr="2F0F8D57">
        <w:rPr>
          <w:rFonts w:ascii="Verdana" w:hAnsi="Verdana"/>
          <w:sz w:val="18"/>
          <w:szCs w:val="18"/>
        </w:rPr>
        <w:t xml:space="preserve"> VWEU.</w:t>
      </w:r>
      <w:r w:rsidR="00B76288">
        <w:rPr>
          <w:rFonts w:ascii="Verdana" w:hAnsi="Verdana"/>
          <w:sz w:val="18"/>
          <w:szCs w:val="18"/>
        </w:rPr>
        <w:t xml:space="preserve"> </w:t>
      </w:r>
      <w:r w:rsidR="00B76288">
        <w:rPr>
          <w:rFonts w:ascii="Verdana" w:hAnsi="Verdana"/>
          <w:sz w:val="18"/>
          <w:szCs w:val="18"/>
          <w:lang w:eastAsia="nl-NL"/>
        </w:rPr>
        <w:t>Voor</w:t>
      </w:r>
      <w:r w:rsidR="00577E94">
        <w:rPr>
          <w:rFonts w:ascii="Verdana" w:hAnsi="Verdana"/>
          <w:sz w:val="18"/>
          <w:szCs w:val="18"/>
          <w:lang w:eastAsia="nl-NL"/>
        </w:rPr>
        <w:t xml:space="preserve"> de </w:t>
      </w:r>
      <w:r w:rsidRPr="00791BB9" w:rsidR="00577E94">
        <w:rPr>
          <w:rFonts w:ascii="Verdana" w:hAnsi="Verdana"/>
          <w:sz w:val="18"/>
          <w:szCs w:val="18"/>
          <w:lang w:eastAsia="nl-NL"/>
        </w:rPr>
        <w:t>aankondiging om een vaardighedenunie</w:t>
      </w:r>
      <w:r w:rsidR="00577E94">
        <w:rPr>
          <w:rFonts w:ascii="Verdana" w:hAnsi="Verdana"/>
          <w:sz w:val="18"/>
          <w:szCs w:val="18"/>
          <w:lang w:eastAsia="nl-NL"/>
        </w:rPr>
        <w:t xml:space="preserve"> te creëren </w:t>
      </w:r>
      <w:r w:rsidR="00B76288">
        <w:rPr>
          <w:rFonts w:ascii="Verdana" w:hAnsi="Verdana"/>
          <w:sz w:val="18"/>
          <w:szCs w:val="18"/>
          <w:lang w:eastAsia="nl-NL"/>
        </w:rPr>
        <w:t>blijft de competentieverdeling</w:t>
      </w:r>
      <w:r w:rsidR="00577E94">
        <w:rPr>
          <w:rFonts w:ascii="Verdana" w:hAnsi="Verdana"/>
          <w:sz w:val="18"/>
          <w:szCs w:val="18"/>
          <w:lang w:eastAsia="nl-NL"/>
        </w:rPr>
        <w:t xml:space="preserve"> voor het kabinet</w:t>
      </w:r>
      <w:r w:rsidR="00B76288">
        <w:rPr>
          <w:rFonts w:ascii="Verdana" w:hAnsi="Verdana"/>
          <w:sz w:val="18"/>
          <w:szCs w:val="18"/>
          <w:lang w:eastAsia="nl-NL"/>
        </w:rPr>
        <w:t xml:space="preserve"> een aandachtspunt.</w:t>
      </w:r>
    </w:p>
    <w:p w:rsidRPr="00C53116" w:rsidR="00BD666C" w:rsidP="00BD666C" w:rsidRDefault="00BD666C" w14:paraId="3AF0855D" w14:textId="77777777">
      <w:pPr>
        <w:spacing w:line="360" w:lineRule="auto"/>
        <w:rPr>
          <w:rFonts w:ascii="Verdana" w:hAnsi="Verdana"/>
          <w:b/>
          <w:i/>
          <w:sz w:val="18"/>
          <w:szCs w:val="18"/>
        </w:rPr>
      </w:pPr>
    </w:p>
    <w:p w:rsidRPr="00A25657" w:rsidR="00BD666C" w:rsidP="00BD666C" w:rsidRDefault="00BD666C" w14:paraId="38390259" w14:textId="77777777">
      <w:pPr>
        <w:numPr>
          <w:ilvl w:val="0"/>
          <w:numId w:val="4"/>
        </w:numPr>
        <w:spacing w:line="360" w:lineRule="auto"/>
        <w:rPr>
          <w:rFonts w:ascii="Verdana" w:hAnsi="Verdana"/>
          <w:i/>
          <w:sz w:val="18"/>
          <w:szCs w:val="18"/>
        </w:rPr>
      </w:pPr>
      <w:r w:rsidRPr="2F0F8D57">
        <w:rPr>
          <w:rFonts w:ascii="Verdana" w:hAnsi="Verdana"/>
          <w:i/>
          <w:iCs/>
          <w:sz w:val="18"/>
          <w:szCs w:val="18"/>
        </w:rPr>
        <w:t>Subsidiariteit</w:t>
      </w:r>
    </w:p>
    <w:p w:rsidRPr="00C53116" w:rsidR="00BD666C" w:rsidP="00BD666C" w:rsidRDefault="00BD666C" w14:paraId="7E1BE7B2" w14:textId="3548DA09">
      <w:pPr>
        <w:spacing w:line="360" w:lineRule="auto"/>
        <w:rPr>
          <w:rFonts w:ascii="Verdana" w:hAnsi="Verdana"/>
          <w:sz w:val="18"/>
          <w:szCs w:val="18"/>
          <w:lang w:eastAsia="nl-NL"/>
        </w:rPr>
      </w:pPr>
      <w:r w:rsidRPr="2F0F8D57">
        <w:rPr>
          <w:rFonts w:ascii="Verdana" w:hAnsi="Verdana"/>
          <w:sz w:val="18"/>
          <w:szCs w:val="18"/>
        </w:rPr>
        <w:t>De grondhouding van het kabinet is positief. Het doel van de mededeling is tweeledig. T</w:t>
      </w:r>
      <w:r w:rsidRPr="2F0F8D57">
        <w:rPr>
          <w:rFonts w:ascii="Verdana" w:hAnsi="Verdana"/>
          <w:sz w:val="18"/>
          <w:szCs w:val="18"/>
          <w:lang w:eastAsia="nl-NL"/>
        </w:rPr>
        <w:t xml:space="preserve">en eerste om een gemeenschappelijk kader en een strategische visie te bieden om EU-acties te begeleiden om ervoor te zorgen dat alle beleidsmaatregelen in lijn zijn met </w:t>
      </w:r>
      <w:r w:rsidR="001E1CE6">
        <w:rPr>
          <w:rFonts w:ascii="Verdana" w:hAnsi="Verdana"/>
          <w:sz w:val="18"/>
          <w:szCs w:val="18"/>
          <w:lang w:eastAsia="nl-NL"/>
        </w:rPr>
        <w:t xml:space="preserve">het versterken van het </w:t>
      </w:r>
      <w:r w:rsidRPr="2F0F8D57">
        <w:rPr>
          <w:rFonts w:ascii="Verdana" w:hAnsi="Verdana"/>
          <w:sz w:val="18"/>
          <w:szCs w:val="18"/>
          <w:lang w:eastAsia="nl-NL"/>
        </w:rPr>
        <w:t xml:space="preserve">concurrentievermogen. Ten tweede om de snelheid en kwaliteit van besluitvorming te verhogen, Europese regelgevende kaders te versimpelen, en fragmentatie te voorkomen. </w:t>
      </w:r>
      <w:r w:rsidR="00A209E4">
        <w:rPr>
          <w:rFonts w:ascii="Verdana" w:hAnsi="Verdana"/>
          <w:sz w:val="18"/>
          <w:szCs w:val="18"/>
          <w:lang w:eastAsia="nl-NL"/>
        </w:rPr>
        <w:t>Veel voorstellen in</w:t>
      </w:r>
      <w:r w:rsidRPr="2F0F8D57">
        <w:rPr>
          <w:rFonts w:ascii="Verdana" w:hAnsi="Verdana"/>
          <w:sz w:val="18"/>
          <w:szCs w:val="18"/>
          <w:lang w:eastAsia="nl-NL"/>
        </w:rPr>
        <w:t xml:space="preserve"> de </w:t>
      </w:r>
      <w:r w:rsidR="00A209E4">
        <w:rPr>
          <w:rFonts w:ascii="Verdana" w:hAnsi="Verdana"/>
          <w:sz w:val="18"/>
          <w:szCs w:val="18"/>
          <w:lang w:eastAsia="nl-NL"/>
        </w:rPr>
        <w:t xml:space="preserve">mededeling zien op verbetering van bestaande processen en aanpassingen van bestaande beleidskaders en regelgeving op EU-niveau. Uitvoering en aanpassing hiervan kan enkel op EU-niveau. Daarnaast is </w:t>
      </w:r>
      <w:r w:rsidRPr="2F0F8D57">
        <w:rPr>
          <w:rFonts w:ascii="Verdana" w:hAnsi="Verdana"/>
          <w:sz w:val="18"/>
          <w:szCs w:val="18"/>
          <w:lang w:eastAsia="nl-NL"/>
        </w:rPr>
        <w:t xml:space="preserve">coördinatie </w:t>
      </w:r>
      <w:r w:rsidR="00A209E4">
        <w:rPr>
          <w:rFonts w:ascii="Verdana" w:hAnsi="Verdana"/>
          <w:sz w:val="18"/>
          <w:szCs w:val="18"/>
          <w:lang w:eastAsia="nl-NL"/>
        </w:rPr>
        <w:t>van initiatieven</w:t>
      </w:r>
      <w:r w:rsidRPr="2F0F8D57">
        <w:rPr>
          <w:rFonts w:ascii="Verdana" w:hAnsi="Verdana"/>
          <w:sz w:val="18"/>
          <w:szCs w:val="18"/>
          <w:lang w:eastAsia="nl-NL"/>
        </w:rPr>
        <w:t xml:space="preserve"> op dit gebied </w:t>
      </w:r>
      <w:r w:rsidR="00A209E4">
        <w:rPr>
          <w:rFonts w:ascii="Verdana" w:hAnsi="Verdana"/>
          <w:sz w:val="18"/>
          <w:szCs w:val="18"/>
          <w:lang w:eastAsia="nl-NL"/>
        </w:rPr>
        <w:t xml:space="preserve">noodzakelijk om te voorkomen dat nationale en lokale initiatieven leiden tot een lappendeken van verschillende regels die het concurrentievermogen juist zouden verminderen. </w:t>
      </w:r>
      <w:r w:rsidR="006510F2">
        <w:rPr>
          <w:rFonts w:ascii="Verdana" w:hAnsi="Verdana"/>
          <w:sz w:val="18"/>
          <w:szCs w:val="18"/>
          <w:lang w:eastAsia="nl-NL"/>
        </w:rPr>
        <w:t>Een aanpak</w:t>
      </w:r>
      <w:r w:rsidRPr="2F0F8D57">
        <w:rPr>
          <w:rFonts w:ascii="Verdana" w:hAnsi="Verdana"/>
          <w:sz w:val="18"/>
          <w:szCs w:val="18"/>
          <w:lang w:eastAsia="nl-NL"/>
        </w:rPr>
        <w:t xml:space="preserve"> door lidstaten op nationaal, regionaal of lokaal niveau </w:t>
      </w:r>
      <w:r w:rsidR="006510F2">
        <w:rPr>
          <w:rFonts w:ascii="Verdana" w:hAnsi="Verdana"/>
          <w:sz w:val="18"/>
          <w:szCs w:val="18"/>
          <w:lang w:eastAsia="nl-NL"/>
        </w:rPr>
        <w:t>zou averechts werken</w:t>
      </w:r>
      <w:r w:rsidR="00697EF9">
        <w:rPr>
          <w:rFonts w:ascii="Verdana" w:hAnsi="Verdana"/>
          <w:sz w:val="18"/>
          <w:szCs w:val="18"/>
          <w:lang w:eastAsia="nl-NL"/>
        </w:rPr>
        <w:t>.</w:t>
      </w:r>
      <w:r w:rsidRPr="2F0F8D57">
        <w:rPr>
          <w:rFonts w:ascii="Verdana" w:hAnsi="Verdana"/>
          <w:sz w:val="18"/>
          <w:szCs w:val="18"/>
          <w:lang w:eastAsia="nl-NL"/>
        </w:rPr>
        <w:t xml:space="preserve"> Door een gezamenlijke strategie</w:t>
      </w:r>
      <w:r>
        <w:rPr>
          <w:rFonts w:ascii="Verdana" w:hAnsi="Verdana"/>
          <w:sz w:val="18"/>
          <w:szCs w:val="18"/>
          <w:lang w:eastAsia="nl-NL"/>
        </w:rPr>
        <w:t>,</w:t>
      </w:r>
      <w:r w:rsidRPr="2F0F8D57">
        <w:rPr>
          <w:rFonts w:ascii="Verdana" w:hAnsi="Verdana"/>
          <w:sz w:val="18"/>
          <w:szCs w:val="18"/>
          <w:lang w:eastAsia="nl-NL"/>
        </w:rPr>
        <w:t xml:space="preserve"> die het EU</w:t>
      </w:r>
      <w:r>
        <w:rPr>
          <w:rFonts w:ascii="Verdana" w:hAnsi="Verdana"/>
          <w:sz w:val="18"/>
          <w:szCs w:val="18"/>
          <w:lang w:eastAsia="nl-NL"/>
        </w:rPr>
        <w:t>-</w:t>
      </w:r>
      <w:r w:rsidRPr="2F0F8D57">
        <w:rPr>
          <w:rFonts w:ascii="Verdana" w:hAnsi="Verdana"/>
          <w:sz w:val="18"/>
          <w:szCs w:val="18"/>
          <w:lang w:eastAsia="nl-NL"/>
        </w:rPr>
        <w:t>concurrentievermogen moet versterken</w:t>
      </w:r>
      <w:r>
        <w:rPr>
          <w:rFonts w:ascii="Verdana" w:hAnsi="Verdana"/>
          <w:sz w:val="18"/>
          <w:szCs w:val="18"/>
          <w:lang w:eastAsia="nl-NL"/>
        </w:rPr>
        <w:t>,</w:t>
      </w:r>
      <w:r w:rsidRPr="2F0F8D57">
        <w:rPr>
          <w:rFonts w:ascii="Verdana" w:hAnsi="Verdana"/>
          <w:sz w:val="18"/>
          <w:szCs w:val="18"/>
          <w:lang w:eastAsia="nl-NL"/>
        </w:rPr>
        <w:t xml:space="preserve"> wordt het gelijke speelveld op het terrein van onder meer mededinging, interne markt en industrie verbeterd</w:t>
      </w:r>
      <w:r w:rsidR="00322EFC">
        <w:rPr>
          <w:rFonts w:ascii="Verdana" w:hAnsi="Verdana"/>
          <w:sz w:val="18"/>
          <w:szCs w:val="18"/>
          <w:lang w:eastAsia="nl-NL"/>
        </w:rPr>
        <w:t>.</w:t>
      </w:r>
      <w:r w:rsidRPr="2F0F8D57">
        <w:rPr>
          <w:rFonts w:ascii="Verdana" w:hAnsi="Verdana"/>
          <w:sz w:val="18"/>
          <w:szCs w:val="18"/>
          <w:lang w:eastAsia="nl-NL"/>
        </w:rPr>
        <w:t xml:space="preserve"> Om die reden</w:t>
      </w:r>
      <w:r w:rsidR="00F815B2">
        <w:rPr>
          <w:rFonts w:ascii="Verdana" w:hAnsi="Verdana"/>
          <w:sz w:val="18"/>
          <w:szCs w:val="18"/>
          <w:lang w:eastAsia="nl-NL"/>
        </w:rPr>
        <w:t>en</w:t>
      </w:r>
      <w:r w:rsidRPr="2F0F8D57">
        <w:rPr>
          <w:rFonts w:ascii="Verdana" w:hAnsi="Verdana"/>
          <w:sz w:val="18"/>
          <w:szCs w:val="18"/>
          <w:lang w:eastAsia="nl-NL"/>
        </w:rPr>
        <w:t xml:space="preserve"> is EU</w:t>
      </w:r>
      <w:r>
        <w:rPr>
          <w:rFonts w:ascii="Verdana" w:hAnsi="Verdana"/>
          <w:sz w:val="18"/>
          <w:szCs w:val="18"/>
          <w:lang w:eastAsia="nl-NL"/>
        </w:rPr>
        <w:t>-</w:t>
      </w:r>
      <w:r w:rsidRPr="2F0F8D57">
        <w:rPr>
          <w:rFonts w:ascii="Verdana" w:hAnsi="Verdana"/>
          <w:sz w:val="18"/>
          <w:szCs w:val="18"/>
          <w:lang w:eastAsia="nl-NL"/>
        </w:rPr>
        <w:t xml:space="preserve">optreden gerechtvaardigd. </w:t>
      </w:r>
    </w:p>
    <w:p w:rsidR="00BD666C" w:rsidP="00BD666C" w:rsidRDefault="00BD666C" w14:paraId="0F948FED" w14:textId="77777777">
      <w:pPr>
        <w:spacing w:line="360" w:lineRule="auto"/>
        <w:rPr>
          <w:rFonts w:ascii="Verdana" w:hAnsi="Verdana"/>
          <w:sz w:val="18"/>
          <w:szCs w:val="18"/>
        </w:rPr>
      </w:pPr>
    </w:p>
    <w:p w:rsidRPr="00A25657" w:rsidR="00BD666C" w:rsidP="00BD666C" w:rsidRDefault="00BD666C" w14:paraId="51623F1A" w14:textId="77777777">
      <w:pPr>
        <w:numPr>
          <w:ilvl w:val="0"/>
          <w:numId w:val="4"/>
        </w:numPr>
        <w:spacing w:line="360" w:lineRule="auto"/>
        <w:rPr>
          <w:rFonts w:ascii="Verdana" w:hAnsi="Verdana"/>
          <w:i/>
          <w:sz w:val="18"/>
          <w:szCs w:val="18"/>
        </w:rPr>
      </w:pPr>
      <w:r w:rsidRPr="2F0F8D57">
        <w:rPr>
          <w:rFonts w:ascii="Verdana" w:hAnsi="Verdana"/>
          <w:i/>
          <w:iCs/>
          <w:sz w:val="18"/>
          <w:szCs w:val="18"/>
        </w:rPr>
        <w:t>Proportionaliteit</w:t>
      </w:r>
    </w:p>
    <w:p w:rsidR="00275D58" w:rsidP="00BD666C" w:rsidRDefault="00BD666C" w14:paraId="73E1DC74" w14:textId="77777777">
      <w:pPr>
        <w:spacing w:line="360" w:lineRule="auto"/>
        <w:rPr>
          <w:rFonts w:ascii="Verdana" w:hAnsi="Verdana"/>
          <w:sz w:val="18"/>
          <w:szCs w:val="18"/>
        </w:rPr>
      </w:pPr>
      <w:r w:rsidRPr="2F0F8D57">
        <w:rPr>
          <w:rFonts w:ascii="Verdana" w:hAnsi="Verdana"/>
          <w:sz w:val="18"/>
          <w:szCs w:val="18"/>
        </w:rPr>
        <w:t>De grondhouding van het kabinet is positief. Het doel van de mededeling is</w:t>
      </w:r>
      <w:r>
        <w:rPr>
          <w:rFonts w:ascii="Verdana" w:hAnsi="Verdana"/>
          <w:sz w:val="18"/>
          <w:szCs w:val="18"/>
        </w:rPr>
        <w:t xml:space="preserve"> </w:t>
      </w:r>
      <w:r w:rsidRPr="2F0F8D57" w:rsidR="00D854C3">
        <w:rPr>
          <w:rFonts w:ascii="Verdana" w:hAnsi="Verdana"/>
          <w:sz w:val="18"/>
          <w:szCs w:val="18"/>
        </w:rPr>
        <w:t>tweeledig. T</w:t>
      </w:r>
      <w:r w:rsidRPr="2F0F8D57" w:rsidR="00D854C3">
        <w:rPr>
          <w:rFonts w:ascii="Verdana" w:hAnsi="Verdana"/>
          <w:sz w:val="18"/>
          <w:szCs w:val="18"/>
          <w:lang w:eastAsia="nl-NL"/>
        </w:rPr>
        <w:t xml:space="preserve">en eerste om </w:t>
      </w:r>
      <w:r w:rsidRPr="2F0F8D57">
        <w:rPr>
          <w:rFonts w:ascii="Verdana" w:hAnsi="Verdana"/>
          <w:sz w:val="18"/>
          <w:szCs w:val="18"/>
          <w:lang w:eastAsia="nl-NL"/>
        </w:rPr>
        <w:t>een</w:t>
      </w:r>
      <w:r w:rsidRPr="2F0F8D57" w:rsidR="00D854C3">
        <w:rPr>
          <w:rFonts w:ascii="Verdana" w:hAnsi="Verdana"/>
          <w:sz w:val="18"/>
          <w:szCs w:val="18"/>
          <w:lang w:eastAsia="nl-NL"/>
        </w:rPr>
        <w:t xml:space="preserve"> </w:t>
      </w:r>
      <w:r w:rsidRPr="2F0F8D57">
        <w:rPr>
          <w:rFonts w:ascii="Verdana" w:hAnsi="Verdana"/>
          <w:sz w:val="18"/>
          <w:szCs w:val="18"/>
          <w:lang w:eastAsia="nl-NL"/>
        </w:rPr>
        <w:t xml:space="preserve">gemeenschappelijk </w:t>
      </w:r>
      <w:r w:rsidRPr="2F0F8D57" w:rsidR="00D854C3">
        <w:rPr>
          <w:rFonts w:ascii="Verdana" w:hAnsi="Verdana"/>
          <w:sz w:val="18"/>
          <w:szCs w:val="18"/>
          <w:lang w:eastAsia="nl-NL"/>
        </w:rPr>
        <w:t xml:space="preserve">kader en </w:t>
      </w:r>
      <w:r w:rsidRPr="2F0F8D57">
        <w:rPr>
          <w:rFonts w:ascii="Verdana" w:hAnsi="Verdana"/>
          <w:sz w:val="18"/>
          <w:szCs w:val="18"/>
          <w:lang w:eastAsia="nl-NL"/>
        </w:rPr>
        <w:t xml:space="preserve">een strategische visie </w:t>
      </w:r>
      <w:r w:rsidRPr="2F0F8D57" w:rsidR="00D854C3">
        <w:rPr>
          <w:rFonts w:ascii="Verdana" w:hAnsi="Verdana"/>
          <w:sz w:val="18"/>
          <w:szCs w:val="18"/>
          <w:lang w:eastAsia="nl-NL"/>
        </w:rPr>
        <w:t xml:space="preserve">te bieden om </w:t>
      </w:r>
      <w:r>
        <w:rPr>
          <w:rFonts w:ascii="Verdana" w:hAnsi="Verdana"/>
          <w:sz w:val="18"/>
          <w:szCs w:val="18"/>
          <w:lang w:eastAsia="nl-NL"/>
        </w:rPr>
        <w:t>EU-</w:t>
      </w:r>
      <w:r w:rsidRPr="2F0F8D57" w:rsidR="00D854C3">
        <w:rPr>
          <w:rFonts w:ascii="Verdana" w:hAnsi="Verdana"/>
          <w:sz w:val="18"/>
          <w:szCs w:val="18"/>
          <w:lang w:eastAsia="nl-NL"/>
        </w:rPr>
        <w:t xml:space="preserve">acties te begeleiden om ervoor te zorgen dat alle beleidsmaatregelen in lijn zijn met </w:t>
      </w:r>
      <w:r w:rsidR="00091812">
        <w:rPr>
          <w:rFonts w:ascii="Verdana" w:hAnsi="Verdana"/>
          <w:sz w:val="18"/>
          <w:szCs w:val="18"/>
          <w:lang w:eastAsia="nl-NL"/>
        </w:rPr>
        <w:t xml:space="preserve">het versterken van </w:t>
      </w:r>
      <w:r w:rsidR="001E1CE6">
        <w:rPr>
          <w:rFonts w:ascii="Verdana" w:hAnsi="Verdana"/>
          <w:sz w:val="18"/>
          <w:szCs w:val="18"/>
          <w:lang w:eastAsia="nl-NL"/>
        </w:rPr>
        <w:t xml:space="preserve">het </w:t>
      </w:r>
      <w:r w:rsidRPr="2F0F8D57">
        <w:rPr>
          <w:rFonts w:ascii="Verdana" w:hAnsi="Verdana"/>
          <w:sz w:val="18"/>
          <w:szCs w:val="18"/>
          <w:lang w:eastAsia="nl-NL"/>
        </w:rPr>
        <w:t>concurrentievermogen</w:t>
      </w:r>
      <w:r w:rsidRPr="2F0F8D57" w:rsidR="00D854C3">
        <w:rPr>
          <w:rFonts w:ascii="Verdana" w:hAnsi="Verdana"/>
          <w:sz w:val="18"/>
          <w:szCs w:val="18"/>
          <w:lang w:eastAsia="nl-NL"/>
        </w:rPr>
        <w:t>. Ten tweede om de snelheid en kwaliteit van besluitvorming te verhogen, Europese regelgevende kaders te versimpelen, en fragmentatie te voorkomen.</w:t>
      </w:r>
      <w:r w:rsidRPr="2F0F8D57">
        <w:rPr>
          <w:rFonts w:ascii="Verdana" w:hAnsi="Verdana"/>
          <w:sz w:val="18"/>
          <w:szCs w:val="18"/>
          <w:lang w:eastAsia="nl-NL"/>
        </w:rPr>
        <w:t xml:space="preserve"> </w:t>
      </w:r>
      <w:r w:rsidRPr="2F0F8D57">
        <w:rPr>
          <w:rFonts w:ascii="Verdana" w:hAnsi="Verdana"/>
          <w:sz w:val="18"/>
          <w:szCs w:val="18"/>
        </w:rPr>
        <w:t>Het voorgestelde optreden is geschikt om deze doelstelling</w:t>
      </w:r>
      <w:r w:rsidR="009856EA">
        <w:rPr>
          <w:rFonts w:ascii="Verdana" w:hAnsi="Verdana"/>
          <w:sz w:val="18"/>
          <w:szCs w:val="18"/>
        </w:rPr>
        <w:t>en</w:t>
      </w:r>
      <w:r w:rsidRPr="2F0F8D57">
        <w:rPr>
          <w:rFonts w:ascii="Verdana" w:hAnsi="Verdana"/>
          <w:sz w:val="18"/>
          <w:szCs w:val="18"/>
        </w:rPr>
        <w:t xml:space="preserve"> te bereiken </w:t>
      </w:r>
      <w:r>
        <w:rPr>
          <w:rFonts w:ascii="Verdana" w:hAnsi="Verdana"/>
          <w:sz w:val="18"/>
          <w:szCs w:val="18"/>
        </w:rPr>
        <w:t xml:space="preserve">omdat de </w:t>
      </w:r>
      <w:r w:rsidR="0050477A">
        <w:rPr>
          <w:rFonts w:ascii="Verdana" w:hAnsi="Verdana"/>
          <w:sz w:val="18"/>
          <w:szCs w:val="18"/>
        </w:rPr>
        <w:t>mededeling</w:t>
      </w:r>
      <w:r>
        <w:rPr>
          <w:rFonts w:ascii="Verdana" w:hAnsi="Verdana"/>
          <w:sz w:val="18"/>
          <w:szCs w:val="18"/>
        </w:rPr>
        <w:t xml:space="preserve"> een integrale beleidsbenadering </w:t>
      </w:r>
      <w:r w:rsidR="00F87093">
        <w:rPr>
          <w:rFonts w:ascii="Verdana" w:hAnsi="Verdana"/>
          <w:sz w:val="18"/>
          <w:szCs w:val="18"/>
        </w:rPr>
        <w:t>bevat</w:t>
      </w:r>
      <w:r>
        <w:rPr>
          <w:rFonts w:ascii="Verdana" w:hAnsi="Verdana"/>
          <w:sz w:val="18"/>
          <w:szCs w:val="18"/>
        </w:rPr>
        <w:t xml:space="preserve"> </w:t>
      </w:r>
      <w:r w:rsidR="0050477A">
        <w:rPr>
          <w:rFonts w:ascii="Verdana" w:hAnsi="Verdana"/>
          <w:sz w:val="18"/>
          <w:szCs w:val="18"/>
        </w:rPr>
        <w:t xml:space="preserve">die bij kan dragen aan de versterking van het </w:t>
      </w:r>
      <w:r>
        <w:rPr>
          <w:rFonts w:ascii="Verdana" w:hAnsi="Verdana"/>
          <w:sz w:val="18"/>
          <w:szCs w:val="18"/>
        </w:rPr>
        <w:t>concurrentievermogen.</w:t>
      </w:r>
      <w:r w:rsidR="006D42EA">
        <w:rPr>
          <w:rFonts w:ascii="Verdana" w:hAnsi="Verdana"/>
          <w:sz w:val="18"/>
          <w:szCs w:val="18"/>
        </w:rPr>
        <w:t xml:space="preserve"> </w:t>
      </w:r>
    </w:p>
    <w:p w:rsidR="00275D58" w:rsidP="00BD666C" w:rsidRDefault="00275D58" w14:paraId="581DCFF4" w14:textId="77777777">
      <w:pPr>
        <w:spacing w:line="360" w:lineRule="auto"/>
        <w:rPr>
          <w:rFonts w:ascii="Verdana" w:hAnsi="Verdana"/>
          <w:sz w:val="18"/>
          <w:szCs w:val="18"/>
        </w:rPr>
      </w:pPr>
    </w:p>
    <w:p w:rsidR="00BD666C" w:rsidP="00BD666C" w:rsidRDefault="006D42EA" w14:paraId="5F60D755" w14:textId="3AD352D7">
      <w:pPr>
        <w:spacing w:line="360" w:lineRule="auto"/>
        <w:rPr>
          <w:rFonts w:ascii="Verdana" w:hAnsi="Verdana"/>
          <w:sz w:val="18"/>
          <w:szCs w:val="18"/>
        </w:rPr>
      </w:pPr>
      <w:r>
        <w:rPr>
          <w:rFonts w:ascii="Verdana" w:hAnsi="Verdana"/>
          <w:sz w:val="18"/>
          <w:szCs w:val="18"/>
        </w:rPr>
        <w:lastRenderedPageBreak/>
        <w:t>Daarnaast kunnen ook de voorstellen die zien op de besluitvorming en de aard van regelgeving een bijdrage leveren aan de beoogde verbetering van de kwaliteit, snelheid en de versimpeling</w:t>
      </w:r>
      <w:r w:rsidR="00D63D3B">
        <w:rPr>
          <w:rFonts w:ascii="Verdana" w:hAnsi="Verdana"/>
          <w:sz w:val="18"/>
          <w:szCs w:val="18"/>
        </w:rPr>
        <w:t xml:space="preserve"> van de besluitvorming en regelgeving</w:t>
      </w:r>
      <w:r>
        <w:rPr>
          <w:rFonts w:ascii="Verdana" w:hAnsi="Verdana"/>
          <w:sz w:val="18"/>
          <w:szCs w:val="18"/>
        </w:rPr>
        <w:t>.</w:t>
      </w:r>
      <w:r w:rsidRPr="2F0F8D57" w:rsidR="00BD666C">
        <w:rPr>
          <w:rFonts w:ascii="Verdana" w:hAnsi="Verdana"/>
          <w:sz w:val="18"/>
          <w:szCs w:val="18"/>
        </w:rPr>
        <w:t xml:space="preserve"> Bovendien gaat het voorgestelde optreden niet verder dan noodzakelijk</w:t>
      </w:r>
      <w:r w:rsidR="00BD666C">
        <w:rPr>
          <w:rFonts w:ascii="Verdana" w:hAnsi="Verdana"/>
          <w:sz w:val="18"/>
          <w:szCs w:val="18"/>
        </w:rPr>
        <w:t xml:space="preserve"> omdat </w:t>
      </w:r>
      <w:r w:rsidR="00E90D92">
        <w:rPr>
          <w:rFonts w:ascii="Verdana" w:hAnsi="Verdana"/>
          <w:sz w:val="18"/>
          <w:szCs w:val="18"/>
        </w:rPr>
        <w:t xml:space="preserve">het bieden van een </w:t>
      </w:r>
      <w:r w:rsidR="00E90D92">
        <w:rPr>
          <w:rFonts w:ascii="Verdana" w:hAnsi="Verdana"/>
          <w:sz w:val="18"/>
          <w:szCs w:val="18"/>
          <w:lang w:eastAsia="nl-NL"/>
        </w:rPr>
        <w:t>beleids</w:t>
      </w:r>
      <w:r w:rsidRPr="2F0F8D57" w:rsidR="00E90D92">
        <w:rPr>
          <w:rFonts w:ascii="Verdana" w:hAnsi="Verdana"/>
          <w:sz w:val="18"/>
          <w:szCs w:val="18"/>
          <w:lang w:eastAsia="nl-NL"/>
        </w:rPr>
        <w:t xml:space="preserve">kader en strategische visie </w:t>
      </w:r>
      <w:r w:rsidR="00E90D92">
        <w:rPr>
          <w:rFonts w:ascii="Verdana" w:hAnsi="Verdana"/>
          <w:sz w:val="18"/>
          <w:szCs w:val="18"/>
          <w:lang w:eastAsia="nl-NL"/>
        </w:rPr>
        <w:t>op versterking van het EU-</w:t>
      </w:r>
      <w:r w:rsidRPr="2F0F8D57" w:rsidR="00E90D92">
        <w:rPr>
          <w:rFonts w:ascii="Verdana" w:hAnsi="Verdana"/>
          <w:sz w:val="18"/>
          <w:szCs w:val="18"/>
          <w:lang w:eastAsia="nl-NL"/>
        </w:rPr>
        <w:t>concurrentievermogen</w:t>
      </w:r>
      <w:r w:rsidDel="00E90D92" w:rsidR="00E90D92">
        <w:rPr>
          <w:rFonts w:ascii="Verdana" w:hAnsi="Verdana"/>
          <w:sz w:val="18"/>
          <w:szCs w:val="18"/>
        </w:rPr>
        <w:t xml:space="preserve"> </w:t>
      </w:r>
      <w:r w:rsidR="00787AC5">
        <w:rPr>
          <w:rFonts w:ascii="Verdana" w:hAnsi="Verdana"/>
          <w:sz w:val="18"/>
          <w:szCs w:val="18"/>
        </w:rPr>
        <w:t xml:space="preserve">nog wel voldoende </w:t>
      </w:r>
      <w:r w:rsidR="00E90D92">
        <w:rPr>
          <w:rFonts w:ascii="Verdana" w:hAnsi="Verdana"/>
          <w:sz w:val="18"/>
          <w:szCs w:val="18"/>
        </w:rPr>
        <w:t>ruimte laat aan de EU-</w:t>
      </w:r>
      <w:r w:rsidR="007D2DAE">
        <w:rPr>
          <w:rFonts w:ascii="Verdana" w:hAnsi="Verdana"/>
          <w:sz w:val="18"/>
          <w:szCs w:val="18"/>
        </w:rPr>
        <w:t>l</w:t>
      </w:r>
      <w:r w:rsidR="00E90D92">
        <w:rPr>
          <w:rFonts w:ascii="Verdana" w:hAnsi="Verdana"/>
          <w:sz w:val="18"/>
          <w:szCs w:val="18"/>
        </w:rPr>
        <w:t xml:space="preserve">idstaten om hier </w:t>
      </w:r>
      <w:r w:rsidR="00787AC5">
        <w:rPr>
          <w:rFonts w:ascii="Verdana" w:hAnsi="Verdana"/>
          <w:sz w:val="18"/>
          <w:szCs w:val="18"/>
        </w:rPr>
        <w:t xml:space="preserve">op bepaalde punten </w:t>
      </w:r>
      <w:r w:rsidR="005F3CCD">
        <w:rPr>
          <w:rFonts w:ascii="Verdana" w:hAnsi="Verdana"/>
          <w:sz w:val="18"/>
          <w:szCs w:val="18"/>
        </w:rPr>
        <w:t xml:space="preserve">nationaal </w:t>
      </w:r>
      <w:r w:rsidR="00E90D92">
        <w:rPr>
          <w:rFonts w:ascii="Verdana" w:hAnsi="Verdana"/>
          <w:sz w:val="18"/>
          <w:szCs w:val="18"/>
        </w:rPr>
        <w:t>invulling aan te geven</w:t>
      </w:r>
      <w:r w:rsidR="00787AC5">
        <w:rPr>
          <w:rFonts w:ascii="Verdana" w:hAnsi="Verdana"/>
          <w:sz w:val="18"/>
          <w:szCs w:val="18"/>
        </w:rPr>
        <w:t xml:space="preserve"> en verdere uitwerking daarvan mede vorm te geven</w:t>
      </w:r>
      <w:r w:rsidR="00BD666C">
        <w:rPr>
          <w:rFonts w:ascii="Verdana" w:hAnsi="Verdana"/>
          <w:sz w:val="18"/>
          <w:szCs w:val="18"/>
        </w:rPr>
        <w:t>.</w:t>
      </w:r>
    </w:p>
    <w:p w:rsidR="00BD666C" w:rsidP="00BD666C" w:rsidRDefault="00BD666C" w14:paraId="2131C008" w14:textId="77777777">
      <w:pPr>
        <w:spacing w:line="360" w:lineRule="auto"/>
        <w:rPr>
          <w:rFonts w:ascii="Verdana" w:hAnsi="Verdana"/>
          <w:sz w:val="18"/>
          <w:szCs w:val="18"/>
        </w:rPr>
      </w:pPr>
    </w:p>
    <w:p w:rsidRPr="00A25657" w:rsidR="00BD666C" w:rsidP="00BD666C" w:rsidRDefault="00BD666C" w14:paraId="0CA0B8D1" w14:textId="77777777">
      <w:pPr>
        <w:tabs>
          <w:tab w:val="left" w:pos="680"/>
          <w:tab w:val="left" w:pos="1021"/>
          <w:tab w:val="left" w:pos="1361"/>
          <w:tab w:val="left" w:pos="1701"/>
          <w:tab w:val="left" w:pos="3402"/>
        </w:tabs>
        <w:spacing w:line="360" w:lineRule="auto"/>
        <w:rPr>
          <w:rFonts w:ascii="Verdana" w:hAnsi="Verdana"/>
          <w:color w:val="FF0000"/>
          <w:sz w:val="18"/>
          <w:szCs w:val="18"/>
        </w:rPr>
      </w:pPr>
      <w:r w:rsidRPr="2F0F8D57">
        <w:rPr>
          <w:rFonts w:ascii="Verdana" w:hAnsi="Verdana"/>
          <w:i/>
          <w:iCs/>
          <w:sz w:val="18"/>
          <w:szCs w:val="18"/>
        </w:rPr>
        <w:t>Financiële gevolgen</w:t>
      </w:r>
      <w:r>
        <w:rPr>
          <w:rFonts w:ascii="Verdana" w:hAnsi="Verdana"/>
          <w:b/>
          <w:bCs/>
          <w:sz w:val="18"/>
          <w:szCs w:val="18"/>
        </w:rPr>
        <w:t xml:space="preserve"> </w:t>
      </w:r>
    </w:p>
    <w:p w:rsidR="00BD666C" w:rsidP="00BD666C" w:rsidRDefault="00BD666C" w14:paraId="0CDEEF76" w14:textId="64E6C4F7">
      <w:pPr>
        <w:tabs>
          <w:tab w:val="left" w:pos="680"/>
          <w:tab w:val="left" w:pos="1021"/>
          <w:tab w:val="left" w:pos="1361"/>
          <w:tab w:val="left" w:pos="1701"/>
          <w:tab w:val="left" w:pos="3402"/>
        </w:tabs>
        <w:spacing w:line="360" w:lineRule="auto"/>
        <w:rPr>
          <w:rFonts w:ascii="Verdana" w:hAnsi="Verdana"/>
          <w:sz w:val="18"/>
          <w:szCs w:val="18"/>
        </w:rPr>
      </w:pPr>
      <w:bookmarkStart w:name="_Hlk189729598" w:id="10"/>
      <w:r w:rsidRPr="00F81BC6">
        <w:rPr>
          <w:rFonts w:ascii="Verdana" w:hAnsi="Verdana"/>
          <w:sz w:val="18"/>
          <w:szCs w:val="18"/>
        </w:rPr>
        <w:t>De mededelin</w:t>
      </w:r>
      <w:r>
        <w:rPr>
          <w:rFonts w:ascii="Verdana" w:hAnsi="Verdana"/>
          <w:sz w:val="18"/>
          <w:szCs w:val="18"/>
        </w:rPr>
        <w:t xml:space="preserve">g zelf heeft geen directe financiële consequenties. </w:t>
      </w:r>
      <w:r w:rsidRPr="00A25657">
        <w:rPr>
          <w:rFonts w:ascii="Verdana" w:hAnsi="Verdana"/>
          <w:sz w:val="18"/>
          <w:szCs w:val="18"/>
        </w:rPr>
        <w:t xml:space="preserve">Tegelijkertijd kondigt de mededeling een groot aantal nieuwe voorstellen, plannen en strategieën aan. </w:t>
      </w:r>
      <w:r w:rsidRPr="005147F4">
        <w:rPr>
          <w:rFonts w:ascii="Verdana" w:hAnsi="Verdana"/>
          <w:sz w:val="18"/>
          <w:szCs w:val="18"/>
        </w:rPr>
        <w:t>Het kabinet is van mening dat eventueel benodigde EU-middelen gevonden dienen te worden binnen de in de Raad afgesproken financiële kaders van de EU-begroting 2021–2027</w:t>
      </w:r>
      <w:r w:rsidRPr="00D35690" w:rsidR="00D35690">
        <w:t xml:space="preserve"> </w:t>
      </w:r>
      <w:r w:rsidRPr="00D35690" w:rsidR="00D35690">
        <w:rPr>
          <w:rFonts w:ascii="Verdana" w:hAnsi="Verdana"/>
          <w:sz w:val="18"/>
          <w:szCs w:val="18"/>
        </w:rPr>
        <w:t>voor zover deze voorstellen uitkomen voor</w:t>
      </w:r>
      <w:r w:rsidR="00A13DD6">
        <w:rPr>
          <w:rFonts w:ascii="Verdana" w:hAnsi="Verdana"/>
          <w:sz w:val="18"/>
          <w:szCs w:val="18"/>
        </w:rPr>
        <w:t>dat</w:t>
      </w:r>
      <w:r w:rsidRPr="00D35690" w:rsidR="00D35690">
        <w:rPr>
          <w:rFonts w:ascii="Verdana" w:hAnsi="Verdana"/>
          <w:sz w:val="18"/>
          <w:szCs w:val="18"/>
        </w:rPr>
        <w:t xml:space="preserve"> het volgende MFK is vastgesteld</w:t>
      </w:r>
      <w:r w:rsidR="00D35690">
        <w:rPr>
          <w:rFonts w:ascii="Verdana" w:hAnsi="Verdana"/>
          <w:sz w:val="18"/>
          <w:szCs w:val="18"/>
        </w:rPr>
        <w:t>,</w:t>
      </w:r>
      <w:r w:rsidRPr="005147F4">
        <w:rPr>
          <w:rFonts w:ascii="Verdana" w:hAnsi="Verdana"/>
          <w:sz w:val="18"/>
          <w:szCs w:val="18"/>
        </w:rPr>
        <w:t xml:space="preserve"> en dat deze moeten passen bij een prudente ontwikkeling van de jaarbegroting. Eventuele budgettaire gevolgen voor de Rijksbegroting worden ingepast op de begroting van het beleidsverantwoordelijke departement, conform de regels van de budgetdiscipline.</w:t>
      </w:r>
      <w:r>
        <w:rPr>
          <w:rFonts w:ascii="Verdana" w:hAnsi="Verdana"/>
          <w:sz w:val="18"/>
          <w:szCs w:val="18"/>
        </w:rPr>
        <w:t xml:space="preserve"> </w:t>
      </w:r>
      <w:r w:rsidRPr="00F20BC0">
        <w:rPr>
          <w:rFonts w:ascii="Verdana" w:hAnsi="Verdana"/>
          <w:sz w:val="18"/>
          <w:szCs w:val="18"/>
        </w:rPr>
        <w:t>Het kabinet wil niet vooruitlopen op de integrale afweging van middelen na 2027.</w:t>
      </w:r>
    </w:p>
    <w:bookmarkEnd w:id="10"/>
    <w:p w:rsidR="00BD666C" w:rsidP="00BD666C" w:rsidRDefault="00BD666C" w14:paraId="5F954AEC" w14:textId="77777777">
      <w:pPr>
        <w:spacing w:line="360" w:lineRule="auto"/>
        <w:ind w:left="360"/>
        <w:rPr>
          <w:rFonts w:ascii="Verdana" w:hAnsi="Verdana"/>
          <w:i/>
          <w:iCs/>
          <w:sz w:val="18"/>
          <w:szCs w:val="18"/>
        </w:rPr>
      </w:pPr>
    </w:p>
    <w:p w:rsidRPr="00A25657" w:rsidR="00BD666C" w:rsidP="00BD666C" w:rsidRDefault="00BD666C" w14:paraId="7D681D64" w14:textId="77777777">
      <w:pPr>
        <w:numPr>
          <w:ilvl w:val="0"/>
          <w:numId w:val="4"/>
        </w:numPr>
        <w:spacing w:line="360" w:lineRule="auto"/>
        <w:rPr>
          <w:rFonts w:ascii="Verdana" w:hAnsi="Verdana"/>
          <w:i/>
          <w:sz w:val="18"/>
          <w:szCs w:val="18"/>
        </w:rPr>
      </w:pPr>
      <w:r w:rsidRPr="2F0F8D57">
        <w:rPr>
          <w:rFonts w:ascii="Verdana" w:hAnsi="Verdana"/>
          <w:i/>
          <w:iCs/>
          <w:sz w:val="18"/>
          <w:szCs w:val="18"/>
        </w:rPr>
        <w:t>Gevolgen voor regeldruk, concurrentiekracht en geopolitieke aspecten</w:t>
      </w:r>
    </w:p>
    <w:p w:rsidRPr="00A25657" w:rsidR="00BD666C" w:rsidP="00BD666C" w:rsidRDefault="00BD666C" w14:paraId="1E3C877B"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A25657">
        <w:rPr>
          <w:rFonts w:ascii="Verdana" w:hAnsi="Verdana"/>
          <w:i/>
          <w:sz w:val="18"/>
          <w:szCs w:val="18"/>
        </w:rPr>
        <w:t>Regeldruk</w:t>
      </w:r>
    </w:p>
    <w:p w:rsidR="00BD666C" w:rsidP="00BD666C" w:rsidRDefault="00BD666C" w14:paraId="132640CB" w14:textId="0221736A">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A25657">
        <w:rPr>
          <w:rFonts w:ascii="Verdana" w:hAnsi="Verdana"/>
          <w:sz w:val="18"/>
          <w:szCs w:val="18"/>
        </w:rPr>
        <w:t xml:space="preserve">Een belangrijk onderdeel van de mededeling is vermindering van regeldruk </w:t>
      </w:r>
      <w:r w:rsidRPr="002A625A">
        <w:rPr>
          <w:rFonts w:ascii="Verdana" w:hAnsi="Verdana"/>
          <w:sz w:val="18"/>
          <w:szCs w:val="18"/>
        </w:rPr>
        <w:t xml:space="preserve">en vereenvoudiging van bestaande regels. </w:t>
      </w:r>
      <w:r w:rsidR="00C279AF">
        <w:rPr>
          <w:rFonts w:ascii="Verdana" w:hAnsi="Verdana"/>
          <w:sz w:val="18"/>
          <w:szCs w:val="18"/>
        </w:rPr>
        <w:t>Vermindering van regeldruk</w:t>
      </w:r>
      <w:r>
        <w:rPr>
          <w:rFonts w:ascii="Verdana" w:hAnsi="Verdana"/>
          <w:sz w:val="18"/>
          <w:szCs w:val="18"/>
        </w:rPr>
        <w:t xml:space="preserve"> kan rekenen op steun van het kabinet</w:t>
      </w:r>
      <w:r w:rsidRPr="00E37CE5">
        <w:rPr>
          <w:rFonts w:ascii="Verdana" w:hAnsi="Verdana"/>
          <w:sz w:val="18"/>
          <w:szCs w:val="18"/>
        </w:rPr>
        <w:t>.</w:t>
      </w:r>
      <w:r w:rsidRPr="00A25657">
        <w:rPr>
          <w:rFonts w:ascii="Verdana" w:hAnsi="Verdana"/>
          <w:sz w:val="18"/>
          <w:szCs w:val="18"/>
        </w:rPr>
        <w:t xml:space="preserve"> Tegelijkertijd kondigt de mededeling een groot aantal nieuwe voorstellen, plannen en strategieën aan</w:t>
      </w:r>
      <w:r>
        <w:rPr>
          <w:rFonts w:ascii="Verdana" w:hAnsi="Verdana"/>
          <w:sz w:val="18"/>
          <w:szCs w:val="18"/>
        </w:rPr>
        <w:t>, de regeldrukeffecten hiervan zullen op zichzelf beoordeeld moeten worden.</w:t>
      </w:r>
      <w:r w:rsidRPr="00A25657">
        <w:rPr>
          <w:rFonts w:ascii="Verdana" w:hAnsi="Verdana"/>
          <w:sz w:val="18"/>
          <w:szCs w:val="18"/>
        </w:rPr>
        <w:t xml:space="preserve"> </w:t>
      </w:r>
      <w:r w:rsidRPr="001366D8">
        <w:rPr>
          <w:rFonts w:ascii="Verdana" w:hAnsi="Verdana"/>
          <w:sz w:val="18"/>
          <w:szCs w:val="18"/>
        </w:rPr>
        <w:t>Ook is nog</w:t>
      </w:r>
      <w:r>
        <w:rPr>
          <w:rFonts w:ascii="Verdana" w:hAnsi="Verdana"/>
          <w:sz w:val="18"/>
          <w:szCs w:val="18"/>
        </w:rPr>
        <w:t xml:space="preserve"> niet altijd duidelijk hoe de verschillende initiatieven samenhangen met elkaar. Dit kan tot onbedoelde complexiteit leiden en ook druk zetten op de implementatiekracht van lidstaten</w:t>
      </w:r>
      <w:r w:rsidR="00754A23">
        <w:rPr>
          <w:rFonts w:ascii="Verdana" w:hAnsi="Verdana"/>
          <w:sz w:val="18"/>
          <w:szCs w:val="18"/>
        </w:rPr>
        <w:t>, en innovatie- concurrentiekracht van uitvoerende regio’s</w:t>
      </w:r>
      <w:r>
        <w:rPr>
          <w:rFonts w:ascii="Verdana" w:hAnsi="Verdana"/>
          <w:sz w:val="18"/>
          <w:szCs w:val="18"/>
        </w:rPr>
        <w:t xml:space="preserve">. </w:t>
      </w:r>
      <w:r w:rsidRPr="00A25657">
        <w:rPr>
          <w:rFonts w:ascii="Verdana" w:hAnsi="Verdana"/>
          <w:sz w:val="18"/>
          <w:szCs w:val="18"/>
        </w:rPr>
        <w:t xml:space="preserve">Het kabinet zal </w:t>
      </w:r>
      <w:r>
        <w:rPr>
          <w:rFonts w:ascii="Verdana" w:hAnsi="Verdana"/>
          <w:sz w:val="18"/>
          <w:szCs w:val="18"/>
        </w:rPr>
        <w:t>hier</w:t>
      </w:r>
      <w:r w:rsidRPr="00A25657">
        <w:rPr>
          <w:rFonts w:ascii="Verdana" w:hAnsi="Verdana"/>
          <w:sz w:val="18"/>
          <w:szCs w:val="18"/>
        </w:rPr>
        <w:t xml:space="preserve"> alert op zijn en zich inzetten </w:t>
      </w:r>
      <w:r>
        <w:rPr>
          <w:rFonts w:ascii="Verdana" w:hAnsi="Verdana"/>
          <w:sz w:val="18"/>
          <w:szCs w:val="18"/>
        </w:rPr>
        <w:t>om extra onnodige</w:t>
      </w:r>
      <w:r w:rsidRPr="00A25657">
        <w:rPr>
          <w:rFonts w:ascii="Verdana" w:hAnsi="Verdana"/>
          <w:sz w:val="18"/>
          <w:szCs w:val="18"/>
        </w:rPr>
        <w:t xml:space="preserve"> regeldruk</w:t>
      </w:r>
      <w:r>
        <w:rPr>
          <w:rFonts w:ascii="Verdana" w:hAnsi="Verdana"/>
          <w:sz w:val="18"/>
          <w:szCs w:val="18"/>
        </w:rPr>
        <w:t xml:space="preserve"> te voorkomen</w:t>
      </w:r>
      <w:r w:rsidRPr="00A25657">
        <w:rPr>
          <w:rFonts w:ascii="Verdana" w:hAnsi="Verdana"/>
          <w:sz w:val="18"/>
          <w:szCs w:val="18"/>
        </w:rPr>
        <w:t xml:space="preserve">. </w:t>
      </w:r>
    </w:p>
    <w:p w:rsidR="00BD666C" w:rsidP="00BD666C" w:rsidRDefault="00BD666C" w14:paraId="3D906DAF"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rPr>
      </w:pPr>
    </w:p>
    <w:p w:rsidRPr="00A25657" w:rsidR="00BD666C" w:rsidP="00BD666C" w:rsidRDefault="00BD666C" w14:paraId="68CCA66B"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i/>
          <w:sz w:val="18"/>
          <w:szCs w:val="18"/>
        </w:rPr>
      </w:pPr>
      <w:r w:rsidRPr="00A25657">
        <w:rPr>
          <w:rFonts w:ascii="Verdana" w:hAnsi="Verdana"/>
          <w:i/>
          <w:sz w:val="18"/>
          <w:szCs w:val="18"/>
        </w:rPr>
        <w:t>Concurrentiekracht</w:t>
      </w:r>
    </w:p>
    <w:p w:rsidRPr="00A25657" w:rsidR="00BD666C" w:rsidP="00BD666C" w:rsidRDefault="00BD666C" w14:paraId="0E193A87" w14:textId="669F832A">
      <w:pPr>
        <w:tabs>
          <w:tab w:val="left" w:pos="0"/>
          <w:tab w:val="left" w:pos="340"/>
          <w:tab w:val="left" w:pos="680"/>
          <w:tab w:val="left" w:pos="1021"/>
          <w:tab w:val="left" w:pos="1361"/>
          <w:tab w:val="left" w:pos="1701"/>
          <w:tab w:val="left" w:pos="3402"/>
        </w:tabs>
        <w:suppressAutoHyphens/>
        <w:spacing w:line="360" w:lineRule="auto"/>
        <w:rPr>
          <w:rFonts w:ascii="Verdana" w:hAnsi="Verdana"/>
          <w:sz w:val="18"/>
          <w:szCs w:val="18"/>
        </w:rPr>
      </w:pPr>
      <w:r w:rsidRPr="00A25657">
        <w:rPr>
          <w:rFonts w:ascii="Verdana" w:hAnsi="Verdana"/>
          <w:sz w:val="18"/>
          <w:szCs w:val="18"/>
        </w:rPr>
        <w:t xml:space="preserve">De mededeling zelf heeft geen gevolgen voor de concurrentiekracht van de EU. Het doel van deze mededeling is om het concurrentievermogen van de EU te versterken met de </w:t>
      </w:r>
      <w:r w:rsidRPr="00322EFC">
        <w:rPr>
          <w:rFonts w:ascii="Verdana" w:hAnsi="Verdana"/>
          <w:sz w:val="18"/>
          <w:szCs w:val="18"/>
        </w:rPr>
        <w:t>voorstellen die in de mededeling zijn aangekondigd. De verwachte effecten op de concurrentiekracht van de EU</w:t>
      </w:r>
      <w:r w:rsidRPr="00322EFC" w:rsidR="00D5287B">
        <w:rPr>
          <w:rFonts w:ascii="Verdana" w:hAnsi="Verdana"/>
          <w:sz w:val="18"/>
          <w:szCs w:val="18"/>
          <w:lang w:eastAsia="nl-NL"/>
        </w:rPr>
        <w:t xml:space="preserve"> en een versterkte concurrentiepositie van Europese bedrijven </w:t>
      </w:r>
      <w:r w:rsidRPr="00322EFC">
        <w:rPr>
          <w:rFonts w:ascii="Verdana" w:hAnsi="Verdana"/>
          <w:sz w:val="18"/>
          <w:szCs w:val="18"/>
        </w:rPr>
        <w:t>zijn in potentie positief mits de</w:t>
      </w:r>
      <w:r w:rsidRPr="00AE1976">
        <w:rPr>
          <w:rFonts w:ascii="Verdana" w:hAnsi="Verdana"/>
          <w:sz w:val="18"/>
          <w:szCs w:val="18"/>
        </w:rPr>
        <w:t xml:space="preserve"> maatregelen geen onnodig protectionistisch karakter krijgen. </w:t>
      </w:r>
    </w:p>
    <w:p w:rsidR="00BD666C" w:rsidP="00BD666C" w:rsidRDefault="00BD666C" w14:paraId="78E716D8"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Pr="004A5C1B" w:rsidR="00BD666C" w:rsidP="00BD666C" w:rsidRDefault="00BD666C" w14:paraId="54645973"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b/>
          <w:bCs/>
          <w:color w:val="FF0000"/>
          <w:sz w:val="18"/>
          <w:szCs w:val="18"/>
        </w:rPr>
      </w:pPr>
      <w:r w:rsidRPr="00B0394D">
        <w:rPr>
          <w:rFonts w:ascii="Verdana" w:hAnsi="Verdana"/>
          <w:i/>
          <w:iCs/>
          <w:sz w:val="18"/>
          <w:szCs w:val="18"/>
        </w:rPr>
        <w:t xml:space="preserve">Geopolitieke aspecten </w:t>
      </w:r>
    </w:p>
    <w:p w:rsidR="00275D58" w:rsidP="00BD666C" w:rsidRDefault="00BD666C" w14:paraId="7833B95F"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Pr>
          <w:rFonts w:ascii="Verdana" w:hAnsi="Verdana"/>
          <w:sz w:val="18"/>
          <w:szCs w:val="18"/>
        </w:rPr>
        <w:t xml:space="preserve">Een gezonde, concurrerende, weerbare Europese economie draagt bij aan het vermogen van de EU om zich met andere economische grootmachten te meten en onze belangen te behartigen. De voorstellen in de mededeling </w:t>
      </w:r>
      <w:r w:rsidRPr="00322EFC">
        <w:rPr>
          <w:rFonts w:ascii="Verdana" w:hAnsi="Verdana"/>
          <w:sz w:val="18"/>
          <w:szCs w:val="18"/>
        </w:rPr>
        <w:t>kunnen daarom bijdragen aan de Europese en Nederlandse agenda om de weerbaarheid van de Unie te vergroten</w:t>
      </w:r>
      <w:r w:rsidRPr="00322EFC" w:rsidR="0066691D">
        <w:rPr>
          <w:rFonts w:ascii="Verdana" w:hAnsi="Verdana"/>
          <w:sz w:val="18"/>
          <w:szCs w:val="18"/>
        </w:rPr>
        <w:t xml:space="preserve"> en de concurrentiepositie van het Europese bedrijfsleven te versterken</w:t>
      </w:r>
      <w:r w:rsidRPr="00322EFC">
        <w:rPr>
          <w:rFonts w:ascii="Verdana" w:hAnsi="Verdana"/>
          <w:sz w:val="18"/>
          <w:szCs w:val="18"/>
        </w:rPr>
        <w:t xml:space="preserve">. </w:t>
      </w:r>
    </w:p>
    <w:p w:rsidR="00BD666C" w:rsidP="00BD666C" w:rsidRDefault="00BD666C" w14:paraId="28C869B8" w14:textId="0ABFB948">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0322EFC">
        <w:rPr>
          <w:rFonts w:ascii="Verdana" w:hAnsi="Verdana"/>
          <w:sz w:val="18"/>
          <w:szCs w:val="18"/>
        </w:rPr>
        <w:lastRenderedPageBreak/>
        <w:t>Mogelijk</w:t>
      </w:r>
      <w:r>
        <w:rPr>
          <w:rFonts w:ascii="Verdana" w:hAnsi="Verdana"/>
          <w:sz w:val="18"/>
          <w:szCs w:val="18"/>
        </w:rPr>
        <w:t xml:space="preserve"> heeft de mededeling</w:t>
      </w:r>
      <w:r w:rsidRPr="00DC6C95">
        <w:rPr>
          <w:rFonts w:ascii="Verdana" w:hAnsi="Verdana"/>
          <w:sz w:val="18"/>
          <w:szCs w:val="18"/>
        </w:rPr>
        <w:t xml:space="preserve"> invloed op de verhouding van de EU tot </w:t>
      </w:r>
      <w:r>
        <w:rPr>
          <w:rFonts w:ascii="Verdana" w:hAnsi="Verdana"/>
          <w:sz w:val="18"/>
          <w:szCs w:val="18"/>
        </w:rPr>
        <w:t>derde landen</w:t>
      </w:r>
      <w:r w:rsidRPr="00DC6C95">
        <w:rPr>
          <w:rFonts w:ascii="Verdana" w:hAnsi="Verdana"/>
          <w:sz w:val="18"/>
          <w:szCs w:val="18"/>
        </w:rPr>
        <w:t xml:space="preserve"> omdat deze </w:t>
      </w:r>
      <w:r>
        <w:rPr>
          <w:rFonts w:ascii="Verdana" w:hAnsi="Verdana"/>
          <w:sz w:val="18"/>
          <w:szCs w:val="18"/>
        </w:rPr>
        <w:t xml:space="preserve">nadrukkelijk ziet op versterking van de weerbaarheid van de EU als geopolitieke en economische speler. In deze context benadrukt het voorstel het belang van partnerschappen en open handel om de economische belangen van de EU te verweven met die van haar partners. Nederland staat hier positief tegenover, omdat dit bijdraagt aan het versterken van de weerbaarheid van de EU en van Nederland als handelsnatie. Tot slot vindt het kabinet het belangrijk dat de EU bij de nadere uitwerking van de voorgestelde plannen voldoende rekening houdt met de impact daarvan op derde landen, waaronder ontwikkelingslanden. </w:t>
      </w:r>
    </w:p>
    <w:p w:rsidR="00D03FD7" w:rsidRDefault="00D03FD7" w14:paraId="7A89B6BE" w14:textId="77777777"/>
    <w:sectPr w:rsidR="00D03FD7" w:rsidSect="00F72FF5">
      <w:footerReference w:type="even" r:id="rId12"/>
      <w:footerReference w:type="defaul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1D08" w14:textId="77777777" w:rsidR="00DC0B69" w:rsidRDefault="00DC0B69" w:rsidP="00BD666C">
      <w:pPr>
        <w:spacing w:line="240" w:lineRule="auto"/>
      </w:pPr>
      <w:r>
        <w:separator/>
      </w:r>
    </w:p>
  </w:endnote>
  <w:endnote w:type="continuationSeparator" w:id="0">
    <w:p w14:paraId="3A0B15A0" w14:textId="77777777" w:rsidR="00DC0B69" w:rsidRDefault="00DC0B69" w:rsidP="00BD666C">
      <w:pPr>
        <w:spacing w:line="240" w:lineRule="auto"/>
      </w:pPr>
      <w:r>
        <w:continuationSeparator/>
      </w:r>
    </w:p>
  </w:endnote>
  <w:endnote w:type="continuationNotice" w:id="1">
    <w:p w14:paraId="58643892" w14:textId="77777777" w:rsidR="00DC0B69" w:rsidRDefault="00DC0B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BD1F" w14:textId="5FABB524" w:rsidR="008F3BFA" w:rsidRDefault="00E2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B8128B4" w14:textId="77777777" w:rsidR="008F3BFA" w:rsidRDefault="008F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8A6A" w14:textId="2EA4161D" w:rsidR="008F3BFA" w:rsidRDefault="00E27542">
    <w:pPr>
      <w:pStyle w:val="Footer"/>
    </w:pPr>
    <w:r>
      <w:fldChar w:fldCharType="begin"/>
    </w:r>
    <w:r>
      <w:instrText xml:space="preserve"> PAGE  \* LOWER </w:instrText>
    </w:r>
    <w:r>
      <w:fldChar w:fldCharType="separate"/>
    </w:r>
    <w:r>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1EE93" w14:textId="77777777" w:rsidR="00DC0B69" w:rsidRDefault="00DC0B69" w:rsidP="00BD666C">
      <w:pPr>
        <w:spacing w:line="240" w:lineRule="auto"/>
      </w:pPr>
      <w:r>
        <w:separator/>
      </w:r>
    </w:p>
  </w:footnote>
  <w:footnote w:type="continuationSeparator" w:id="0">
    <w:p w14:paraId="77AEEC20" w14:textId="77777777" w:rsidR="00DC0B69" w:rsidRDefault="00DC0B69" w:rsidP="00BD666C">
      <w:pPr>
        <w:spacing w:line="240" w:lineRule="auto"/>
      </w:pPr>
      <w:r>
        <w:continuationSeparator/>
      </w:r>
    </w:p>
  </w:footnote>
  <w:footnote w:type="continuationNotice" w:id="1">
    <w:p w14:paraId="4697B37B" w14:textId="77777777" w:rsidR="00DC0B69" w:rsidRDefault="00DC0B69">
      <w:pPr>
        <w:spacing w:line="240" w:lineRule="auto"/>
      </w:pPr>
    </w:p>
  </w:footnote>
  <w:footnote w:id="2">
    <w:p w14:paraId="71E814F0" w14:textId="77777777" w:rsidR="00BD666C" w:rsidRPr="00111D82" w:rsidRDefault="00BD666C" w:rsidP="00BD666C">
      <w:pPr>
        <w:pStyle w:val="FootnoteText"/>
        <w:spacing w:line="240" w:lineRule="auto"/>
        <w:rPr>
          <w:rFonts w:ascii="Verdana" w:hAnsi="Verdana"/>
          <w:sz w:val="16"/>
          <w:szCs w:val="16"/>
        </w:rPr>
      </w:pPr>
      <w:r w:rsidRPr="00111D82">
        <w:rPr>
          <w:rStyle w:val="FootnoteReference"/>
          <w:rFonts w:ascii="Verdana" w:hAnsi="Verdana"/>
          <w:sz w:val="16"/>
          <w:szCs w:val="16"/>
        </w:rPr>
        <w:footnoteRef/>
      </w:r>
      <w:r w:rsidRPr="00111D82">
        <w:rPr>
          <w:rFonts w:ascii="Verdana" w:hAnsi="Verdana"/>
          <w:sz w:val="16"/>
          <w:szCs w:val="16"/>
        </w:rPr>
        <w:t xml:space="preserve"> </w:t>
      </w:r>
      <w:r>
        <w:rPr>
          <w:rFonts w:ascii="Verdana" w:hAnsi="Verdana"/>
          <w:sz w:val="16"/>
          <w:szCs w:val="16"/>
        </w:rPr>
        <w:t xml:space="preserve">Het rapport kan hier geraadpleegd </w:t>
      </w:r>
      <w:r w:rsidRPr="00BA5545">
        <w:rPr>
          <w:rFonts w:ascii="Verdana" w:hAnsi="Verdana"/>
          <w:sz w:val="16"/>
          <w:szCs w:val="16"/>
        </w:rPr>
        <w:t xml:space="preserve">worden </w:t>
      </w:r>
      <w:hyperlink r:id="rId1" w:history="1">
        <w:proofErr w:type="spellStart"/>
        <w:r w:rsidRPr="00BA5545">
          <w:rPr>
            <w:rStyle w:val="Hyperlink"/>
            <w:rFonts w:ascii="Verdana" w:hAnsi="Verdana"/>
            <w:sz w:val="16"/>
            <w:szCs w:val="16"/>
          </w:rPr>
          <w:t>Enrico</w:t>
        </w:r>
        <w:proofErr w:type="spellEnd"/>
        <w:r w:rsidRPr="00BA5545">
          <w:rPr>
            <w:rStyle w:val="Hyperlink"/>
            <w:rFonts w:ascii="Verdana" w:hAnsi="Verdana"/>
            <w:sz w:val="16"/>
            <w:szCs w:val="16"/>
          </w:rPr>
          <w:t xml:space="preserve"> </w:t>
        </w:r>
        <w:proofErr w:type="spellStart"/>
        <w:r w:rsidRPr="00BA5545">
          <w:rPr>
            <w:rStyle w:val="Hyperlink"/>
            <w:rFonts w:ascii="Verdana" w:hAnsi="Verdana"/>
            <w:sz w:val="16"/>
            <w:szCs w:val="16"/>
          </w:rPr>
          <w:t>Letta</w:t>
        </w:r>
        <w:proofErr w:type="spellEnd"/>
        <w:r w:rsidRPr="00BA5545">
          <w:rPr>
            <w:rStyle w:val="Hyperlink"/>
            <w:rFonts w:ascii="Verdana" w:hAnsi="Verdana"/>
            <w:sz w:val="16"/>
            <w:szCs w:val="16"/>
          </w:rPr>
          <w:t xml:space="preserve"> - </w:t>
        </w:r>
        <w:proofErr w:type="spellStart"/>
        <w:r w:rsidRPr="00BA5545">
          <w:rPr>
            <w:rStyle w:val="Hyperlink"/>
            <w:rFonts w:ascii="Verdana" w:hAnsi="Verdana"/>
            <w:sz w:val="16"/>
            <w:szCs w:val="16"/>
          </w:rPr>
          <w:t>Much</w:t>
        </w:r>
        <w:proofErr w:type="spellEnd"/>
        <w:r w:rsidRPr="00BA5545">
          <w:rPr>
            <w:rStyle w:val="Hyperlink"/>
            <w:rFonts w:ascii="Verdana" w:hAnsi="Verdana"/>
            <w:sz w:val="16"/>
            <w:szCs w:val="16"/>
          </w:rPr>
          <w:t xml:space="preserve"> more </w:t>
        </w:r>
        <w:proofErr w:type="spellStart"/>
        <w:r w:rsidRPr="00BA5545">
          <w:rPr>
            <w:rStyle w:val="Hyperlink"/>
            <w:rFonts w:ascii="Verdana" w:hAnsi="Verdana"/>
            <w:sz w:val="16"/>
            <w:szCs w:val="16"/>
          </w:rPr>
          <w:t>than</w:t>
        </w:r>
        <w:proofErr w:type="spellEnd"/>
        <w:r w:rsidRPr="00BA5545">
          <w:rPr>
            <w:rStyle w:val="Hyperlink"/>
            <w:rFonts w:ascii="Verdana" w:hAnsi="Verdana"/>
            <w:sz w:val="16"/>
            <w:szCs w:val="16"/>
          </w:rPr>
          <w:t xml:space="preserve"> a market (April 2024)</w:t>
        </w:r>
      </w:hyperlink>
    </w:p>
  </w:footnote>
  <w:footnote w:id="3">
    <w:p w14:paraId="6F78340B" w14:textId="77777777" w:rsidR="00BD666C" w:rsidRPr="00111D82" w:rsidRDefault="00BD666C" w:rsidP="00BD666C">
      <w:pPr>
        <w:pStyle w:val="FootnoteText"/>
        <w:spacing w:line="240" w:lineRule="auto"/>
        <w:rPr>
          <w:rFonts w:ascii="Verdana" w:hAnsi="Verdana"/>
          <w:sz w:val="16"/>
          <w:szCs w:val="16"/>
        </w:rPr>
      </w:pPr>
      <w:r w:rsidRPr="00111D82">
        <w:rPr>
          <w:rStyle w:val="FootnoteReference"/>
          <w:rFonts w:ascii="Verdana" w:hAnsi="Verdana"/>
          <w:sz w:val="16"/>
          <w:szCs w:val="16"/>
        </w:rPr>
        <w:footnoteRef/>
      </w:r>
      <w:r w:rsidRPr="00111D82">
        <w:rPr>
          <w:rFonts w:ascii="Verdana" w:hAnsi="Verdana"/>
          <w:sz w:val="16"/>
          <w:szCs w:val="16"/>
        </w:rPr>
        <w:t xml:space="preserve"> Het rapport kan hier geraadpleegd worden: </w:t>
      </w:r>
      <w:hyperlink r:id="rId2" w:history="1">
        <w:r w:rsidRPr="00111D82">
          <w:rPr>
            <w:rStyle w:val="Hyperlink"/>
            <w:rFonts w:ascii="Verdana" w:hAnsi="Verdana"/>
            <w:sz w:val="16"/>
            <w:szCs w:val="16"/>
          </w:rPr>
          <w:t xml:space="preserve">EU </w:t>
        </w:r>
        <w:proofErr w:type="spellStart"/>
        <w:r w:rsidRPr="00111D82">
          <w:rPr>
            <w:rStyle w:val="Hyperlink"/>
            <w:rFonts w:ascii="Verdana" w:hAnsi="Verdana"/>
            <w:sz w:val="16"/>
            <w:szCs w:val="16"/>
          </w:rPr>
          <w:t>competitiveness</w:t>
        </w:r>
        <w:proofErr w:type="spellEnd"/>
        <w:r w:rsidRPr="00111D82">
          <w:rPr>
            <w:rStyle w:val="Hyperlink"/>
            <w:rFonts w:ascii="Verdana" w:hAnsi="Verdana"/>
            <w:sz w:val="16"/>
            <w:szCs w:val="16"/>
          </w:rPr>
          <w:t xml:space="preserve">: </w:t>
        </w:r>
        <w:proofErr w:type="spellStart"/>
        <w:r w:rsidRPr="00111D82">
          <w:rPr>
            <w:rStyle w:val="Hyperlink"/>
            <w:rFonts w:ascii="Verdana" w:hAnsi="Verdana"/>
            <w:sz w:val="16"/>
            <w:szCs w:val="16"/>
          </w:rPr>
          <w:t>Looking</w:t>
        </w:r>
        <w:proofErr w:type="spellEnd"/>
        <w:r w:rsidRPr="00111D82">
          <w:rPr>
            <w:rStyle w:val="Hyperlink"/>
            <w:rFonts w:ascii="Verdana" w:hAnsi="Verdana"/>
            <w:sz w:val="16"/>
            <w:szCs w:val="16"/>
          </w:rPr>
          <w:t xml:space="preserve"> </w:t>
        </w:r>
        <w:proofErr w:type="spellStart"/>
        <w:r w:rsidRPr="00111D82">
          <w:rPr>
            <w:rStyle w:val="Hyperlink"/>
            <w:rFonts w:ascii="Verdana" w:hAnsi="Verdana"/>
            <w:sz w:val="16"/>
            <w:szCs w:val="16"/>
          </w:rPr>
          <w:t>ahead</w:t>
        </w:r>
        <w:proofErr w:type="spellEnd"/>
        <w:r w:rsidRPr="00111D82">
          <w:rPr>
            <w:rStyle w:val="Hyperlink"/>
            <w:rFonts w:ascii="Verdana" w:hAnsi="Verdana"/>
            <w:sz w:val="16"/>
            <w:szCs w:val="16"/>
          </w:rPr>
          <w:t xml:space="preserve"> - European </w:t>
        </w:r>
        <w:proofErr w:type="spellStart"/>
        <w:r w:rsidRPr="00111D82">
          <w:rPr>
            <w:rStyle w:val="Hyperlink"/>
            <w:rFonts w:ascii="Verdana" w:hAnsi="Verdana"/>
            <w:sz w:val="16"/>
            <w:szCs w:val="16"/>
          </w:rPr>
          <w:t>Commission</w:t>
        </w:r>
        <w:proofErr w:type="spellEnd"/>
        <w:r w:rsidRPr="00111D82">
          <w:rPr>
            <w:rStyle w:val="Hyperlink"/>
            <w:rFonts w:ascii="Verdana" w:hAnsi="Verdana"/>
            <w:sz w:val="16"/>
            <w:szCs w:val="16"/>
          </w:rPr>
          <w:t xml:space="preserve"> (europa.eu)</w:t>
        </w:r>
      </w:hyperlink>
    </w:p>
  </w:footnote>
  <w:footnote w:id="4">
    <w:p w14:paraId="717189BF" w14:textId="7B5417DD" w:rsidR="00BD666C" w:rsidRPr="00111D82" w:rsidRDefault="00BD666C" w:rsidP="00BD666C">
      <w:pPr>
        <w:pStyle w:val="FootnoteText"/>
        <w:spacing w:line="240" w:lineRule="auto"/>
        <w:rPr>
          <w:rFonts w:ascii="Verdana" w:hAnsi="Verdana"/>
          <w:sz w:val="16"/>
          <w:szCs w:val="16"/>
        </w:rPr>
      </w:pPr>
      <w:r w:rsidRPr="00111D82">
        <w:rPr>
          <w:rStyle w:val="FootnoteReference"/>
          <w:rFonts w:ascii="Verdana" w:hAnsi="Verdana"/>
          <w:sz w:val="16"/>
          <w:szCs w:val="16"/>
        </w:rPr>
        <w:footnoteRef/>
      </w:r>
      <w:r w:rsidRPr="00111D82">
        <w:rPr>
          <w:rFonts w:ascii="Verdana" w:hAnsi="Verdana"/>
          <w:sz w:val="16"/>
          <w:szCs w:val="16"/>
        </w:rPr>
        <w:t xml:space="preserve"> </w:t>
      </w:r>
      <w:r w:rsidR="00FB2EEE" w:rsidRPr="00854BC6">
        <w:rPr>
          <w:rFonts w:ascii="Verdana" w:hAnsi="Verdana"/>
          <w:sz w:val="16"/>
          <w:szCs w:val="16"/>
        </w:rPr>
        <w:t xml:space="preserve">Kamerbrief kabinetsvisie EU-Concurrentievermogen || </w:t>
      </w:r>
      <w:r w:rsidR="00FB2EEE" w:rsidRPr="00111D82">
        <w:rPr>
          <w:rFonts w:ascii="Verdana" w:hAnsi="Verdana"/>
          <w:sz w:val="16"/>
          <w:szCs w:val="16"/>
        </w:rPr>
        <w:t xml:space="preserve">Kamerstukken </w:t>
      </w:r>
      <w:r w:rsidR="00FB2EEE">
        <w:rPr>
          <w:rFonts w:ascii="Verdana" w:hAnsi="Verdana"/>
          <w:sz w:val="16"/>
          <w:szCs w:val="16"/>
        </w:rPr>
        <w:t>II, vergaderjaar 2024-2025,</w:t>
      </w:r>
      <w:r w:rsidR="00FB2EEE" w:rsidRPr="00111D82">
        <w:rPr>
          <w:rFonts w:ascii="Verdana" w:hAnsi="Verdana"/>
          <w:sz w:val="16"/>
          <w:szCs w:val="16"/>
        </w:rPr>
        <w:t xml:space="preserve"> 21</w:t>
      </w:r>
      <w:r w:rsidR="00FB2EEE">
        <w:rPr>
          <w:rFonts w:ascii="Verdana" w:hAnsi="Verdana"/>
          <w:sz w:val="16"/>
          <w:szCs w:val="16"/>
        </w:rPr>
        <w:t xml:space="preserve"> </w:t>
      </w:r>
      <w:r w:rsidR="00FB2EEE" w:rsidRPr="00111D82">
        <w:rPr>
          <w:rFonts w:ascii="Verdana" w:hAnsi="Verdana"/>
          <w:sz w:val="16"/>
          <w:szCs w:val="16"/>
        </w:rPr>
        <w:t>501</w:t>
      </w:r>
      <w:r w:rsidR="00FB2EEE">
        <w:rPr>
          <w:rFonts w:ascii="Verdana" w:hAnsi="Verdana"/>
          <w:sz w:val="16"/>
          <w:szCs w:val="16"/>
        </w:rPr>
        <w:t>-30, nr. 621.</w:t>
      </w:r>
    </w:p>
  </w:footnote>
  <w:footnote w:id="5">
    <w:p w14:paraId="38702DEF" w14:textId="642478D0" w:rsidR="00943BE6" w:rsidRPr="00600947" w:rsidRDefault="00943BE6" w:rsidP="00943BE6">
      <w:pPr>
        <w:pStyle w:val="FootnoteText"/>
        <w:spacing w:line="240" w:lineRule="auto"/>
        <w:rPr>
          <w:rFonts w:ascii="Verdana" w:hAnsi="Verdana"/>
          <w:sz w:val="16"/>
          <w:szCs w:val="16"/>
        </w:rPr>
      </w:pPr>
      <w:r w:rsidRPr="00854BC6">
        <w:rPr>
          <w:rStyle w:val="FootnoteReference"/>
          <w:rFonts w:ascii="Verdana" w:hAnsi="Verdana"/>
          <w:sz w:val="16"/>
          <w:szCs w:val="16"/>
        </w:rPr>
        <w:footnoteRef/>
      </w:r>
      <w:r w:rsidRPr="00854BC6">
        <w:rPr>
          <w:rFonts w:ascii="Verdana" w:hAnsi="Verdana"/>
          <w:sz w:val="16"/>
          <w:szCs w:val="16"/>
        </w:rPr>
        <w:t xml:space="preserve"> </w:t>
      </w:r>
      <w:r w:rsidRPr="00111D82">
        <w:rPr>
          <w:rFonts w:ascii="Verdana" w:hAnsi="Verdana"/>
          <w:sz w:val="16"/>
          <w:szCs w:val="16"/>
        </w:rPr>
        <w:t xml:space="preserve">Kamerstukken </w:t>
      </w:r>
      <w:r w:rsidR="00223474">
        <w:rPr>
          <w:rFonts w:ascii="Verdana" w:hAnsi="Verdana"/>
          <w:sz w:val="16"/>
          <w:szCs w:val="16"/>
        </w:rPr>
        <w:t>II, vergaderjaar 2024-2025,</w:t>
      </w:r>
      <w:r w:rsidRPr="00111D82">
        <w:rPr>
          <w:rFonts w:ascii="Verdana" w:hAnsi="Verdana"/>
          <w:sz w:val="16"/>
          <w:szCs w:val="16"/>
        </w:rPr>
        <w:t xml:space="preserve"> 21</w:t>
      </w:r>
      <w:r w:rsidR="00223474">
        <w:rPr>
          <w:rFonts w:ascii="Verdana" w:hAnsi="Verdana"/>
          <w:sz w:val="16"/>
          <w:szCs w:val="16"/>
        </w:rPr>
        <w:t xml:space="preserve"> </w:t>
      </w:r>
      <w:r w:rsidRPr="00111D82">
        <w:rPr>
          <w:rFonts w:ascii="Verdana" w:hAnsi="Verdana"/>
          <w:sz w:val="16"/>
          <w:szCs w:val="16"/>
        </w:rPr>
        <w:t>501</w:t>
      </w:r>
      <w:r w:rsidR="00223474">
        <w:rPr>
          <w:rFonts w:ascii="Verdana" w:hAnsi="Verdana"/>
          <w:sz w:val="16"/>
          <w:szCs w:val="16"/>
        </w:rPr>
        <w:t>-30, nr. 621.</w:t>
      </w:r>
    </w:p>
  </w:footnote>
  <w:footnote w:id="6">
    <w:p w14:paraId="6D5C4978" w14:textId="77777777" w:rsidR="00BD666C" w:rsidRPr="00600947" w:rsidRDefault="00BD666C" w:rsidP="00BD666C">
      <w:pPr>
        <w:pStyle w:val="FootnoteText"/>
        <w:spacing w:line="240" w:lineRule="auto"/>
        <w:rPr>
          <w:rFonts w:ascii="Verdana" w:hAnsi="Verdana"/>
          <w:sz w:val="16"/>
          <w:szCs w:val="16"/>
        </w:rPr>
      </w:pPr>
      <w:r w:rsidRPr="00600947">
        <w:rPr>
          <w:rStyle w:val="FootnoteReference"/>
          <w:rFonts w:ascii="Verdana" w:hAnsi="Verdana"/>
          <w:sz w:val="16"/>
          <w:szCs w:val="16"/>
        </w:rPr>
        <w:footnoteRef/>
      </w:r>
      <w:r w:rsidRPr="00600947">
        <w:rPr>
          <w:rFonts w:ascii="Verdana" w:hAnsi="Verdana"/>
          <w:sz w:val="16"/>
          <w:szCs w:val="16"/>
        </w:rPr>
        <w:t xml:space="preserve"> </w:t>
      </w:r>
      <w:r>
        <w:rPr>
          <w:rFonts w:ascii="Verdana" w:hAnsi="Verdana"/>
          <w:sz w:val="16"/>
          <w:szCs w:val="16"/>
        </w:rPr>
        <w:t>W</w:t>
      </w:r>
      <w:r w:rsidRPr="00E12833">
        <w:rPr>
          <w:rFonts w:ascii="Verdana" w:hAnsi="Verdana"/>
          <w:sz w:val="16"/>
          <w:szCs w:val="16"/>
        </w:rPr>
        <w:t>aarborgen zorgen ervoor dat een aanpassing van de richtsnoeren daadwerkelijk ook leiden tot meer innovaties en gezonde sterke concurrentie in Europa.</w:t>
      </w:r>
    </w:p>
  </w:footnote>
  <w:footnote w:id="7">
    <w:p w14:paraId="5CBC22FB" w14:textId="4648CA29" w:rsidR="00947FD7" w:rsidRPr="00C74B9F" w:rsidRDefault="00947FD7" w:rsidP="00420230">
      <w:pPr>
        <w:pStyle w:val="FootnoteText"/>
        <w:spacing w:line="240" w:lineRule="auto"/>
        <w:rPr>
          <w:rFonts w:ascii="Verdana" w:hAnsi="Verdana"/>
          <w:sz w:val="16"/>
          <w:szCs w:val="16"/>
        </w:rPr>
      </w:pPr>
      <w:r w:rsidRPr="00C74B9F">
        <w:rPr>
          <w:rStyle w:val="FootnoteReference"/>
          <w:rFonts w:ascii="Verdana" w:hAnsi="Verdana"/>
          <w:sz w:val="16"/>
          <w:szCs w:val="16"/>
        </w:rPr>
        <w:footnoteRef/>
      </w:r>
      <w:r w:rsidRPr="00C74B9F">
        <w:rPr>
          <w:rFonts w:ascii="Verdana" w:hAnsi="Verdana"/>
          <w:sz w:val="16"/>
          <w:szCs w:val="16"/>
        </w:rPr>
        <w:t xml:space="preserve"> Kamerstukken II, vergaderjaar 202</w:t>
      </w:r>
      <w:r>
        <w:rPr>
          <w:rFonts w:ascii="Verdana" w:hAnsi="Verdana"/>
          <w:sz w:val="16"/>
          <w:szCs w:val="16"/>
        </w:rPr>
        <w:t>3</w:t>
      </w:r>
      <w:r w:rsidRPr="00C74B9F">
        <w:rPr>
          <w:rFonts w:ascii="Verdana" w:hAnsi="Verdana"/>
          <w:sz w:val="16"/>
          <w:szCs w:val="16"/>
        </w:rPr>
        <w:t>-202</w:t>
      </w:r>
      <w:r>
        <w:rPr>
          <w:rFonts w:ascii="Verdana" w:hAnsi="Verdana"/>
          <w:sz w:val="16"/>
          <w:szCs w:val="16"/>
        </w:rPr>
        <w:t>4</w:t>
      </w:r>
      <w:r w:rsidRPr="00C74B9F">
        <w:rPr>
          <w:rFonts w:ascii="Verdana" w:hAnsi="Verdana"/>
          <w:sz w:val="16"/>
          <w:szCs w:val="16"/>
        </w:rPr>
        <w:t>, 31 793, nr. 257.</w:t>
      </w:r>
    </w:p>
  </w:footnote>
  <w:footnote w:id="8">
    <w:p w14:paraId="67E52F24" w14:textId="5D36383F" w:rsidR="00BD666C" w:rsidRPr="00600947" w:rsidRDefault="00BD666C" w:rsidP="00BD666C">
      <w:pPr>
        <w:pStyle w:val="FootnoteText"/>
        <w:spacing w:line="240" w:lineRule="auto"/>
        <w:rPr>
          <w:rFonts w:ascii="Verdana" w:hAnsi="Verdana"/>
          <w:sz w:val="16"/>
          <w:szCs w:val="16"/>
        </w:rPr>
      </w:pPr>
      <w:r w:rsidRPr="00600947">
        <w:rPr>
          <w:rStyle w:val="FootnoteReference"/>
          <w:rFonts w:ascii="Verdana" w:hAnsi="Verdana"/>
          <w:sz w:val="16"/>
          <w:szCs w:val="16"/>
        </w:rPr>
        <w:footnoteRef/>
      </w:r>
      <w:r w:rsidRPr="00600947">
        <w:rPr>
          <w:rFonts w:ascii="Verdana" w:hAnsi="Verdana"/>
          <w:sz w:val="16"/>
          <w:szCs w:val="16"/>
        </w:rPr>
        <w:t xml:space="preserve"> Het aangekondigde actieplan voor betaalbare energieprijzen is inmiddels gepubliceerd en zal apart worden beoordeeld door het kabinet</w:t>
      </w:r>
    </w:p>
  </w:footnote>
  <w:footnote w:id="9">
    <w:p w14:paraId="15BEE8A0" w14:textId="4DD8CFB2" w:rsidR="000E6E7C" w:rsidRDefault="000E6E7C" w:rsidP="00420230">
      <w:pPr>
        <w:pStyle w:val="FootnoteText"/>
        <w:spacing w:line="240" w:lineRule="auto"/>
      </w:pPr>
      <w:r>
        <w:rPr>
          <w:rStyle w:val="FootnoteReference"/>
        </w:rPr>
        <w:footnoteRef/>
      </w:r>
      <w:r>
        <w:t xml:space="preserve"> </w:t>
      </w:r>
      <w:r w:rsidRPr="00420230">
        <w:rPr>
          <w:rFonts w:ascii="Verdana" w:hAnsi="Verdana"/>
          <w:sz w:val="16"/>
          <w:szCs w:val="16"/>
        </w:rPr>
        <w:t xml:space="preserve">Het kabinet verwelkomt daarnaast de strategische dialoog met de auto-industrie </w:t>
      </w:r>
      <w:r w:rsidRPr="002E2FD8">
        <w:rPr>
          <w:rFonts w:ascii="Verdana" w:hAnsi="Verdana"/>
          <w:sz w:val="16"/>
          <w:szCs w:val="16"/>
        </w:rPr>
        <w:t xml:space="preserve">en het aanstaande EU </w:t>
      </w:r>
      <w:r w:rsidRPr="002E2FD8">
        <w:rPr>
          <w:rFonts w:ascii="Verdana" w:hAnsi="Verdana"/>
          <w:i/>
          <w:sz w:val="16"/>
          <w:szCs w:val="16"/>
        </w:rPr>
        <w:t xml:space="preserve">Industrial Action Plan for the Automotive Sector </w:t>
      </w:r>
      <w:r w:rsidRPr="002E2FD8">
        <w:rPr>
          <w:rFonts w:ascii="Verdana" w:hAnsi="Verdana"/>
          <w:sz w:val="16"/>
          <w:szCs w:val="16"/>
        </w:rPr>
        <w:t>om de ingroei van emissievrije voertuigen te bevorderen.</w:t>
      </w:r>
      <w:r w:rsidR="00DE74C7" w:rsidRPr="002E2FD8">
        <w:rPr>
          <w:rFonts w:ascii="Verdana" w:hAnsi="Verdana"/>
          <w:sz w:val="16"/>
          <w:szCs w:val="16"/>
        </w:rPr>
        <w:t xml:space="preserve"> Zie ook Kamerbrief Nederlandse inzet consultatie over toekomst EU auto-industrie, </w:t>
      </w:r>
      <w:r w:rsidR="002B0203" w:rsidRPr="002E2FD8">
        <w:rPr>
          <w:rFonts w:ascii="Verdana" w:hAnsi="Verdana"/>
          <w:sz w:val="16"/>
          <w:szCs w:val="16"/>
        </w:rPr>
        <w:t>Kamerstukken || 2024-25, 22 112, nr. 3998</w:t>
      </w:r>
      <w:r w:rsidR="00DE74C7" w:rsidRPr="002E2FD8">
        <w:rPr>
          <w:rFonts w:ascii="Verdana" w:hAnsi="Verdana"/>
          <w:sz w:val="16"/>
          <w:szCs w:val="16"/>
        </w:rPr>
        <w:t>.</w:t>
      </w:r>
    </w:p>
  </w:footnote>
  <w:footnote w:id="10">
    <w:p w14:paraId="7E27F059" w14:textId="77777777" w:rsidR="00BD666C" w:rsidRPr="00B57A0E" w:rsidRDefault="00BD666C" w:rsidP="00BD666C">
      <w:pPr>
        <w:pStyle w:val="FootnoteText"/>
        <w:spacing w:line="240" w:lineRule="auto"/>
        <w:rPr>
          <w:rFonts w:ascii="Verdana" w:hAnsi="Verdana"/>
          <w:sz w:val="16"/>
          <w:szCs w:val="16"/>
        </w:rPr>
      </w:pPr>
      <w:r w:rsidRPr="00B57A0E">
        <w:rPr>
          <w:rStyle w:val="FootnoteReference"/>
          <w:rFonts w:ascii="Verdana" w:hAnsi="Verdana"/>
          <w:sz w:val="16"/>
          <w:szCs w:val="16"/>
        </w:rPr>
        <w:footnoteRef/>
      </w:r>
      <w:r w:rsidRPr="00B57A0E">
        <w:rPr>
          <w:rFonts w:ascii="Verdana" w:hAnsi="Verdana"/>
          <w:sz w:val="16"/>
          <w:szCs w:val="16"/>
        </w:rPr>
        <w:t xml:space="preserve"> Kamerstukken</w:t>
      </w:r>
      <w:r>
        <w:rPr>
          <w:rFonts w:ascii="Verdana" w:hAnsi="Verdana"/>
          <w:sz w:val="16"/>
          <w:szCs w:val="16"/>
        </w:rPr>
        <w:t xml:space="preserve"> II, vergaderjaar</w:t>
      </w:r>
      <w:r w:rsidRPr="00B57A0E">
        <w:rPr>
          <w:rFonts w:ascii="Verdana" w:hAnsi="Verdana"/>
          <w:sz w:val="16"/>
          <w:szCs w:val="16"/>
        </w:rPr>
        <w:t xml:space="preserve"> 2024-2025, 21 501-08, nr. 969, en 2023-2024, 22 112, nr. 3916.</w:t>
      </w:r>
    </w:p>
  </w:footnote>
  <w:footnote w:id="11">
    <w:p w14:paraId="087B6EE4" w14:textId="30FC8DCF" w:rsidR="6EFA05DF" w:rsidRPr="00B76288" w:rsidRDefault="6EFA05DF" w:rsidP="00B76288">
      <w:pPr>
        <w:pStyle w:val="FootnoteText"/>
        <w:spacing w:line="240" w:lineRule="auto"/>
        <w:rPr>
          <w:rFonts w:ascii="Verdana" w:hAnsi="Verdana"/>
          <w:sz w:val="16"/>
          <w:szCs w:val="16"/>
        </w:rPr>
      </w:pPr>
      <w:r w:rsidRPr="00B76288">
        <w:rPr>
          <w:rStyle w:val="FootnoteReference"/>
          <w:rFonts w:ascii="Verdana" w:hAnsi="Verdana"/>
          <w:sz w:val="16"/>
          <w:szCs w:val="16"/>
        </w:rPr>
        <w:footnoteRef/>
      </w:r>
      <w:r w:rsidRPr="00B76288">
        <w:rPr>
          <w:rFonts w:ascii="Verdana" w:hAnsi="Verdana"/>
          <w:sz w:val="16"/>
          <w:szCs w:val="16"/>
        </w:rPr>
        <w:t xml:space="preserve"> </w:t>
      </w:r>
      <w:r w:rsidR="000E5C93">
        <w:rPr>
          <w:rFonts w:ascii="Verdana" w:hAnsi="Verdana"/>
          <w:sz w:val="16"/>
          <w:szCs w:val="16"/>
        </w:rPr>
        <w:t>Kamerstukken II, vergaderjaar 2024-2025, 26 485, nr. 450.</w:t>
      </w:r>
    </w:p>
  </w:footnote>
  <w:footnote w:id="12">
    <w:p w14:paraId="7783362F" w14:textId="3FFC6CE7" w:rsidR="00BD666C" w:rsidRPr="00600947" w:rsidRDefault="00BD666C" w:rsidP="00BD666C">
      <w:pPr>
        <w:pStyle w:val="FootnoteText"/>
        <w:spacing w:line="240" w:lineRule="auto"/>
        <w:rPr>
          <w:rFonts w:ascii="Verdana" w:hAnsi="Verdana"/>
          <w:sz w:val="16"/>
          <w:szCs w:val="16"/>
        </w:rPr>
      </w:pPr>
      <w:r w:rsidRPr="00600947">
        <w:rPr>
          <w:rStyle w:val="FootnoteReference"/>
          <w:rFonts w:ascii="Verdana" w:hAnsi="Verdana"/>
          <w:sz w:val="16"/>
          <w:szCs w:val="16"/>
        </w:rPr>
        <w:footnoteRef/>
      </w:r>
      <w:r w:rsidRPr="00600947">
        <w:rPr>
          <w:rFonts w:ascii="Verdana" w:hAnsi="Verdana"/>
          <w:sz w:val="16"/>
          <w:szCs w:val="16"/>
        </w:rPr>
        <w:t xml:space="preserve"> </w:t>
      </w:r>
      <w:r w:rsidR="00777286">
        <w:rPr>
          <w:rFonts w:ascii="Verdana" w:hAnsi="Verdana"/>
          <w:sz w:val="16"/>
          <w:szCs w:val="16"/>
        </w:rPr>
        <w:t>Kamerstuk</w:t>
      </w:r>
      <w:r w:rsidR="000E5C93">
        <w:rPr>
          <w:rFonts w:ascii="Verdana" w:hAnsi="Verdana"/>
          <w:sz w:val="16"/>
          <w:szCs w:val="16"/>
        </w:rPr>
        <w:t xml:space="preserve">ken II, vergaderjaar 2024-2025, 30 821, nr. </w:t>
      </w:r>
      <w:r w:rsidR="00777286" w:rsidRPr="00777286">
        <w:rPr>
          <w:rFonts w:ascii="Verdana" w:hAnsi="Verdana"/>
          <w:sz w:val="16"/>
          <w:szCs w:val="16"/>
        </w:rPr>
        <w:t>249</w:t>
      </w:r>
      <w:r w:rsidR="00777286">
        <w:rPr>
          <w:rFonts w:ascii="Verdana" w:hAnsi="Verdana"/>
          <w:sz w:val="16"/>
          <w:szCs w:val="16"/>
        </w:rPr>
        <w:t>.</w:t>
      </w:r>
    </w:p>
  </w:footnote>
  <w:footnote w:id="13">
    <w:p w14:paraId="7FC2A0A8" w14:textId="2EE233C2" w:rsidR="00BD666C" w:rsidRPr="00B057C6" w:rsidRDefault="00BD666C" w:rsidP="00BD666C">
      <w:pPr>
        <w:pStyle w:val="FootnoteText"/>
        <w:spacing w:line="240" w:lineRule="auto"/>
        <w:rPr>
          <w:rFonts w:ascii="Verdana" w:hAnsi="Verdana"/>
          <w:sz w:val="16"/>
          <w:szCs w:val="16"/>
          <w:lang w:val="fr-FR"/>
        </w:rPr>
      </w:pPr>
      <w:r w:rsidRPr="00600947">
        <w:rPr>
          <w:rStyle w:val="FootnoteReference"/>
          <w:rFonts w:ascii="Verdana" w:hAnsi="Verdana"/>
          <w:sz w:val="16"/>
          <w:szCs w:val="16"/>
        </w:rPr>
        <w:footnoteRef/>
      </w:r>
      <w:r w:rsidRPr="00B057C6">
        <w:rPr>
          <w:rFonts w:ascii="Verdana" w:hAnsi="Verdana"/>
          <w:sz w:val="16"/>
          <w:szCs w:val="16"/>
          <w:lang w:val="fr-FR"/>
        </w:rPr>
        <w:t xml:space="preserve"> </w:t>
      </w:r>
      <w:proofErr w:type="spellStart"/>
      <w:r w:rsidR="00B057C6">
        <w:rPr>
          <w:rFonts w:ascii="Verdana" w:hAnsi="Verdana"/>
          <w:sz w:val="16"/>
          <w:szCs w:val="16"/>
          <w:lang w:val="fr-FR"/>
        </w:rPr>
        <w:t>Kamerstuk</w:t>
      </w:r>
      <w:r w:rsidR="00B2000D">
        <w:rPr>
          <w:rFonts w:ascii="Verdana" w:hAnsi="Verdana"/>
          <w:sz w:val="16"/>
          <w:szCs w:val="16"/>
          <w:lang w:val="fr-FR"/>
        </w:rPr>
        <w:t>ken</w:t>
      </w:r>
      <w:proofErr w:type="spellEnd"/>
      <w:r w:rsidR="00B2000D">
        <w:rPr>
          <w:rFonts w:ascii="Verdana" w:hAnsi="Verdana"/>
          <w:sz w:val="16"/>
          <w:szCs w:val="16"/>
          <w:lang w:val="fr-FR"/>
        </w:rPr>
        <w:t xml:space="preserve"> II, </w:t>
      </w:r>
      <w:r w:rsidR="00C26B47">
        <w:rPr>
          <w:rFonts w:ascii="Verdana" w:hAnsi="Verdana"/>
          <w:sz w:val="16"/>
          <w:szCs w:val="16"/>
        </w:rPr>
        <w:t xml:space="preserve">vergaderjaar </w:t>
      </w:r>
      <w:r w:rsidR="00B2000D">
        <w:rPr>
          <w:rFonts w:ascii="Verdana" w:hAnsi="Verdana"/>
          <w:sz w:val="16"/>
          <w:szCs w:val="16"/>
          <w:lang w:val="fr-FR"/>
        </w:rPr>
        <w:t xml:space="preserve">2023-2024, 21 501-02, nr. </w:t>
      </w:r>
      <w:r w:rsidR="00B057C6">
        <w:rPr>
          <w:rFonts w:ascii="Verdana" w:hAnsi="Verdana"/>
          <w:sz w:val="16"/>
          <w:szCs w:val="16"/>
          <w:lang w:val="fr-FR"/>
        </w:rPr>
        <w:t xml:space="preserve">2913. </w:t>
      </w:r>
      <w:r w:rsidR="00E27542" w:rsidRPr="00B057C6">
        <w:rPr>
          <w:rFonts w:ascii="Verdana" w:hAnsi="Verdana"/>
          <w:sz w:val="16"/>
          <w:szCs w:val="16"/>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2"/>
  </w:num>
  <w:num w:numId="3" w16cid:durableId="1483035464">
    <w:abstractNumId w:val="4"/>
  </w:num>
  <w:num w:numId="4" w16cid:durableId="1079516967">
    <w:abstractNumId w:val="1"/>
  </w:num>
  <w:num w:numId="5" w16cid:durableId="111019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2841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6C"/>
    <w:rsid w:val="000023A8"/>
    <w:rsid w:val="0001235D"/>
    <w:rsid w:val="000130A9"/>
    <w:rsid w:val="000217BB"/>
    <w:rsid w:val="00021E89"/>
    <w:rsid w:val="000277B0"/>
    <w:rsid w:val="0004084D"/>
    <w:rsid w:val="00043C18"/>
    <w:rsid w:val="00043F59"/>
    <w:rsid w:val="00052269"/>
    <w:rsid w:val="00062AF2"/>
    <w:rsid w:val="000630DA"/>
    <w:rsid w:val="00065D5D"/>
    <w:rsid w:val="00066255"/>
    <w:rsid w:val="00072C73"/>
    <w:rsid w:val="00087B72"/>
    <w:rsid w:val="00090CFA"/>
    <w:rsid w:val="00091812"/>
    <w:rsid w:val="0009210D"/>
    <w:rsid w:val="00093FE1"/>
    <w:rsid w:val="00094D65"/>
    <w:rsid w:val="000A5650"/>
    <w:rsid w:val="000B0912"/>
    <w:rsid w:val="000B1106"/>
    <w:rsid w:val="000B1529"/>
    <w:rsid w:val="000B7614"/>
    <w:rsid w:val="000C6A1B"/>
    <w:rsid w:val="000D099A"/>
    <w:rsid w:val="000D13E3"/>
    <w:rsid w:val="000D28CF"/>
    <w:rsid w:val="000D4FD8"/>
    <w:rsid w:val="000D61AE"/>
    <w:rsid w:val="000D7876"/>
    <w:rsid w:val="000E19BC"/>
    <w:rsid w:val="000E329B"/>
    <w:rsid w:val="000E5C93"/>
    <w:rsid w:val="000E625B"/>
    <w:rsid w:val="000E63C4"/>
    <w:rsid w:val="000E6E7C"/>
    <w:rsid w:val="000E7096"/>
    <w:rsid w:val="000E74F8"/>
    <w:rsid w:val="000F13BE"/>
    <w:rsid w:val="000F4A95"/>
    <w:rsid w:val="000F57A9"/>
    <w:rsid w:val="00102DFA"/>
    <w:rsid w:val="00103CF4"/>
    <w:rsid w:val="00106D3C"/>
    <w:rsid w:val="001115D0"/>
    <w:rsid w:val="00111BC8"/>
    <w:rsid w:val="00115520"/>
    <w:rsid w:val="001158B0"/>
    <w:rsid w:val="001253FA"/>
    <w:rsid w:val="0012545B"/>
    <w:rsid w:val="0013051D"/>
    <w:rsid w:val="001356AA"/>
    <w:rsid w:val="00135EF1"/>
    <w:rsid w:val="0013668A"/>
    <w:rsid w:val="00136C47"/>
    <w:rsid w:val="00141C6A"/>
    <w:rsid w:val="0014688D"/>
    <w:rsid w:val="00150A04"/>
    <w:rsid w:val="00152269"/>
    <w:rsid w:val="001526C8"/>
    <w:rsid w:val="00153112"/>
    <w:rsid w:val="00153954"/>
    <w:rsid w:val="0015429E"/>
    <w:rsid w:val="0015577E"/>
    <w:rsid w:val="001565D0"/>
    <w:rsid w:val="00157E27"/>
    <w:rsid w:val="001603E5"/>
    <w:rsid w:val="001654B8"/>
    <w:rsid w:val="0016625E"/>
    <w:rsid w:val="00171C22"/>
    <w:rsid w:val="0017296B"/>
    <w:rsid w:val="0017321F"/>
    <w:rsid w:val="00173542"/>
    <w:rsid w:val="001744D6"/>
    <w:rsid w:val="00175D3D"/>
    <w:rsid w:val="00176CAB"/>
    <w:rsid w:val="001808CD"/>
    <w:rsid w:val="00191496"/>
    <w:rsid w:val="00191EC2"/>
    <w:rsid w:val="00192D7E"/>
    <w:rsid w:val="001A02DC"/>
    <w:rsid w:val="001A1557"/>
    <w:rsid w:val="001A2D51"/>
    <w:rsid w:val="001A5387"/>
    <w:rsid w:val="001B2843"/>
    <w:rsid w:val="001B298E"/>
    <w:rsid w:val="001B3199"/>
    <w:rsid w:val="001B48A2"/>
    <w:rsid w:val="001C0042"/>
    <w:rsid w:val="001C49EC"/>
    <w:rsid w:val="001C61B5"/>
    <w:rsid w:val="001C6789"/>
    <w:rsid w:val="001D18AA"/>
    <w:rsid w:val="001D310D"/>
    <w:rsid w:val="001D70CC"/>
    <w:rsid w:val="001E100D"/>
    <w:rsid w:val="001E134F"/>
    <w:rsid w:val="001E1CE6"/>
    <w:rsid w:val="001E1E2E"/>
    <w:rsid w:val="002031ED"/>
    <w:rsid w:val="00203CDE"/>
    <w:rsid w:val="00210AC5"/>
    <w:rsid w:val="00210B3C"/>
    <w:rsid w:val="00211022"/>
    <w:rsid w:val="00213786"/>
    <w:rsid w:val="00223474"/>
    <w:rsid w:val="00223C5E"/>
    <w:rsid w:val="00225B03"/>
    <w:rsid w:val="00230387"/>
    <w:rsid w:val="00232ECC"/>
    <w:rsid w:val="00235846"/>
    <w:rsid w:val="00236E2B"/>
    <w:rsid w:val="00240365"/>
    <w:rsid w:val="002403FC"/>
    <w:rsid w:val="00241FD5"/>
    <w:rsid w:val="002456CC"/>
    <w:rsid w:val="00254EB8"/>
    <w:rsid w:val="00257453"/>
    <w:rsid w:val="00264C9F"/>
    <w:rsid w:val="00266329"/>
    <w:rsid w:val="002673C2"/>
    <w:rsid w:val="00271029"/>
    <w:rsid w:val="00273757"/>
    <w:rsid w:val="00275D58"/>
    <w:rsid w:val="00280A58"/>
    <w:rsid w:val="0028160B"/>
    <w:rsid w:val="00281EB7"/>
    <w:rsid w:val="00282244"/>
    <w:rsid w:val="002873DF"/>
    <w:rsid w:val="00292F9F"/>
    <w:rsid w:val="002B0203"/>
    <w:rsid w:val="002B2386"/>
    <w:rsid w:val="002B3590"/>
    <w:rsid w:val="002B53D6"/>
    <w:rsid w:val="002B743E"/>
    <w:rsid w:val="002BCAB3"/>
    <w:rsid w:val="002C0018"/>
    <w:rsid w:val="002C11E0"/>
    <w:rsid w:val="002C1F9B"/>
    <w:rsid w:val="002C2B9B"/>
    <w:rsid w:val="002C6800"/>
    <w:rsid w:val="002C6B5B"/>
    <w:rsid w:val="002E042F"/>
    <w:rsid w:val="002E060A"/>
    <w:rsid w:val="002E2543"/>
    <w:rsid w:val="002E2FD8"/>
    <w:rsid w:val="002E5E19"/>
    <w:rsid w:val="002E7473"/>
    <w:rsid w:val="002F6190"/>
    <w:rsid w:val="0030011B"/>
    <w:rsid w:val="00302326"/>
    <w:rsid w:val="00303702"/>
    <w:rsid w:val="003121B8"/>
    <w:rsid w:val="00312B38"/>
    <w:rsid w:val="00321A4A"/>
    <w:rsid w:val="00321B32"/>
    <w:rsid w:val="00322408"/>
    <w:rsid w:val="00322EFC"/>
    <w:rsid w:val="003260AB"/>
    <w:rsid w:val="00326E83"/>
    <w:rsid w:val="003342C1"/>
    <w:rsid w:val="00334584"/>
    <w:rsid w:val="003346BF"/>
    <w:rsid w:val="00335179"/>
    <w:rsid w:val="0033692D"/>
    <w:rsid w:val="00342CA5"/>
    <w:rsid w:val="0034367E"/>
    <w:rsid w:val="003500E8"/>
    <w:rsid w:val="00350ECA"/>
    <w:rsid w:val="003524FF"/>
    <w:rsid w:val="00353774"/>
    <w:rsid w:val="003539CA"/>
    <w:rsid w:val="003640DA"/>
    <w:rsid w:val="00364582"/>
    <w:rsid w:val="00365ACB"/>
    <w:rsid w:val="00366467"/>
    <w:rsid w:val="0036784E"/>
    <w:rsid w:val="003712F7"/>
    <w:rsid w:val="00371677"/>
    <w:rsid w:val="00371FE3"/>
    <w:rsid w:val="003727C6"/>
    <w:rsid w:val="0037701B"/>
    <w:rsid w:val="0038219A"/>
    <w:rsid w:val="0038227F"/>
    <w:rsid w:val="0038351B"/>
    <w:rsid w:val="003852F5"/>
    <w:rsid w:val="003857A1"/>
    <w:rsid w:val="003858FF"/>
    <w:rsid w:val="0039086C"/>
    <w:rsid w:val="0039537A"/>
    <w:rsid w:val="00397565"/>
    <w:rsid w:val="003A157E"/>
    <w:rsid w:val="003A5A5E"/>
    <w:rsid w:val="003A61A5"/>
    <w:rsid w:val="003B0E66"/>
    <w:rsid w:val="003B265C"/>
    <w:rsid w:val="003C19EC"/>
    <w:rsid w:val="003C26F1"/>
    <w:rsid w:val="003C5970"/>
    <w:rsid w:val="003C5C28"/>
    <w:rsid w:val="003D3DA7"/>
    <w:rsid w:val="003D42D6"/>
    <w:rsid w:val="003D4E85"/>
    <w:rsid w:val="003D54D2"/>
    <w:rsid w:val="003E37FB"/>
    <w:rsid w:val="003E4BE4"/>
    <w:rsid w:val="003E79A3"/>
    <w:rsid w:val="003F03BB"/>
    <w:rsid w:val="003F2157"/>
    <w:rsid w:val="004031DD"/>
    <w:rsid w:val="00404B44"/>
    <w:rsid w:val="00406129"/>
    <w:rsid w:val="00410BAD"/>
    <w:rsid w:val="00410DA9"/>
    <w:rsid w:val="00412543"/>
    <w:rsid w:val="00414E37"/>
    <w:rsid w:val="00417FDA"/>
    <w:rsid w:val="00420230"/>
    <w:rsid w:val="0042637C"/>
    <w:rsid w:val="0043111B"/>
    <w:rsid w:val="00436D1D"/>
    <w:rsid w:val="00436ECE"/>
    <w:rsid w:val="00437FEA"/>
    <w:rsid w:val="0044022F"/>
    <w:rsid w:val="004424A8"/>
    <w:rsid w:val="0044261C"/>
    <w:rsid w:val="004450FF"/>
    <w:rsid w:val="00445A28"/>
    <w:rsid w:val="0044674E"/>
    <w:rsid w:val="00446A7D"/>
    <w:rsid w:val="00450F7C"/>
    <w:rsid w:val="0045151B"/>
    <w:rsid w:val="00451DE1"/>
    <w:rsid w:val="00454E13"/>
    <w:rsid w:val="004561E4"/>
    <w:rsid w:val="0045729A"/>
    <w:rsid w:val="0046105E"/>
    <w:rsid w:val="004639E1"/>
    <w:rsid w:val="0046544A"/>
    <w:rsid w:val="00472708"/>
    <w:rsid w:val="00477A48"/>
    <w:rsid w:val="0048169A"/>
    <w:rsid w:val="00485798"/>
    <w:rsid w:val="004969EA"/>
    <w:rsid w:val="00497AF7"/>
    <w:rsid w:val="004A6419"/>
    <w:rsid w:val="004A773F"/>
    <w:rsid w:val="004A77EF"/>
    <w:rsid w:val="004B11B2"/>
    <w:rsid w:val="004B4D65"/>
    <w:rsid w:val="004B6026"/>
    <w:rsid w:val="004B73FF"/>
    <w:rsid w:val="004C12DD"/>
    <w:rsid w:val="004D006A"/>
    <w:rsid w:val="004D2AA9"/>
    <w:rsid w:val="004D7A6C"/>
    <w:rsid w:val="004E04AD"/>
    <w:rsid w:val="004E1DDE"/>
    <w:rsid w:val="004E2F05"/>
    <w:rsid w:val="004E424A"/>
    <w:rsid w:val="004E7AAB"/>
    <w:rsid w:val="004F3709"/>
    <w:rsid w:val="004F57A0"/>
    <w:rsid w:val="0050477A"/>
    <w:rsid w:val="005053AA"/>
    <w:rsid w:val="005065C7"/>
    <w:rsid w:val="00507703"/>
    <w:rsid w:val="005107AC"/>
    <w:rsid w:val="005129A5"/>
    <w:rsid w:val="00514704"/>
    <w:rsid w:val="00515577"/>
    <w:rsid w:val="005170C9"/>
    <w:rsid w:val="00517852"/>
    <w:rsid w:val="00520732"/>
    <w:rsid w:val="005252D1"/>
    <w:rsid w:val="005264FD"/>
    <w:rsid w:val="00527A09"/>
    <w:rsid w:val="005309D1"/>
    <w:rsid w:val="00532838"/>
    <w:rsid w:val="005411FB"/>
    <w:rsid w:val="00545423"/>
    <w:rsid w:val="00546CEB"/>
    <w:rsid w:val="005473D5"/>
    <w:rsid w:val="005505DB"/>
    <w:rsid w:val="00552E0C"/>
    <w:rsid w:val="00554527"/>
    <w:rsid w:val="00554C2A"/>
    <w:rsid w:val="00556152"/>
    <w:rsid w:val="005578AC"/>
    <w:rsid w:val="00557E37"/>
    <w:rsid w:val="0056253E"/>
    <w:rsid w:val="00564C03"/>
    <w:rsid w:val="005659FA"/>
    <w:rsid w:val="00566031"/>
    <w:rsid w:val="00566F1C"/>
    <w:rsid w:val="00567008"/>
    <w:rsid w:val="00570E77"/>
    <w:rsid w:val="00575FC5"/>
    <w:rsid w:val="00576188"/>
    <w:rsid w:val="00577E94"/>
    <w:rsid w:val="005800A6"/>
    <w:rsid w:val="00591AA8"/>
    <w:rsid w:val="00593094"/>
    <w:rsid w:val="005B06C2"/>
    <w:rsid w:val="005B28C2"/>
    <w:rsid w:val="005B3684"/>
    <w:rsid w:val="005B4145"/>
    <w:rsid w:val="005B48E4"/>
    <w:rsid w:val="005B5D43"/>
    <w:rsid w:val="005B7542"/>
    <w:rsid w:val="005C0165"/>
    <w:rsid w:val="005C72F2"/>
    <w:rsid w:val="005C779E"/>
    <w:rsid w:val="005D377B"/>
    <w:rsid w:val="005D79FE"/>
    <w:rsid w:val="005E04C2"/>
    <w:rsid w:val="005E1365"/>
    <w:rsid w:val="005E77E4"/>
    <w:rsid w:val="005E7FAD"/>
    <w:rsid w:val="005F1125"/>
    <w:rsid w:val="005F1D33"/>
    <w:rsid w:val="005F3CCD"/>
    <w:rsid w:val="005F51EE"/>
    <w:rsid w:val="00603734"/>
    <w:rsid w:val="006041CB"/>
    <w:rsid w:val="00610504"/>
    <w:rsid w:val="00613591"/>
    <w:rsid w:val="00613A38"/>
    <w:rsid w:val="00616556"/>
    <w:rsid w:val="00626DF5"/>
    <w:rsid w:val="00636AEB"/>
    <w:rsid w:val="00640922"/>
    <w:rsid w:val="00641C72"/>
    <w:rsid w:val="006422B5"/>
    <w:rsid w:val="00646A89"/>
    <w:rsid w:val="006510F2"/>
    <w:rsid w:val="00653176"/>
    <w:rsid w:val="006541CD"/>
    <w:rsid w:val="0065647F"/>
    <w:rsid w:val="00656586"/>
    <w:rsid w:val="00656ED5"/>
    <w:rsid w:val="00657543"/>
    <w:rsid w:val="0066691D"/>
    <w:rsid w:val="006729E1"/>
    <w:rsid w:val="00675D68"/>
    <w:rsid w:val="00677F73"/>
    <w:rsid w:val="006812B2"/>
    <w:rsid w:val="0068515F"/>
    <w:rsid w:val="00685FD8"/>
    <w:rsid w:val="00686BE5"/>
    <w:rsid w:val="00691A30"/>
    <w:rsid w:val="006934E5"/>
    <w:rsid w:val="00693F4D"/>
    <w:rsid w:val="0069533D"/>
    <w:rsid w:val="00697EF9"/>
    <w:rsid w:val="006A32EE"/>
    <w:rsid w:val="006A4ADD"/>
    <w:rsid w:val="006A524E"/>
    <w:rsid w:val="006A588B"/>
    <w:rsid w:val="006A7C21"/>
    <w:rsid w:val="006B1D51"/>
    <w:rsid w:val="006C63C9"/>
    <w:rsid w:val="006D3086"/>
    <w:rsid w:val="006D42EA"/>
    <w:rsid w:val="006D5935"/>
    <w:rsid w:val="006D66AA"/>
    <w:rsid w:val="006E5A66"/>
    <w:rsid w:val="006E5ECD"/>
    <w:rsid w:val="006E648A"/>
    <w:rsid w:val="006E7231"/>
    <w:rsid w:val="006F0FA1"/>
    <w:rsid w:val="006F3468"/>
    <w:rsid w:val="006F359F"/>
    <w:rsid w:val="006F5561"/>
    <w:rsid w:val="006F7374"/>
    <w:rsid w:val="0070307A"/>
    <w:rsid w:val="00704086"/>
    <w:rsid w:val="0070546D"/>
    <w:rsid w:val="00705B6F"/>
    <w:rsid w:val="00707907"/>
    <w:rsid w:val="00707ED3"/>
    <w:rsid w:val="0071031C"/>
    <w:rsid w:val="007105AA"/>
    <w:rsid w:val="007115BF"/>
    <w:rsid w:val="00712812"/>
    <w:rsid w:val="00716254"/>
    <w:rsid w:val="007251E1"/>
    <w:rsid w:val="007264B4"/>
    <w:rsid w:val="00726925"/>
    <w:rsid w:val="007319B8"/>
    <w:rsid w:val="007347B2"/>
    <w:rsid w:val="007358E6"/>
    <w:rsid w:val="007421C4"/>
    <w:rsid w:val="0075030E"/>
    <w:rsid w:val="007517F6"/>
    <w:rsid w:val="00753361"/>
    <w:rsid w:val="00754A23"/>
    <w:rsid w:val="00756BFD"/>
    <w:rsid w:val="00757B34"/>
    <w:rsid w:val="007619D3"/>
    <w:rsid w:val="007657E3"/>
    <w:rsid w:val="00765B7B"/>
    <w:rsid w:val="00765FD5"/>
    <w:rsid w:val="0077363C"/>
    <w:rsid w:val="00775626"/>
    <w:rsid w:val="00777286"/>
    <w:rsid w:val="00780B14"/>
    <w:rsid w:val="007842FB"/>
    <w:rsid w:val="007852C2"/>
    <w:rsid w:val="00787AC5"/>
    <w:rsid w:val="0079063B"/>
    <w:rsid w:val="00791813"/>
    <w:rsid w:val="007934E6"/>
    <w:rsid w:val="00793C31"/>
    <w:rsid w:val="007964EA"/>
    <w:rsid w:val="007969F9"/>
    <w:rsid w:val="007A27D7"/>
    <w:rsid w:val="007A4219"/>
    <w:rsid w:val="007A4285"/>
    <w:rsid w:val="007B1FA5"/>
    <w:rsid w:val="007B42D2"/>
    <w:rsid w:val="007B6467"/>
    <w:rsid w:val="007B7D0C"/>
    <w:rsid w:val="007C475E"/>
    <w:rsid w:val="007C5975"/>
    <w:rsid w:val="007C6D03"/>
    <w:rsid w:val="007D03E6"/>
    <w:rsid w:val="007D0EB8"/>
    <w:rsid w:val="007D29FB"/>
    <w:rsid w:val="007D2DAE"/>
    <w:rsid w:val="007F3C78"/>
    <w:rsid w:val="007F6CCB"/>
    <w:rsid w:val="007F7612"/>
    <w:rsid w:val="007F778D"/>
    <w:rsid w:val="00805D22"/>
    <w:rsid w:val="00807E9D"/>
    <w:rsid w:val="008104A3"/>
    <w:rsid w:val="008121D5"/>
    <w:rsid w:val="00820492"/>
    <w:rsid w:val="00834643"/>
    <w:rsid w:val="00837AEC"/>
    <w:rsid w:val="00841333"/>
    <w:rsid w:val="0084169B"/>
    <w:rsid w:val="0084211B"/>
    <w:rsid w:val="00843A62"/>
    <w:rsid w:val="00856B3C"/>
    <w:rsid w:val="00857947"/>
    <w:rsid w:val="008603F1"/>
    <w:rsid w:val="0086168C"/>
    <w:rsid w:val="008734CC"/>
    <w:rsid w:val="00875392"/>
    <w:rsid w:val="00877AB8"/>
    <w:rsid w:val="00877D71"/>
    <w:rsid w:val="008801E1"/>
    <w:rsid w:val="00880B96"/>
    <w:rsid w:val="00884C7D"/>
    <w:rsid w:val="00885111"/>
    <w:rsid w:val="00885237"/>
    <w:rsid w:val="00885FC6"/>
    <w:rsid w:val="00886846"/>
    <w:rsid w:val="00887534"/>
    <w:rsid w:val="00887ECD"/>
    <w:rsid w:val="00891F4D"/>
    <w:rsid w:val="00893874"/>
    <w:rsid w:val="0089434C"/>
    <w:rsid w:val="008A014D"/>
    <w:rsid w:val="008A0BDB"/>
    <w:rsid w:val="008A0D8B"/>
    <w:rsid w:val="008A2FE4"/>
    <w:rsid w:val="008B1E96"/>
    <w:rsid w:val="008B4B4E"/>
    <w:rsid w:val="008B77D0"/>
    <w:rsid w:val="008D5116"/>
    <w:rsid w:val="008D71C3"/>
    <w:rsid w:val="008D75B0"/>
    <w:rsid w:val="008E2BCD"/>
    <w:rsid w:val="008E3549"/>
    <w:rsid w:val="008E4233"/>
    <w:rsid w:val="008E55FC"/>
    <w:rsid w:val="008E5D6C"/>
    <w:rsid w:val="008E6396"/>
    <w:rsid w:val="008E655B"/>
    <w:rsid w:val="008E6DB2"/>
    <w:rsid w:val="008E7A1B"/>
    <w:rsid w:val="008E7EC5"/>
    <w:rsid w:val="008F1373"/>
    <w:rsid w:val="008F15AE"/>
    <w:rsid w:val="008F24FD"/>
    <w:rsid w:val="008F29E4"/>
    <w:rsid w:val="008F3857"/>
    <w:rsid w:val="008F3BFA"/>
    <w:rsid w:val="008F3D9A"/>
    <w:rsid w:val="008F3FFB"/>
    <w:rsid w:val="008F4077"/>
    <w:rsid w:val="008F54D8"/>
    <w:rsid w:val="008F624C"/>
    <w:rsid w:val="008F6764"/>
    <w:rsid w:val="009039C3"/>
    <w:rsid w:val="00910443"/>
    <w:rsid w:val="00913F33"/>
    <w:rsid w:val="00915877"/>
    <w:rsid w:val="00915FD7"/>
    <w:rsid w:val="009256B4"/>
    <w:rsid w:val="00927192"/>
    <w:rsid w:val="00931AC3"/>
    <w:rsid w:val="009327D2"/>
    <w:rsid w:val="00932E0A"/>
    <w:rsid w:val="0093312F"/>
    <w:rsid w:val="009332CB"/>
    <w:rsid w:val="0093780B"/>
    <w:rsid w:val="00943BE6"/>
    <w:rsid w:val="00945881"/>
    <w:rsid w:val="00945957"/>
    <w:rsid w:val="009465B8"/>
    <w:rsid w:val="00947FD7"/>
    <w:rsid w:val="00950235"/>
    <w:rsid w:val="00955E37"/>
    <w:rsid w:val="00956B6C"/>
    <w:rsid w:val="009705B5"/>
    <w:rsid w:val="009716CA"/>
    <w:rsid w:val="009728C4"/>
    <w:rsid w:val="0097352D"/>
    <w:rsid w:val="00973A40"/>
    <w:rsid w:val="0098065D"/>
    <w:rsid w:val="009816D3"/>
    <w:rsid w:val="0098216E"/>
    <w:rsid w:val="00983D95"/>
    <w:rsid w:val="009856EA"/>
    <w:rsid w:val="00985D86"/>
    <w:rsid w:val="00993D81"/>
    <w:rsid w:val="00994B81"/>
    <w:rsid w:val="009953BD"/>
    <w:rsid w:val="00997E33"/>
    <w:rsid w:val="009A0FCD"/>
    <w:rsid w:val="009A5CD5"/>
    <w:rsid w:val="009A665F"/>
    <w:rsid w:val="009B1FFE"/>
    <w:rsid w:val="009B27FB"/>
    <w:rsid w:val="009B35AC"/>
    <w:rsid w:val="009B57FE"/>
    <w:rsid w:val="009C2A8F"/>
    <w:rsid w:val="009C3122"/>
    <w:rsid w:val="009C4BE9"/>
    <w:rsid w:val="009D2149"/>
    <w:rsid w:val="009D26B1"/>
    <w:rsid w:val="009D44B2"/>
    <w:rsid w:val="009D4971"/>
    <w:rsid w:val="009D5549"/>
    <w:rsid w:val="009D7722"/>
    <w:rsid w:val="009E1278"/>
    <w:rsid w:val="009E1EBA"/>
    <w:rsid w:val="009E43FE"/>
    <w:rsid w:val="009F054C"/>
    <w:rsid w:val="009F12DD"/>
    <w:rsid w:val="00A00E0F"/>
    <w:rsid w:val="00A01DAA"/>
    <w:rsid w:val="00A0272C"/>
    <w:rsid w:val="00A12B1C"/>
    <w:rsid w:val="00A13D2C"/>
    <w:rsid w:val="00A13DD6"/>
    <w:rsid w:val="00A16F31"/>
    <w:rsid w:val="00A209E4"/>
    <w:rsid w:val="00A20B0C"/>
    <w:rsid w:val="00A23536"/>
    <w:rsid w:val="00A247F2"/>
    <w:rsid w:val="00A301CB"/>
    <w:rsid w:val="00A34C04"/>
    <w:rsid w:val="00A46133"/>
    <w:rsid w:val="00A514DE"/>
    <w:rsid w:val="00A55620"/>
    <w:rsid w:val="00A62B3E"/>
    <w:rsid w:val="00A62F2D"/>
    <w:rsid w:val="00A7144E"/>
    <w:rsid w:val="00A7398C"/>
    <w:rsid w:val="00A750CE"/>
    <w:rsid w:val="00A77AA4"/>
    <w:rsid w:val="00A830BF"/>
    <w:rsid w:val="00A84036"/>
    <w:rsid w:val="00A86BFC"/>
    <w:rsid w:val="00A87BFC"/>
    <w:rsid w:val="00A950C2"/>
    <w:rsid w:val="00AA05CB"/>
    <w:rsid w:val="00AB0767"/>
    <w:rsid w:val="00AB3775"/>
    <w:rsid w:val="00AB7373"/>
    <w:rsid w:val="00AB7ACE"/>
    <w:rsid w:val="00AB7EAC"/>
    <w:rsid w:val="00AC2226"/>
    <w:rsid w:val="00AC415E"/>
    <w:rsid w:val="00AC77FA"/>
    <w:rsid w:val="00AD1586"/>
    <w:rsid w:val="00AD2FAE"/>
    <w:rsid w:val="00AD71E0"/>
    <w:rsid w:val="00AD7C94"/>
    <w:rsid w:val="00AD7D8C"/>
    <w:rsid w:val="00AE0ECC"/>
    <w:rsid w:val="00AE6DC7"/>
    <w:rsid w:val="00AF15A8"/>
    <w:rsid w:val="00AF404F"/>
    <w:rsid w:val="00AF5D01"/>
    <w:rsid w:val="00AF6B2D"/>
    <w:rsid w:val="00B00C85"/>
    <w:rsid w:val="00B03312"/>
    <w:rsid w:val="00B03871"/>
    <w:rsid w:val="00B057C6"/>
    <w:rsid w:val="00B07B26"/>
    <w:rsid w:val="00B1061D"/>
    <w:rsid w:val="00B11A2E"/>
    <w:rsid w:val="00B17F7B"/>
    <w:rsid w:val="00B2000D"/>
    <w:rsid w:val="00B219E5"/>
    <w:rsid w:val="00B24514"/>
    <w:rsid w:val="00B26766"/>
    <w:rsid w:val="00B27AB6"/>
    <w:rsid w:val="00B27BAF"/>
    <w:rsid w:val="00B3594B"/>
    <w:rsid w:val="00B37F15"/>
    <w:rsid w:val="00B37F61"/>
    <w:rsid w:val="00B418C2"/>
    <w:rsid w:val="00B4443F"/>
    <w:rsid w:val="00B44955"/>
    <w:rsid w:val="00B45674"/>
    <w:rsid w:val="00B50265"/>
    <w:rsid w:val="00B54EAC"/>
    <w:rsid w:val="00B568C8"/>
    <w:rsid w:val="00B57218"/>
    <w:rsid w:val="00B629A7"/>
    <w:rsid w:val="00B63E09"/>
    <w:rsid w:val="00B6445B"/>
    <w:rsid w:val="00B64B5A"/>
    <w:rsid w:val="00B7154B"/>
    <w:rsid w:val="00B74EE1"/>
    <w:rsid w:val="00B76288"/>
    <w:rsid w:val="00B777E0"/>
    <w:rsid w:val="00B778BA"/>
    <w:rsid w:val="00B90B75"/>
    <w:rsid w:val="00B93871"/>
    <w:rsid w:val="00B938EA"/>
    <w:rsid w:val="00B93FBF"/>
    <w:rsid w:val="00B96E8A"/>
    <w:rsid w:val="00B973C0"/>
    <w:rsid w:val="00BB02B7"/>
    <w:rsid w:val="00BB208D"/>
    <w:rsid w:val="00BB2532"/>
    <w:rsid w:val="00BB2D0F"/>
    <w:rsid w:val="00BB3C76"/>
    <w:rsid w:val="00BB5BBC"/>
    <w:rsid w:val="00BC2091"/>
    <w:rsid w:val="00BC3698"/>
    <w:rsid w:val="00BC5AA9"/>
    <w:rsid w:val="00BC6006"/>
    <w:rsid w:val="00BD666C"/>
    <w:rsid w:val="00BE2215"/>
    <w:rsid w:val="00BE2A42"/>
    <w:rsid w:val="00BE6BE3"/>
    <w:rsid w:val="00BE6F36"/>
    <w:rsid w:val="00BE7B25"/>
    <w:rsid w:val="00BF100D"/>
    <w:rsid w:val="00BF2A45"/>
    <w:rsid w:val="00BF43C8"/>
    <w:rsid w:val="00BF521C"/>
    <w:rsid w:val="00BF54B2"/>
    <w:rsid w:val="00BF54C6"/>
    <w:rsid w:val="00C01EF4"/>
    <w:rsid w:val="00C026A5"/>
    <w:rsid w:val="00C03D69"/>
    <w:rsid w:val="00C04FE5"/>
    <w:rsid w:val="00C059D2"/>
    <w:rsid w:val="00C0652A"/>
    <w:rsid w:val="00C06E06"/>
    <w:rsid w:val="00C07F0F"/>
    <w:rsid w:val="00C14FD1"/>
    <w:rsid w:val="00C158DC"/>
    <w:rsid w:val="00C17DBF"/>
    <w:rsid w:val="00C20CF7"/>
    <w:rsid w:val="00C21291"/>
    <w:rsid w:val="00C236E3"/>
    <w:rsid w:val="00C26586"/>
    <w:rsid w:val="00C26B47"/>
    <w:rsid w:val="00C279AF"/>
    <w:rsid w:val="00C30497"/>
    <w:rsid w:val="00C30BAC"/>
    <w:rsid w:val="00C341BB"/>
    <w:rsid w:val="00C34FFA"/>
    <w:rsid w:val="00C47362"/>
    <w:rsid w:val="00C54994"/>
    <w:rsid w:val="00C54C22"/>
    <w:rsid w:val="00C557DE"/>
    <w:rsid w:val="00C5746B"/>
    <w:rsid w:val="00C57DC8"/>
    <w:rsid w:val="00C63043"/>
    <w:rsid w:val="00C677C9"/>
    <w:rsid w:val="00C67953"/>
    <w:rsid w:val="00C74B9F"/>
    <w:rsid w:val="00C7664A"/>
    <w:rsid w:val="00C76754"/>
    <w:rsid w:val="00C7682E"/>
    <w:rsid w:val="00C812C0"/>
    <w:rsid w:val="00C82617"/>
    <w:rsid w:val="00C866CE"/>
    <w:rsid w:val="00C8730F"/>
    <w:rsid w:val="00C91CDA"/>
    <w:rsid w:val="00C93931"/>
    <w:rsid w:val="00C93F6A"/>
    <w:rsid w:val="00CA3FD2"/>
    <w:rsid w:val="00CA7D29"/>
    <w:rsid w:val="00CA7FB5"/>
    <w:rsid w:val="00CB1478"/>
    <w:rsid w:val="00CB2FA6"/>
    <w:rsid w:val="00CC2862"/>
    <w:rsid w:val="00CD36AD"/>
    <w:rsid w:val="00CD6152"/>
    <w:rsid w:val="00CD75FC"/>
    <w:rsid w:val="00CE13CB"/>
    <w:rsid w:val="00CF4072"/>
    <w:rsid w:val="00CF4240"/>
    <w:rsid w:val="00D0063B"/>
    <w:rsid w:val="00D00D1D"/>
    <w:rsid w:val="00D00E27"/>
    <w:rsid w:val="00D03FD7"/>
    <w:rsid w:val="00D045F4"/>
    <w:rsid w:val="00D16764"/>
    <w:rsid w:val="00D2048C"/>
    <w:rsid w:val="00D21C50"/>
    <w:rsid w:val="00D21D48"/>
    <w:rsid w:val="00D26807"/>
    <w:rsid w:val="00D3367A"/>
    <w:rsid w:val="00D33A14"/>
    <w:rsid w:val="00D35690"/>
    <w:rsid w:val="00D435A2"/>
    <w:rsid w:val="00D44542"/>
    <w:rsid w:val="00D44CA2"/>
    <w:rsid w:val="00D46121"/>
    <w:rsid w:val="00D462F5"/>
    <w:rsid w:val="00D50A8D"/>
    <w:rsid w:val="00D5246E"/>
    <w:rsid w:val="00D5287B"/>
    <w:rsid w:val="00D52C09"/>
    <w:rsid w:val="00D53083"/>
    <w:rsid w:val="00D53636"/>
    <w:rsid w:val="00D54363"/>
    <w:rsid w:val="00D5722F"/>
    <w:rsid w:val="00D610F9"/>
    <w:rsid w:val="00D62A3F"/>
    <w:rsid w:val="00D63D3B"/>
    <w:rsid w:val="00D7174A"/>
    <w:rsid w:val="00D736E7"/>
    <w:rsid w:val="00D73FCB"/>
    <w:rsid w:val="00D854C3"/>
    <w:rsid w:val="00D9221F"/>
    <w:rsid w:val="00D92503"/>
    <w:rsid w:val="00D940D7"/>
    <w:rsid w:val="00D96765"/>
    <w:rsid w:val="00DA0A47"/>
    <w:rsid w:val="00DA139C"/>
    <w:rsid w:val="00DA1A1D"/>
    <w:rsid w:val="00DC0B69"/>
    <w:rsid w:val="00DC2E29"/>
    <w:rsid w:val="00DC53F8"/>
    <w:rsid w:val="00DC7226"/>
    <w:rsid w:val="00DD1C6C"/>
    <w:rsid w:val="00DD3557"/>
    <w:rsid w:val="00DD5EBC"/>
    <w:rsid w:val="00DE4F31"/>
    <w:rsid w:val="00DE5866"/>
    <w:rsid w:val="00DE74C7"/>
    <w:rsid w:val="00DE7724"/>
    <w:rsid w:val="00DF6DB1"/>
    <w:rsid w:val="00E00D3C"/>
    <w:rsid w:val="00E03A37"/>
    <w:rsid w:val="00E10919"/>
    <w:rsid w:val="00E1169C"/>
    <w:rsid w:val="00E17407"/>
    <w:rsid w:val="00E2110C"/>
    <w:rsid w:val="00E22191"/>
    <w:rsid w:val="00E23772"/>
    <w:rsid w:val="00E23924"/>
    <w:rsid w:val="00E25306"/>
    <w:rsid w:val="00E27542"/>
    <w:rsid w:val="00E4183C"/>
    <w:rsid w:val="00E47F85"/>
    <w:rsid w:val="00E50730"/>
    <w:rsid w:val="00E535CD"/>
    <w:rsid w:val="00E576CF"/>
    <w:rsid w:val="00E62815"/>
    <w:rsid w:val="00E67120"/>
    <w:rsid w:val="00E7213F"/>
    <w:rsid w:val="00E724D3"/>
    <w:rsid w:val="00E76502"/>
    <w:rsid w:val="00E772C3"/>
    <w:rsid w:val="00E82E68"/>
    <w:rsid w:val="00E84D7B"/>
    <w:rsid w:val="00E90D92"/>
    <w:rsid w:val="00E92778"/>
    <w:rsid w:val="00EA31BB"/>
    <w:rsid w:val="00EA4891"/>
    <w:rsid w:val="00EB3B19"/>
    <w:rsid w:val="00EC6ADB"/>
    <w:rsid w:val="00EC7D41"/>
    <w:rsid w:val="00ED2023"/>
    <w:rsid w:val="00ED4A44"/>
    <w:rsid w:val="00ED7BEA"/>
    <w:rsid w:val="00EE090D"/>
    <w:rsid w:val="00EE7D9B"/>
    <w:rsid w:val="00EF03C4"/>
    <w:rsid w:val="00EF6F64"/>
    <w:rsid w:val="00F00177"/>
    <w:rsid w:val="00F0120F"/>
    <w:rsid w:val="00F049EB"/>
    <w:rsid w:val="00F05DE3"/>
    <w:rsid w:val="00F11561"/>
    <w:rsid w:val="00F12CE6"/>
    <w:rsid w:val="00F1697E"/>
    <w:rsid w:val="00F17D2A"/>
    <w:rsid w:val="00F214C0"/>
    <w:rsid w:val="00F237FE"/>
    <w:rsid w:val="00F3183F"/>
    <w:rsid w:val="00F31965"/>
    <w:rsid w:val="00F335F9"/>
    <w:rsid w:val="00F33CAF"/>
    <w:rsid w:val="00F34A59"/>
    <w:rsid w:val="00F34F0A"/>
    <w:rsid w:val="00F3734B"/>
    <w:rsid w:val="00F40729"/>
    <w:rsid w:val="00F4076B"/>
    <w:rsid w:val="00F540D4"/>
    <w:rsid w:val="00F5710E"/>
    <w:rsid w:val="00F57F6C"/>
    <w:rsid w:val="00F63369"/>
    <w:rsid w:val="00F647C6"/>
    <w:rsid w:val="00F671F3"/>
    <w:rsid w:val="00F70743"/>
    <w:rsid w:val="00F72FF5"/>
    <w:rsid w:val="00F7576F"/>
    <w:rsid w:val="00F815B2"/>
    <w:rsid w:val="00F82B9C"/>
    <w:rsid w:val="00F862EA"/>
    <w:rsid w:val="00F87093"/>
    <w:rsid w:val="00F96AD0"/>
    <w:rsid w:val="00FA4EB7"/>
    <w:rsid w:val="00FA4FA8"/>
    <w:rsid w:val="00FA5B7F"/>
    <w:rsid w:val="00FB0777"/>
    <w:rsid w:val="00FB0A48"/>
    <w:rsid w:val="00FB2472"/>
    <w:rsid w:val="00FB2EEE"/>
    <w:rsid w:val="00FB67F4"/>
    <w:rsid w:val="00FC263E"/>
    <w:rsid w:val="00FC5282"/>
    <w:rsid w:val="00FC608F"/>
    <w:rsid w:val="00FC636C"/>
    <w:rsid w:val="00FC6C42"/>
    <w:rsid w:val="00FD4DFC"/>
    <w:rsid w:val="00FD5EDE"/>
    <w:rsid w:val="00FD7252"/>
    <w:rsid w:val="00FF0871"/>
    <w:rsid w:val="064A9155"/>
    <w:rsid w:val="0749A56A"/>
    <w:rsid w:val="096A96D6"/>
    <w:rsid w:val="0BF72A3A"/>
    <w:rsid w:val="116DC2AB"/>
    <w:rsid w:val="1B131E69"/>
    <w:rsid w:val="200F521A"/>
    <w:rsid w:val="22D2D35C"/>
    <w:rsid w:val="25E676ED"/>
    <w:rsid w:val="272D2CD1"/>
    <w:rsid w:val="27BD0EFC"/>
    <w:rsid w:val="297941A3"/>
    <w:rsid w:val="34302958"/>
    <w:rsid w:val="347DA44A"/>
    <w:rsid w:val="35A8224A"/>
    <w:rsid w:val="38A80BE0"/>
    <w:rsid w:val="40B58542"/>
    <w:rsid w:val="42873CCA"/>
    <w:rsid w:val="42A600E1"/>
    <w:rsid w:val="44578C16"/>
    <w:rsid w:val="4BAA104F"/>
    <w:rsid w:val="4BB86161"/>
    <w:rsid w:val="5955F9BD"/>
    <w:rsid w:val="5E5588E9"/>
    <w:rsid w:val="5FD2DFAB"/>
    <w:rsid w:val="63E51B03"/>
    <w:rsid w:val="64C3F08D"/>
    <w:rsid w:val="6726DDF7"/>
    <w:rsid w:val="6B7BDA97"/>
    <w:rsid w:val="6DD3ECB2"/>
    <w:rsid w:val="6EFA05DF"/>
    <w:rsid w:val="6F91A2BF"/>
    <w:rsid w:val="74C76113"/>
    <w:rsid w:val="761F9B4B"/>
    <w:rsid w:val="77069530"/>
    <w:rsid w:val="78F18F5D"/>
    <w:rsid w:val="7A323C45"/>
    <w:rsid w:val="7A896A2A"/>
    <w:rsid w:val="7B910242"/>
    <w:rsid w:val="7EC83E5D"/>
    <w:rsid w:val="7F1D4133"/>
    <w:rsid w:val="7FE22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07F0E"/>
  <w15:chartTrackingRefBased/>
  <w15:docId w15:val="{3195B21A-E578-4261-B7F0-0FF7DE82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66C"/>
    <w:pPr>
      <w:spacing w:after="0" w:line="280" w:lineRule="atLeast"/>
    </w:pPr>
    <w:rPr>
      <w:rFonts w:ascii="Times New Roman" w:eastAsia="Times New Roman" w:hAnsi="Times New Roman" w:cs="Times New Roman"/>
      <w:szCs w:val="20"/>
      <w:lang w:eastAsia="zh-CN"/>
    </w:rPr>
  </w:style>
  <w:style w:type="paragraph" w:styleId="Heading1">
    <w:name w:val="heading 1"/>
    <w:basedOn w:val="Normal"/>
    <w:next w:val="Normal"/>
    <w:link w:val="Heading1Char"/>
    <w:qFormat/>
    <w:rsid w:val="00BD666C"/>
    <w:pPr>
      <w:keepNext/>
      <w:numPr>
        <w:numId w:val="1"/>
      </w:numPr>
      <w:spacing w:after="560"/>
      <w:outlineLvl w:val="0"/>
    </w:pPr>
    <w:rPr>
      <w:sz w:val="28"/>
    </w:rPr>
  </w:style>
  <w:style w:type="paragraph" w:styleId="Heading2">
    <w:name w:val="heading 2"/>
    <w:basedOn w:val="Heading1"/>
    <w:next w:val="Normal"/>
    <w:link w:val="Heading2Char"/>
    <w:qFormat/>
    <w:rsid w:val="00BD666C"/>
    <w:pPr>
      <w:numPr>
        <w:ilvl w:val="1"/>
      </w:numPr>
      <w:spacing w:after="280"/>
      <w:outlineLvl w:val="1"/>
    </w:pPr>
    <w:rPr>
      <w:b/>
      <w:sz w:val="22"/>
    </w:rPr>
  </w:style>
  <w:style w:type="paragraph" w:styleId="Heading3">
    <w:name w:val="heading 3"/>
    <w:basedOn w:val="Heading2"/>
    <w:next w:val="Normal"/>
    <w:link w:val="Heading3Char"/>
    <w:qFormat/>
    <w:rsid w:val="00BD666C"/>
    <w:pPr>
      <w:numPr>
        <w:ilvl w:val="2"/>
      </w:numPr>
      <w:spacing w:after="0"/>
      <w:outlineLvl w:val="2"/>
    </w:pPr>
    <w:rPr>
      <w:b w:val="0"/>
      <w:i/>
    </w:rPr>
  </w:style>
  <w:style w:type="paragraph" w:styleId="Heading4">
    <w:name w:val="heading 4"/>
    <w:basedOn w:val="Heading3"/>
    <w:next w:val="Normal"/>
    <w:link w:val="Heading4Char"/>
    <w:qFormat/>
    <w:rsid w:val="00BD666C"/>
    <w:pPr>
      <w:numPr>
        <w:ilvl w:val="3"/>
      </w:numPr>
      <w:outlineLvl w:val="3"/>
    </w:pPr>
  </w:style>
  <w:style w:type="paragraph" w:styleId="Heading5">
    <w:name w:val="heading 5"/>
    <w:basedOn w:val="Normal"/>
    <w:next w:val="Normal"/>
    <w:link w:val="Heading5Char"/>
    <w:qFormat/>
    <w:rsid w:val="00BD666C"/>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BD666C"/>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BD666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BD666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BD666C"/>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666C"/>
    <w:rPr>
      <w:rFonts w:ascii="Times New Roman" w:eastAsia="Times New Roman" w:hAnsi="Times New Roman" w:cs="Times New Roman"/>
      <w:sz w:val="28"/>
      <w:szCs w:val="20"/>
      <w:lang w:eastAsia="zh-CN"/>
    </w:rPr>
  </w:style>
  <w:style w:type="character" w:customStyle="1" w:styleId="Heading2Char">
    <w:name w:val="Heading 2 Char"/>
    <w:basedOn w:val="DefaultParagraphFont"/>
    <w:link w:val="Heading2"/>
    <w:rsid w:val="00BD666C"/>
    <w:rPr>
      <w:rFonts w:ascii="Times New Roman" w:eastAsia="Times New Roman" w:hAnsi="Times New Roman" w:cs="Times New Roman"/>
      <w:b/>
      <w:szCs w:val="20"/>
      <w:lang w:eastAsia="zh-CN"/>
    </w:rPr>
  </w:style>
  <w:style w:type="character" w:customStyle="1" w:styleId="Heading3Char">
    <w:name w:val="Heading 3 Char"/>
    <w:basedOn w:val="DefaultParagraphFont"/>
    <w:link w:val="Heading3"/>
    <w:rsid w:val="00BD666C"/>
    <w:rPr>
      <w:rFonts w:ascii="Times New Roman" w:eastAsia="Times New Roman" w:hAnsi="Times New Roman" w:cs="Times New Roman"/>
      <w:i/>
      <w:szCs w:val="20"/>
      <w:lang w:eastAsia="zh-CN"/>
    </w:rPr>
  </w:style>
  <w:style w:type="character" w:customStyle="1" w:styleId="Heading4Char">
    <w:name w:val="Heading 4 Char"/>
    <w:basedOn w:val="DefaultParagraphFont"/>
    <w:link w:val="Heading4"/>
    <w:rsid w:val="00BD666C"/>
    <w:rPr>
      <w:rFonts w:ascii="Times New Roman" w:eastAsia="Times New Roman" w:hAnsi="Times New Roman" w:cs="Times New Roman"/>
      <w:i/>
      <w:szCs w:val="20"/>
      <w:lang w:eastAsia="zh-CN"/>
    </w:rPr>
  </w:style>
  <w:style w:type="character" w:customStyle="1" w:styleId="Heading5Char">
    <w:name w:val="Heading 5 Char"/>
    <w:basedOn w:val="DefaultParagraphFont"/>
    <w:link w:val="Heading5"/>
    <w:rsid w:val="00BD666C"/>
    <w:rPr>
      <w:rFonts w:ascii="Arial" w:eastAsia="Times New Roman" w:hAnsi="Arial" w:cs="Times New Roman"/>
      <w:szCs w:val="20"/>
      <w:lang w:eastAsia="zh-CN"/>
    </w:rPr>
  </w:style>
  <w:style w:type="character" w:customStyle="1" w:styleId="Heading6Char">
    <w:name w:val="Heading 6 Char"/>
    <w:basedOn w:val="DefaultParagraphFont"/>
    <w:link w:val="Heading6"/>
    <w:rsid w:val="00BD666C"/>
    <w:rPr>
      <w:rFonts w:ascii="Arial" w:eastAsia="Times New Roman" w:hAnsi="Arial" w:cs="Times New Roman"/>
      <w:i/>
      <w:szCs w:val="20"/>
      <w:lang w:eastAsia="zh-CN"/>
    </w:rPr>
  </w:style>
  <w:style w:type="character" w:customStyle="1" w:styleId="Heading7Char">
    <w:name w:val="Heading 7 Char"/>
    <w:basedOn w:val="DefaultParagraphFont"/>
    <w:link w:val="Heading7"/>
    <w:rsid w:val="00BD666C"/>
    <w:rPr>
      <w:rFonts w:ascii="Arial" w:eastAsia="Times New Roman" w:hAnsi="Arial" w:cs="Times New Roman"/>
      <w:sz w:val="20"/>
      <w:szCs w:val="20"/>
      <w:lang w:eastAsia="zh-CN"/>
    </w:rPr>
  </w:style>
  <w:style w:type="character" w:customStyle="1" w:styleId="Heading8Char">
    <w:name w:val="Heading 8 Char"/>
    <w:basedOn w:val="DefaultParagraphFont"/>
    <w:link w:val="Heading8"/>
    <w:rsid w:val="00BD666C"/>
    <w:rPr>
      <w:rFonts w:ascii="Arial" w:eastAsia="Times New Roman" w:hAnsi="Arial" w:cs="Times New Roman"/>
      <w:i/>
      <w:sz w:val="20"/>
      <w:szCs w:val="20"/>
      <w:lang w:eastAsia="zh-CN"/>
    </w:rPr>
  </w:style>
  <w:style w:type="character" w:customStyle="1" w:styleId="Heading9Char">
    <w:name w:val="Heading 9 Char"/>
    <w:basedOn w:val="DefaultParagraphFont"/>
    <w:link w:val="Heading9"/>
    <w:rsid w:val="00BD666C"/>
    <w:rPr>
      <w:rFonts w:ascii="Arial" w:eastAsia="Times New Roman" w:hAnsi="Arial" w:cs="Times New Roman"/>
      <w:i/>
      <w:sz w:val="18"/>
      <w:szCs w:val="20"/>
      <w:lang w:eastAsia="zh-CN"/>
    </w:rPr>
  </w:style>
  <w:style w:type="character" w:styleId="PageNumber">
    <w:name w:val="page number"/>
    <w:rsid w:val="00BD666C"/>
    <w:rPr>
      <w:rFonts w:ascii="Univers" w:hAnsi="Univers"/>
      <w:color w:val="auto"/>
      <w:spacing w:val="0"/>
      <w:kern w:val="0"/>
      <w:position w:val="0"/>
      <w:sz w:val="14"/>
      <w:u w:val="none"/>
      <w:vertAlign w:val="baseline"/>
    </w:rPr>
  </w:style>
  <w:style w:type="paragraph" w:styleId="Footer">
    <w:name w:val="footer"/>
    <w:basedOn w:val="Normal"/>
    <w:link w:val="FooterChar"/>
    <w:rsid w:val="00BD666C"/>
    <w:pPr>
      <w:tabs>
        <w:tab w:val="center" w:pos="4252"/>
        <w:tab w:val="right" w:pos="8504"/>
      </w:tabs>
      <w:spacing w:after="360" w:line="240" w:lineRule="exact"/>
      <w:ind w:left="3969"/>
    </w:pPr>
    <w:rPr>
      <w:rFonts w:ascii="Univers" w:hAnsi="Univers"/>
      <w:sz w:val="14"/>
    </w:rPr>
  </w:style>
  <w:style w:type="character" w:customStyle="1" w:styleId="FooterChar">
    <w:name w:val="Footer Char"/>
    <w:basedOn w:val="DefaultParagraphFont"/>
    <w:link w:val="Footer"/>
    <w:rsid w:val="00BD666C"/>
    <w:rPr>
      <w:rFonts w:ascii="Univers" w:eastAsia="Times New Roman" w:hAnsi="Univers" w:cs="Times New Roman"/>
      <w:sz w:val="14"/>
      <w:szCs w:val="20"/>
      <w:lang w:eastAsia="zh-CN"/>
    </w:rPr>
  </w:style>
  <w:style w:type="character" w:styleId="Hyperlink">
    <w:name w:val="Hyperlink"/>
    <w:rsid w:val="00BD666C"/>
    <w:rPr>
      <w:color w:val="0000FF"/>
      <w:u w:val="single"/>
    </w:rPr>
  </w:style>
  <w:style w:type="paragraph" w:styleId="FootnoteText">
    <w:name w:val="footnote text"/>
    <w:basedOn w:val="Normal"/>
    <w:link w:val="FootnoteTextChar"/>
    <w:semiHidden/>
    <w:rsid w:val="00BD666C"/>
    <w:rPr>
      <w:sz w:val="20"/>
    </w:rPr>
  </w:style>
  <w:style w:type="character" w:customStyle="1" w:styleId="FootnoteTextChar">
    <w:name w:val="Footnote Text Char"/>
    <w:basedOn w:val="DefaultParagraphFont"/>
    <w:link w:val="FootnoteText"/>
    <w:semiHidden/>
    <w:rsid w:val="00BD666C"/>
    <w:rPr>
      <w:rFonts w:ascii="Times New Roman" w:eastAsia="Times New Roman" w:hAnsi="Times New Roman" w:cs="Times New Roman"/>
      <w:sz w:val="20"/>
      <w:szCs w:val="20"/>
      <w:lang w:eastAsia="zh-CN"/>
    </w:rPr>
  </w:style>
  <w:style w:type="character" w:styleId="FootnoteReference">
    <w:name w:val="footnote reference"/>
    <w:semiHidden/>
    <w:rsid w:val="00BD666C"/>
    <w:rPr>
      <w:vertAlign w:val="superscript"/>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BD666C"/>
    <w:pPr>
      <w:ind w:left="720"/>
    </w:pPr>
  </w:style>
  <w:style w:type="paragraph" w:styleId="Header">
    <w:name w:val="header"/>
    <w:basedOn w:val="Normal"/>
    <w:link w:val="HeaderChar"/>
    <w:uiPriority w:val="99"/>
    <w:unhideWhenUsed/>
    <w:rsid w:val="00BD666C"/>
    <w:pPr>
      <w:tabs>
        <w:tab w:val="center" w:pos="4513"/>
        <w:tab w:val="right" w:pos="9026"/>
      </w:tabs>
      <w:spacing w:line="240" w:lineRule="auto"/>
    </w:pPr>
  </w:style>
  <w:style w:type="character" w:customStyle="1" w:styleId="HeaderChar">
    <w:name w:val="Header Char"/>
    <w:basedOn w:val="DefaultParagraphFont"/>
    <w:link w:val="Header"/>
    <w:uiPriority w:val="99"/>
    <w:rsid w:val="00BD666C"/>
    <w:rPr>
      <w:rFonts w:ascii="Times New Roman" w:eastAsia="Times New Roman" w:hAnsi="Times New Roman" w:cs="Times New Roman"/>
      <w:szCs w:val="20"/>
      <w:lang w:eastAsia="zh-CN"/>
    </w:rPr>
  </w:style>
  <w:style w:type="character" w:styleId="CommentReference">
    <w:name w:val="annotation reference"/>
    <w:semiHidden/>
    <w:rsid w:val="00BD666C"/>
    <w:rPr>
      <w:sz w:val="16"/>
      <w:szCs w:val="16"/>
    </w:rPr>
  </w:style>
  <w:style w:type="paragraph" w:styleId="CommentText">
    <w:name w:val="annotation text"/>
    <w:basedOn w:val="Normal"/>
    <w:link w:val="CommentTextChar"/>
    <w:semiHidden/>
    <w:rsid w:val="00BD666C"/>
    <w:rPr>
      <w:sz w:val="20"/>
    </w:rPr>
  </w:style>
  <w:style w:type="character" w:customStyle="1" w:styleId="CommentTextChar">
    <w:name w:val="Comment Text Char"/>
    <w:basedOn w:val="DefaultParagraphFont"/>
    <w:link w:val="CommentText"/>
    <w:semiHidden/>
    <w:rsid w:val="00BD666C"/>
    <w:rPr>
      <w:rFonts w:ascii="Times New Roman" w:eastAsia="Times New Roman" w:hAnsi="Times New Roman" w:cs="Times New Roman"/>
      <w:sz w:val="20"/>
      <w:szCs w:val="20"/>
      <w:lang w:eastAsia="zh-CN"/>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BD666C"/>
    <w:rPr>
      <w:rFonts w:ascii="Times New Roman" w:eastAsia="Times New Roman" w:hAnsi="Times New Roman" w:cs="Times New Roman"/>
      <w:szCs w:val="20"/>
      <w:lang w:eastAsia="zh-CN"/>
    </w:rPr>
  </w:style>
  <w:style w:type="character" w:styleId="FollowedHyperlink">
    <w:name w:val="FollowedHyperlink"/>
    <w:basedOn w:val="DefaultParagraphFont"/>
    <w:uiPriority w:val="99"/>
    <w:semiHidden/>
    <w:unhideWhenUsed/>
    <w:rsid w:val="00BD666C"/>
    <w:rPr>
      <w:color w:val="954F72" w:themeColor="followedHyperlink"/>
      <w:u w:val="single"/>
    </w:rPr>
  </w:style>
  <w:style w:type="character" w:styleId="UnresolvedMention">
    <w:name w:val="Unresolved Mention"/>
    <w:basedOn w:val="DefaultParagraphFont"/>
    <w:uiPriority w:val="99"/>
    <w:semiHidden/>
    <w:unhideWhenUsed/>
    <w:rsid w:val="00E27542"/>
    <w:rPr>
      <w:color w:val="605E5C"/>
      <w:shd w:val="clear" w:color="auto" w:fill="E1DFDD"/>
    </w:rPr>
  </w:style>
  <w:style w:type="paragraph" w:styleId="Revision">
    <w:name w:val="Revision"/>
    <w:hidden/>
    <w:uiPriority w:val="99"/>
    <w:semiHidden/>
    <w:rsid w:val="00B03871"/>
    <w:pPr>
      <w:spacing w:after="0" w:line="240" w:lineRule="auto"/>
    </w:pPr>
    <w:rPr>
      <w:rFonts w:ascii="Times New Roman" w:eastAsia="Times New Roman" w:hAnsi="Times New Roman" w:cs="Times New Roman"/>
      <w:szCs w:val="20"/>
      <w:lang w:eastAsia="zh-CN"/>
    </w:rPr>
  </w:style>
  <w:style w:type="paragraph" w:styleId="CommentSubject">
    <w:name w:val="annotation subject"/>
    <w:basedOn w:val="CommentText"/>
    <w:next w:val="CommentText"/>
    <w:link w:val="CommentSubjectChar"/>
    <w:uiPriority w:val="99"/>
    <w:semiHidden/>
    <w:unhideWhenUsed/>
    <w:rsid w:val="00B03871"/>
    <w:pPr>
      <w:spacing w:line="240" w:lineRule="auto"/>
    </w:pPr>
    <w:rPr>
      <w:b/>
      <w:bCs/>
    </w:rPr>
  </w:style>
  <w:style w:type="character" w:customStyle="1" w:styleId="CommentSubjectChar">
    <w:name w:val="Comment Subject Char"/>
    <w:basedOn w:val="CommentTextChar"/>
    <w:link w:val="CommentSubject"/>
    <w:uiPriority w:val="99"/>
    <w:semiHidden/>
    <w:rsid w:val="00B03871"/>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00351">
      <w:bodyDiv w:val="1"/>
      <w:marLeft w:val="0"/>
      <w:marRight w:val="0"/>
      <w:marTop w:val="0"/>
      <w:marBottom w:val="0"/>
      <w:divBdr>
        <w:top w:val="none" w:sz="0" w:space="0" w:color="auto"/>
        <w:left w:val="none" w:sz="0" w:space="0" w:color="auto"/>
        <w:bottom w:val="none" w:sz="0" w:space="0" w:color="auto"/>
        <w:right w:val="none" w:sz="0" w:space="0" w:color="auto"/>
      </w:divBdr>
    </w:div>
    <w:div w:id="229770802">
      <w:bodyDiv w:val="1"/>
      <w:marLeft w:val="0"/>
      <w:marRight w:val="0"/>
      <w:marTop w:val="0"/>
      <w:marBottom w:val="0"/>
      <w:divBdr>
        <w:top w:val="none" w:sz="0" w:space="0" w:color="auto"/>
        <w:left w:val="none" w:sz="0" w:space="0" w:color="auto"/>
        <w:bottom w:val="none" w:sz="0" w:space="0" w:color="auto"/>
        <w:right w:val="none" w:sz="0" w:space="0" w:color="auto"/>
      </w:divBdr>
    </w:div>
    <w:div w:id="309480539">
      <w:bodyDiv w:val="1"/>
      <w:marLeft w:val="0"/>
      <w:marRight w:val="0"/>
      <w:marTop w:val="0"/>
      <w:marBottom w:val="0"/>
      <w:divBdr>
        <w:top w:val="none" w:sz="0" w:space="0" w:color="auto"/>
        <w:left w:val="none" w:sz="0" w:space="0" w:color="auto"/>
        <w:bottom w:val="none" w:sz="0" w:space="0" w:color="auto"/>
        <w:right w:val="none" w:sz="0" w:space="0" w:color="auto"/>
      </w:divBdr>
    </w:div>
    <w:div w:id="365062113">
      <w:bodyDiv w:val="1"/>
      <w:marLeft w:val="0"/>
      <w:marRight w:val="0"/>
      <w:marTop w:val="0"/>
      <w:marBottom w:val="0"/>
      <w:divBdr>
        <w:top w:val="none" w:sz="0" w:space="0" w:color="auto"/>
        <w:left w:val="none" w:sz="0" w:space="0" w:color="auto"/>
        <w:bottom w:val="none" w:sz="0" w:space="0" w:color="auto"/>
        <w:right w:val="none" w:sz="0" w:space="0" w:color="auto"/>
      </w:divBdr>
    </w:div>
    <w:div w:id="646589358">
      <w:bodyDiv w:val="1"/>
      <w:marLeft w:val="0"/>
      <w:marRight w:val="0"/>
      <w:marTop w:val="0"/>
      <w:marBottom w:val="0"/>
      <w:divBdr>
        <w:top w:val="none" w:sz="0" w:space="0" w:color="auto"/>
        <w:left w:val="none" w:sz="0" w:space="0" w:color="auto"/>
        <w:bottom w:val="none" w:sz="0" w:space="0" w:color="auto"/>
        <w:right w:val="none" w:sz="0" w:space="0" w:color="auto"/>
      </w:divBdr>
    </w:div>
    <w:div w:id="683898972">
      <w:bodyDiv w:val="1"/>
      <w:marLeft w:val="0"/>
      <w:marRight w:val="0"/>
      <w:marTop w:val="0"/>
      <w:marBottom w:val="0"/>
      <w:divBdr>
        <w:top w:val="none" w:sz="0" w:space="0" w:color="auto"/>
        <w:left w:val="none" w:sz="0" w:space="0" w:color="auto"/>
        <w:bottom w:val="none" w:sz="0" w:space="0" w:color="auto"/>
        <w:right w:val="none" w:sz="0" w:space="0" w:color="auto"/>
      </w:divBdr>
    </w:div>
    <w:div w:id="752239514">
      <w:bodyDiv w:val="1"/>
      <w:marLeft w:val="0"/>
      <w:marRight w:val="0"/>
      <w:marTop w:val="0"/>
      <w:marBottom w:val="0"/>
      <w:divBdr>
        <w:top w:val="none" w:sz="0" w:space="0" w:color="auto"/>
        <w:left w:val="none" w:sz="0" w:space="0" w:color="auto"/>
        <w:bottom w:val="none" w:sz="0" w:space="0" w:color="auto"/>
        <w:right w:val="none" w:sz="0" w:space="0" w:color="auto"/>
      </w:divBdr>
    </w:div>
    <w:div w:id="867763364">
      <w:bodyDiv w:val="1"/>
      <w:marLeft w:val="0"/>
      <w:marRight w:val="0"/>
      <w:marTop w:val="0"/>
      <w:marBottom w:val="0"/>
      <w:divBdr>
        <w:top w:val="none" w:sz="0" w:space="0" w:color="auto"/>
        <w:left w:val="none" w:sz="0" w:space="0" w:color="auto"/>
        <w:bottom w:val="none" w:sz="0" w:space="0" w:color="auto"/>
        <w:right w:val="none" w:sz="0" w:space="0" w:color="auto"/>
      </w:divBdr>
    </w:div>
    <w:div w:id="985163191">
      <w:bodyDiv w:val="1"/>
      <w:marLeft w:val="0"/>
      <w:marRight w:val="0"/>
      <w:marTop w:val="0"/>
      <w:marBottom w:val="0"/>
      <w:divBdr>
        <w:top w:val="none" w:sz="0" w:space="0" w:color="auto"/>
        <w:left w:val="none" w:sz="0" w:space="0" w:color="auto"/>
        <w:bottom w:val="none" w:sz="0" w:space="0" w:color="auto"/>
        <w:right w:val="none" w:sz="0" w:space="0" w:color="auto"/>
      </w:divBdr>
    </w:div>
    <w:div w:id="1410929771">
      <w:bodyDiv w:val="1"/>
      <w:marLeft w:val="0"/>
      <w:marRight w:val="0"/>
      <w:marTop w:val="0"/>
      <w:marBottom w:val="0"/>
      <w:divBdr>
        <w:top w:val="none" w:sz="0" w:space="0" w:color="auto"/>
        <w:left w:val="none" w:sz="0" w:space="0" w:color="auto"/>
        <w:bottom w:val="none" w:sz="0" w:space="0" w:color="auto"/>
        <w:right w:val="none" w:sz="0" w:space="0" w:color="auto"/>
      </w:divBdr>
    </w:div>
    <w:div w:id="1435783708">
      <w:bodyDiv w:val="1"/>
      <w:marLeft w:val="0"/>
      <w:marRight w:val="0"/>
      <w:marTop w:val="0"/>
      <w:marBottom w:val="0"/>
      <w:divBdr>
        <w:top w:val="none" w:sz="0" w:space="0" w:color="auto"/>
        <w:left w:val="none" w:sz="0" w:space="0" w:color="auto"/>
        <w:bottom w:val="none" w:sz="0" w:space="0" w:color="auto"/>
        <w:right w:val="none" w:sz="0" w:space="0" w:color="auto"/>
      </w:divBdr>
    </w:div>
    <w:div w:id="1672293943">
      <w:bodyDiv w:val="1"/>
      <w:marLeft w:val="0"/>
      <w:marRight w:val="0"/>
      <w:marTop w:val="0"/>
      <w:marBottom w:val="0"/>
      <w:divBdr>
        <w:top w:val="none" w:sz="0" w:space="0" w:color="auto"/>
        <w:left w:val="none" w:sz="0" w:space="0" w:color="auto"/>
        <w:bottom w:val="none" w:sz="0" w:space="0" w:color="auto"/>
        <w:right w:val="none" w:sz="0" w:space="0" w:color="auto"/>
      </w:divBdr>
    </w:div>
    <w:div w:id="1686516898">
      <w:bodyDiv w:val="1"/>
      <w:marLeft w:val="0"/>
      <w:marRight w:val="0"/>
      <w:marTop w:val="0"/>
      <w:marBottom w:val="0"/>
      <w:divBdr>
        <w:top w:val="none" w:sz="0" w:space="0" w:color="auto"/>
        <w:left w:val="none" w:sz="0" w:space="0" w:color="auto"/>
        <w:bottom w:val="none" w:sz="0" w:space="0" w:color="auto"/>
        <w:right w:val="none" w:sz="0" w:space="0" w:color="auto"/>
      </w:divBdr>
    </w:div>
    <w:div w:id="1743142650">
      <w:bodyDiv w:val="1"/>
      <w:marLeft w:val="0"/>
      <w:marRight w:val="0"/>
      <w:marTop w:val="0"/>
      <w:marBottom w:val="0"/>
      <w:divBdr>
        <w:top w:val="none" w:sz="0" w:space="0" w:color="auto"/>
        <w:left w:val="none" w:sz="0" w:space="0" w:color="auto"/>
        <w:bottom w:val="none" w:sz="0" w:space="0" w:color="auto"/>
        <w:right w:val="none" w:sz="0" w:space="0" w:color="auto"/>
      </w:divBdr>
    </w:div>
    <w:div w:id="1755972847">
      <w:bodyDiv w:val="1"/>
      <w:marLeft w:val="0"/>
      <w:marRight w:val="0"/>
      <w:marTop w:val="0"/>
      <w:marBottom w:val="0"/>
      <w:divBdr>
        <w:top w:val="none" w:sz="0" w:space="0" w:color="auto"/>
        <w:left w:val="none" w:sz="0" w:space="0" w:color="auto"/>
        <w:bottom w:val="none" w:sz="0" w:space="0" w:color="auto"/>
        <w:right w:val="none" w:sz="0" w:space="0" w:color="auto"/>
      </w:divBdr>
    </w:div>
    <w:div w:id="1863200606">
      <w:bodyDiv w:val="1"/>
      <w:marLeft w:val="0"/>
      <w:marRight w:val="0"/>
      <w:marTop w:val="0"/>
      <w:marBottom w:val="0"/>
      <w:divBdr>
        <w:top w:val="none" w:sz="0" w:space="0" w:color="auto"/>
        <w:left w:val="none" w:sz="0" w:space="0" w:color="auto"/>
        <w:bottom w:val="none" w:sz="0" w:space="0" w:color="auto"/>
        <w:right w:val="none" w:sz="0" w:space="0" w:color="auto"/>
      </w:divBdr>
      <w:divsChild>
        <w:div w:id="550195469">
          <w:marLeft w:val="0"/>
          <w:marRight w:val="0"/>
          <w:marTop w:val="0"/>
          <w:marBottom w:val="0"/>
          <w:divBdr>
            <w:top w:val="none" w:sz="0" w:space="0" w:color="auto"/>
            <w:left w:val="none" w:sz="0" w:space="0" w:color="auto"/>
            <w:bottom w:val="none" w:sz="0" w:space="0" w:color="auto"/>
            <w:right w:val="none" w:sz="0" w:space="0" w:color="auto"/>
          </w:divBdr>
        </w:div>
      </w:divsChild>
    </w:div>
    <w:div w:id="1988434200">
      <w:bodyDiv w:val="1"/>
      <w:marLeft w:val="0"/>
      <w:marRight w:val="0"/>
      <w:marTop w:val="0"/>
      <w:marBottom w:val="0"/>
      <w:divBdr>
        <w:top w:val="none" w:sz="0" w:space="0" w:color="auto"/>
        <w:left w:val="none" w:sz="0" w:space="0" w:color="auto"/>
        <w:bottom w:val="none" w:sz="0" w:space="0" w:color="auto"/>
        <w:right w:val="none" w:sz="0" w:space="0" w:color="auto"/>
      </w:divBdr>
      <w:divsChild>
        <w:div w:id="101649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NL/TXT/?uri=CELEX%3A52025DC0030&amp;qid=1738327392634"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topics/eu-competitiveness/draghi-report_en" TargetMode="External"/><Relationship Id="rId1"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4846</ap:Words>
  <ap:Characters>26655</ap:Characters>
  <ap:DocSecurity>0</ap:DocSecurity>
  <ap:Lines>222</ap:Lines>
  <ap:Paragraphs>62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31439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2025-03-05T13:22:00.0000000Z</lastPrinted>
  <dcterms:created xsi:type="dcterms:W3CDTF">2025-03-06T14:55:00.0000000Z</dcterms:created>
  <dcterms:modified xsi:type="dcterms:W3CDTF">2025-03-06T14:55:00.0000000Z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2025-02-13T10:13:07Z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50eafac0-8476-43fd-bbc9-20d0a2c3188c</vt:lpwstr>
  </property>
  <property fmtid="{D5CDD505-2E9C-101B-9397-08002B2CF9AE}" pid="9" name="MSIP_Label_6800fede-0e59-47ad-af95-4e63bbdb932d_ContentBits">
    <vt:lpwstr>0</vt:lpwstr>
  </property>
  <property fmtid="{D5CDD505-2E9C-101B-9397-08002B2CF9AE}" pid="10" name="_dlc_DocIdItemGuid">
    <vt:lpwstr>073239e4-30ee-405f-a4d1-e961cf7cf2d1</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