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2862" w:rsidR="005B299F" w:rsidP="005B299F" w:rsidRDefault="005B299F" w14:paraId="77B6175B" w14:textId="77777777">
      <w:pPr>
        <w:pStyle w:val="Agendapunt"/>
        <w:numPr>
          <w:ilvl w:val="0"/>
          <w:numId w:val="7"/>
        </w:numPr>
        <w:spacing w:line="240" w:lineRule="auto"/>
      </w:pPr>
      <w:bookmarkStart w:name="_GoBack" w:id="0"/>
      <w:bookmarkEnd w:id="0"/>
      <w:r w:rsidRPr="00672862">
        <w:t>Aanleiding</w:t>
      </w:r>
    </w:p>
    <w:p w:rsidRPr="00355336" w:rsidR="005B299F" w:rsidP="005B299F" w:rsidRDefault="005B299F" w14:paraId="1FAB077B" w14:textId="77777777">
      <w:pPr>
        <w:pStyle w:val="Agendapunt"/>
        <w:numPr>
          <w:ilvl w:val="0"/>
          <w:numId w:val="0"/>
        </w:numPr>
        <w:spacing w:line="240" w:lineRule="auto"/>
        <w:rPr>
          <w:rFonts w:eastAsiaTheme="minorHAnsi" w:cstheme="minorBidi"/>
          <w:b w:val="0"/>
          <w:bCs/>
          <w:color w:val="000000" w:themeColor="text1"/>
        </w:rPr>
      </w:pPr>
      <w:r w:rsidRPr="00355336">
        <w:rPr>
          <w:b w:val="0"/>
          <w:bCs/>
        </w:rPr>
        <w:t xml:space="preserve">Bij brief van 14 november jl. heeft u de Tweede Kamer toegezegd dat nog dit jaar een wetsvoorstel tot invoering van een tweestatusstelsel aan de Raad van State wordt voorgelegd. </w:t>
      </w:r>
    </w:p>
    <w:p w:rsidRPr="00672862" w:rsidR="005B299F" w:rsidP="005B299F" w:rsidRDefault="005B299F" w14:paraId="7F4AB240" w14:textId="77777777">
      <w:pPr>
        <w:spacing w:line="240" w:lineRule="auto"/>
      </w:pPr>
    </w:p>
    <w:p w:rsidRPr="00672862" w:rsidR="005B299F" w:rsidP="005B299F" w:rsidRDefault="005B299F" w14:paraId="6FA546C5" w14:textId="77777777">
      <w:pPr>
        <w:pStyle w:val="Agendapunt"/>
        <w:numPr>
          <w:ilvl w:val="0"/>
          <w:numId w:val="7"/>
        </w:numPr>
        <w:spacing w:line="240" w:lineRule="auto"/>
      </w:pPr>
      <w:r w:rsidRPr="00672862">
        <w:t>Geadviseerd besluit</w:t>
      </w:r>
    </w:p>
    <w:p w:rsidRPr="00D4672A" w:rsidR="005B299F" w:rsidP="005B299F" w:rsidRDefault="005B299F" w14:paraId="3298E7C8" w14:textId="564FC59C">
      <w:pPr>
        <w:pStyle w:val="Agendapunt"/>
        <w:numPr>
          <w:ilvl w:val="0"/>
          <w:numId w:val="11"/>
        </w:numPr>
        <w:spacing w:line="240" w:lineRule="auto"/>
        <w:rPr>
          <w:b w:val="0"/>
          <w:bCs/>
        </w:rPr>
      </w:pPr>
      <w:r w:rsidRPr="00012A2A">
        <w:rPr>
          <w:b w:val="0"/>
          <w:bCs/>
        </w:rPr>
        <w:t xml:space="preserve">Kennisnemen van het feit dat het wetsvoorstel zoals wij dit nu aan u aanbieden </w:t>
      </w:r>
      <w:r w:rsidRPr="00D95751">
        <w:rPr>
          <w:b w:val="0"/>
          <w:bCs/>
        </w:rPr>
        <w:t>gelet op de beschikbare tijd niet kon worden voltooid. Concreet betekent dit dat de wettelijke regeling niet volledig kon worden doordacht</w:t>
      </w:r>
      <w:r>
        <w:rPr>
          <w:b w:val="0"/>
          <w:bCs/>
        </w:rPr>
        <w:t xml:space="preserve">. Dat geldt in het bijzonder voor de uitvoeringsgevolgen van die regeling. Ook </w:t>
      </w:r>
      <w:r w:rsidRPr="00D95751">
        <w:rPr>
          <w:b w:val="0"/>
          <w:bCs/>
        </w:rPr>
        <w:t xml:space="preserve">de toelichting </w:t>
      </w:r>
      <w:r>
        <w:rPr>
          <w:b w:val="0"/>
          <w:bCs/>
        </w:rPr>
        <w:t xml:space="preserve">is daarom </w:t>
      </w:r>
      <w:r w:rsidRPr="00D95751">
        <w:rPr>
          <w:b w:val="0"/>
          <w:bCs/>
        </w:rPr>
        <w:t>op onderdelen niet volledig. Hierdoor zullen</w:t>
      </w:r>
      <w:r>
        <w:rPr>
          <w:b w:val="0"/>
          <w:bCs/>
        </w:rPr>
        <w:t xml:space="preserve"> </w:t>
      </w:r>
      <w:r w:rsidRPr="00D4672A">
        <w:rPr>
          <w:b w:val="0"/>
          <w:bCs/>
        </w:rPr>
        <w:t>de te consulteren partijen ook niet op alle punten kunnen overzien wat de gevolgen zijn;</w:t>
      </w:r>
    </w:p>
    <w:p w:rsidRPr="00D4672A" w:rsidR="005B299F" w:rsidP="005B299F" w:rsidRDefault="005B299F" w14:paraId="2F00B302" w14:textId="77777777">
      <w:pPr>
        <w:pStyle w:val="Agendapunt"/>
        <w:numPr>
          <w:ilvl w:val="0"/>
          <w:numId w:val="11"/>
        </w:numPr>
        <w:spacing w:line="240" w:lineRule="auto"/>
        <w:rPr>
          <w:b w:val="0"/>
          <w:bCs/>
        </w:rPr>
      </w:pPr>
      <w:r w:rsidRPr="00D4672A">
        <w:rPr>
          <w:b w:val="0"/>
          <w:bCs/>
        </w:rPr>
        <w:t>Kennisnemen van het feit dat, zoals eerder met u besproken, één week consultatie van enkele direct betrokken partijen naar verwachting onvoldoende is voor deze partijen om een goede inschatting te kunnen maken van de gevolgen van dit wetsvoorstel;</w:t>
      </w:r>
    </w:p>
    <w:p w:rsidRPr="00D4672A" w:rsidR="005B299F" w:rsidP="005B299F" w:rsidRDefault="005B299F" w14:paraId="48E014EA" w14:textId="77777777">
      <w:pPr>
        <w:pStyle w:val="Agendapunt"/>
        <w:numPr>
          <w:ilvl w:val="0"/>
          <w:numId w:val="11"/>
        </w:numPr>
        <w:spacing w:line="240" w:lineRule="auto"/>
        <w:rPr>
          <w:b w:val="0"/>
          <w:bCs/>
        </w:rPr>
      </w:pPr>
      <w:r w:rsidRPr="00D4672A">
        <w:rPr>
          <w:b w:val="0"/>
          <w:bCs/>
        </w:rPr>
        <w:t>Gelet op uw toezegging aan de Tweede Kamer en uw wens om deze gestand te doen, vragen wij uw akkoord om:</w:t>
      </w:r>
    </w:p>
    <w:p w:rsidRPr="00D4672A" w:rsidR="005B299F" w:rsidP="005B299F" w:rsidRDefault="005B299F" w14:paraId="578F2FE5" w14:textId="1FADF018">
      <w:pPr>
        <w:pStyle w:val="Agendapunt"/>
        <w:numPr>
          <w:ilvl w:val="1"/>
          <w:numId w:val="11"/>
        </w:numPr>
        <w:spacing w:line="240" w:lineRule="auto"/>
        <w:rPr>
          <w:b w:val="0"/>
          <w:bCs/>
        </w:rPr>
      </w:pPr>
      <w:r w:rsidRPr="00D4672A">
        <w:rPr>
          <w:b w:val="0"/>
          <w:bCs/>
        </w:rPr>
        <w:t xml:space="preserve">de bijgaande consultatieversie in de periode 25 november tot en met 2 december 2024 voor een reactie voor te leggen aan de IND, de Raad voor de </w:t>
      </w:r>
      <w:r>
        <w:rPr>
          <w:b w:val="0"/>
          <w:bCs/>
        </w:rPr>
        <w:t>r</w:t>
      </w:r>
      <w:r w:rsidRPr="00D4672A">
        <w:rPr>
          <w:b w:val="0"/>
          <w:bCs/>
        </w:rPr>
        <w:t>echtspraak</w:t>
      </w:r>
      <w:r w:rsidR="00506AE6">
        <w:rPr>
          <w:b w:val="0"/>
          <w:bCs/>
        </w:rPr>
        <w:t>, ABRvS</w:t>
      </w:r>
      <w:r w:rsidRPr="00D4672A">
        <w:rPr>
          <w:b w:val="0"/>
          <w:bCs/>
        </w:rPr>
        <w:t xml:space="preserve"> en de Nederlandse Orde van Advocaten; </w:t>
      </w:r>
    </w:p>
    <w:p w:rsidR="005B299F" w:rsidP="005B299F" w:rsidRDefault="005B299F" w14:paraId="2B2D4AB2" w14:textId="7506488E">
      <w:pPr>
        <w:pStyle w:val="Agendapunt"/>
        <w:numPr>
          <w:ilvl w:val="1"/>
          <w:numId w:val="11"/>
        </w:numPr>
        <w:spacing w:line="240" w:lineRule="auto"/>
        <w:rPr>
          <w:b w:val="0"/>
          <w:bCs/>
        </w:rPr>
      </w:pPr>
      <w:r w:rsidRPr="00D4672A">
        <w:rPr>
          <w:b w:val="0"/>
          <w:bCs/>
        </w:rPr>
        <w:t>in dezelfde week een wetgevingskwaliteitstoets te laten verrichten</w:t>
      </w:r>
      <w:r w:rsidR="00C50B44">
        <w:rPr>
          <w:b w:val="0"/>
          <w:bCs/>
        </w:rPr>
        <w:t>; en</w:t>
      </w:r>
    </w:p>
    <w:p w:rsidRPr="00355336" w:rsidR="005B299F" w:rsidP="005B299F" w:rsidRDefault="005B299F" w14:paraId="039754BA" w14:textId="625331BE">
      <w:pPr>
        <w:pStyle w:val="Lijstalinea"/>
        <w:numPr>
          <w:ilvl w:val="1"/>
          <w:numId w:val="11"/>
        </w:numPr>
      </w:pPr>
      <w:r>
        <w:t>in dezelfde periode af</w:t>
      </w:r>
      <w:r w:rsidR="0057164B">
        <w:t xml:space="preserve"> te stemmen</w:t>
      </w:r>
      <w:r>
        <w:t xml:space="preserve">, aan de hand van de </w:t>
      </w:r>
      <w:r w:rsidR="00AF225E">
        <w:t>financiële paragraaf</w:t>
      </w:r>
      <w:r>
        <w:t>, met de IRF over de financiële consequenties.</w:t>
      </w:r>
    </w:p>
    <w:p w:rsidRPr="00D4672A" w:rsidR="005B299F" w:rsidP="005B299F" w:rsidRDefault="005B299F" w14:paraId="5F9A10AD" w14:textId="77777777">
      <w:pPr>
        <w:spacing w:line="240" w:lineRule="auto"/>
      </w:pPr>
    </w:p>
    <w:p w:rsidRPr="00D4672A" w:rsidR="005B299F" w:rsidP="005B299F" w:rsidRDefault="005B299F" w14:paraId="347EA406" w14:textId="7CAFE109">
      <w:pPr>
        <w:spacing w:line="240" w:lineRule="auto"/>
      </w:pPr>
      <w:r w:rsidRPr="00D4672A">
        <w:t>Eerder spraken wij met u af dat adviezen die wij te laat ontvangen nog kunnen worden nagezonden aan de Raad van State.</w:t>
      </w:r>
      <w:r w:rsidRPr="00CF3F3B" w:rsidR="00CF3F3B">
        <w:t xml:space="preserve"> Bovendien zullen wij nagekomen adviezen van te consulteren partijen voor zover mogelijk op een later moment in het wetgevingstraject betrekken</w:t>
      </w:r>
      <w:r w:rsidR="00CF3F3B">
        <w:t>.</w:t>
      </w:r>
    </w:p>
    <w:p w:rsidRPr="00D4672A" w:rsidR="005B299F" w:rsidP="005B299F" w:rsidRDefault="005B299F" w14:paraId="79675896" w14:textId="77777777">
      <w:pPr>
        <w:pStyle w:val="broodtekst"/>
        <w:spacing w:line="240" w:lineRule="auto"/>
      </w:pPr>
    </w:p>
    <w:p w:rsidRPr="00672862" w:rsidR="005B299F" w:rsidP="005B299F" w:rsidRDefault="005B299F" w14:paraId="0CBE6D9A" w14:textId="77777777">
      <w:pPr>
        <w:pStyle w:val="Agendapunt"/>
        <w:numPr>
          <w:ilvl w:val="0"/>
          <w:numId w:val="7"/>
        </w:numPr>
        <w:spacing w:line="240" w:lineRule="auto"/>
      </w:pPr>
      <w:r w:rsidRPr="00672862">
        <w:t>Kernpunten</w:t>
      </w:r>
    </w:p>
    <w:p w:rsidRPr="00672862" w:rsidR="005B299F" w:rsidP="005B299F" w:rsidRDefault="005B299F" w14:paraId="007F7136" w14:textId="77777777">
      <w:pPr>
        <w:spacing w:line="240" w:lineRule="auto"/>
      </w:pPr>
      <w:r w:rsidRPr="00672862">
        <w:t xml:space="preserve">Conform het regeerprogramma </w:t>
      </w:r>
      <w:r>
        <w:t xml:space="preserve">en de brief van 25 oktober 2024 </w:t>
      </w:r>
      <w:r w:rsidRPr="00672862">
        <w:t>bevat dit wetsvoorstel:</w:t>
      </w:r>
    </w:p>
    <w:p w:rsidRPr="00672862" w:rsidR="005B299F" w:rsidP="005B299F" w:rsidRDefault="005B299F" w14:paraId="285F38E1" w14:textId="77777777">
      <w:pPr>
        <w:pStyle w:val="Lijstalinea"/>
        <w:numPr>
          <w:ilvl w:val="0"/>
          <w:numId w:val="9"/>
        </w:numPr>
        <w:spacing w:line="240" w:lineRule="auto"/>
      </w:pPr>
      <w:r w:rsidRPr="00672862">
        <w:t>de introductie van een tweestatusstelsel;</w:t>
      </w:r>
    </w:p>
    <w:p w:rsidRPr="00672862" w:rsidR="005B299F" w:rsidP="005B299F" w:rsidRDefault="005B299F" w14:paraId="6815DFE9" w14:textId="77777777">
      <w:pPr>
        <w:pStyle w:val="Lijstalinea"/>
        <w:numPr>
          <w:ilvl w:val="0"/>
          <w:numId w:val="9"/>
        </w:numPr>
        <w:spacing w:line="240" w:lineRule="auto"/>
      </w:pPr>
      <w:r w:rsidRPr="00672862">
        <w:t>strengere voorwaarden bij de nareis van gezinsleden van vreemdelingen met de subsidiairebeschermingsstatus: een wachttermijn</w:t>
      </w:r>
      <w:r>
        <w:t xml:space="preserve"> van twee jaar</w:t>
      </w:r>
      <w:r w:rsidRPr="00672862">
        <w:t>, inkomensvereiste, en het vereiste van huisvesting;</w:t>
      </w:r>
    </w:p>
    <w:p w:rsidRPr="00672862" w:rsidR="005B299F" w:rsidP="005B299F" w:rsidRDefault="005B299F" w14:paraId="47C8B6A1" w14:textId="2A3BD51F">
      <w:pPr>
        <w:pStyle w:val="Lijstalinea"/>
        <w:numPr>
          <w:ilvl w:val="0"/>
          <w:numId w:val="9"/>
        </w:numPr>
        <w:spacing w:line="240" w:lineRule="auto"/>
      </w:pPr>
      <w:r w:rsidRPr="00672862">
        <w:t xml:space="preserve">Het schrappen van de mogelijkheid tot nareis </w:t>
      </w:r>
      <w:r>
        <w:t>v</w:t>
      </w:r>
      <w:r w:rsidRPr="00672862">
        <w:t>an meerderjarige</w:t>
      </w:r>
      <w:r>
        <w:t xml:space="preserve"> kinderen, ongehuwde partners en pleegkinderen</w:t>
      </w:r>
      <w:r w:rsidRPr="00672862">
        <w:t>.</w:t>
      </w:r>
    </w:p>
    <w:p w:rsidRPr="00672862" w:rsidR="005B299F" w:rsidP="005B299F" w:rsidRDefault="005B299F" w14:paraId="7A1329A2" w14:textId="77777777">
      <w:pPr>
        <w:pStyle w:val="Agendapunt"/>
        <w:numPr>
          <w:ilvl w:val="0"/>
          <w:numId w:val="0"/>
        </w:numPr>
        <w:spacing w:line="240" w:lineRule="auto"/>
      </w:pPr>
    </w:p>
    <w:p w:rsidRPr="006B7270" w:rsidR="005B299F" w:rsidP="005B299F" w:rsidRDefault="005B299F" w14:paraId="4C312250" w14:textId="5AABA5AC">
      <w:pPr>
        <w:spacing w:line="240" w:lineRule="auto"/>
        <w:rPr>
          <w:rFonts w:eastAsiaTheme="minorHAnsi" w:cstheme="minorBidi"/>
          <w:color w:val="000000" w:themeColor="text1"/>
        </w:rPr>
      </w:pPr>
      <w:r>
        <w:rPr>
          <w:rFonts w:eastAsiaTheme="minorHAnsi" w:cstheme="minorBidi"/>
          <w:color w:val="000000" w:themeColor="text1"/>
        </w:rPr>
        <w:t xml:space="preserve">Op dit moment zijn </w:t>
      </w:r>
      <w:r w:rsidRPr="003426CF">
        <w:rPr>
          <w:rFonts w:eastAsiaTheme="minorHAnsi" w:cstheme="minorBidi"/>
          <w:color w:val="000000" w:themeColor="text1"/>
          <w:u w:val="single"/>
        </w:rPr>
        <w:t>niet alle beleidsmatige en juridische aspecten van het voorstel in beeld</w:t>
      </w:r>
      <w:r>
        <w:rPr>
          <w:rFonts w:eastAsiaTheme="minorHAnsi" w:cstheme="minorBidi"/>
          <w:color w:val="000000" w:themeColor="text1"/>
        </w:rPr>
        <w:t xml:space="preserve">. </w:t>
      </w:r>
      <w:r>
        <w:t xml:space="preserve">Dat geldt in het bijzonder voor de uitvoeringsgevolgen. U ontvangt het </w:t>
      </w:r>
      <w:r>
        <w:lastRenderedPageBreak/>
        <w:t xml:space="preserve">wetsvoorstel dus zoals dat tot op moment van verzending kon worden uitgewerkt. Die uitwerking is niet voltooid. Verder weten we nog niet van alle maatregelen wat precies het effect zal zijn. </w:t>
      </w:r>
      <w:bookmarkStart w:name="_Hlk183090072" w:id="1"/>
      <w:r>
        <w:t>Uit de (korte) consultatie zal hier aanvulling op komen.</w:t>
      </w:r>
      <w:bookmarkEnd w:id="1"/>
      <w:r>
        <w:t xml:space="preserve"> </w:t>
      </w:r>
      <w:r>
        <w:rPr>
          <w:rFonts w:eastAsiaTheme="minorHAnsi" w:cstheme="minorBidi"/>
          <w:color w:val="000000" w:themeColor="text1"/>
        </w:rPr>
        <w:t xml:space="preserve">Ook heeft geen interdepartementale afstemming kunnen plaatsvinden, waardoor </w:t>
      </w:r>
      <w:r w:rsidR="00AF225E">
        <w:rPr>
          <w:rFonts w:eastAsiaTheme="minorHAnsi" w:cstheme="minorBidi"/>
          <w:color w:val="000000" w:themeColor="text1"/>
        </w:rPr>
        <w:t xml:space="preserve">onder meer niet is te overzien of eventuele wetten </w:t>
      </w:r>
      <w:r>
        <w:rPr>
          <w:rFonts w:eastAsiaTheme="minorHAnsi" w:cstheme="minorBidi"/>
          <w:color w:val="000000" w:themeColor="text1"/>
        </w:rPr>
        <w:t>die onder andere ministeries valle</w:t>
      </w:r>
      <w:r w:rsidR="00AF225E">
        <w:rPr>
          <w:rFonts w:eastAsiaTheme="minorHAnsi" w:cstheme="minorBidi"/>
          <w:color w:val="000000" w:themeColor="text1"/>
        </w:rPr>
        <w:t>n moeten worden aangepast</w:t>
      </w:r>
      <w:r>
        <w:rPr>
          <w:rFonts w:eastAsiaTheme="minorHAnsi" w:cstheme="minorBidi"/>
          <w:color w:val="000000" w:themeColor="text1"/>
        </w:rPr>
        <w:t xml:space="preserve">. De toelichting is op onderdelen summier, wat tot extra vragen of kritiek van de Raad van State aanleiding kan geven. </w:t>
      </w:r>
      <w:r>
        <w:t xml:space="preserve">Dit alles zal bij gelegenheid van het verwerken van het advies van de Raad van State (het nader rapport) moeten worden hersteld. </w:t>
      </w:r>
    </w:p>
    <w:p w:rsidR="005B299F" w:rsidP="005B299F" w:rsidRDefault="005B299F" w14:paraId="13FE37A6" w14:textId="77777777">
      <w:pPr>
        <w:spacing w:line="240" w:lineRule="auto"/>
      </w:pPr>
    </w:p>
    <w:p w:rsidR="005B299F" w:rsidP="005B299F" w:rsidRDefault="005B299F" w14:paraId="1AA993F4" w14:textId="22F21B53">
      <w:pPr>
        <w:spacing w:line="240" w:lineRule="auto"/>
      </w:pPr>
      <w:r w:rsidRPr="00672862">
        <w:t xml:space="preserve">U heeft aangegeven dit wetsvoorstel los van het wetsvoorstel tot uitvoering van het </w:t>
      </w:r>
      <w:bookmarkStart w:name="_Hlk182936405" w:id="2"/>
      <w:r>
        <w:t>Asiel- en Migratiepact</w:t>
      </w:r>
      <w:bookmarkEnd w:id="2"/>
      <w:r w:rsidRPr="00672862">
        <w:t xml:space="preserve"> in procedure te willen brengen. Opgemerkt wordt dat het </w:t>
      </w:r>
      <w:r>
        <w:t>pact</w:t>
      </w:r>
      <w:r w:rsidRPr="00672862">
        <w:t xml:space="preserve"> eveneens noopt tot de introductie van een tweestatusstelsel. Het </w:t>
      </w:r>
      <w:r>
        <w:t>Asiel- en Migratiepact</w:t>
      </w:r>
      <w:r w:rsidRPr="00672862">
        <w:t xml:space="preserve"> treedt op 1 juli 2026 in werking. Dat betekent dat</w:t>
      </w:r>
      <w:r>
        <w:t xml:space="preserve"> </w:t>
      </w:r>
      <w:r w:rsidRPr="00672862">
        <w:t xml:space="preserve">de regels uit dit wetsvoorstel naar verwachting een beperkte tijd zullen gelden, en op 1 juli 2026 zullen worden ‘overschreven’ door het </w:t>
      </w:r>
      <w:r>
        <w:t>Asiel- en Migratiepact</w:t>
      </w:r>
      <w:r w:rsidRPr="00672862">
        <w:t>.</w:t>
      </w:r>
      <w:r>
        <w:t xml:space="preserve"> De IND ziet graag één verandermoment om zich zo goed als mogelijk te kunnen voorbereiden op alle aanpassing die er aan gaan komen, zeker ook in het licht van de nog steeds oplopende voorraden.  </w:t>
      </w:r>
    </w:p>
    <w:p w:rsidRPr="00672862" w:rsidR="005B299F" w:rsidP="005B299F" w:rsidRDefault="005B299F" w14:paraId="769DB767" w14:textId="77777777">
      <w:pPr>
        <w:spacing w:line="240" w:lineRule="auto"/>
      </w:pPr>
    </w:p>
    <w:p w:rsidRPr="00672862" w:rsidR="005B299F" w:rsidP="005B299F" w:rsidRDefault="005B299F" w14:paraId="1B91DA5D" w14:textId="77777777">
      <w:pPr>
        <w:pStyle w:val="Agendapunt"/>
        <w:numPr>
          <w:ilvl w:val="0"/>
          <w:numId w:val="7"/>
        </w:numPr>
        <w:spacing w:line="240" w:lineRule="auto"/>
      </w:pPr>
      <w:r w:rsidRPr="00672862">
        <w:t>Toelichting</w:t>
      </w:r>
    </w:p>
    <w:p w:rsidRPr="00672862" w:rsidR="005B299F" w:rsidP="005B299F" w:rsidRDefault="005B299F" w14:paraId="4572E3A6" w14:textId="77777777">
      <w:pPr>
        <w:spacing w:line="240" w:lineRule="auto"/>
      </w:pPr>
    </w:p>
    <w:p w:rsidRPr="00672862" w:rsidR="005B299F" w:rsidP="005B299F" w:rsidRDefault="005B299F" w14:paraId="6394242E" w14:textId="77777777">
      <w:pPr>
        <w:spacing w:line="240" w:lineRule="auto"/>
        <w:rPr>
          <w:u w:val="single"/>
        </w:rPr>
      </w:pPr>
      <w:r w:rsidRPr="00672862">
        <w:rPr>
          <w:u w:val="single"/>
        </w:rPr>
        <w:t>4.1</w:t>
      </w:r>
      <w:r w:rsidRPr="00672862">
        <w:rPr>
          <w:u w:val="single"/>
        </w:rPr>
        <w:tab/>
        <w:t>Introductie tweestatusstelsel</w:t>
      </w:r>
    </w:p>
    <w:p w:rsidR="005B299F" w:rsidP="005B299F" w:rsidRDefault="005B299F" w14:paraId="453CE07D" w14:textId="77777777">
      <w:pPr>
        <w:spacing w:line="240" w:lineRule="auto"/>
      </w:pPr>
      <w:r w:rsidRPr="00672862">
        <w:rPr>
          <w:color w:val="auto"/>
        </w:rPr>
        <w:t xml:space="preserve">Dit wetsvoorstel geeft uitvoering aan het regeerprogramma, en introduceert daarom een tweestatusstelsel. Dat betekent dat aan een verdragsvluchteling een verblijfsvergunning asiel voor bepaalde tijd </w:t>
      </w:r>
      <w:r>
        <w:rPr>
          <w:color w:val="auto"/>
        </w:rPr>
        <w:t xml:space="preserve">met andere rechtsgevolgen </w:t>
      </w:r>
      <w:r w:rsidRPr="00672862">
        <w:rPr>
          <w:color w:val="auto"/>
        </w:rPr>
        <w:t xml:space="preserve">wordt verleend dan aan een vreemdeling met de subsidiairebeschermingsstatus. Ter motivering van deze maatregel is opgemerkt dat deze een noodzakelijk onderdeel is van het voorgestane restrictieve migratiebeleid, om de asielinstroom te reguleren en </w:t>
      </w:r>
      <w:r>
        <w:rPr>
          <w:color w:val="auto"/>
        </w:rPr>
        <w:t xml:space="preserve">de </w:t>
      </w:r>
      <w:r w:rsidRPr="00672862">
        <w:rPr>
          <w:color w:val="auto"/>
        </w:rPr>
        <w:t xml:space="preserve">situatie in de migratieketen beter beheersbaar te maken. Daarbij is verwezen naar </w:t>
      </w:r>
      <w:r w:rsidRPr="00672862">
        <w:rPr>
          <w:rFonts w:eastAsiaTheme="minorHAnsi" w:cstheme="minorBidi"/>
          <w:color w:val="000000" w:themeColor="text1"/>
        </w:rPr>
        <w:t xml:space="preserve">de probleemanalyse in het hoofdlijnenakkoord en het regeerprogramma, en </w:t>
      </w:r>
      <w:r w:rsidRPr="00672862">
        <w:t xml:space="preserve">de brief van 25 oktober 2024. </w:t>
      </w:r>
    </w:p>
    <w:p w:rsidR="005B299F" w:rsidP="005B299F" w:rsidRDefault="005B299F" w14:paraId="4B7CE4D7" w14:textId="77777777">
      <w:pPr>
        <w:spacing w:line="240" w:lineRule="auto"/>
      </w:pPr>
    </w:p>
    <w:p w:rsidRPr="00672862" w:rsidR="005B299F" w:rsidP="005B299F" w:rsidRDefault="005B299F" w14:paraId="1163E63F" w14:textId="152B35ED">
      <w:pPr>
        <w:spacing w:line="240" w:lineRule="auto"/>
        <w:rPr>
          <w:rFonts w:cs="Arial"/>
          <w:color w:val="auto"/>
          <w:shd w:val="clear" w:color="auto" w:fill="FFFFFF"/>
        </w:rPr>
      </w:pPr>
      <w:r w:rsidRPr="00672862">
        <w:rPr>
          <w:color w:val="auto"/>
        </w:rPr>
        <w:t xml:space="preserve">Vóór de inwerkingtreding van de huidige Vreemdelingenwet 2000 </w:t>
      </w:r>
      <w:r>
        <w:rPr>
          <w:color w:val="auto"/>
        </w:rPr>
        <w:t>gold (een variant op) het tweestatusstelsel. Aan</w:t>
      </w:r>
      <w:r w:rsidRPr="00672862">
        <w:rPr>
          <w:color w:val="auto"/>
        </w:rPr>
        <w:t xml:space="preserve"> een vreemdeling die verdragsvluchteling was </w:t>
      </w:r>
      <w:r>
        <w:rPr>
          <w:color w:val="auto"/>
        </w:rPr>
        <w:t xml:space="preserve">werd </w:t>
      </w:r>
      <w:r w:rsidRPr="00672862">
        <w:rPr>
          <w:color w:val="auto"/>
        </w:rPr>
        <w:t>een andere verblijfstitel verstrekt dan aan een vreemdeling die subsidiaire bescherming genoot. Aan de vluchtelingenstatus was bovendien een ander pakket aan voorzieningen verbonden dan aan de subsidiairebeschermingsstatus.</w:t>
      </w:r>
      <w:r w:rsidRPr="00672862">
        <w:rPr>
          <w:rStyle w:val="Voetnootmarkering"/>
          <w:color w:val="auto"/>
        </w:rPr>
        <w:footnoteReference w:id="1"/>
      </w:r>
      <w:r w:rsidRPr="00672862">
        <w:rPr>
          <w:color w:val="auto"/>
        </w:rPr>
        <w:t xml:space="preserve"> Een vreemdeling die de subsidiairebeschermingsstatus verkreeg, had er daarom belang bij om te betogen dat ten onrechte niet de vluchtelingenstatus was </w:t>
      </w:r>
      <w:r>
        <w:rPr>
          <w:color w:val="auto"/>
        </w:rPr>
        <w:t>verleend</w:t>
      </w:r>
      <w:r w:rsidRPr="00672862">
        <w:rPr>
          <w:color w:val="auto"/>
        </w:rPr>
        <w:t xml:space="preserve"> en daarom beroep in te stellen tegen een inwilligende asielbeschikking. Dat leidde tot druk op de IND, die ook bij inwilligingen moest motiveren waarom niet de vluchtelingenstatus werd vastgesteld. Ook de rechtspraak zag zich geconfronteerd met vele beroepsprocedures</w:t>
      </w:r>
      <w:r>
        <w:rPr>
          <w:color w:val="auto"/>
        </w:rPr>
        <w:t xml:space="preserve"> omdat in het merendeel van de zaken waarin een subsidiairebeschermingsstatus was verleend, de vreemdeling doorprocedeerde</w:t>
      </w:r>
      <w:r w:rsidRPr="00672862">
        <w:rPr>
          <w:color w:val="auto"/>
        </w:rPr>
        <w:t xml:space="preserve">. Met de introductie van de Vw 2000 is daarom bewust gekozen voor een éénstatusstelsel. Sindsdien heeft een vreemdeling geen </w:t>
      </w:r>
      <w:r w:rsidRPr="00672862">
        <w:rPr>
          <w:rFonts w:cs="Arial"/>
          <w:color w:val="auto"/>
          <w:shd w:val="clear" w:color="auto" w:fill="FFFFFF"/>
        </w:rPr>
        <w:t>belang meer om door te procederen tegen een aan hem verstrekte asielvergunning.</w:t>
      </w:r>
    </w:p>
    <w:p w:rsidRPr="00230F6F" w:rsidR="005B299F" w:rsidP="005B299F" w:rsidRDefault="005B299F" w14:paraId="4084C612" w14:textId="77777777">
      <w:pPr>
        <w:spacing w:line="240" w:lineRule="auto"/>
      </w:pPr>
    </w:p>
    <w:p w:rsidRPr="00230F6F" w:rsidR="005B299F" w:rsidP="005B299F" w:rsidRDefault="005B299F" w14:paraId="40AF6972" w14:textId="77777777">
      <w:pPr>
        <w:spacing w:line="240" w:lineRule="auto"/>
      </w:pPr>
      <w:r w:rsidRPr="00230F6F">
        <w:t xml:space="preserve">De </w:t>
      </w:r>
      <w:r>
        <w:t>(her)</w:t>
      </w:r>
      <w:r w:rsidRPr="00230F6F">
        <w:t xml:space="preserve">introductie van een tweestatusstelsel heeft </w:t>
      </w:r>
      <w:r>
        <w:t xml:space="preserve">daarom </w:t>
      </w:r>
      <w:r w:rsidRPr="00230F6F">
        <w:t xml:space="preserve">significante gevolgen voor zowel de uitvoeringspraktijk (IND) als de </w:t>
      </w:r>
      <w:r>
        <w:t xml:space="preserve">rechtsbijstand (NOvA) en de </w:t>
      </w:r>
      <w:r w:rsidRPr="00230F6F">
        <w:t>rechtspraak</w:t>
      </w:r>
      <w:r>
        <w:t xml:space="preserve"> (RvdR)</w:t>
      </w:r>
      <w:r w:rsidRPr="00230F6F">
        <w:t xml:space="preserve">. Anders dan nu het geval is, zal de IND bij elke inwilligende beschikking moeten motiveren waarom niet de vluchtelingenstatus is </w:t>
      </w:r>
      <w:r>
        <w:t>verleend</w:t>
      </w:r>
      <w:r w:rsidRPr="00230F6F">
        <w:t xml:space="preserve">. Vreemdelingen die </w:t>
      </w:r>
      <w:r w:rsidRPr="00230F6F">
        <w:rPr>
          <w:color w:val="auto"/>
        </w:rPr>
        <w:t xml:space="preserve">de subsidiairebeschermingsstatus verkrijgen, hebben er </w:t>
      </w:r>
      <w:r>
        <w:rPr>
          <w:color w:val="auto"/>
        </w:rPr>
        <w:t xml:space="preserve">daardoor </w:t>
      </w:r>
      <w:r w:rsidRPr="00230F6F">
        <w:rPr>
          <w:color w:val="auto"/>
        </w:rPr>
        <w:t xml:space="preserve">belang bij om beroep in te stellen tegen een inwilligende asielbeschikking. </w:t>
      </w:r>
      <w:r w:rsidRPr="00230F6F">
        <w:t xml:space="preserve">Geschat wordt dat 75% van de vreemdelingen met de subsidiairebeschermingsstatus in beroep zal gaan tegen de (inwilligende) beschikking, zeker indien er strengere voorwaarden gaan gelden voor nareis. </w:t>
      </w:r>
      <w:r>
        <w:t xml:space="preserve">Dit komt dan bovenop de huidige belasting van de IND. Geschat wordt dat dit </w:t>
      </w:r>
      <w:r w:rsidRPr="00194743">
        <w:t xml:space="preserve">120 tot 279 </w:t>
      </w:r>
      <w:r>
        <w:t>extra fte vergt.</w:t>
      </w:r>
    </w:p>
    <w:p w:rsidRPr="00672862" w:rsidR="005B299F" w:rsidP="005B299F" w:rsidRDefault="005B299F" w14:paraId="246D0A24" w14:textId="77777777">
      <w:pPr>
        <w:spacing w:line="240" w:lineRule="auto"/>
        <w:rPr>
          <w:color w:val="auto"/>
        </w:rPr>
      </w:pPr>
    </w:p>
    <w:p w:rsidRPr="00672862" w:rsidR="005B299F" w:rsidP="005B299F" w:rsidRDefault="005B299F" w14:paraId="062AC4BF" w14:textId="77777777">
      <w:pPr>
        <w:spacing w:line="240" w:lineRule="auto"/>
        <w:rPr>
          <w:u w:val="single"/>
        </w:rPr>
      </w:pPr>
      <w:r w:rsidRPr="00672862">
        <w:rPr>
          <w:u w:val="single"/>
        </w:rPr>
        <w:t>4.2</w:t>
      </w:r>
      <w:r w:rsidRPr="00672862">
        <w:rPr>
          <w:u w:val="single"/>
        </w:rPr>
        <w:tab/>
        <w:t>Aanscherping nareis</w:t>
      </w:r>
    </w:p>
    <w:p w:rsidRPr="00672862" w:rsidR="005B299F" w:rsidP="005B299F" w:rsidRDefault="005B299F" w14:paraId="31CA99AC" w14:textId="77777777">
      <w:pPr>
        <w:spacing w:line="240" w:lineRule="auto"/>
      </w:pPr>
      <w:r w:rsidRPr="00672862">
        <w:t xml:space="preserve">Ter uitvoering van de afspraak uit het regeerprogramma beperkt dit wetsvoorstel tevens de mogelijkheden tot nareis. </w:t>
      </w:r>
    </w:p>
    <w:p w:rsidRPr="00672862" w:rsidR="005B299F" w:rsidP="005B299F" w:rsidRDefault="005B299F" w14:paraId="44761D7F" w14:textId="77777777">
      <w:pPr>
        <w:spacing w:line="240" w:lineRule="auto"/>
      </w:pPr>
    </w:p>
    <w:p w:rsidRPr="00672862" w:rsidR="005B299F" w:rsidP="005B299F" w:rsidRDefault="005B299F" w14:paraId="02566BF4" w14:textId="77777777">
      <w:pPr>
        <w:spacing w:line="240" w:lineRule="auto"/>
        <w:rPr>
          <w:i/>
          <w:iCs/>
        </w:rPr>
      </w:pPr>
      <w:r w:rsidRPr="00672862">
        <w:rPr>
          <w:i/>
          <w:iCs/>
        </w:rPr>
        <w:t>4.2.1</w:t>
      </w:r>
      <w:r w:rsidRPr="00672862">
        <w:rPr>
          <w:i/>
          <w:iCs/>
        </w:rPr>
        <w:tab/>
        <w:t>Aanvullende voorwaarden subsidiair beschermden</w:t>
      </w:r>
    </w:p>
    <w:p w:rsidRPr="00672862" w:rsidR="005B299F" w:rsidP="005B299F" w:rsidRDefault="005B299F" w14:paraId="487828D0" w14:textId="77777777">
      <w:pPr>
        <w:spacing w:line="240" w:lineRule="auto"/>
      </w:pPr>
      <w:r w:rsidRPr="00672862">
        <w:t>De introductie van het tweestatusstelsel maakt het mogelijk om aan de nareis van gezinsleden van vreemdelingen met de subsidiairebeschermingsstatus, aanvullende voorwaarden te stellen. Conform de eerdere beslisnota</w:t>
      </w:r>
      <w:r>
        <w:t>’s</w:t>
      </w:r>
      <w:r w:rsidRPr="00672862">
        <w:t xml:space="preserve"> hierover </w:t>
      </w:r>
      <w:r>
        <w:t xml:space="preserve">(bijlagen 4a en 4b) </w:t>
      </w:r>
      <w:r w:rsidRPr="00672862">
        <w:t xml:space="preserve"> zijn in dit wetsvoorstel de volgende beperkingen opgenomen:</w:t>
      </w:r>
    </w:p>
    <w:p w:rsidRPr="00672862" w:rsidR="005B299F" w:rsidP="005B299F" w:rsidRDefault="005B299F" w14:paraId="44C27DBE" w14:textId="77777777">
      <w:pPr>
        <w:pStyle w:val="Lijstalinea"/>
        <w:numPr>
          <w:ilvl w:val="0"/>
          <w:numId w:val="8"/>
        </w:numPr>
        <w:autoSpaceDN/>
        <w:spacing w:after="160" w:line="240" w:lineRule="auto"/>
        <w:textAlignment w:val="auto"/>
      </w:pPr>
      <w:r w:rsidRPr="00672862">
        <w:t>er zijn twee jaar verstreken vanaf de datum waarop de asielaanvraag is ingewilligd;</w:t>
      </w:r>
    </w:p>
    <w:p w:rsidRPr="00672862" w:rsidR="005B299F" w:rsidP="005B299F" w:rsidRDefault="005B299F" w14:paraId="745ECC1E" w14:textId="77777777">
      <w:pPr>
        <w:pStyle w:val="Lijstalinea"/>
        <w:numPr>
          <w:ilvl w:val="0"/>
          <w:numId w:val="8"/>
        </w:numPr>
        <w:autoSpaceDN/>
        <w:spacing w:after="160" w:line="240" w:lineRule="auto"/>
        <w:textAlignment w:val="auto"/>
      </w:pPr>
      <w:r w:rsidRPr="00672862">
        <w:t>de vreemdeling</w:t>
      </w:r>
      <w:r>
        <w:t xml:space="preserve"> beschikt zelfstandig</w:t>
      </w:r>
      <w:r w:rsidRPr="00672862">
        <w:t xml:space="preserve"> </w:t>
      </w:r>
      <w:r>
        <w:t xml:space="preserve">en duurzaam </w:t>
      </w:r>
      <w:r w:rsidRPr="00672862">
        <w:t xml:space="preserve">over </w:t>
      </w:r>
      <w:r>
        <w:t>voldoende middelen van bestaan</w:t>
      </w:r>
      <w:r w:rsidRPr="00672862">
        <w:t>; en</w:t>
      </w:r>
    </w:p>
    <w:p w:rsidRPr="00672862" w:rsidR="005B299F" w:rsidP="005B299F" w:rsidRDefault="005B299F" w14:paraId="73C9A2E4" w14:textId="77777777">
      <w:pPr>
        <w:pStyle w:val="Lijstalinea"/>
        <w:numPr>
          <w:ilvl w:val="0"/>
          <w:numId w:val="8"/>
        </w:numPr>
        <w:autoSpaceDN/>
        <w:spacing w:after="160" w:line="240" w:lineRule="auto"/>
        <w:textAlignment w:val="auto"/>
      </w:pPr>
      <w:r w:rsidRPr="00672862">
        <w:t xml:space="preserve">de vreemdeling </w:t>
      </w:r>
      <w:r>
        <w:t xml:space="preserve">beschikt </w:t>
      </w:r>
      <w:r w:rsidRPr="00672862">
        <w:t>over huisvesting.</w:t>
      </w:r>
    </w:p>
    <w:p w:rsidR="005B299F" w:rsidP="005B299F" w:rsidRDefault="005B299F" w14:paraId="197AF8BF" w14:textId="77777777">
      <w:pPr>
        <w:spacing w:line="240" w:lineRule="auto"/>
      </w:pPr>
      <w:r w:rsidRPr="00672862">
        <w:t>Deze voorwaarden kunnen niet worden gesteld aan (gezinsleden van) vluchtelingen</w:t>
      </w:r>
      <w:r>
        <w:t xml:space="preserve"> die binnen drie maanden om nareis verzoeken,</w:t>
      </w:r>
      <w:r w:rsidRPr="00672862">
        <w:t xml:space="preserve"> omdat de Gezinsherenigingsrichtlijn daaraan in de weg staat.</w:t>
      </w:r>
    </w:p>
    <w:p w:rsidRPr="00672862" w:rsidR="005B299F" w:rsidP="005B299F" w:rsidRDefault="005B299F" w14:paraId="1DA56ADD" w14:textId="77777777">
      <w:pPr>
        <w:spacing w:line="240" w:lineRule="auto"/>
      </w:pPr>
    </w:p>
    <w:p w:rsidRPr="00672862" w:rsidR="005B299F" w:rsidP="005B299F" w:rsidRDefault="005B299F" w14:paraId="6E0171F4" w14:textId="77777777">
      <w:pPr>
        <w:spacing w:line="240" w:lineRule="auto"/>
        <w:rPr>
          <w:i/>
          <w:iCs/>
        </w:rPr>
      </w:pPr>
      <w:r w:rsidRPr="00672862">
        <w:rPr>
          <w:i/>
          <w:iCs/>
        </w:rPr>
        <w:t>4.2.2</w:t>
      </w:r>
      <w:r w:rsidRPr="00672862">
        <w:rPr>
          <w:i/>
          <w:iCs/>
        </w:rPr>
        <w:tab/>
        <w:t>Beperking tot kerngezin</w:t>
      </w:r>
    </w:p>
    <w:p w:rsidRPr="00672862" w:rsidR="005B299F" w:rsidP="005B299F" w:rsidRDefault="005B299F" w14:paraId="487D9D65" w14:textId="35AEE5F3">
      <w:pPr>
        <w:autoSpaceDN/>
        <w:spacing w:line="240" w:lineRule="auto"/>
        <w:textAlignment w:val="auto"/>
        <w:rPr>
          <w:color w:val="auto"/>
        </w:rPr>
      </w:pPr>
      <w:r w:rsidRPr="00672862">
        <w:rPr>
          <w:color w:val="auto"/>
        </w:rPr>
        <w:t xml:space="preserve">Het hoofdlijnenakkoord en regeerprogramma voorzien in het schrappen van nareis voor meerderjarige kinderen. Volgens de brief van 25 oktober 2024 worden in aanvulling daarop ook ongehuwde partners uitgesloten van nareis. Beide wijzigingen zijn </w:t>
      </w:r>
      <w:r>
        <w:rPr>
          <w:color w:val="auto"/>
        </w:rPr>
        <w:t xml:space="preserve">zowel in de asielnoodmaatregelenwet als </w:t>
      </w:r>
      <w:r w:rsidRPr="00672862">
        <w:rPr>
          <w:color w:val="auto"/>
        </w:rPr>
        <w:t>in dit wetsvoorstel opgenomen</w:t>
      </w:r>
      <w:r>
        <w:rPr>
          <w:color w:val="auto"/>
        </w:rPr>
        <w:t xml:space="preserve"> (zie hierover 4.5)</w:t>
      </w:r>
      <w:r w:rsidRPr="00672862">
        <w:rPr>
          <w:color w:val="auto"/>
        </w:rPr>
        <w:t>, en gelden zowel voor gezinsleden van vluchtelingen als voor gezinsleden van subsidiair beschermden.</w:t>
      </w:r>
      <w:r w:rsidRPr="00485685">
        <w:rPr>
          <w:color w:val="auto"/>
        </w:rPr>
        <w:t xml:space="preserve"> </w:t>
      </w:r>
      <w:r>
        <w:rPr>
          <w:color w:val="auto"/>
        </w:rPr>
        <w:t xml:space="preserve">Gelet op de kwalificatieverordening en de tekst in het regeerprogramma geldt dit enkel voor nareizigers en niet voor meereizende meerderjarige kinderen en ongehuwde partners.  </w:t>
      </w:r>
    </w:p>
    <w:p w:rsidRPr="00672862" w:rsidR="005B299F" w:rsidP="005B299F" w:rsidRDefault="005B299F" w14:paraId="160BF9FF" w14:textId="77777777">
      <w:pPr>
        <w:autoSpaceDN/>
        <w:spacing w:line="240" w:lineRule="auto"/>
        <w:textAlignment w:val="auto"/>
        <w:rPr>
          <w:color w:val="auto"/>
        </w:rPr>
      </w:pPr>
    </w:p>
    <w:p w:rsidRPr="00672862" w:rsidR="005B299F" w:rsidP="005B299F" w:rsidRDefault="005B299F" w14:paraId="648257FE" w14:textId="77777777">
      <w:pPr>
        <w:autoSpaceDN/>
        <w:spacing w:line="240" w:lineRule="auto"/>
        <w:textAlignment w:val="auto"/>
        <w:rPr>
          <w:i/>
          <w:iCs/>
          <w:color w:val="auto"/>
        </w:rPr>
      </w:pPr>
      <w:r w:rsidRPr="00672862">
        <w:rPr>
          <w:i/>
          <w:iCs/>
          <w:color w:val="auto"/>
        </w:rPr>
        <w:t>4.2.3</w:t>
      </w:r>
      <w:r w:rsidRPr="00672862">
        <w:rPr>
          <w:i/>
          <w:iCs/>
          <w:color w:val="auto"/>
        </w:rPr>
        <w:tab/>
        <w:t>Consequenties</w:t>
      </w:r>
    </w:p>
    <w:p w:rsidRPr="00672862" w:rsidR="005B299F" w:rsidP="005B299F" w:rsidRDefault="005B299F" w14:paraId="7776997D" w14:textId="77777777">
      <w:pPr>
        <w:pStyle w:val="Lijstalinea"/>
        <w:numPr>
          <w:ilvl w:val="0"/>
          <w:numId w:val="10"/>
        </w:numPr>
        <w:autoSpaceDN/>
        <w:spacing w:line="240" w:lineRule="auto"/>
        <w:textAlignment w:val="auto"/>
      </w:pPr>
      <w:r w:rsidRPr="00672862">
        <w:rPr>
          <w:color w:val="auto"/>
        </w:rPr>
        <w:t>Het blijft voor gezinsleden van subsidiair beschermden die niet aan de aangescherpte voorwaarden voldoen (4.2.1) of die buiten de aangescherpte doelgroep vallen (4.2.2) mogelijk om een beroep te doen op het beleid voor reguliere gezinshereniging</w:t>
      </w:r>
      <w:r w:rsidRPr="00672862">
        <w:rPr>
          <w:rStyle w:val="Voetnootmarkering"/>
          <w:color w:val="auto"/>
        </w:rPr>
        <w:footnoteReference w:id="2"/>
      </w:r>
      <w:r w:rsidRPr="00672862">
        <w:rPr>
          <w:color w:val="auto"/>
        </w:rPr>
        <w:t xml:space="preserve">. Het reguliere gezinsherenigingsbeleid kent </w:t>
      </w:r>
      <w:r>
        <w:rPr>
          <w:color w:val="auto"/>
        </w:rPr>
        <w:t xml:space="preserve">deels </w:t>
      </w:r>
      <w:r w:rsidRPr="00672862">
        <w:rPr>
          <w:color w:val="auto"/>
        </w:rPr>
        <w:t xml:space="preserve">minder strikte voorwaarden dan de voorwaarden die nu worden voorgesteld in </w:t>
      </w:r>
      <w:r>
        <w:rPr>
          <w:color w:val="auto"/>
        </w:rPr>
        <w:t>dit</w:t>
      </w:r>
      <w:r w:rsidRPr="00672862">
        <w:rPr>
          <w:color w:val="auto"/>
        </w:rPr>
        <w:t xml:space="preserve"> wetsvoorstel. </w:t>
      </w:r>
      <w:r>
        <w:rPr>
          <w:color w:val="auto"/>
        </w:rPr>
        <w:t>Daarnaast blijft het te allen tijde mogelijk een beroep te doen</w:t>
      </w:r>
      <w:r w:rsidRPr="00672862">
        <w:rPr>
          <w:color w:val="auto"/>
        </w:rPr>
        <w:t xml:space="preserve"> op artikel 8 van het EVRM. Deze laatste mogelijkheid vloeit voort uit het EVRM en kan daarom niet worden beperkt.</w:t>
      </w:r>
    </w:p>
    <w:p w:rsidRPr="00672862" w:rsidR="005B299F" w:rsidP="005B299F" w:rsidRDefault="005B299F" w14:paraId="1BEB5808" w14:textId="07F000CC">
      <w:pPr>
        <w:pStyle w:val="Lijstalinea"/>
        <w:numPr>
          <w:ilvl w:val="0"/>
          <w:numId w:val="10"/>
        </w:numPr>
        <w:autoSpaceDN/>
        <w:spacing w:line="240" w:lineRule="auto"/>
        <w:textAlignment w:val="auto"/>
      </w:pPr>
      <w:r w:rsidRPr="009072E7">
        <w:rPr>
          <w:color w:val="auto"/>
        </w:rPr>
        <w:t>DGM en de IND verwachten dat daardoor in de praktijk een verschuiving van nareis naar reguliere gezinshereniging dan wel artikel 8 EVRM-aanvragen zal plaatsvinden.</w:t>
      </w:r>
      <w:r w:rsidRPr="009072E7">
        <w:rPr>
          <w:b/>
          <w:bCs/>
          <w:color w:val="auto"/>
        </w:rPr>
        <w:t xml:space="preserve"> </w:t>
      </w:r>
      <w:r w:rsidRPr="009072E7">
        <w:rPr>
          <w:color w:val="auto"/>
        </w:rPr>
        <w:t>Dit kan grote gevolgen hebben voor de IND</w:t>
      </w:r>
      <w:r>
        <w:rPr>
          <w:color w:val="auto"/>
        </w:rPr>
        <w:t xml:space="preserve"> in de vorm van extra en meer bewerkelijke aanvragen</w:t>
      </w:r>
      <w:r w:rsidRPr="009072E7">
        <w:rPr>
          <w:color w:val="auto"/>
        </w:rPr>
        <w:t xml:space="preserve">, die op dit moment nog niet voldoende in beeld zijn. Bovendien kan het nuttige effect van deze maatregel als het gaat om beperking van de instroom daarmee </w:t>
      </w:r>
      <w:r w:rsidR="0057164B">
        <w:rPr>
          <w:color w:val="auto"/>
        </w:rPr>
        <w:t xml:space="preserve">beperkt </w:t>
      </w:r>
      <w:r w:rsidRPr="009072E7">
        <w:rPr>
          <w:color w:val="auto"/>
        </w:rPr>
        <w:t>zijn.</w:t>
      </w:r>
      <w:r w:rsidRPr="00672862">
        <w:t xml:space="preserve"> Gelet op de korte voorbereidingstijd is dit nog niet kwantificeerbaar.</w:t>
      </w:r>
    </w:p>
    <w:p w:rsidRPr="00672862" w:rsidR="005B299F" w:rsidP="005B299F" w:rsidRDefault="005B299F" w14:paraId="2E9CFC0E" w14:textId="77777777">
      <w:pPr>
        <w:pStyle w:val="Lijstalinea"/>
        <w:numPr>
          <w:ilvl w:val="0"/>
          <w:numId w:val="10"/>
        </w:numPr>
        <w:autoSpaceDN/>
        <w:spacing w:line="240" w:lineRule="auto"/>
        <w:textAlignment w:val="auto"/>
      </w:pPr>
      <w:r w:rsidRPr="00672862">
        <w:rPr>
          <w:color w:val="auto"/>
        </w:rPr>
        <w:t>Ter illustratie: de afgelopen jaren zijn gemiddeld 350 nareisaanvragen voor ongehuwde partners per jaar ingediend. Bij ongeveer een derde van deze nareisaanvragen werd de aanvraag ingediend in combinatie met een of meerdere nareisaanvragen voor minderjarige kinderen. In die gevallen komt het minderjarige kind in aanmerking voor nareis, ook in het aangescherpte stelsel, en kan de andere ouder (de ongehuwde partner) via artikel 8 EVRM</w:t>
      </w:r>
      <w:r w:rsidRPr="00672862">
        <w:rPr>
          <w:color w:val="auto"/>
          <w:vertAlign w:val="superscript"/>
        </w:rPr>
        <w:footnoteReference w:id="3"/>
      </w:r>
      <w:r w:rsidRPr="00672862">
        <w:rPr>
          <w:color w:val="auto"/>
        </w:rPr>
        <w:t xml:space="preserve"> gezinshereniging krijgen – ook als straks ongehuwde partners zijn uitgesloten</w:t>
      </w:r>
      <w:r>
        <w:rPr>
          <w:color w:val="auto"/>
        </w:rPr>
        <w:t xml:space="preserve"> van nareis</w:t>
      </w:r>
      <w:r w:rsidRPr="00672862">
        <w:rPr>
          <w:color w:val="auto"/>
        </w:rPr>
        <w:t xml:space="preserve">. Daarmee wordt de procedure om in aanmerking te komen voor gezinshereniging in deze gevallen omslachtiger en complexer, terwijl het resultaat in veel gevallen hetzelfde is (verblijf in Nederland). </w:t>
      </w:r>
    </w:p>
    <w:p w:rsidRPr="00672862" w:rsidR="005B299F" w:rsidP="005B299F" w:rsidRDefault="005B299F" w14:paraId="577E740F" w14:textId="77777777">
      <w:pPr>
        <w:pStyle w:val="Lijstalinea"/>
        <w:numPr>
          <w:ilvl w:val="0"/>
          <w:numId w:val="10"/>
        </w:numPr>
        <w:autoSpaceDN/>
        <w:spacing w:line="240" w:lineRule="auto"/>
        <w:textAlignment w:val="auto"/>
      </w:pPr>
      <w:r w:rsidRPr="00672862">
        <w:rPr>
          <w:color w:val="auto"/>
        </w:rPr>
        <w:t xml:space="preserve">Onder de uitsluiting van de ongehuwde partner valt ook de groep lhbti-partners die willen herenigen. </w:t>
      </w:r>
      <w:r w:rsidRPr="00672862">
        <w:t>Het lid Rajkowski (VVD) heeft over deze groep bij de stemming over de AenM-begroting AenM op 12 november jl. in de Tweede Kamer opgemerkt: “</w:t>
      </w:r>
      <w:r w:rsidRPr="00672862">
        <w:rPr>
          <w:i/>
          <w:iCs/>
        </w:rPr>
        <w:t>Het is voor de VVD belangrijk dat er bij de uitwerking van het beperken van het kerngezin tot gehuwden en minderjarigen ruimte blijft voor ongehuwde lhbti'ers die in het land van herkomst simpelweg niet kunnen of mogen trouwen, om naar Nederland te komen. Die afspraak staat. Daar ga ik de minister ook aan houden. (…)</w:t>
      </w:r>
      <w:r w:rsidRPr="00672862">
        <w:t xml:space="preserve">” </w:t>
      </w:r>
    </w:p>
    <w:p w:rsidRPr="00F55A9C" w:rsidR="005B299F" w:rsidP="005B299F" w:rsidRDefault="005B299F" w14:paraId="29374E86" w14:textId="77777777">
      <w:pPr>
        <w:pStyle w:val="Lijstalinea"/>
        <w:numPr>
          <w:ilvl w:val="0"/>
          <w:numId w:val="10"/>
        </w:numPr>
        <w:autoSpaceDN/>
        <w:spacing w:line="240" w:lineRule="auto"/>
        <w:textAlignment w:val="auto"/>
      </w:pPr>
      <w:r>
        <w:rPr>
          <w:color w:val="auto"/>
        </w:rPr>
        <w:t>In</w:t>
      </w:r>
      <w:r w:rsidRPr="00672862">
        <w:rPr>
          <w:color w:val="auto"/>
        </w:rPr>
        <w:t xml:space="preserve"> de huidige consultatieversie </w:t>
      </w:r>
      <w:r>
        <w:rPr>
          <w:color w:val="auto"/>
        </w:rPr>
        <w:t xml:space="preserve">hebben we </w:t>
      </w:r>
      <w:r w:rsidRPr="00672862">
        <w:rPr>
          <w:color w:val="auto"/>
        </w:rPr>
        <w:t>de maatregel opgenomen zoals verwoord in de brief van 25 oktober 2024: afgeleide asielvergunningen voor ongehuwde partners worden zonder meer geschrapt, zonder uitzondering voor ongehuwde partners, waaronder lhbti</w:t>
      </w:r>
      <w:r>
        <w:rPr>
          <w:color w:val="auto"/>
        </w:rPr>
        <w:t>q+</w:t>
      </w:r>
      <w:r w:rsidRPr="00672862">
        <w:rPr>
          <w:color w:val="auto"/>
        </w:rPr>
        <w:t>’ers.</w:t>
      </w:r>
    </w:p>
    <w:p w:rsidRPr="00672862" w:rsidR="005B299F" w:rsidP="005B299F" w:rsidRDefault="005B299F" w14:paraId="49CC33CF" w14:textId="77777777">
      <w:pPr>
        <w:autoSpaceDN/>
        <w:spacing w:line="240" w:lineRule="auto"/>
        <w:textAlignment w:val="auto"/>
      </w:pPr>
    </w:p>
    <w:p w:rsidRPr="00672862" w:rsidR="005B299F" w:rsidP="005B299F" w:rsidRDefault="005B299F" w14:paraId="39EC70D4" w14:textId="77777777">
      <w:pPr>
        <w:pStyle w:val="Agendapuntniveau1"/>
        <w:numPr>
          <w:ilvl w:val="0"/>
          <w:numId w:val="0"/>
        </w:numPr>
        <w:spacing w:line="240" w:lineRule="auto"/>
        <w:rPr>
          <w:b w:val="0"/>
          <w:bCs/>
          <w:u w:val="single"/>
        </w:rPr>
      </w:pPr>
      <w:r w:rsidRPr="00672862">
        <w:rPr>
          <w:b w:val="0"/>
          <w:bCs/>
          <w:u w:val="single"/>
        </w:rPr>
        <w:t xml:space="preserve">4.3 </w:t>
      </w:r>
      <w:r w:rsidRPr="00672862">
        <w:rPr>
          <w:b w:val="0"/>
          <w:bCs/>
          <w:u w:val="single"/>
        </w:rPr>
        <w:tab/>
        <w:t>Politieke context</w:t>
      </w:r>
    </w:p>
    <w:p w:rsidRPr="00672862" w:rsidR="005B299F" w:rsidP="005B299F" w:rsidRDefault="005B299F" w14:paraId="3EB14CAF" w14:textId="77777777">
      <w:pPr>
        <w:pStyle w:val="Agendapunt"/>
        <w:numPr>
          <w:ilvl w:val="0"/>
          <w:numId w:val="0"/>
        </w:numPr>
        <w:spacing w:line="240" w:lineRule="auto"/>
        <w:rPr>
          <w:b w:val="0"/>
          <w:bCs/>
        </w:rPr>
      </w:pPr>
      <w:r w:rsidRPr="00672862">
        <w:rPr>
          <w:b w:val="0"/>
          <w:bCs/>
        </w:rPr>
        <w:t xml:space="preserve">Met </w:t>
      </w:r>
      <w:r>
        <w:rPr>
          <w:b w:val="0"/>
          <w:bCs/>
        </w:rPr>
        <w:t>dit</w:t>
      </w:r>
      <w:r w:rsidRPr="00672862">
        <w:rPr>
          <w:b w:val="0"/>
          <w:bCs/>
        </w:rPr>
        <w:t xml:space="preserve"> wetsvoorstel wordt uitvoering gegeven aan </w:t>
      </w:r>
      <w:r>
        <w:rPr>
          <w:b w:val="0"/>
          <w:bCs/>
        </w:rPr>
        <w:t>zowel het regeerprogramma</w:t>
      </w:r>
      <w:r>
        <w:rPr>
          <w:rStyle w:val="Voetnootmarkering"/>
          <w:b w:val="0"/>
          <w:bCs/>
        </w:rPr>
        <w:footnoteReference w:id="4"/>
      </w:r>
      <w:r>
        <w:rPr>
          <w:b w:val="0"/>
          <w:bCs/>
        </w:rPr>
        <w:t xml:space="preserve"> als </w:t>
      </w:r>
      <w:r w:rsidRPr="00672862">
        <w:rPr>
          <w:b w:val="0"/>
          <w:bCs/>
        </w:rPr>
        <w:t>de planning in de Kamerbrie</w:t>
      </w:r>
      <w:r>
        <w:rPr>
          <w:b w:val="0"/>
          <w:bCs/>
        </w:rPr>
        <w:t xml:space="preserve">f van 14 </w:t>
      </w:r>
      <w:r w:rsidRPr="00672862">
        <w:rPr>
          <w:b w:val="0"/>
          <w:bCs/>
        </w:rPr>
        <w:t>november 2024</w:t>
      </w:r>
      <w:r>
        <w:rPr>
          <w:b w:val="0"/>
          <w:bCs/>
        </w:rPr>
        <w:t xml:space="preserve">. </w:t>
      </w:r>
    </w:p>
    <w:p w:rsidRPr="00672862" w:rsidR="005B299F" w:rsidP="005B299F" w:rsidRDefault="005B299F" w14:paraId="32D79CFB" w14:textId="77777777">
      <w:pPr>
        <w:spacing w:line="240" w:lineRule="auto"/>
      </w:pPr>
    </w:p>
    <w:p w:rsidRPr="00672862" w:rsidR="005B299F" w:rsidP="005B299F" w:rsidRDefault="005B299F" w14:paraId="14AE26FF" w14:textId="6BA5BAC0">
      <w:pPr>
        <w:pStyle w:val="Agendapuntniveau1"/>
        <w:numPr>
          <w:ilvl w:val="0"/>
          <w:numId w:val="0"/>
        </w:numPr>
        <w:spacing w:line="240" w:lineRule="auto"/>
        <w:rPr>
          <w:b w:val="0"/>
          <w:bCs/>
          <w:u w:val="single"/>
        </w:rPr>
      </w:pPr>
      <w:r w:rsidRPr="00672862">
        <w:rPr>
          <w:b w:val="0"/>
          <w:bCs/>
          <w:u w:val="single"/>
        </w:rPr>
        <w:t xml:space="preserve">4.4 </w:t>
      </w:r>
      <w:r w:rsidRPr="00672862">
        <w:rPr>
          <w:b w:val="0"/>
          <w:bCs/>
          <w:u w:val="single"/>
        </w:rPr>
        <w:tab/>
        <w:t>Financiële overwegingen</w:t>
      </w:r>
    </w:p>
    <w:p w:rsidRPr="00672862" w:rsidR="005B299F" w:rsidP="005B299F" w:rsidRDefault="005B299F" w14:paraId="781AC7FF" w14:textId="77777777">
      <w:pPr>
        <w:spacing w:line="240" w:lineRule="auto"/>
      </w:pPr>
      <w:r w:rsidRPr="00672862">
        <w:t xml:space="preserve">De financiële aspecten van het wetsvoorstel worden mede op basis van de te verkrijgen reacties verder in beeld gebracht. </w:t>
      </w:r>
    </w:p>
    <w:p w:rsidRPr="00672862" w:rsidR="005B299F" w:rsidP="005B299F" w:rsidRDefault="005B299F" w14:paraId="367766CA" w14:textId="77777777">
      <w:pPr>
        <w:spacing w:line="240" w:lineRule="auto"/>
      </w:pPr>
    </w:p>
    <w:p w:rsidRPr="00672862" w:rsidR="005B299F" w:rsidP="005B299F" w:rsidRDefault="005B299F" w14:paraId="1DAF359E" w14:textId="77777777">
      <w:pPr>
        <w:spacing w:line="240" w:lineRule="auto"/>
        <w:rPr>
          <w:u w:val="single"/>
        </w:rPr>
      </w:pPr>
      <w:r w:rsidRPr="00672862">
        <w:rPr>
          <w:u w:val="single"/>
        </w:rPr>
        <w:t>4.5</w:t>
      </w:r>
      <w:r w:rsidRPr="00672862">
        <w:rPr>
          <w:u w:val="single"/>
        </w:rPr>
        <w:tab/>
        <w:t>Juridische overwegingen</w:t>
      </w:r>
    </w:p>
    <w:p w:rsidR="005B299F" w:rsidP="005B299F" w:rsidRDefault="005B299F" w14:paraId="65A8A6E4" w14:textId="77777777">
      <w:pPr>
        <w:pStyle w:val="Lijstalinea"/>
        <w:numPr>
          <w:ilvl w:val="0"/>
          <w:numId w:val="13"/>
        </w:numPr>
        <w:spacing w:line="240" w:lineRule="auto"/>
      </w:pPr>
      <w:bookmarkStart w:name="_Hlk183010982" w:id="3"/>
      <w:r>
        <w:t xml:space="preserve">In het regeerprogramma staat dat de beperking tot het kerngezin bij nareis (4.2.2) onderdeel is van het onderhavige wetsvoorstel. </w:t>
      </w:r>
      <w:r w:rsidRPr="006835D8">
        <w:t xml:space="preserve">Volgens de brief van 25 oktober jl. </w:t>
      </w:r>
      <w:r>
        <w:t xml:space="preserve">komt dit onderwerp echter ook </w:t>
      </w:r>
      <w:r w:rsidRPr="006835D8">
        <w:t>in de Asielnoodmaatregelenwet</w:t>
      </w:r>
      <w:r>
        <w:t xml:space="preserve">. Dat betekent dat één onderwerp in twee wetsvoorstellen, en dus dubbel, wordt geregeld. </w:t>
      </w:r>
      <w:bookmarkEnd w:id="3"/>
      <w:r>
        <w:t xml:space="preserve">Hier moeten we nog naar kijken. </w:t>
      </w:r>
    </w:p>
    <w:p w:rsidRPr="00672862" w:rsidR="005B299F" w:rsidP="005B299F" w:rsidRDefault="005B299F" w14:paraId="12177763" w14:textId="77777777">
      <w:pPr>
        <w:spacing w:line="240" w:lineRule="auto"/>
      </w:pPr>
    </w:p>
    <w:p w:rsidRPr="00672862" w:rsidR="005B299F" w:rsidP="005B299F" w:rsidRDefault="005B299F" w14:paraId="294BBC6D" w14:textId="77777777">
      <w:pPr>
        <w:spacing w:line="240" w:lineRule="auto"/>
        <w:rPr>
          <w:u w:val="single"/>
        </w:rPr>
      </w:pPr>
      <w:r w:rsidRPr="00672862">
        <w:rPr>
          <w:u w:val="single"/>
        </w:rPr>
        <w:t>4.6</w:t>
      </w:r>
      <w:r w:rsidRPr="00672862">
        <w:rPr>
          <w:u w:val="single"/>
        </w:rPr>
        <w:tab/>
        <w:t>Communicatie</w:t>
      </w:r>
    </w:p>
    <w:p w:rsidRPr="00672862" w:rsidR="005B299F" w:rsidP="005B299F" w:rsidRDefault="005B299F" w14:paraId="5988628F" w14:textId="77777777">
      <w:pPr>
        <w:spacing w:line="240" w:lineRule="auto"/>
      </w:pPr>
      <w:r w:rsidRPr="00672862">
        <w:t>DCOM is op de hoogte.</w:t>
      </w:r>
    </w:p>
    <w:p w:rsidR="005B299F" w:rsidP="005B299F" w:rsidRDefault="005B299F" w14:paraId="6039F44B" w14:textId="77777777">
      <w:pPr>
        <w:spacing w:line="240" w:lineRule="auto"/>
        <w:rPr>
          <w:u w:val="single"/>
        </w:rPr>
      </w:pPr>
    </w:p>
    <w:p w:rsidRPr="009072E7" w:rsidR="005B299F" w:rsidP="005B299F" w:rsidRDefault="005B299F" w14:paraId="2A5DD41D" w14:textId="77777777">
      <w:pPr>
        <w:spacing w:line="240" w:lineRule="auto"/>
        <w:rPr>
          <w:u w:val="single"/>
        </w:rPr>
      </w:pPr>
      <w:r w:rsidRPr="009072E7">
        <w:rPr>
          <w:u w:val="single"/>
        </w:rPr>
        <w:t>4.7</w:t>
      </w:r>
      <w:r w:rsidRPr="009072E7">
        <w:rPr>
          <w:u w:val="single"/>
        </w:rPr>
        <w:tab/>
        <w:t>Bijlagen</w:t>
      </w:r>
    </w:p>
    <w:p w:rsidR="005B299F" w:rsidP="005B299F" w:rsidRDefault="005B299F" w14:paraId="6C9F2177" w14:textId="77777777">
      <w:pPr>
        <w:pStyle w:val="Lijstalinea"/>
        <w:numPr>
          <w:ilvl w:val="0"/>
          <w:numId w:val="12"/>
        </w:numPr>
        <w:spacing w:line="240" w:lineRule="auto"/>
      </w:pPr>
      <w:r>
        <w:t>Wetsvoorstel;</w:t>
      </w:r>
    </w:p>
    <w:p w:rsidR="005B299F" w:rsidP="005B299F" w:rsidRDefault="005B299F" w14:paraId="2FD3D6A1" w14:textId="77777777">
      <w:pPr>
        <w:pStyle w:val="Lijstalinea"/>
        <w:numPr>
          <w:ilvl w:val="0"/>
          <w:numId w:val="12"/>
        </w:numPr>
        <w:spacing w:line="240" w:lineRule="auto"/>
      </w:pPr>
      <w:r>
        <w:t>Memorie van toelichting;</w:t>
      </w:r>
    </w:p>
    <w:p w:rsidR="005B299F" w:rsidP="005B299F" w:rsidRDefault="005B299F" w14:paraId="6CDDB6D4" w14:textId="77777777">
      <w:pPr>
        <w:pStyle w:val="Lijstalinea"/>
        <w:numPr>
          <w:ilvl w:val="0"/>
          <w:numId w:val="12"/>
        </w:numPr>
        <w:spacing w:line="240" w:lineRule="auto"/>
      </w:pPr>
      <w:r>
        <w:t>Consultatiebrief;</w:t>
      </w:r>
    </w:p>
    <w:p w:rsidR="005B299F" w:rsidP="005B299F" w:rsidRDefault="005B299F" w14:paraId="10BBC2C7" w14:textId="77777777">
      <w:pPr>
        <w:pStyle w:val="Lijstalinea"/>
        <w:numPr>
          <w:ilvl w:val="0"/>
          <w:numId w:val="12"/>
        </w:numPr>
        <w:spacing w:line="240" w:lineRule="auto"/>
      </w:pPr>
      <w:r>
        <w:t>Nota’s DMB</w:t>
      </w:r>
    </w:p>
    <w:p w:rsidR="005B299F" w:rsidP="005B299F" w:rsidRDefault="005B299F" w14:paraId="0E2C052B" w14:textId="77777777">
      <w:pPr>
        <w:pStyle w:val="Lijstalinea"/>
        <w:numPr>
          <w:ilvl w:val="1"/>
          <w:numId w:val="12"/>
        </w:numPr>
        <w:spacing w:line="240" w:lineRule="auto"/>
      </w:pPr>
      <w:r>
        <w:t>Tweestatusstelsel en nareis;</w:t>
      </w:r>
    </w:p>
    <w:p w:rsidR="005B299F" w:rsidP="005B299F" w:rsidRDefault="005B299F" w14:paraId="49CEF0ED" w14:textId="77777777">
      <w:pPr>
        <w:pStyle w:val="Lijstalinea"/>
        <w:numPr>
          <w:ilvl w:val="1"/>
          <w:numId w:val="12"/>
        </w:numPr>
        <w:spacing w:line="240" w:lineRule="auto"/>
      </w:pPr>
      <w:r>
        <w:t>Huisvestingsvereiste.</w:t>
      </w:r>
    </w:p>
    <w:p w:rsidRPr="00672862" w:rsidR="005B299F" w:rsidP="005B299F" w:rsidRDefault="005B299F" w14:paraId="22FD97AE" w14:textId="77777777">
      <w:pPr>
        <w:spacing w:line="240" w:lineRule="auto"/>
      </w:pPr>
    </w:p>
    <w:p w:rsidR="005B299F" w:rsidP="005B299F" w:rsidRDefault="005B299F" w14:paraId="75B0B10B" w14:textId="77777777">
      <w:pPr>
        <w:pStyle w:val="Agendapunt"/>
        <w:numPr>
          <w:ilvl w:val="0"/>
          <w:numId w:val="7"/>
        </w:numPr>
        <w:spacing w:line="240" w:lineRule="auto"/>
      </w:pPr>
      <w:r>
        <w:t>Informatie die niet openbaar gemaakt kan worden          </w:t>
      </w:r>
    </w:p>
    <w:p w:rsidR="00B17E3A" w:rsidP="005B299F" w:rsidRDefault="005B299F" w14:paraId="4A0D73F8" w14:textId="18A4A339">
      <w:pPr>
        <w:spacing w:line="240" w:lineRule="auto"/>
      </w:pPr>
      <w:r>
        <w:t>De persoonsgegevens van de ambtenaren zijn niet openbaar ter bescherming van de persoonlijke levenssfeer.</w:t>
      </w:r>
    </w:p>
    <w:sectPr w:rsidR="00B17E3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7EB5" w14:textId="77777777" w:rsidR="00AB79E9" w:rsidRDefault="00AB79E9">
      <w:pPr>
        <w:spacing w:line="240" w:lineRule="auto"/>
      </w:pPr>
      <w:r>
        <w:separator/>
      </w:r>
    </w:p>
  </w:endnote>
  <w:endnote w:type="continuationSeparator" w:id="0">
    <w:p w14:paraId="24C7540F" w14:textId="77777777" w:rsidR="00AB79E9" w:rsidRDefault="00AB7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FCC9" w14:textId="77777777" w:rsidR="00B17E3A" w:rsidRDefault="00B17E3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F8410" w14:textId="77777777" w:rsidR="00AB79E9" w:rsidRDefault="00AB79E9">
      <w:pPr>
        <w:spacing w:line="240" w:lineRule="auto"/>
      </w:pPr>
      <w:r>
        <w:separator/>
      </w:r>
    </w:p>
  </w:footnote>
  <w:footnote w:type="continuationSeparator" w:id="0">
    <w:p w14:paraId="628E8284" w14:textId="77777777" w:rsidR="00AB79E9" w:rsidRDefault="00AB79E9">
      <w:pPr>
        <w:spacing w:line="240" w:lineRule="auto"/>
      </w:pPr>
      <w:r>
        <w:continuationSeparator/>
      </w:r>
    </w:p>
  </w:footnote>
  <w:footnote w:id="1">
    <w:p w14:paraId="05953BBA" w14:textId="77777777" w:rsidR="005B299F" w:rsidRPr="007060BC" w:rsidRDefault="005B299F" w:rsidP="005B299F">
      <w:pPr>
        <w:pStyle w:val="Voetnoottekst"/>
        <w:rPr>
          <w:rFonts w:ascii="Verdana" w:hAnsi="Verdana"/>
          <w:sz w:val="16"/>
          <w:szCs w:val="16"/>
        </w:rPr>
      </w:pPr>
      <w:r w:rsidRPr="007060BC">
        <w:rPr>
          <w:rStyle w:val="Voetnootmarkering"/>
          <w:rFonts w:ascii="Verdana" w:hAnsi="Verdana"/>
          <w:sz w:val="16"/>
          <w:szCs w:val="16"/>
        </w:rPr>
        <w:footnoteRef/>
      </w:r>
      <w:r w:rsidRPr="007060BC">
        <w:rPr>
          <w:rFonts w:ascii="Verdana" w:hAnsi="Verdana"/>
          <w:sz w:val="16"/>
          <w:szCs w:val="16"/>
        </w:rPr>
        <w:t xml:space="preserve"> Of een andere status, zoals de toentertijd nog geldende vergunning tot verblijf op humanitaire gronden.</w:t>
      </w:r>
    </w:p>
  </w:footnote>
  <w:footnote w:id="2">
    <w:p w14:paraId="4920FD7A" w14:textId="77777777" w:rsidR="005B299F" w:rsidRPr="007060BC" w:rsidRDefault="005B299F" w:rsidP="005B299F">
      <w:pPr>
        <w:pStyle w:val="Voetnoottekst"/>
        <w:rPr>
          <w:rFonts w:ascii="Verdana" w:hAnsi="Verdana"/>
          <w:sz w:val="16"/>
          <w:szCs w:val="16"/>
        </w:rPr>
      </w:pPr>
      <w:r w:rsidRPr="007060BC">
        <w:rPr>
          <w:rStyle w:val="Voetnootmarkering"/>
          <w:rFonts w:ascii="Verdana" w:hAnsi="Verdana"/>
          <w:sz w:val="16"/>
          <w:szCs w:val="16"/>
        </w:rPr>
        <w:footnoteRef/>
      </w:r>
      <w:r w:rsidRPr="007060BC">
        <w:rPr>
          <w:rFonts w:ascii="Verdana" w:hAnsi="Verdana"/>
          <w:sz w:val="16"/>
          <w:szCs w:val="16"/>
        </w:rPr>
        <w:t xml:space="preserve"> Artikelen 3.13 en verder van het Vreemdelingenbesluit.</w:t>
      </w:r>
    </w:p>
  </w:footnote>
  <w:footnote w:id="3">
    <w:p w14:paraId="11A8FFEC" w14:textId="77777777" w:rsidR="005B299F" w:rsidRPr="007060BC" w:rsidRDefault="005B299F" w:rsidP="005B299F">
      <w:pPr>
        <w:pStyle w:val="Voetnoottekst"/>
        <w:rPr>
          <w:rFonts w:ascii="Verdana" w:hAnsi="Verdana"/>
          <w:sz w:val="16"/>
          <w:szCs w:val="16"/>
        </w:rPr>
      </w:pPr>
      <w:r w:rsidRPr="007060BC">
        <w:rPr>
          <w:rStyle w:val="Voetnootmarkering"/>
          <w:rFonts w:ascii="Verdana" w:hAnsi="Verdana"/>
          <w:sz w:val="16"/>
          <w:szCs w:val="16"/>
        </w:rPr>
        <w:footnoteRef/>
      </w:r>
      <w:r w:rsidRPr="007060BC">
        <w:rPr>
          <w:rFonts w:ascii="Verdana" w:hAnsi="Verdana"/>
          <w:sz w:val="16"/>
          <w:szCs w:val="16"/>
        </w:rPr>
        <w:t xml:space="preserve"> Of een beroep op het arrest C-560/20.</w:t>
      </w:r>
    </w:p>
  </w:footnote>
  <w:footnote w:id="4">
    <w:p w14:paraId="1B6EC8F8" w14:textId="77777777" w:rsidR="005B299F" w:rsidRPr="007060BC" w:rsidRDefault="005B299F" w:rsidP="005B299F">
      <w:pPr>
        <w:pStyle w:val="Voetnoottekst"/>
        <w:rPr>
          <w:rFonts w:ascii="Verdana" w:hAnsi="Verdana"/>
          <w:sz w:val="16"/>
          <w:szCs w:val="16"/>
        </w:rPr>
      </w:pPr>
      <w:r w:rsidRPr="007060BC">
        <w:rPr>
          <w:rStyle w:val="Voetnootmarkering"/>
          <w:rFonts w:ascii="Verdana" w:hAnsi="Verdana"/>
          <w:sz w:val="16"/>
          <w:szCs w:val="16"/>
        </w:rPr>
        <w:footnoteRef/>
      </w:r>
      <w:r w:rsidRPr="007060BC">
        <w:rPr>
          <w:rFonts w:ascii="Verdana" w:hAnsi="Verdana"/>
          <w:sz w:val="16"/>
          <w:szCs w:val="16"/>
        </w:rPr>
        <w:t xml:space="preserve"> Paragraaf 4, onderdeel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21D4" w14:textId="77777777" w:rsidR="00B17E3A" w:rsidRDefault="006B493C">
    <w:r>
      <w:rPr>
        <w:noProof/>
      </w:rPr>
      <mc:AlternateContent>
        <mc:Choice Requires="wps">
          <w:drawing>
            <wp:anchor distT="0" distB="0" distL="0" distR="0" simplePos="0" relativeHeight="251652608" behindDoc="0" locked="1" layoutInCell="1" allowOverlap="1" wp14:anchorId="2BD4D33D" wp14:editId="1EB8A59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CE121E" w14:textId="77777777" w:rsidR="00B17E3A" w:rsidRPr="00E510B6" w:rsidRDefault="006B493C">
                          <w:pPr>
                            <w:pStyle w:val="Referentiegegevens"/>
                            <w:rPr>
                              <w:b/>
                              <w:bCs/>
                            </w:rPr>
                          </w:pPr>
                          <w:r w:rsidRPr="00E510B6">
                            <w:rPr>
                              <w:b/>
                              <w:bCs/>
                            </w:rPr>
                            <w:t>Directie Wetgeving en Juridische Zaken</w:t>
                          </w:r>
                        </w:p>
                        <w:p w14:paraId="2E99F924" w14:textId="0AE296DB" w:rsidR="00B17E3A" w:rsidRDefault="00E510B6">
                          <w:pPr>
                            <w:pStyle w:val="Referentiegegevens"/>
                          </w:pPr>
                          <w:r>
                            <w:t xml:space="preserve">Sector </w:t>
                          </w:r>
                          <w:r w:rsidR="006B493C">
                            <w:t>Staats- en bestuursrecht</w:t>
                          </w:r>
                        </w:p>
                        <w:p w14:paraId="63F7B7A9" w14:textId="77777777" w:rsidR="00B17E3A" w:rsidRDefault="00B17E3A">
                          <w:pPr>
                            <w:pStyle w:val="WitregelW2"/>
                          </w:pPr>
                        </w:p>
                        <w:p w14:paraId="314DC994" w14:textId="77777777" w:rsidR="00B17E3A" w:rsidRDefault="006B493C">
                          <w:pPr>
                            <w:pStyle w:val="Referentiegegevensbold"/>
                          </w:pPr>
                          <w:r>
                            <w:t>Datum</w:t>
                          </w:r>
                        </w:p>
                        <w:p w14:paraId="103AFDEC" w14:textId="77777777" w:rsidR="00B17E3A" w:rsidRDefault="004D7BE6">
                          <w:pPr>
                            <w:pStyle w:val="Referentiegegevens"/>
                          </w:pPr>
                          <w:sdt>
                            <w:sdtPr>
                              <w:id w:val="-1696836005"/>
                              <w:date w:fullDate="2024-11-22T00:00:00Z">
                                <w:dateFormat w:val="d MMMM yyyy"/>
                                <w:lid w:val="nl"/>
                                <w:storeMappedDataAs w:val="dateTime"/>
                                <w:calendar w:val="gregorian"/>
                              </w:date>
                            </w:sdtPr>
                            <w:sdtEndPr/>
                            <w:sdtContent>
                              <w:r w:rsidR="006B493C">
                                <w:t>22 november 2024</w:t>
                              </w:r>
                            </w:sdtContent>
                          </w:sdt>
                        </w:p>
                        <w:p w14:paraId="422C0154" w14:textId="77777777" w:rsidR="00B17E3A" w:rsidRDefault="00B17E3A">
                          <w:pPr>
                            <w:pStyle w:val="WitregelW1"/>
                          </w:pPr>
                        </w:p>
                        <w:p w14:paraId="2D3BCF01" w14:textId="77777777" w:rsidR="00B17E3A" w:rsidRDefault="006B493C">
                          <w:pPr>
                            <w:pStyle w:val="Referentiegegevensbold"/>
                          </w:pPr>
                          <w:r>
                            <w:t>Onze referentie</w:t>
                          </w:r>
                        </w:p>
                        <w:p w14:paraId="6A812AE2" w14:textId="495E6686" w:rsidR="00B17E3A" w:rsidRDefault="00025099">
                          <w:pPr>
                            <w:pStyle w:val="Referentiegegevens"/>
                          </w:pPr>
                          <w:r>
                            <w:t>6218721</w:t>
                          </w:r>
                        </w:p>
                      </w:txbxContent>
                    </wps:txbx>
                    <wps:bodyPr vert="horz" wrap="square" lIns="0" tIns="0" rIns="0" bIns="0" anchor="t" anchorCtr="0"/>
                  </wps:wsp>
                </a:graphicData>
              </a:graphic>
            </wp:anchor>
          </w:drawing>
        </mc:Choice>
        <mc:Fallback>
          <w:pict>
            <v:shapetype w14:anchorId="2BD4D33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ACE121E" w14:textId="77777777" w:rsidR="00B17E3A" w:rsidRPr="00E510B6" w:rsidRDefault="006B493C">
                    <w:pPr>
                      <w:pStyle w:val="Referentiegegevens"/>
                      <w:rPr>
                        <w:b/>
                        <w:bCs/>
                      </w:rPr>
                    </w:pPr>
                    <w:r w:rsidRPr="00E510B6">
                      <w:rPr>
                        <w:b/>
                        <w:bCs/>
                      </w:rPr>
                      <w:t>Directie Wetgeving en Juridische Zaken</w:t>
                    </w:r>
                  </w:p>
                  <w:p w14:paraId="2E99F924" w14:textId="0AE296DB" w:rsidR="00B17E3A" w:rsidRDefault="00E510B6">
                    <w:pPr>
                      <w:pStyle w:val="Referentiegegevens"/>
                    </w:pPr>
                    <w:r>
                      <w:t xml:space="preserve">Sector </w:t>
                    </w:r>
                    <w:r w:rsidR="006B493C">
                      <w:t>Staats- en bestuursrecht</w:t>
                    </w:r>
                  </w:p>
                  <w:p w14:paraId="63F7B7A9" w14:textId="77777777" w:rsidR="00B17E3A" w:rsidRDefault="00B17E3A">
                    <w:pPr>
                      <w:pStyle w:val="WitregelW2"/>
                    </w:pPr>
                  </w:p>
                  <w:p w14:paraId="314DC994" w14:textId="77777777" w:rsidR="00B17E3A" w:rsidRDefault="006B493C">
                    <w:pPr>
                      <w:pStyle w:val="Referentiegegevensbold"/>
                    </w:pPr>
                    <w:r>
                      <w:t>Datum</w:t>
                    </w:r>
                  </w:p>
                  <w:p w14:paraId="103AFDEC" w14:textId="77777777" w:rsidR="00B17E3A" w:rsidRDefault="004D7BE6">
                    <w:pPr>
                      <w:pStyle w:val="Referentiegegevens"/>
                    </w:pPr>
                    <w:sdt>
                      <w:sdtPr>
                        <w:id w:val="-1696836005"/>
                        <w:date w:fullDate="2024-11-22T00:00:00Z">
                          <w:dateFormat w:val="d MMMM yyyy"/>
                          <w:lid w:val="nl"/>
                          <w:storeMappedDataAs w:val="dateTime"/>
                          <w:calendar w:val="gregorian"/>
                        </w:date>
                      </w:sdtPr>
                      <w:sdtEndPr/>
                      <w:sdtContent>
                        <w:r w:rsidR="006B493C">
                          <w:t>22 november 2024</w:t>
                        </w:r>
                      </w:sdtContent>
                    </w:sdt>
                  </w:p>
                  <w:p w14:paraId="422C0154" w14:textId="77777777" w:rsidR="00B17E3A" w:rsidRDefault="00B17E3A">
                    <w:pPr>
                      <w:pStyle w:val="WitregelW1"/>
                    </w:pPr>
                  </w:p>
                  <w:p w14:paraId="2D3BCF01" w14:textId="77777777" w:rsidR="00B17E3A" w:rsidRDefault="006B493C">
                    <w:pPr>
                      <w:pStyle w:val="Referentiegegevensbold"/>
                    </w:pPr>
                    <w:r>
                      <w:t>Onze referentie</w:t>
                    </w:r>
                  </w:p>
                  <w:p w14:paraId="6A812AE2" w14:textId="495E6686" w:rsidR="00B17E3A" w:rsidRDefault="00025099">
                    <w:pPr>
                      <w:pStyle w:val="Referentiegegevens"/>
                    </w:pPr>
                    <w:r>
                      <w:t>6218721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B5C1A4" wp14:editId="53D2690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573AD7" w14:textId="77777777" w:rsidR="006B493C" w:rsidRDefault="006B493C"/>
                      </w:txbxContent>
                    </wps:txbx>
                    <wps:bodyPr vert="horz" wrap="square" lIns="0" tIns="0" rIns="0" bIns="0" anchor="t" anchorCtr="0"/>
                  </wps:wsp>
                </a:graphicData>
              </a:graphic>
            </wp:anchor>
          </w:drawing>
        </mc:Choice>
        <mc:Fallback>
          <w:pict>
            <v:shape w14:anchorId="2CB5C1A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F573AD7" w14:textId="77777777" w:rsidR="006B493C" w:rsidRDefault="006B493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12F639" wp14:editId="547CBEA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3165F0" w14:textId="2F8EF90D" w:rsidR="00B17E3A" w:rsidRDefault="006B493C">
                          <w:pPr>
                            <w:pStyle w:val="Referentiegegevens"/>
                          </w:pPr>
                          <w:r>
                            <w:t xml:space="preserve">Pagina </w:t>
                          </w:r>
                          <w:r>
                            <w:fldChar w:fldCharType="begin"/>
                          </w:r>
                          <w:r>
                            <w:instrText>PAGE</w:instrText>
                          </w:r>
                          <w:r>
                            <w:fldChar w:fldCharType="separate"/>
                          </w:r>
                          <w:r w:rsidR="0061529D">
                            <w:rPr>
                              <w:noProof/>
                            </w:rPr>
                            <w:t>2</w:t>
                          </w:r>
                          <w:r>
                            <w:fldChar w:fldCharType="end"/>
                          </w:r>
                          <w:r>
                            <w:t xml:space="preserve"> van </w:t>
                          </w:r>
                          <w:r>
                            <w:fldChar w:fldCharType="begin"/>
                          </w:r>
                          <w:r>
                            <w:instrText>NUMPAGES</w:instrText>
                          </w:r>
                          <w:r>
                            <w:fldChar w:fldCharType="separate"/>
                          </w:r>
                          <w:r w:rsidR="0061529D">
                            <w:rPr>
                              <w:noProof/>
                            </w:rPr>
                            <w:t>3</w:t>
                          </w:r>
                          <w:r>
                            <w:fldChar w:fldCharType="end"/>
                          </w:r>
                        </w:p>
                      </w:txbxContent>
                    </wps:txbx>
                    <wps:bodyPr vert="horz" wrap="square" lIns="0" tIns="0" rIns="0" bIns="0" anchor="t" anchorCtr="0"/>
                  </wps:wsp>
                </a:graphicData>
              </a:graphic>
            </wp:anchor>
          </w:drawing>
        </mc:Choice>
        <mc:Fallback>
          <w:pict>
            <v:shape w14:anchorId="4A12F63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03165F0" w14:textId="2F8EF90D" w:rsidR="00B17E3A" w:rsidRDefault="006B493C">
                    <w:pPr>
                      <w:pStyle w:val="Referentiegegevens"/>
                    </w:pPr>
                    <w:r>
                      <w:t xml:space="preserve">Pagina </w:t>
                    </w:r>
                    <w:r>
                      <w:fldChar w:fldCharType="begin"/>
                    </w:r>
                    <w:r>
                      <w:instrText>PAGE</w:instrText>
                    </w:r>
                    <w:r>
                      <w:fldChar w:fldCharType="separate"/>
                    </w:r>
                    <w:r w:rsidR="0061529D">
                      <w:rPr>
                        <w:noProof/>
                      </w:rPr>
                      <w:t>2</w:t>
                    </w:r>
                    <w:r>
                      <w:fldChar w:fldCharType="end"/>
                    </w:r>
                    <w:r>
                      <w:t xml:space="preserve"> van </w:t>
                    </w:r>
                    <w:r>
                      <w:fldChar w:fldCharType="begin"/>
                    </w:r>
                    <w:r>
                      <w:instrText>NUMPAGES</w:instrText>
                    </w:r>
                    <w:r>
                      <w:fldChar w:fldCharType="separate"/>
                    </w:r>
                    <w:r w:rsidR="0061529D">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8485" w14:textId="77777777" w:rsidR="00B17E3A" w:rsidRDefault="006B493C">
    <w:pPr>
      <w:spacing w:after="6236" w:line="14" w:lineRule="exact"/>
    </w:pPr>
    <w:r>
      <w:rPr>
        <w:noProof/>
      </w:rPr>
      <mc:AlternateContent>
        <mc:Choice Requires="wps">
          <w:drawing>
            <wp:anchor distT="0" distB="0" distL="0" distR="0" simplePos="0" relativeHeight="251655680" behindDoc="0" locked="1" layoutInCell="1" allowOverlap="1" wp14:anchorId="50AACD41" wp14:editId="439126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A89796" w14:textId="62DD8430" w:rsidR="006B493C" w:rsidRDefault="000C632F">
                          <w:r>
                            <w:t>Aan de Minister van Asiel en Migratie</w:t>
                          </w:r>
                        </w:p>
                      </w:txbxContent>
                    </wps:txbx>
                    <wps:bodyPr vert="horz" wrap="square" lIns="0" tIns="0" rIns="0" bIns="0" anchor="t" anchorCtr="0"/>
                  </wps:wsp>
                </a:graphicData>
              </a:graphic>
            </wp:anchor>
          </w:drawing>
        </mc:Choice>
        <mc:Fallback>
          <w:pict>
            <v:shapetype w14:anchorId="50AACD4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EA89796" w14:textId="62DD8430" w:rsidR="006B493C" w:rsidRDefault="000C632F">
                    <w:r>
                      <w:t>Aan de 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7E1DCB" wp14:editId="2B49B7CF">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0618BA63" w14:textId="77777777" w:rsidR="00B17E3A" w:rsidRDefault="006B493C">
                          <w:r>
                            <w:t>Conceptwetsvoorstel tweestatusstelsel met nareisbeperkingen</w:t>
                          </w:r>
                        </w:p>
                      </w:txbxContent>
                    </wps:txbx>
                    <wps:bodyPr vert="horz" wrap="square" lIns="0" tIns="0" rIns="0" bIns="0" anchor="t" anchorCtr="0"/>
                  </wps:wsp>
                </a:graphicData>
              </a:graphic>
            </wp:anchor>
          </w:drawing>
        </mc:Choice>
        <mc:Fallback>
          <w:pict>
            <v:shape w14:anchorId="327E1DCB"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" filled="f" stroked="f">
              <v:textbox inset="0,0,0,0">
                <w:txbxContent>
                  <w:p w14:paraId="0618BA63" w14:textId="77777777" w:rsidR="00B17E3A" w:rsidRDefault="006B493C">
                    <w:r>
                      <w:t>Conceptwetsvoorstel tweestatusstelsel met nareisbeperkingen</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1D497B" wp14:editId="6C98BFE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909F3F" w14:textId="77777777" w:rsidR="00B17E3A" w:rsidRPr="00E510B6" w:rsidRDefault="006B493C">
                          <w:pPr>
                            <w:pStyle w:val="Referentiegegevens"/>
                            <w:rPr>
                              <w:b/>
                              <w:bCs/>
                            </w:rPr>
                          </w:pPr>
                          <w:r w:rsidRPr="00E510B6">
                            <w:rPr>
                              <w:b/>
                              <w:bCs/>
                            </w:rPr>
                            <w:t>Directie Wetgeving en Juridische Zaken</w:t>
                          </w:r>
                        </w:p>
                        <w:p w14:paraId="153A04AA" w14:textId="219F449C" w:rsidR="00B17E3A" w:rsidRDefault="00E510B6">
                          <w:pPr>
                            <w:pStyle w:val="Referentiegegevens"/>
                          </w:pPr>
                          <w:r>
                            <w:t xml:space="preserve">Sector </w:t>
                          </w:r>
                          <w:r w:rsidR="006B493C">
                            <w:t>Staats- en bestuursrecht</w:t>
                          </w:r>
                        </w:p>
                        <w:p w14:paraId="6DD199E3" w14:textId="77777777" w:rsidR="00B17E3A" w:rsidRDefault="00B17E3A">
                          <w:pPr>
                            <w:pStyle w:val="WitregelW1"/>
                          </w:pPr>
                        </w:p>
                        <w:p w14:paraId="1D099925" w14:textId="77777777" w:rsidR="00B17E3A" w:rsidRPr="005B299F" w:rsidRDefault="006B493C">
                          <w:pPr>
                            <w:pStyle w:val="Referentiegegevens"/>
                            <w:rPr>
                              <w:lang w:val="de-DE"/>
                            </w:rPr>
                          </w:pPr>
                          <w:r w:rsidRPr="005B299F">
                            <w:rPr>
                              <w:lang w:val="de-DE"/>
                            </w:rPr>
                            <w:t>Turfmarkt 147</w:t>
                          </w:r>
                        </w:p>
                        <w:p w14:paraId="1444E7B4" w14:textId="77777777" w:rsidR="00B17E3A" w:rsidRPr="005B299F" w:rsidRDefault="006B493C">
                          <w:pPr>
                            <w:pStyle w:val="Referentiegegevens"/>
                            <w:rPr>
                              <w:lang w:val="de-DE"/>
                            </w:rPr>
                          </w:pPr>
                          <w:r w:rsidRPr="005B299F">
                            <w:rPr>
                              <w:lang w:val="de-DE"/>
                            </w:rPr>
                            <w:t>2511 DP   Den Haag</w:t>
                          </w:r>
                        </w:p>
                        <w:p w14:paraId="32798DE7" w14:textId="77777777" w:rsidR="00B17E3A" w:rsidRPr="0061529D" w:rsidRDefault="006B493C">
                          <w:pPr>
                            <w:pStyle w:val="Referentiegegevens"/>
                            <w:rPr>
                              <w:lang w:val="de-DE"/>
                            </w:rPr>
                          </w:pPr>
                          <w:r w:rsidRPr="0061529D">
                            <w:rPr>
                              <w:lang w:val="de-DE"/>
                            </w:rPr>
                            <w:t>Postbus 20301</w:t>
                          </w:r>
                        </w:p>
                        <w:p w14:paraId="7C45A284" w14:textId="77777777" w:rsidR="00B17E3A" w:rsidRPr="0061529D" w:rsidRDefault="006B493C">
                          <w:pPr>
                            <w:pStyle w:val="Referentiegegevens"/>
                            <w:rPr>
                              <w:lang w:val="de-DE"/>
                            </w:rPr>
                          </w:pPr>
                          <w:r w:rsidRPr="0061529D">
                            <w:rPr>
                              <w:lang w:val="de-DE"/>
                            </w:rPr>
                            <w:t>2500 EH   Den Haag</w:t>
                          </w:r>
                        </w:p>
                        <w:p w14:paraId="1678ACB9" w14:textId="77777777" w:rsidR="00B17E3A" w:rsidRPr="0061529D" w:rsidRDefault="006B493C">
                          <w:pPr>
                            <w:pStyle w:val="Referentiegegevens"/>
                            <w:rPr>
                              <w:lang w:val="de-DE"/>
                            </w:rPr>
                          </w:pPr>
                          <w:r w:rsidRPr="0061529D">
                            <w:rPr>
                              <w:lang w:val="de-DE"/>
                            </w:rPr>
                            <w:t>www.rijksoverheid.nl/jenv</w:t>
                          </w:r>
                        </w:p>
                        <w:p w14:paraId="2E86F7F8" w14:textId="77777777" w:rsidR="00B17E3A" w:rsidRPr="0061529D" w:rsidRDefault="00B17E3A">
                          <w:pPr>
                            <w:pStyle w:val="WitregelW1"/>
                            <w:rPr>
                              <w:lang w:val="de-DE"/>
                            </w:rPr>
                          </w:pPr>
                        </w:p>
                        <w:p w14:paraId="06CCAD75" w14:textId="77777777" w:rsidR="00B17E3A" w:rsidRPr="0061529D" w:rsidRDefault="006B493C">
                          <w:pPr>
                            <w:pStyle w:val="Referentiegegevensbold"/>
                            <w:rPr>
                              <w:lang w:val="de-DE"/>
                            </w:rPr>
                          </w:pPr>
                          <w:r w:rsidRPr="0061529D">
                            <w:rPr>
                              <w:lang w:val="de-DE"/>
                            </w:rPr>
                            <w:t>Datum</w:t>
                          </w:r>
                        </w:p>
                        <w:p w14:paraId="75271461" w14:textId="77777777" w:rsidR="00B17E3A" w:rsidRPr="0061529D" w:rsidRDefault="004D7BE6">
                          <w:pPr>
                            <w:pStyle w:val="Referentiegegevens"/>
                            <w:rPr>
                              <w:lang w:val="de-DE"/>
                            </w:rPr>
                          </w:pPr>
                          <w:sdt>
                            <w:sdtPr>
                              <w:rPr>
                                <w:lang w:val="de-DE"/>
                              </w:rPr>
                              <w:id w:val="1947807469"/>
                              <w:date w:fullDate="2024-11-22T00:00:00Z">
                                <w:dateFormat w:val="d MMMM yyyy"/>
                                <w:lid w:val="nl"/>
                                <w:storeMappedDataAs w:val="dateTime"/>
                                <w:calendar w:val="gregorian"/>
                              </w:date>
                            </w:sdtPr>
                            <w:sdtEndPr/>
                            <w:sdtContent>
                              <w:r w:rsidR="006B493C" w:rsidRPr="0061529D">
                                <w:rPr>
                                  <w:lang w:val="de-DE"/>
                                </w:rPr>
                                <w:t>22 november 2024</w:t>
                              </w:r>
                            </w:sdtContent>
                          </w:sdt>
                        </w:p>
                        <w:p w14:paraId="7745B3E3" w14:textId="77777777" w:rsidR="00B17E3A" w:rsidRPr="0061529D" w:rsidRDefault="00B17E3A">
                          <w:pPr>
                            <w:pStyle w:val="WitregelW1"/>
                            <w:rPr>
                              <w:lang w:val="de-DE"/>
                            </w:rPr>
                          </w:pPr>
                        </w:p>
                        <w:p w14:paraId="481305F9" w14:textId="77777777" w:rsidR="00B17E3A" w:rsidRDefault="006B493C">
                          <w:pPr>
                            <w:pStyle w:val="Referentiegegevensbold"/>
                          </w:pPr>
                          <w:r>
                            <w:t>Onze referentie</w:t>
                          </w:r>
                        </w:p>
                        <w:p w14:paraId="1CD8FAB3" w14:textId="021A97EB" w:rsidR="00B17E3A" w:rsidRDefault="00025099">
                          <w:pPr>
                            <w:pStyle w:val="Referentiegegevens"/>
                          </w:pPr>
                          <w:r>
                            <w:t>6218721</w:t>
                          </w:r>
                        </w:p>
                        <w:p w14:paraId="4B166551" w14:textId="77777777" w:rsidR="00B17E3A" w:rsidRDefault="00B17E3A">
                          <w:pPr>
                            <w:pStyle w:val="WitregelW1"/>
                          </w:pPr>
                        </w:p>
                        <w:p w14:paraId="3539A86C" w14:textId="77777777" w:rsidR="00B17E3A" w:rsidRDefault="006B493C">
                          <w:pPr>
                            <w:pStyle w:val="Referentiegegevensbold"/>
                          </w:pPr>
                          <w:r>
                            <w:t>Bijlage(n)</w:t>
                          </w:r>
                        </w:p>
                        <w:p w14:paraId="7FFF0275" w14:textId="7CF976FE" w:rsidR="00B17E3A" w:rsidRDefault="0061529D">
                          <w:pPr>
                            <w:pStyle w:val="Referentiegegevens"/>
                          </w:pPr>
                          <w:r>
                            <w:t>5</w:t>
                          </w:r>
                        </w:p>
                      </w:txbxContent>
                    </wps:txbx>
                    <wps:bodyPr vert="horz" wrap="square" lIns="0" tIns="0" rIns="0" bIns="0" anchor="t" anchorCtr="0"/>
                  </wps:wsp>
                </a:graphicData>
              </a:graphic>
            </wp:anchor>
          </w:drawing>
        </mc:Choice>
        <mc:Fallback>
          <w:pict>
            <v:shape w14:anchorId="461D497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6909F3F" w14:textId="77777777" w:rsidR="00B17E3A" w:rsidRPr="00E510B6" w:rsidRDefault="006B493C">
                    <w:pPr>
                      <w:pStyle w:val="Referentiegegevens"/>
                      <w:rPr>
                        <w:b/>
                        <w:bCs/>
                      </w:rPr>
                    </w:pPr>
                    <w:r w:rsidRPr="00E510B6">
                      <w:rPr>
                        <w:b/>
                        <w:bCs/>
                      </w:rPr>
                      <w:t>Directie Wetgeving en Juridische Zaken</w:t>
                    </w:r>
                  </w:p>
                  <w:p w14:paraId="153A04AA" w14:textId="219F449C" w:rsidR="00B17E3A" w:rsidRDefault="00E510B6">
                    <w:pPr>
                      <w:pStyle w:val="Referentiegegevens"/>
                    </w:pPr>
                    <w:r>
                      <w:t xml:space="preserve">Sector </w:t>
                    </w:r>
                    <w:r w:rsidR="006B493C">
                      <w:t>Staats- en bestuursrecht</w:t>
                    </w:r>
                  </w:p>
                  <w:p w14:paraId="6DD199E3" w14:textId="77777777" w:rsidR="00B17E3A" w:rsidRDefault="00B17E3A">
                    <w:pPr>
                      <w:pStyle w:val="WitregelW1"/>
                    </w:pPr>
                  </w:p>
                  <w:p w14:paraId="1D099925" w14:textId="77777777" w:rsidR="00B17E3A" w:rsidRPr="005B299F" w:rsidRDefault="006B493C">
                    <w:pPr>
                      <w:pStyle w:val="Referentiegegevens"/>
                      <w:rPr>
                        <w:lang w:val="de-DE"/>
                      </w:rPr>
                    </w:pPr>
                    <w:r w:rsidRPr="005B299F">
                      <w:rPr>
                        <w:lang w:val="de-DE"/>
                      </w:rPr>
                      <w:t>Turfmarkt 147</w:t>
                    </w:r>
                  </w:p>
                  <w:p w14:paraId="1444E7B4" w14:textId="77777777" w:rsidR="00B17E3A" w:rsidRPr="005B299F" w:rsidRDefault="006B493C">
                    <w:pPr>
                      <w:pStyle w:val="Referentiegegevens"/>
                      <w:rPr>
                        <w:lang w:val="de-DE"/>
                      </w:rPr>
                    </w:pPr>
                    <w:r w:rsidRPr="005B299F">
                      <w:rPr>
                        <w:lang w:val="de-DE"/>
                      </w:rPr>
                      <w:t>2511 DP   Den Haag</w:t>
                    </w:r>
                  </w:p>
                  <w:p w14:paraId="32798DE7" w14:textId="77777777" w:rsidR="00B17E3A" w:rsidRPr="0061529D" w:rsidRDefault="006B493C">
                    <w:pPr>
                      <w:pStyle w:val="Referentiegegevens"/>
                      <w:rPr>
                        <w:lang w:val="de-DE"/>
                      </w:rPr>
                    </w:pPr>
                    <w:r w:rsidRPr="0061529D">
                      <w:rPr>
                        <w:lang w:val="de-DE"/>
                      </w:rPr>
                      <w:t>Postbus 20301</w:t>
                    </w:r>
                  </w:p>
                  <w:p w14:paraId="7C45A284" w14:textId="77777777" w:rsidR="00B17E3A" w:rsidRPr="0061529D" w:rsidRDefault="006B493C">
                    <w:pPr>
                      <w:pStyle w:val="Referentiegegevens"/>
                      <w:rPr>
                        <w:lang w:val="de-DE"/>
                      </w:rPr>
                    </w:pPr>
                    <w:r w:rsidRPr="0061529D">
                      <w:rPr>
                        <w:lang w:val="de-DE"/>
                      </w:rPr>
                      <w:t>2500 EH   Den Haag</w:t>
                    </w:r>
                  </w:p>
                  <w:p w14:paraId="1678ACB9" w14:textId="77777777" w:rsidR="00B17E3A" w:rsidRPr="0061529D" w:rsidRDefault="006B493C">
                    <w:pPr>
                      <w:pStyle w:val="Referentiegegevens"/>
                      <w:rPr>
                        <w:lang w:val="de-DE"/>
                      </w:rPr>
                    </w:pPr>
                    <w:r w:rsidRPr="0061529D">
                      <w:rPr>
                        <w:lang w:val="de-DE"/>
                      </w:rPr>
                      <w:t>www.rijksoverheid.nl/jenv</w:t>
                    </w:r>
                  </w:p>
                  <w:p w14:paraId="2E86F7F8" w14:textId="77777777" w:rsidR="00B17E3A" w:rsidRPr="0061529D" w:rsidRDefault="00B17E3A">
                    <w:pPr>
                      <w:pStyle w:val="WitregelW1"/>
                      <w:rPr>
                        <w:lang w:val="de-DE"/>
                      </w:rPr>
                    </w:pPr>
                  </w:p>
                  <w:p w14:paraId="06CCAD75" w14:textId="77777777" w:rsidR="00B17E3A" w:rsidRPr="0061529D" w:rsidRDefault="006B493C">
                    <w:pPr>
                      <w:pStyle w:val="Referentiegegevensbold"/>
                      <w:rPr>
                        <w:lang w:val="de-DE"/>
                      </w:rPr>
                    </w:pPr>
                    <w:r w:rsidRPr="0061529D">
                      <w:rPr>
                        <w:lang w:val="de-DE"/>
                      </w:rPr>
                      <w:t>Datum</w:t>
                    </w:r>
                  </w:p>
                  <w:p w14:paraId="75271461" w14:textId="77777777" w:rsidR="00B17E3A" w:rsidRPr="0061529D" w:rsidRDefault="004D7BE6">
                    <w:pPr>
                      <w:pStyle w:val="Referentiegegevens"/>
                      <w:rPr>
                        <w:lang w:val="de-DE"/>
                      </w:rPr>
                    </w:pPr>
                    <w:sdt>
                      <w:sdtPr>
                        <w:rPr>
                          <w:lang w:val="de-DE"/>
                        </w:rPr>
                        <w:id w:val="1947807469"/>
                        <w:date w:fullDate="2024-11-22T00:00:00Z">
                          <w:dateFormat w:val="d MMMM yyyy"/>
                          <w:lid w:val="nl"/>
                          <w:storeMappedDataAs w:val="dateTime"/>
                          <w:calendar w:val="gregorian"/>
                        </w:date>
                      </w:sdtPr>
                      <w:sdtEndPr/>
                      <w:sdtContent>
                        <w:r w:rsidR="006B493C" w:rsidRPr="0061529D">
                          <w:rPr>
                            <w:lang w:val="de-DE"/>
                          </w:rPr>
                          <w:t>22 november 2024</w:t>
                        </w:r>
                      </w:sdtContent>
                    </w:sdt>
                  </w:p>
                  <w:p w14:paraId="7745B3E3" w14:textId="77777777" w:rsidR="00B17E3A" w:rsidRPr="0061529D" w:rsidRDefault="00B17E3A">
                    <w:pPr>
                      <w:pStyle w:val="WitregelW1"/>
                      <w:rPr>
                        <w:lang w:val="de-DE"/>
                      </w:rPr>
                    </w:pPr>
                  </w:p>
                  <w:p w14:paraId="481305F9" w14:textId="77777777" w:rsidR="00B17E3A" w:rsidRDefault="006B493C">
                    <w:pPr>
                      <w:pStyle w:val="Referentiegegevensbold"/>
                    </w:pPr>
                    <w:r>
                      <w:t>Onze referentie</w:t>
                    </w:r>
                  </w:p>
                  <w:p w14:paraId="1CD8FAB3" w14:textId="021A97EB" w:rsidR="00B17E3A" w:rsidRDefault="00025099">
                    <w:pPr>
                      <w:pStyle w:val="Referentiegegevens"/>
                    </w:pPr>
                    <w:r>
                      <w:t>6218721</w:t>
                    </w:r>
                  </w:p>
                  <w:p w14:paraId="4B166551" w14:textId="77777777" w:rsidR="00B17E3A" w:rsidRDefault="00B17E3A">
                    <w:pPr>
                      <w:pStyle w:val="WitregelW1"/>
                    </w:pPr>
                  </w:p>
                  <w:p w14:paraId="3539A86C" w14:textId="77777777" w:rsidR="00B17E3A" w:rsidRDefault="006B493C">
                    <w:pPr>
                      <w:pStyle w:val="Referentiegegevensbold"/>
                    </w:pPr>
                    <w:r>
                      <w:t>Bijlage(n)</w:t>
                    </w:r>
                  </w:p>
                  <w:p w14:paraId="7FFF0275" w14:textId="7CF976FE" w:rsidR="00B17E3A" w:rsidRDefault="0061529D">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0636E4" wp14:editId="787490F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3E5330" w14:textId="77777777" w:rsidR="006B493C" w:rsidRDefault="006B493C"/>
                      </w:txbxContent>
                    </wps:txbx>
                    <wps:bodyPr vert="horz" wrap="square" lIns="0" tIns="0" rIns="0" bIns="0" anchor="t" anchorCtr="0"/>
                  </wps:wsp>
                </a:graphicData>
              </a:graphic>
            </wp:anchor>
          </w:drawing>
        </mc:Choice>
        <mc:Fallback>
          <w:pict>
            <v:shape w14:anchorId="3B0636E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13E5330" w14:textId="77777777" w:rsidR="006B493C" w:rsidRDefault="006B493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EAEA51" wp14:editId="112BE61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152105" w14:textId="0C78E30D" w:rsidR="00B17E3A" w:rsidRDefault="006B493C">
                          <w:pPr>
                            <w:pStyle w:val="Referentiegegevens"/>
                          </w:pPr>
                          <w:r>
                            <w:t xml:space="preserve">Pagina </w:t>
                          </w:r>
                          <w:r>
                            <w:fldChar w:fldCharType="begin"/>
                          </w:r>
                          <w:r>
                            <w:instrText>PAGE</w:instrText>
                          </w:r>
                          <w:r>
                            <w:fldChar w:fldCharType="separate"/>
                          </w:r>
                          <w:r w:rsidR="004D7BE6">
                            <w:rPr>
                              <w:noProof/>
                            </w:rPr>
                            <w:t>1</w:t>
                          </w:r>
                          <w:r>
                            <w:fldChar w:fldCharType="end"/>
                          </w:r>
                          <w:r>
                            <w:t xml:space="preserve"> van </w:t>
                          </w:r>
                          <w:r>
                            <w:fldChar w:fldCharType="begin"/>
                          </w:r>
                          <w:r>
                            <w:instrText>NUMPAGES</w:instrText>
                          </w:r>
                          <w:r>
                            <w:fldChar w:fldCharType="separate"/>
                          </w:r>
                          <w:r w:rsidR="004D7BE6">
                            <w:rPr>
                              <w:noProof/>
                            </w:rPr>
                            <w:t>1</w:t>
                          </w:r>
                          <w:r>
                            <w:fldChar w:fldCharType="end"/>
                          </w:r>
                        </w:p>
                      </w:txbxContent>
                    </wps:txbx>
                    <wps:bodyPr vert="horz" wrap="square" lIns="0" tIns="0" rIns="0" bIns="0" anchor="t" anchorCtr="0"/>
                  </wps:wsp>
                </a:graphicData>
              </a:graphic>
            </wp:anchor>
          </w:drawing>
        </mc:Choice>
        <mc:Fallback>
          <w:pict>
            <v:shape w14:anchorId="2AEAEA5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5152105" w14:textId="0C78E30D" w:rsidR="00B17E3A" w:rsidRDefault="006B493C">
                    <w:pPr>
                      <w:pStyle w:val="Referentiegegevens"/>
                    </w:pPr>
                    <w:r>
                      <w:t xml:space="preserve">Pagina </w:t>
                    </w:r>
                    <w:r>
                      <w:fldChar w:fldCharType="begin"/>
                    </w:r>
                    <w:r>
                      <w:instrText>PAGE</w:instrText>
                    </w:r>
                    <w:r>
                      <w:fldChar w:fldCharType="separate"/>
                    </w:r>
                    <w:r w:rsidR="004D7BE6">
                      <w:rPr>
                        <w:noProof/>
                      </w:rPr>
                      <w:t>1</w:t>
                    </w:r>
                    <w:r>
                      <w:fldChar w:fldCharType="end"/>
                    </w:r>
                    <w:r>
                      <w:t xml:space="preserve"> van </w:t>
                    </w:r>
                    <w:r>
                      <w:fldChar w:fldCharType="begin"/>
                    </w:r>
                    <w:r>
                      <w:instrText>NUMPAGES</w:instrText>
                    </w:r>
                    <w:r>
                      <w:fldChar w:fldCharType="separate"/>
                    </w:r>
                    <w:r w:rsidR="004D7BE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26D0D4" wp14:editId="5826320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98EC8E" w14:textId="77777777" w:rsidR="00B17E3A" w:rsidRDefault="006B493C">
                          <w:pPr>
                            <w:spacing w:line="240" w:lineRule="auto"/>
                          </w:pPr>
                          <w:r>
                            <w:rPr>
                              <w:noProof/>
                            </w:rPr>
                            <w:drawing>
                              <wp:inline distT="0" distB="0" distL="0" distR="0" wp14:anchorId="7A4B2308" wp14:editId="2F8BDC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6D0D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598EC8E" w14:textId="77777777" w:rsidR="00B17E3A" w:rsidRDefault="006B493C">
                    <w:pPr>
                      <w:spacing w:line="240" w:lineRule="auto"/>
                    </w:pPr>
                    <w:r>
                      <w:rPr>
                        <w:noProof/>
                      </w:rPr>
                      <w:drawing>
                        <wp:inline distT="0" distB="0" distL="0" distR="0" wp14:anchorId="7A4B2308" wp14:editId="2F8BDC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5913CC" wp14:editId="105965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2F81DC" w14:textId="77777777" w:rsidR="00B17E3A" w:rsidRDefault="006B493C">
                          <w:pPr>
                            <w:spacing w:line="240" w:lineRule="auto"/>
                          </w:pPr>
                          <w:r>
                            <w:rPr>
                              <w:noProof/>
                            </w:rPr>
                            <w:drawing>
                              <wp:inline distT="0" distB="0" distL="0" distR="0" wp14:anchorId="2398BD67" wp14:editId="35A6EA6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5913C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52F81DC" w14:textId="77777777" w:rsidR="00B17E3A" w:rsidRDefault="006B493C">
                    <w:pPr>
                      <w:spacing w:line="240" w:lineRule="auto"/>
                    </w:pPr>
                    <w:r>
                      <w:rPr>
                        <w:noProof/>
                      </w:rPr>
                      <w:drawing>
                        <wp:inline distT="0" distB="0" distL="0" distR="0" wp14:anchorId="2398BD67" wp14:editId="35A6EA6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8D6665" wp14:editId="5B9E01FD">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390E1B27" w14:textId="77777777" w:rsidR="00B17E3A" w:rsidRDefault="006B493C">
                          <w:pPr>
                            <w:spacing w:line="240" w:lineRule="auto"/>
                          </w:pPr>
                          <w:r>
                            <w:rPr>
                              <w:noProof/>
                            </w:rPr>
                            <w:drawing>
                              <wp:inline distT="0" distB="0" distL="0" distR="0" wp14:anchorId="5F7ACD3A" wp14:editId="05200E2E">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3"/>
                                        <a:stretch>
                                          <a:fillRect/>
                                        </a:stretch>
                                      </pic:blipFill>
                                      <pic:spPr bwMode="auto">
                                        <a:xfrm>
                                          <a:off x="0" y="0"/>
                                          <a:ext cx="1238250" cy="535376"/>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8D6665"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" filled="f" stroked="f">
              <v:textbox inset="0,0,0,0">
                <w:txbxContent>
                  <w:p w14:paraId="390E1B27" w14:textId="77777777" w:rsidR="00B17E3A" w:rsidRDefault="006B493C">
                    <w:pPr>
                      <w:spacing w:line="240" w:lineRule="auto"/>
                    </w:pPr>
                    <w:r>
                      <w:rPr>
                        <w:noProof/>
                      </w:rPr>
                      <w:drawing>
                        <wp:inline distT="0" distB="0" distL="0" distR="0" wp14:anchorId="5F7ACD3A" wp14:editId="05200E2E">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3"/>
                                  <a:stretch>
                                    <a:fillRect/>
                                  </a:stretch>
                                </pic:blipFill>
                                <pic:spPr bwMode="auto">
                                  <a:xfrm>
                                    <a:off x="0" y="0"/>
                                    <a:ext cx="1238250" cy="535376"/>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00D85"/>
    <w:multiLevelType w:val="multilevel"/>
    <w:tmpl w:val="FA4529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58B4721"/>
    <w:multiLevelType w:val="multilevel"/>
    <w:tmpl w:val="1C1C7E4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AD56D8"/>
    <w:multiLevelType w:val="hybridMultilevel"/>
    <w:tmpl w:val="B88096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917F8F"/>
    <w:multiLevelType w:val="multilevel"/>
    <w:tmpl w:val="60AEF3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64E482F"/>
    <w:multiLevelType w:val="hybridMultilevel"/>
    <w:tmpl w:val="1E142D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E650A8"/>
    <w:multiLevelType w:val="hybridMultilevel"/>
    <w:tmpl w:val="2BDE5EDC"/>
    <w:lvl w:ilvl="0" w:tplc="BFA82F20">
      <w:start w:val="2"/>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0552967"/>
    <w:multiLevelType w:val="multilevel"/>
    <w:tmpl w:val="F51A74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D7922"/>
    <w:multiLevelType w:val="multilevel"/>
    <w:tmpl w:val="21C556A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499176A1"/>
    <w:multiLevelType w:val="multilevel"/>
    <w:tmpl w:val="53624110"/>
    <w:lvl w:ilvl="0">
      <w:start w:val="1"/>
      <w:numFmt w:val="bullet"/>
      <w:lvlText w:val=""/>
      <w:lvlJc w:val="left"/>
      <w:pPr>
        <w:tabs>
          <w:tab w:val="num" w:pos="360"/>
        </w:tabs>
        <w:ind w:left="284" w:hanging="284"/>
      </w:pPr>
      <w:rPr>
        <w:rFonts w:ascii="Symbol" w:hAnsi="Symbol" w:hint="default"/>
        <w:sz w:val="20"/>
        <w:szCs w:val="20"/>
      </w:rPr>
    </w:lvl>
    <w:lvl w:ilvl="1">
      <w:start w:val="4"/>
      <w:numFmt w:val="bullet"/>
      <w:lvlText w:val="-"/>
      <w:lvlJc w:val="left"/>
      <w:pPr>
        <w:ind w:left="644" w:hanging="360"/>
      </w:pPr>
      <w:rPr>
        <w:rFonts w:ascii="Times New Roman" w:eastAsia="Times New Roman" w:hAnsi="Times New Roman" w:cs="Times New Roman" w:hint="default"/>
      </w:rPr>
    </w:lvl>
    <w:lvl w:ilvl="2">
      <w:start w:val="1"/>
      <w:numFmt w:val="bullet"/>
      <w:lvlText w:val=""/>
      <w:lvlJc w:val="left"/>
      <w:pPr>
        <w:tabs>
          <w:tab w:val="num" w:pos="928"/>
        </w:tabs>
        <w:ind w:left="852" w:hanging="284"/>
      </w:pPr>
      <w:rPr>
        <w:rFonts w:ascii="Symbol" w:hAnsi="Symbol" w:cs="Times New Roman" w:hint="default"/>
        <w:sz w:val="20"/>
        <w:szCs w:val="20"/>
      </w:rPr>
    </w:lvl>
    <w:lvl w:ilvl="3">
      <w:start w:val="1"/>
      <w:numFmt w:val="bullet"/>
      <w:lvlText w:val=""/>
      <w:lvlJc w:val="left"/>
      <w:pPr>
        <w:tabs>
          <w:tab w:val="num" w:pos="1212"/>
        </w:tabs>
        <w:ind w:left="1136" w:hanging="284"/>
      </w:pPr>
      <w:rPr>
        <w:rFonts w:ascii="Symbol" w:hAnsi="Symbol" w:hint="default"/>
        <w:sz w:val="20"/>
      </w:rPr>
    </w:lvl>
    <w:lvl w:ilvl="4">
      <w:start w:val="1"/>
      <w:numFmt w:val="bullet"/>
      <w:lvlText w:val=""/>
      <w:lvlJc w:val="left"/>
      <w:pPr>
        <w:tabs>
          <w:tab w:val="num" w:pos="1496"/>
        </w:tabs>
        <w:ind w:left="1420" w:hanging="284"/>
      </w:pPr>
      <w:rPr>
        <w:rFonts w:ascii="Symbol" w:hAnsi="Symbol" w:cs="Times New Roman" w:hint="default"/>
        <w:sz w:val="20"/>
        <w:szCs w:val="20"/>
      </w:rPr>
    </w:lvl>
    <w:lvl w:ilvl="5">
      <w:start w:val="1"/>
      <w:numFmt w:val="bullet"/>
      <w:lvlText w:val=""/>
      <w:lvlJc w:val="left"/>
      <w:pPr>
        <w:tabs>
          <w:tab w:val="num" w:pos="1780"/>
        </w:tabs>
        <w:ind w:left="1704" w:hanging="284"/>
      </w:pPr>
      <w:rPr>
        <w:rFonts w:ascii="Symbol" w:hAnsi="Symbol" w:cs="Times New Roman" w:hint="default"/>
        <w:sz w:val="20"/>
        <w:szCs w:val="20"/>
      </w:rPr>
    </w:lvl>
    <w:lvl w:ilvl="6">
      <w:start w:val="1"/>
      <w:numFmt w:val="bullet"/>
      <w:lvlText w:val=""/>
      <w:lvlJc w:val="left"/>
      <w:pPr>
        <w:tabs>
          <w:tab w:val="num" w:pos="2064"/>
        </w:tabs>
        <w:ind w:left="1988" w:hanging="284"/>
      </w:pPr>
      <w:rPr>
        <w:rFonts w:ascii="Symbol" w:hAnsi="Symbol" w:hint="default"/>
        <w:sz w:val="20"/>
      </w:rPr>
    </w:lvl>
    <w:lvl w:ilvl="7">
      <w:start w:val="1"/>
      <w:numFmt w:val="bullet"/>
      <w:lvlText w:val=""/>
      <w:lvlJc w:val="left"/>
      <w:pPr>
        <w:tabs>
          <w:tab w:val="num" w:pos="2348"/>
        </w:tabs>
        <w:ind w:left="2272" w:hanging="284"/>
      </w:pPr>
      <w:rPr>
        <w:rFonts w:ascii="Symbol" w:hAnsi="Symbol" w:hint="default"/>
        <w:sz w:val="20"/>
      </w:rPr>
    </w:lvl>
    <w:lvl w:ilvl="8">
      <w:start w:val="1"/>
      <w:numFmt w:val="bullet"/>
      <w:lvlText w:val=""/>
      <w:lvlJc w:val="left"/>
      <w:pPr>
        <w:tabs>
          <w:tab w:val="num" w:pos="2632"/>
        </w:tabs>
        <w:ind w:left="2556" w:hanging="284"/>
      </w:pPr>
      <w:rPr>
        <w:rFonts w:ascii="Symbol" w:hAnsi="Symbol" w:hint="default"/>
        <w:sz w:val="20"/>
      </w:rPr>
    </w:lvl>
  </w:abstractNum>
  <w:abstractNum w:abstractNumId="9" w15:restartNumberingAfterBreak="0">
    <w:nsid w:val="4DE62CC5"/>
    <w:multiLevelType w:val="hybridMultilevel"/>
    <w:tmpl w:val="ECE83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A4F9C7"/>
    <w:multiLevelType w:val="multilevel"/>
    <w:tmpl w:val="E5EFBF4E"/>
    <w:lvl w:ilvl="0">
      <w:start w:val="1"/>
      <w:numFmt w:val="decimal"/>
      <w:lvlText w:val="%1."/>
      <w:lvlJc w:val="left"/>
      <w:pPr>
        <w:ind w:left="453" w:hanging="453"/>
      </w:pPr>
    </w:lvl>
    <w:lvl w:ilvl="1">
      <w:start w:val="1"/>
      <w:numFmt w:val="decimal"/>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0073E86"/>
    <w:multiLevelType w:val="hybridMultilevel"/>
    <w:tmpl w:val="7E809480"/>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FB5CEF"/>
    <w:multiLevelType w:val="multilevel"/>
    <w:tmpl w:val="4BC624E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2"/>
  </w:num>
  <w:num w:numId="2">
    <w:abstractNumId w:val="1"/>
  </w:num>
  <w:num w:numId="3">
    <w:abstractNumId w:val="3"/>
  </w:num>
  <w:num w:numId="4">
    <w:abstractNumId w:val="6"/>
  </w:num>
  <w:num w:numId="5">
    <w:abstractNumId w:val="7"/>
  </w:num>
  <w:num w:numId="6">
    <w:abstractNumId w:val="0"/>
  </w:num>
  <w:num w:numId="7">
    <w:abstractNumId w:val="10"/>
  </w:num>
  <w:num w:numId="8">
    <w:abstractNumId w:val="11"/>
  </w:num>
  <w:num w:numId="9">
    <w:abstractNumId w:val="9"/>
  </w:num>
  <w:num w:numId="10">
    <w:abstractNumId w:val="8"/>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9D"/>
    <w:rsid w:val="00025099"/>
    <w:rsid w:val="000C632F"/>
    <w:rsid w:val="001344EA"/>
    <w:rsid w:val="0017515B"/>
    <w:rsid w:val="002C272E"/>
    <w:rsid w:val="002F3A89"/>
    <w:rsid w:val="003012A3"/>
    <w:rsid w:val="003D7396"/>
    <w:rsid w:val="00442465"/>
    <w:rsid w:val="004D7BE6"/>
    <w:rsid w:val="004E5633"/>
    <w:rsid w:val="00506AE6"/>
    <w:rsid w:val="0056318D"/>
    <w:rsid w:val="0057164B"/>
    <w:rsid w:val="005913AB"/>
    <w:rsid w:val="005B299F"/>
    <w:rsid w:val="005B2C5B"/>
    <w:rsid w:val="0061529D"/>
    <w:rsid w:val="006614A7"/>
    <w:rsid w:val="00670798"/>
    <w:rsid w:val="006B493C"/>
    <w:rsid w:val="007178C5"/>
    <w:rsid w:val="0073480C"/>
    <w:rsid w:val="007F3420"/>
    <w:rsid w:val="0085124F"/>
    <w:rsid w:val="00893B91"/>
    <w:rsid w:val="008B497A"/>
    <w:rsid w:val="009E2FC3"/>
    <w:rsid w:val="00A14971"/>
    <w:rsid w:val="00AB79E9"/>
    <w:rsid w:val="00AF225E"/>
    <w:rsid w:val="00B17E3A"/>
    <w:rsid w:val="00B6002A"/>
    <w:rsid w:val="00B941B7"/>
    <w:rsid w:val="00BD6DAE"/>
    <w:rsid w:val="00BE4500"/>
    <w:rsid w:val="00C50B44"/>
    <w:rsid w:val="00CC3556"/>
    <w:rsid w:val="00CF3F3B"/>
    <w:rsid w:val="00D7080D"/>
    <w:rsid w:val="00D7362C"/>
    <w:rsid w:val="00E510B6"/>
    <w:rsid w:val="00EC3C2F"/>
    <w:rsid w:val="00EC7507"/>
    <w:rsid w:val="00F23336"/>
    <w:rsid w:val="00F26325"/>
    <w:rsid w:val="00F41C37"/>
    <w:rsid w:val="00FE0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299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1529D"/>
    <w:pPr>
      <w:ind w:left="720"/>
      <w:contextualSpacing/>
    </w:pPr>
  </w:style>
  <w:style w:type="paragraph" w:styleId="Voetnoottekst">
    <w:name w:val="footnote text"/>
    <w:basedOn w:val="Standaard"/>
    <w:link w:val="VoetnoottekstChar"/>
    <w:uiPriority w:val="99"/>
    <w:unhideWhenUsed/>
    <w:rsid w:val="0061529D"/>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61529D"/>
    <w:rPr>
      <w:rFonts w:eastAsia="Times New Roman" w:cs="Times New Roman"/>
    </w:rPr>
  </w:style>
  <w:style w:type="character" w:styleId="Voetnootmarkering">
    <w:name w:val="footnote reference"/>
    <w:basedOn w:val="Standaardalinea-lettertype"/>
    <w:uiPriority w:val="99"/>
    <w:unhideWhenUsed/>
    <w:rsid w:val="0061529D"/>
    <w:rPr>
      <w:vertAlign w:val="superscript"/>
    </w:rPr>
  </w:style>
  <w:style w:type="paragraph" w:customStyle="1" w:styleId="broodtekst">
    <w:name w:val="broodtekst"/>
    <w:basedOn w:val="Standaard"/>
    <w:qFormat/>
    <w:rsid w:val="0061529D"/>
    <w:pPr>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6152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529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1762</ap:Words>
  <ap:Characters>9696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Nota Algemene Leiding - Conceptwetsvoorstel tweestatusstelsel met nareisbeperkingen</vt:lpstr>
    </vt:vector>
  </ap:TitlesOfParts>
  <ap:LinksUpToDate>false</ap:LinksUpToDate>
  <ap:CharactersWithSpaces>11436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2025-03-07T18:38:00.0000000Z</dcterms:created>
  <dcterms:modified xsi:type="dcterms:W3CDTF">2025-03-07T18:38:00.0000000Z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 Algemene Leiding - Conceptwetsvoorstel tweestatusstelsel met nareisbeperkingen</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november 2024 </vt:lpwstr>
  </property>
  <property fmtid="{D5CDD505-2E9C-101B-9397-08002B2CF9AE}" pid="13" name="Opgesteld door, Naam">
    <vt:lpwstr>mr. L.R.M. Brouwer</vt:lpwstr>
  </property>
  <property fmtid="{D5CDD505-2E9C-101B-9397-08002B2CF9AE}" pid="14" name="Opgesteld door, Telefoonnummer">
    <vt:lpwstr>06 - 50037022</vt:lpwstr>
  </property>
  <property fmtid="{D5CDD505-2E9C-101B-9397-08002B2CF9AE}" pid="15" name="Kenmerk">
    <vt:lpwstr>nnb</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