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B2C" w:rsidRDefault="00557B2C" w14:paraId="72E833FB" w14:textId="77777777"/>
    <w:p w:rsidRPr="00D301D8" w:rsidR="004D561F" w:rsidP="004D561F" w:rsidRDefault="00D34CDB" w14:paraId="511F2429" w14:textId="77777777">
      <w:r w:rsidRPr="00D34CDB">
        <w:t xml:space="preserve">Met deze brief informeer ik uw Kamer over een </w:t>
      </w:r>
      <w:r w:rsidR="00BC16EE">
        <w:t xml:space="preserve">aantal </w:t>
      </w:r>
      <w:r w:rsidRPr="00D34CDB">
        <w:t xml:space="preserve">pensioenonderwerpen. Aan de orde komen </w:t>
      </w:r>
      <w:r w:rsidR="004D561F">
        <w:t>het onderzoek pensioencriteria in a</w:t>
      </w:r>
      <w:r>
        <w:t>anbesteding</w:t>
      </w:r>
      <w:r w:rsidR="004D561F">
        <w:t>en</w:t>
      </w:r>
      <w:r>
        <w:t xml:space="preserve"> </w:t>
      </w:r>
      <w:r w:rsidR="00E90807">
        <w:t xml:space="preserve">en de stand van zaken </w:t>
      </w:r>
      <w:r w:rsidR="004D561F">
        <w:t xml:space="preserve">betreffende </w:t>
      </w:r>
      <w:r w:rsidR="00E90807">
        <w:t>d</w:t>
      </w:r>
      <w:r>
        <w:t>iversiteit in pensioenfondsbesturen</w:t>
      </w:r>
      <w:r w:rsidR="00E90807">
        <w:t xml:space="preserve">. Tevens </w:t>
      </w:r>
      <w:r>
        <w:t xml:space="preserve">maak ik hierbij van de gelegenheid gebruik om u te informeren over </w:t>
      </w:r>
      <w:r w:rsidR="00D301D8">
        <w:t>de</w:t>
      </w:r>
      <w:r w:rsidRPr="00D301D8" w:rsidR="00D301D8">
        <w:t xml:space="preserve"> </w:t>
      </w:r>
      <w:r w:rsidR="00D301D8">
        <w:t>g</w:t>
      </w:r>
      <w:r w:rsidRPr="00D301D8" w:rsidR="00D301D8">
        <w:rPr>
          <w:rFonts w:eastAsia="Calibri" w:cs="Times New Roman"/>
          <w:color w:val="auto"/>
          <w:kern w:val="2"/>
          <w:lang w:eastAsia="en-US"/>
          <w14:ligatures w14:val="standardContextual"/>
        </w:rPr>
        <w:t>evolgen van de vertraging van de behandeling wetsvoorstel verlenging pensioentransitie</w:t>
      </w:r>
      <w:r w:rsidR="004D561F">
        <w:t xml:space="preserve">. </w:t>
      </w:r>
      <w:r w:rsidRPr="004D561F">
        <w:rPr>
          <w:b/>
          <w:bCs/>
        </w:rPr>
        <w:t xml:space="preserve"> </w:t>
      </w:r>
    </w:p>
    <w:p w:rsidRPr="004D561F" w:rsidR="004D561F" w:rsidP="004D561F" w:rsidRDefault="004D561F" w14:paraId="32BB1C07" w14:textId="77777777">
      <w:pPr>
        <w:rPr>
          <w:b/>
          <w:bCs/>
        </w:rPr>
      </w:pPr>
    </w:p>
    <w:p w:rsidRPr="004D561F" w:rsidR="006D7877" w:rsidP="004D561F" w:rsidRDefault="006D7877" w14:paraId="4F2EF7EF" w14:textId="77777777">
      <w:pPr>
        <w:pStyle w:val="Lijstalinea"/>
        <w:numPr>
          <w:ilvl w:val="0"/>
          <w:numId w:val="9"/>
        </w:numPr>
        <w:ind w:left="284" w:hanging="284"/>
        <w:rPr>
          <w:b/>
          <w:bCs/>
        </w:rPr>
      </w:pPr>
      <w:r w:rsidRPr="004D561F">
        <w:rPr>
          <w:b/>
          <w:bCs/>
        </w:rPr>
        <w:t xml:space="preserve">Onderzoek </w:t>
      </w:r>
      <w:r w:rsidRPr="004D561F" w:rsidR="004D561F">
        <w:rPr>
          <w:b/>
          <w:bCs/>
        </w:rPr>
        <w:t xml:space="preserve">pensioencriteria in </w:t>
      </w:r>
      <w:r w:rsidRPr="004D561F">
        <w:rPr>
          <w:b/>
          <w:bCs/>
        </w:rPr>
        <w:t>aanbesteding</w:t>
      </w:r>
      <w:r w:rsidRPr="004D561F" w:rsidR="004D561F">
        <w:rPr>
          <w:b/>
          <w:bCs/>
        </w:rPr>
        <w:t>en</w:t>
      </w:r>
      <w:r w:rsidRPr="004D561F">
        <w:rPr>
          <w:b/>
          <w:bCs/>
        </w:rPr>
        <w:t xml:space="preserve"> </w:t>
      </w:r>
    </w:p>
    <w:p w:rsidR="004D561F" w:rsidP="004D561F" w:rsidRDefault="004D561F" w14:paraId="57EA58ED" w14:textId="77777777">
      <w:pPr>
        <w:rPr>
          <w:bCs/>
        </w:rPr>
      </w:pPr>
      <w:r w:rsidRPr="004D561F">
        <w:rPr>
          <w:bCs/>
        </w:rPr>
        <w:t>In de motie van de leden Van Beukering-Huijbregts (D66) en Nijboer (PvdA) is de regering verzocht om ervoor te zorgen dat alle werknemers van een opdracht die door de overheid is aan- of uitbesteed aan een externe onderneming vanaf 1 juli 2023 in voldoende mate pensioen opbouwen.</w:t>
      </w:r>
      <w:r>
        <w:rPr>
          <w:rStyle w:val="Voetnootmarkering"/>
          <w:bCs/>
        </w:rPr>
        <w:footnoteReference w:id="1"/>
      </w:r>
      <w:r w:rsidRPr="004D561F">
        <w:rPr>
          <w:bCs/>
        </w:rPr>
        <w:t xml:space="preserve"> Mijn ambtsvoorganger heeft de motie geïnterpreteerd als een verzoek om te onderzoeken in hoeverre het juridisch mogelijk is dat er bij de aanbesteding een pensioenregeling wordt vereist. Een dergelijke eis is ook een van de onderdelen van het aanvalsplan Witte vlek van de Stichting van de Arbeid.</w:t>
      </w:r>
      <w:r>
        <w:rPr>
          <w:rStyle w:val="Voetnootmarkering"/>
          <w:bCs/>
        </w:rPr>
        <w:footnoteReference w:id="2"/>
      </w:r>
    </w:p>
    <w:p w:rsidR="004D561F" w:rsidP="004D561F" w:rsidRDefault="004D561F" w14:paraId="5462526A" w14:textId="77777777">
      <w:pPr>
        <w:rPr>
          <w:bCs/>
        </w:rPr>
      </w:pPr>
    </w:p>
    <w:p w:rsidR="004D561F" w:rsidP="004D561F" w:rsidRDefault="004D561F" w14:paraId="5B008FF0" w14:textId="77777777">
      <w:pPr>
        <w:rPr>
          <w:bCs/>
        </w:rPr>
      </w:pPr>
      <w:r w:rsidRPr="004D561F">
        <w:rPr>
          <w:bCs/>
        </w:rPr>
        <w:t xml:space="preserve">Naar aanleiding van de motie heeft mr. M.C. Pinto van DLVP Advocaten in opdracht </w:t>
      </w:r>
      <w:r w:rsidR="00EC05AA">
        <w:rPr>
          <w:bCs/>
        </w:rPr>
        <w:t>de m</w:t>
      </w:r>
      <w:r w:rsidRPr="004D561F">
        <w:rPr>
          <w:bCs/>
        </w:rPr>
        <w:t>inisterie</w:t>
      </w:r>
      <w:r w:rsidR="00EC05AA">
        <w:rPr>
          <w:bCs/>
        </w:rPr>
        <w:t>s</w:t>
      </w:r>
      <w:r w:rsidRPr="004D561F">
        <w:rPr>
          <w:bCs/>
        </w:rPr>
        <w:t xml:space="preserve"> van Sociale Zaken en Werkgelegenheid (SZW) e</w:t>
      </w:r>
      <w:r w:rsidR="00EC05AA">
        <w:rPr>
          <w:bCs/>
        </w:rPr>
        <w:t>n</w:t>
      </w:r>
      <w:r w:rsidRPr="004D561F">
        <w:rPr>
          <w:bCs/>
        </w:rPr>
        <w:t xml:space="preserve"> Economische Zaken (EZ) de mogelijkheden onderzocht voor het opnemen van pensioen als voorwaarde dan wel criterium in aanbestedingsprocedures. Hierbij informeer ik uw Kamer over de strekking van zijn rapport en het vervolg dat ik eraan geef. Het rapport ontvangt u als bijlage bij deze brief</w:t>
      </w:r>
      <w:r>
        <w:rPr>
          <w:bCs/>
        </w:rPr>
        <w:t xml:space="preserve"> </w:t>
      </w:r>
      <w:r>
        <w:t>(zie bijlage 1)</w:t>
      </w:r>
      <w:r w:rsidRPr="004D561F">
        <w:rPr>
          <w:bCs/>
        </w:rPr>
        <w:t>.</w:t>
      </w:r>
    </w:p>
    <w:p w:rsidRPr="004D561F" w:rsidR="004D561F" w:rsidP="004D561F" w:rsidRDefault="004D561F" w14:paraId="3F9EC573" w14:textId="77777777">
      <w:pPr>
        <w:rPr>
          <w:bCs/>
        </w:rPr>
      </w:pPr>
    </w:p>
    <w:p w:rsidRPr="004D561F" w:rsidR="004D561F" w:rsidP="004D561F" w:rsidRDefault="004D561F" w14:paraId="4909AFC2" w14:textId="77777777">
      <w:pPr>
        <w:rPr>
          <w:bCs/>
        </w:rPr>
      </w:pPr>
      <w:r w:rsidRPr="004D561F">
        <w:rPr>
          <w:bCs/>
        </w:rPr>
        <w:t xml:space="preserve">Doel van de motie is om het aantal werknemers zonder pensioenopbouw te reduceren. Ik onderschrijf het belang van een dergelijke reductie. </w:t>
      </w:r>
      <w:bookmarkStart w:name="_Hlk192087215" w:id="0"/>
      <w:r w:rsidR="00BC16EE">
        <w:rPr>
          <w:bCs/>
        </w:rPr>
        <w:t>Uit h</w:t>
      </w:r>
      <w:r w:rsidRPr="004D561F">
        <w:rPr>
          <w:bCs/>
        </w:rPr>
        <w:t xml:space="preserve">et </w:t>
      </w:r>
      <w:r w:rsidR="00BC16EE">
        <w:rPr>
          <w:bCs/>
        </w:rPr>
        <w:t>onderzoek blijkt dat het voor aanbestedende diensten nu reeds mogelijk is om een</w:t>
      </w:r>
      <w:r w:rsidRPr="004D561F">
        <w:rPr>
          <w:bCs/>
        </w:rPr>
        <w:t xml:space="preserve"> voorwaarde</w:t>
      </w:r>
      <w:r w:rsidR="00BC16EE">
        <w:rPr>
          <w:bCs/>
        </w:rPr>
        <w:t xml:space="preserve"> te stellen dat pensioen wordt opgebouwd</w:t>
      </w:r>
      <w:r w:rsidRPr="004D561F">
        <w:rPr>
          <w:bCs/>
        </w:rPr>
        <w:t xml:space="preserve"> </w:t>
      </w:r>
      <w:r w:rsidR="00BC16EE">
        <w:rPr>
          <w:bCs/>
        </w:rPr>
        <w:t>voor zover</w:t>
      </w:r>
      <w:r w:rsidRPr="004D561F">
        <w:rPr>
          <w:bCs/>
        </w:rPr>
        <w:t xml:space="preserve"> het gaat om ondernemingen die onder een verplichtstelling vallen en dus al verplicht zijn om een pensioenregeling voor hun werknemers te hebben.</w:t>
      </w:r>
      <w:bookmarkEnd w:id="0"/>
      <w:r>
        <w:rPr>
          <w:rStyle w:val="Voetnootmarkering"/>
          <w:bCs/>
        </w:rPr>
        <w:footnoteReference w:id="3"/>
      </w:r>
      <w:r w:rsidRPr="004D561F">
        <w:rPr>
          <w:bCs/>
        </w:rPr>
        <w:t xml:space="preserve"> </w:t>
      </w:r>
    </w:p>
    <w:p w:rsidR="009604AF" w:rsidP="009604AF" w:rsidRDefault="009604AF" w14:paraId="13A87D4C" w14:textId="77777777">
      <w:pPr>
        <w:rPr>
          <w:bCs/>
        </w:rPr>
      </w:pPr>
    </w:p>
    <w:p w:rsidR="009604AF" w:rsidP="009604AF" w:rsidRDefault="004D561F" w14:paraId="41DB7B97" w14:textId="77777777">
      <w:pPr>
        <w:rPr>
          <w:bCs/>
        </w:rPr>
      </w:pPr>
      <w:r w:rsidRPr="009604AF">
        <w:rPr>
          <w:bCs/>
        </w:rPr>
        <w:lastRenderedPageBreak/>
        <w:t xml:space="preserve">Om </w:t>
      </w:r>
      <w:r w:rsidR="00BC16EE">
        <w:rPr>
          <w:bCs/>
        </w:rPr>
        <w:t xml:space="preserve">echter alle </w:t>
      </w:r>
      <w:r w:rsidRPr="009604AF">
        <w:rPr>
          <w:bCs/>
        </w:rPr>
        <w:t xml:space="preserve">aanbestedende diensten </w:t>
      </w:r>
      <w:r w:rsidRPr="00F47D6D">
        <w:rPr>
          <w:bCs/>
          <w:i/>
          <w:iCs/>
        </w:rPr>
        <w:t>te verplichten</w:t>
      </w:r>
      <w:r w:rsidRPr="009604AF">
        <w:rPr>
          <w:bCs/>
        </w:rPr>
        <w:t xml:space="preserve"> pensioenvoorwaarden te stellen als uitsluitingsgrond of uitsluitingsvoorwaarde, zowel in sectoren waarvoor een verplichtstelling geldt als in sectoren waarvoor geen verplichtstelling geldt, is aanvullende wetgeving noodzakelijk. Deze wetgeving moet in overeenstemming zijn met de, uit het Unierecht voortvloeiende, aanbestedingsrechtelijke beginselen waaronder non-discriminatie en proportionaliteit.</w:t>
      </w:r>
    </w:p>
    <w:p w:rsidR="00F47D6D" w:rsidP="009604AF" w:rsidRDefault="00F47D6D" w14:paraId="1C21256D" w14:textId="77777777">
      <w:pPr>
        <w:rPr>
          <w:bCs/>
        </w:rPr>
      </w:pPr>
    </w:p>
    <w:p w:rsidRPr="009604AF" w:rsidR="004D561F" w:rsidP="009604AF" w:rsidRDefault="004D561F" w14:paraId="3EA58AB5" w14:textId="77777777">
      <w:pPr>
        <w:rPr>
          <w:bCs/>
        </w:rPr>
      </w:pPr>
      <w:r w:rsidRPr="009604AF">
        <w:rPr>
          <w:bCs/>
        </w:rPr>
        <w:t xml:space="preserve">Voor zover de uit de wetgeving voortvloeiende verplichting betrekking heeft op sectoren waarvoor een verplichtstelling geldt, lijkt aan die eisen eerder voldaan. Tegelijkertijd zal in die sectoren een dergelijke verplichting niet leiden tot een significante bijdrage aan de reductiedoelstelling. </w:t>
      </w:r>
      <w:r w:rsidR="00BC16EE">
        <w:rPr>
          <w:bCs/>
        </w:rPr>
        <w:t xml:space="preserve">Immers, deze bedrijven zijn op grond van de verplichtstelling al gehouden om pensioen op te bouwen voor hun werknemers. </w:t>
      </w:r>
      <w:r w:rsidRPr="009604AF">
        <w:rPr>
          <w:bCs/>
        </w:rPr>
        <w:t xml:space="preserve">Voor zover de uit de wetgeving voortvloeiende verplichting betrekking heeft op sectoren waarvoor geen verplichtstelling geldt, zal deze niet snel aan het proportionaliteitsvereiste voldoen. </w:t>
      </w:r>
      <w:r w:rsidR="00BC16EE">
        <w:rPr>
          <w:bCs/>
        </w:rPr>
        <w:t xml:space="preserve">Om aan het proportionaliteitsvereiste te voldoen, moet een dergelijke verplichting worden beperkt tot de pensioenopbouw voor de duur van de opdracht en alleen tot de werknemers die betrokken zijn bij de opdracht. Daarbij rijst de vraag wat de meerwaarde van een dergelijke verplichting is, omdat de duur en de omvang van de pensioenregeling beperkt blijft. </w:t>
      </w:r>
      <w:r w:rsidRPr="009604AF">
        <w:rPr>
          <w:bCs/>
        </w:rPr>
        <w:t xml:space="preserve">Aanvullende wetgeving zal daarom naar verwachting slechts marginaal kunnen bijdragen aan de reductiedoelstelling. </w:t>
      </w:r>
    </w:p>
    <w:p w:rsidR="009604AF" w:rsidP="009604AF" w:rsidRDefault="009604AF" w14:paraId="6FC71FDC" w14:textId="77777777">
      <w:pPr>
        <w:rPr>
          <w:bCs/>
        </w:rPr>
      </w:pPr>
    </w:p>
    <w:p w:rsidRPr="009604AF" w:rsidR="004D561F" w:rsidP="009604AF" w:rsidRDefault="004D561F" w14:paraId="451E4085" w14:textId="77777777">
      <w:pPr>
        <w:rPr>
          <w:bCs/>
        </w:rPr>
      </w:pPr>
      <w:r w:rsidRPr="009604AF">
        <w:rPr>
          <w:bCs/>
        </w:rPr>
        <w:t xml:space="preserve">Daarnaast moet meegewogen worden dat de administratieve lasten voor uit- en aanbestedende (decentrale) overheden toe zouden nemen, omdat deze partijen de pensioenregelingen van inschrijvers zouden moeten toetsen, terwijl zij hiertoe beperkte mogelijkheden hebben. Op basis van het bovenstaande concludeer ik dat het introduceren van wetgeving om </w:t>
      </w:r>
      <w:r w:rsidR="00BC16EE">
        <w:rPr>
          <w:bCs/>
        </w:rPr>
        <w:t>te verplichten</w:t>
      </w:r>
      <w:r w:rsidRPr="009604AF">
        <w:rPr>
          <w:bCs/>
        </w:rPr>
        <w:t xml:space="preserve"> dat aanbestedende diensten bij opdrachten die betrekking hebben op sectoren waarin geen verplichtstelling geldt</w:t>
      </w:r>
      <w:r w:rsidR="00BC16EE">
        <w:rPr>
          <w:bCs/>
        </w:rPr>
        <w:t xml:space="preserve"> pensioenvoorwaarden opnemen</w:t>
      </w:r>
      <w:r w:rsidRPr="009604AF">
        <w:rPr>
          <w:bCs/>
        </w:rPr>
        <w:t xml:space="preserve">, niet doelmatig en doeltreffend is. </w:t>
      </w:r>
    </w:p>
    <w:p w:rsidR="009604AF" w:rsidP="009604AF" w:rsidRDefault="009604AF" w14:paraId="349E0310" w14:textId="77777777">
      <w:pPr>
        <w:rPr>
          <w:bCs/>
        </w:rPr>
      </w:pPr>
    </w:p>
    <w:p w:rsidRPr="009604AF" w:rsidR="004D561F" w:rsidP="009604AF" w:rsidRDefault="004D561F" w14:paraId="2CE84100" w14:textId="77777777">
      <w:pPr>
        <w:rPr>
          <w:bCs/>
        </w:rPr>
      </w:pPr>
      <w:r w:rsidRPr="009604AF">
        <w:rPr>
          <w:bCs/>
        </w:rPr>
        <w:t xml:space="preserve">Ik heb samen met de sociale partners in de afgelopen jaren verschillende andere maatregelen genomen die bijdragen aan de reducering van het aantal werknemers zonder pensioenopbouw. Afgelopen periode liep een campagne gericht op werkgevers die nog geen pensioenregeling voor hun werknemers getroffen hebben. In de campagne worden deze werkgevers aangespoord het gesprek hierover aan te gaan met hun werknemers en worden concrete voorbeelden gedeeld van pensioenlasten. </w:t>
      </w:r>
    </w:p>
    <w:p w:rsidR="009604AF" w:rsidP="009604AF" w:rsidRDefault="009604AF" w14:paraId="65125BB7" w14:textId="77777777">
      <w:pPr>
        <w:rPr>
          <w:bCs/>
        </w:rPr>
      </w:pPr>
    </w:p>
    <w:p w:rsidRPr="009604AF" w:rsidR="004D561F" w:rsidP="009604AF" w:rsidRDefault="004D561F" w14:paraId="0C555699" w14:textId="77777777">
      <w:pPr>
        <w:rPr>
          <w:bCs/>
        </w:rPr>
      </w:pPr>
      <w:r w:rsidRPr="009604AF">
        <w:rPr>
          <w:bCs/>
        </w:rPr>
        <w:t>Na de zomer van 2025 zullen de CBS-cijfers over 2023 gepubliceerd worden over de hoogte van het aantal werknemers zonder pensioenopbouw. De effecten van het laten vervallen van de wachttijd tot toetreding van een pensioenregeling voor uitzendkrachten zullen in deze cijfers zichtbaar worden. Hiermee kan een recenter beeld geschetst worden van de stand van zaken.</w:t>
      </w:r>
    </w:p>
    <w:p w:rsidR="009604AF" w:rsidP="009604AF" w:rsidRDefault="009604AF" w14:paraId="40E7DA43" w14:textId="77777777">
      <w:pPr>
        <w:rPr>
          <w:bCs/>
        </w:rPr>
      </w:pPr>
    </w:p>
    <w:p w:rsidRPr="009604AF" w:rsidR="004D561F" w:rsidP="009604AF" w:rsidRDefault="004D561F" w14:paraId="19AD1C67" w14:textId="77777777">
      <w:pPr>
        <w:rPr>
          <w:bCs/>
        </w:rPr>
      </w:pPr>
      <w:r w:rsidRPr="009604AF">
        <w:rPr>
          <w:bCs/>
        </w:rPr>
        <w:t xml:space="preserve">Pensioen in de tweede pijler is een arbeidsvoorwaarde. Dit betekent dat hieraan invulling wordt gegeven door de sociale partners. Het kabinet blijft zich samen met de Stichting van de Arbeid inspannen om de reductiedoelstelling in 2028 te behalen. In dat verband zal het CBS na de zomer 2025 nieuwe cijfers publiceren, en wordt in 2026 tussentijds geëvalueerd in hoeverre de genomen maatregelen effect hebben gesorteerd. Hierover wordt uw Kamer te zijner tijd geïnformeerd. </w:t>
      </w:r>
    </w:p>
    <w:p w:rsidR="002E5312" w:rsidP="009604AF" w:rsidRDefault="002E5312" w14:paraId="212749A7" w14:textId="77777777">
      <w:pPr>
        <w:pStyle w:val="Lijstalinea"/>
      </w:pPr>
    </w:p>
    <w:p w:rsidR="00F47D6D" w:rsidP="009604AF" w:rsidRDefault="00F47D6D" w14:paraId="7B4141EA" w14:textId="77777777">
      <w:pPr>
        <w:pStyle w:val="Lijstalinea"/>
      </w:pPr>
    </w:p>
    <w:p w:rsidR="00F47D6D" w:rsidP="009604AF" w:rsidRDefault="00F47D6D" w14:paraId="118A9B55" w14:textId="77777777">
      <w:pPr>
        <w:pStyle w:val="Lijstalinea"/>
      </w:pPr>
    </w:p>
    <w:p w:rsidR="002E5312" w:rsidP="009604AF" w:rsidRDefault="002E5312" w14:paraId="0D75BFF5" w14:textId="77777777">
      <w:pPr>
        <w:pStyle w:val="Lijstalinea"/>
        <w:numPr>
          <w:ilvl w:val="0"/>
          <w:numId w:val="9"/>
        </w:numPr>
        <w:textAlignment w:val="auto"/>
        <w:rPr>
          <w:rFonts w:eastAsia="Times New Roman" w:cs="Times New Roman"/>
          <w:b/>
          <w:bCs/>
          <w:color w:val="auto"/>
        </w:rPr>
      </w:pPr>
      <w:r>
        <w:rPr>
          <w:rFonts w:eastAsia="Times New Roman" w:cs="Times New Roman"/>
          <w:b/>
          <w:bCs/>
          <w:color w:val="auto"/>
        </w:rPr>
        <w:lastRenderedPageBreak/>
        <w:t>Diversiteit in pensioenfondsbesturen</w:t>
      </w:r>
    </w:p>
    <w:p w:rsidR="002E5312" w:rsidP="009604AF" w:rsidRDefault="002E5312" w14:paraId="7951D6B1" w14:textId="77777777">
      <w:pPr>
        <w:rPr>
          <w:rFonts w:eastAsia="Times New Roman" w:cs="Times New Roman"/>
          <w:color w:val="auto"/>
        </w:rPr>
      </w:pPr>
      <w:r>
        <w:rPr>
          <w:rFonts w:eastAsia="Times New Roman" w:cs="Times New Roman"/>
          <w:color w:val="auto"/>
        </w:rPr>
        <w:t>Pensioenen zijn er voor alle deelnemers. Voor mensen van alle leeftijden, voor alle actieve en gewezen deelnemers en gepensioneerden. Gemengde, divers samengestelde pensioenfondsbesturen kunnen tot betere besluitvorming leiden. De pensioensector heeft zichzelf diversiteitsnormen opgelegd om de diversiteit in pensioenfondsbesturen te verbeteren, en pensioenfondsen te stimuleren om structureel na te denken over diversiteitsbeleid.</w:t>
      </w:r>
      <w:r>
        <w:rPr>
          <w:rFonts w:eastAsia="Times New Roman" w:cs="Times New Roman"/>
          <w:color w:val="auto"/>
          <w:vertAlign w:val="superscript"/>
        </w:rPr>
        <w:footnoteReference w:id="4"/>
      </w:r>
      <w:r>
        <w:rPr>
          <w:rFonts w:eastAsia="Times New Roman" w:cs="Times New Roman"/>
          <w:color w:val="auto"/>
        </w:rPr>
        <w:t xml:space="preserve"> </w:t>
      </w:r>
      <w:bookmarkStart w:name="_Hlk191969206" w:id="1"/>
      <w:r>
        <w:rPr>
          <w:rFonts w:eastAsia="Times New Roman" w:cs="Times New Roman"/>
          <w:color w:val="auto"/>
        </w:rPr>
        <w:t>In deze paragraaf informeer ik u over de nieuwe cijfers met betrekking tot de samenstelling van pensioenfondsbesturen, in navolging van de motie Van Weyenberg c.s..</w:t>
      </w:r>
      <w:r>
        <w:rPr>
          <w:rStyle w:val="Voetnootmarkering"/>
          <w:rFonts w:eastAsia="Times New Roman" w:cs="Times New Roman"/>
          <w:color w:val="auto"/>
        </w:rPr>
        <w:footnoteReference w:id="5"/>
      </w:r>
      <w:bookmarkEnd w:id="1"/>
    </w:p>
    <w:p w:rsidR="002E5312" w:rsidP="009604AF" w:rsidRDefault="002E5312" w14:paraId="53A64973" w14:textId="77777777">
      <w:pPr>
        <w:rPr>
          <w:rFonts w:eastAsia="Times New Roman" w:cs="Times New Roman"/>
          <w:color w:val="auto"/>
        </w:rPr>
      </w:pPr>
    </w:p>
    <w:p w:rsidR="002E5312" w:rsidP="009604AF" w:rsidRDefault="002E5312" w14:paraId="2D5C9213" w14:textId="77777777">
      <w:pPr>
        <w:rPr>
          <w:rFonts w:eastAsia="Times New Roman" w:cs="Times New Roman"/>
          <w:color w:val="auto"/>
        </w:rPr>
      </w:pPr>
      <w:r>
        <w:rPr>
          <w:rFonts w:eastAsia="Times New Roman" w:cs="Times New Roman"/>
          <w:i/>
          <w:iCs/>
          <w:color w:val="auto"/>
        </w:rPr>
        <w:t>De Nalevingsrapportage Monitoringscommissie Code Pensioenfondsen</w:t>
      </w:r>
    </w:p>
    <w:p w:rsidR="002E5312" w:rsidP="009604AF" w:rsidRDefault="002E5312" w14:paraId="535CBFD0" w14:textId="77777777">
      <w:pPr>
        <w:rPr>
          <w:rFonts w:eastAsia="Times New Roman" w:cs="Times New Roman"/>
          <w:color w:val="auto"/>
        </w:rPr>
      </w:pPr>
      <w:bookmarkStart w:name="_Hlk191564655" w:id="2"/>
      <w:r>
        <w:rPr>
          <w:rFonts w:eastAsia="Times New Roman" w:cs="Times New Roman"/>
          <w:color w:val="auto"/>
        </w:rPr>
        <w:t xml:space="preserve">Eén van de normen die de pensioensector zichzelf heeft opgelegd voor diversiteit in pensioenfondsbesturen is dat ten aanzien van leeftijdsdiversiteit geldt </w:t>
      </w:r>
      <w:r w:rsidR="009604AF">
        <w:rPr>
          <w:rFonts w:eastAsia="Times New Roman" w:cs="Times New Roman"/>
          <w:color w:val="auto"/>
        </w:rPr>
        <w:t xml:space="preserve">dat </w:t>
      </w:r>
      <w:r>
        <w:rPr>
          <w:rFonts w:eastAsia="Times New Roman" w:cs="Times New Roman"/>
          <w:color w:val="auto"/>
        </w:rPr>
        <w:t>er tenminste één persoon zitting heeft in de pensioenfondsorganen die jonger is dan 40 jaar. Ten aanzien van genderdiversiteit geldt als minimum dat er variatie is in geslacht of genderidentiteit. De Monitoringscommissie Code Pensioenfondsen monitort de uitvoering van de code. Uit de</w:t>
      </w:r>
      <w:r w:rsidR="00070FF8">
        <w:rPr>
          <w:rFonts w:eastAsia="Times New Roman" w:cs="Times New Roman"/>
          <w:color w:val="auto"/>
        </w:rPr>
        <w:t xml:space="preserve"> analyse </w:t>
      </w:r>
      <w:r>
        <w:rPr>
          <w:rFonts w:eastAsia="Times New Roman" w:cs="Times New Roman"/>
          <w:color w:val="auto"/>
        </w:rPr>
        <w:t>over 2023 blijkt dat de cijfers rondom diversiteit licht zijn gestegen.</w:t>
      </w:r>
      <w:r w:rsidR="00070FF8">
        <w:rPr>
          <w:rStyle w:val="Voetnootmarkering"/>
          <w:rFonts w:eastAsia="Times New Roman" w:cs="Times New Roman"/>
          <w:color w:val="auto"/>
        </w:rPr>
        <w:footnoteReference w:id="6"/>
      </w:r>
      <w:r w:rsidR="008768D2">
        <w:rPr>
          <w:rFonts w:eastAsia="Times New Roman" w:cs="Times New Roman"/>
          <w:color w:val="auto"/>
        </w:rPr>
        <w:t xml:space="preserve"> In tabel 1 wordt de ontwikkeling in de periode 2017-2023 weergegeven. </w:t>
      </w:r>
      <w:r>
        <w:rPr>
          <w:rFonts w:eastAsia="Times New Roman" w:cs="Times New Roman"/>
          <w:color w:val="auto"/>
        </w:rPr>
        <w:t>Het is goed om te zien dat diversiteit in de pensioensector toeneemt.</w:t>
      </w:r>
      <w:bookmarkEnd w:id="2"/>
      <w:r>
        <w:rPr>
          <w:rFonts w:eastAsia="Times New Roman" w:cs="Times New Roman"/>
          <w:color w:val="auto"/>
        </w:rPr>
        <w:t xml:space="preserve"> </w:t>
      </w:r>
      <w:bookmarkStart w:name="_Hlk191564831" w:id="3"/>
      <w:r>
        <w:rPr>
          <w:rFonts w:eastAsia="Times New Roman" w:cs="Times New Roman"/>
          <w:color w:val="auto"/>
        </w:rPr>
        <w:t xml:space="preserve">Naast inspanningen van mijn ministerie bij onder andere het ondersteunen van PensioenLab, </w:t>
      </w:r>
      <w:r w:rsidR="009604AF">
        <w:rPr>
          <w:rFonts w:eastAsia="Times New Roman" w:cs="Times New Roman"/>
          <w:color w:val="auto"/>
        </w:rPr>
        <w:t xml:space="preserve">onderstreep ik het belang van initiatieven vanuit de sector zoals </w:t>
      </w:r>
      <w:r>
        <w:rPr>
          <w:rFonts w:eastAsia="Times New Roman" w:cs="Times New Roman"/>
          <w:color w:val="auto"/>
        </w:rPr>
        <w:t xml:space="preserve">de Taskforce Diversiteit, Gelijkwaardigheid en Inclusie. </w:t>
      </w:r>
    </w:p>
    <w:bookmarkEnd w:id="3"/>
    <w:p w:rsidR="002E5312" w:rsidP="002E5312" w:rsidRDefault="002E5312" w14:paraId="28377165" w14:textId="77777777">
      <w:pPr>
        <w:spacing w:line="240" w:lineRule="auto"/>
        <w:rPr>
          <w:rFonts w:eastAsia="Times New Roman" w:cs="Times New Roman"/>
          <w:color w:val="auto"/>
        </w:rPr>
      </w:pPr>
    </w:p>
    <w:p w:rsidR="00C47A31" w:rsidRDefault="001B5A1C" w14:paraId="7205F991" w14:textId="77777777">
      <w:pPr>
        <w:keepNext/>
        <w:spacing w:line="240" w:lineRule="auto"/>
        <w:rPr>
          <w:rFonts w:eastAsia="Calibri" w:cs="Times New Roman"/>
          <w:i/>
          <w:iCs/>
          <w:color w:val="auto"/>
          <w:kern w:val="2"/>
          <w:lang w:eastAsia="en-US"/>
          <w14:ligatures w14:val="standardContextual"/>
        </w:rPr>
      </w:pPr>
      <w:r>
        <w:rPr>
          <w:rFonts w:eastAsia="Calibri" w:cs="Times New Roman"/>
          <w:i/>
          <w:iCs/>
          <w:color w:val="auto"/>
          <w:kern w:val="2"/>
          <w:lang w:eastAsia="en-US"/>
          <w14:ligatures w14:val="standardContextual"/>
        </w:rPr>
        <w:t xml:space="preserve">Tabel </w:t>
      </w:r>
      <w:r>
        <w:rPr>
          <w:rFonts w:eastAsia="Calibri" w:cs="Times New Roman"/>
          <w:i/>
          <w:iCs/>
          <w:color w:val="auto"/>
          <w:kern w:val="2"/>
          <w:lang w:eastAsia="en-US"/>
          <w14:ligatures w14:val="standardContextual"/>
        </w:rPr>
        <w:fldChar w:fldCharType="begin"/>
      </w:r>
      <w:r>
        <w:rPr>
          <w:rFonts w:eastAsia="Calibri" w:cs="Times New Roman"/>
          <w:i/>
          <w:iCs/>
          <w:color w:val="auto"/>
          <w:kern w:val="2"/>
          <w:lang w:eastAsia="en-US"/>
          <w14:ligatures w14:val="standardContextual"/>
        </w:rPr>
        <w:instrText xml:space="preserve"> SEQ Tabel \* ARABIC </w:instrText>
      </w:r>
      <w:r>
        <w:rPr>
          <w:rFonts w:eastAsia="Calibri" w:cs="Times New Roman"/>
          <w:i/>
          <w:iCs/>
          <w:color w:val="auto"/>
          <w:kern w:val="2"/>
          <w:lang w:eastAsia="en-US"/>
          <w14:ligatures w14:val="standardContextual"/>
        </w:rPr>
        <w:fldChar w:fldCharType="separate"/>
      </w:r>
      <w:r>
        <w:t>1</w:t>
      </w:r>
      <w:r>
        <w:fldChar w:fldCharType="end"/>
      </w:r>
      <w:r>
        <w:rPr>
          <w:rFonts w:eastAsia="Calibri" w:cs="Times New Roman"/>
          <w:i/>
          <w:iCs/>
          <w:color w:val="auto"/>
          <w:kern w:val="2"/>
          <w:lang w:eastAsia="en-US"/>
          <w14:ligatures w14:val="standardContextual"/>
        </w:rPr>
        <w:t>: Samenstelling pensioenfondsbesturen</w:t>
      </w:r>
    </w:p>
    <w:tbl>
      <w:tblPr>
        <w:tblStyle w:val="Tabelrasterlicht"/>
        <w:tblW w:w="0" w:type="auto"/>
        <w:tblInd w:w="0" w:type="dxa"/>
        <w:tblLook w:val="04A0" w:firstRow="1" w:lastRow="0" w:firstColumn="1" w:lastColumn="0" w:noHBand="0" w:noVBand="1"/>
      </w:tblPr>
      <w:tblGrid>
        <w:gridCol w:w="2435"/>
        <w:gridCol w:w="728"/>
        <w:gridCol w:w="728"/>
        <w:gridCol w:w="728"/>
        <w:gridCol w:w="728"/>
        <w:gridCol w:w="728"/>
        <w:gridCol w:w="728"/>
        <w:gridCol w:w="728"/>
      </w:tblGrid>
      <w:tr w:rsidR="002E5312" w:rsidTr="00753705" w14:paraId="3CC047D1" w14:textId="77777777">
        <w:trPr>
          <w:trHeight w:val="300"/>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263C1" w:rsidR="002E5312" w:rsidP="00753705" w:rsidRDefault="002E5312" w14:paraId="6A44339F" w14:textId="77777777">
            <w:pPr>
              <w:spacing w:line="240" w:lineRule="auto"/>
              <w:rPr>
                <w:rFonts w:eastAsia="Times New Roman"/>
                <w:color w:val="auto"/>
              </w:rPr>
            </w:pPr>
            <w:bookmarkStart w:name="_Hlk161394066" w:id="4"/>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557D5605" w14:textId="77777777">
            <w:pPr>
              <w:spacing w:line="240" w:lineRule="auto"/>
              <w:jc w:val="center"/>
              <w:rPr>
                <w:rFonts w:eastAsia="Times New Roman"/>
                <w:b/>
                <w:bCs/>
                <w:color w:val="auto"/>
              </w:rPr>
            </w:pPr>
            <w:r w:rsidRPr="00F263C1">
              <w:rPr>
                <w:rFonts w:eastAsia="Times New Roman"/>
                <w:b/>
                <w:bCs/>
                <w:color w:val="auto"/>
              </w:rPr>
              <w:t>2017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4459CFF0" w14:textId="77777777">
            <w:pPr>
              <w:spacing w:line="240" w:lineRule="auto"/>
              <w:jc w:val="center"/>
              <w:rPr>
                <w:rFonts w:eastAsia="Times New Roman"/>
                <w:b/>
                <w:bCs/>
                <w:color w:val="auto"/>
              </w:rPr>
            </w:pPr>
            <w:r w:rsidRPr="00F263C1">
              <w:rPr>
                <w:rFonts w:eastAsia="Times New Roman"/>
                <w:b/>
                <w:bCs/>
                <w:color w:val="auto"/>
              </w:rPr>
              <w:t>2018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448B0706" w14:textId="77777777">
            <w:pPr>
              <w:spacing w:line="240" w:lineRule="auto"/>
              <w:jc w:val="center"/>
              <w:rPr>
                <w:rFonts w:eastAsia="Times New Roman"/>
                <w:b/>
                <w:bCs/>
                <w:color w:val="auto"/>
              </w:rPr>
            </w:pPr>
            <w:r w:rsidRPr="00F263C1">
              <w:rPr>
                <w:rFonts w:eastAsia="Times New Roman"/>
                <w:b/>
                <w:bCs/>
                <w:color w:val="auto"/>
              </w:rPr>
              <w:t>2019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24994D0B" w14:textId="77777777">
            <w:pPr>
              <w:spacing w:line="240" w:lineRule="auto"/>
              <w:jc w:val="center"/>
              <w:rPr>
                <w:rFonts w:eastAsia="Times New Roman"/>
                <w:b/>
                <w:bCs/>
                <w:color w:val="auto"/>
              </w:rPr>
            </w:pPr>
            <w:r w:rsidRPr="00F263C1">
              <w:rPr>
                <w:rFonts w:eastAsia="Times New Roman"/>
                <w:b/>
                <w:bCs/>
                <w:color w:val="auto"/>
              </w:rPr>
              <w:t>2020</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282D6D00" w14:textId="77777777">
            <w:pPr>
              <w:spacing w:line="240" w:lineRule="auto"/>
              <w:jc w:val="center"/>
              <w:rPr>
                <w:rFonts w:eastAsia="Times New Roman"/>
                <w:b/>
                <w:bCs/>
                <w:color w:val="auto"/>
              </w:rPr>
            </w:pPr>
            <w:r w:rsidRPr="00F263C1">
              <w:rPr>
                <w:rFonts w:eastAsia="Times New Roman"/>
                <w:b/>
                <w:bCs/>
                <w:color w:val="auto"/>
              </w:rPr>
              <w:t>2021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F263C1" w:rsidR="002E5312" w:rsidP="00753705" w:rsidRDefault="002E5312" w14:paraId="71BB4FD8" w14:textId="77777777">
            <w:pPr>
              <w:spacing w:line="240" w:lineRule="auto"/>
              <w:jc w:val="center"/>
              <w:rPr>
                <w:rFonts w:eastAsia="Times New Roman"/>
                <w:b/>
                <w:bCs/>
                <w:color w:val="auto"/>
              </w:rPr>
            </w:pPr>
            <w:r w:rsidRPr="00F263C1">
              <w:rPr>
                <w:rFonts w:eastAsia="Times New Roman"/>
                <w:b/>
                <w:bCs/>
                <w:color w:val="auto"/>
              </w:rPr>
              <w:t>2022</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F263C1" w:rsidR="002E5312" w:rsidP="00753705" w:rsidRDefault="002E5312" w14:paraId="39F3102C" w14:textId="77777777">
            <w:pPr>
              <w:spacing w:line="240" w:lineRule="auto"/>
              <w:jc w:val="center"/>
              <w:rPr>
                <w:rFonts w:eastAsia="Times New Roman"/>
                <w:b/>
                <w:bCs/>
                <w:color w:val="auto"/>
              </w:rPr>
            </w:pPr>
            <w:r>
              <w:rPr>
                <w:rFonts w:eastAsia="Times New Roman"/>
                <w:b/>
                <w:bCs/>
                <w:color w:val="auto"/>
              </w:rPr>
              <w:t>2023</w:t>
            </w:r>
          </w:p>
        </w:tc>
      </w:tr>
      <w:tr w:rsidR="002E5312" w:rsidTr="00753705" w14:paraId="6114A6BC"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379002FB" w14:textId="77777777">
            <w:pPr>
              <w:spacing w:line="240" w:lineRule="auto"/>
              <w:rPr>
                <w:rFonts w:eastAsia="Times New Roman"/>
                <w:color w:val="auto"/>
              </w:rPr>
            </w:pPr>
            <w:r w:rsidRPr="00F263C1">
              <w:rPr>
                <w:rFonts w:eastAsia="Times New Roman"/>
                <w:color w:val="auto"/>
              </w:rPr>
              <w:t>Vrouw(en)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2ACF19CC" w14:textId="77777777">
            <w:pPr>
              <w:spacing w:line="240" w:lineRule="auto"/>
              <w:jc w:val="center"/>
              <w:rPr>
                <w:rFonts w:eastAsia="Times New Roman"/>
                <w:color w:val="auto"/>
              </w:rPr>
            </w:pPr>
            <w:r w:rsidRPr="00F263C1">
              <w:rPr>
                <w:rFonts w:eastAsia="Times New Roman"/>
                <w:color w:val="auto"/>
              </w:rPr>
              <w:t>64%</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661D6CF1" w14:textId="77777777">
            <w:pPr>
              <w:spacing w:line="240" w:lineRule="auto"/>
              <w:jc w:val="center"/>
              <w:rPr>
                <w:rFonts w:eastAsia="Times New Roman"/>
                <w:color w:val="auto"/>
              </w:rPr>
            </w:pPr>
            <w:r w:rsidRPr="00F263C1">
              <w:rPr>
                <w:rFonts w:eastAsia="Times New Roman"/>
                <w:color w:val="auto"/>
              </w:rPr>
              <w:t>72%</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11E93E7B" w14:textId="77777777">
            <w:pPr>
              <w:spacing w:line="240" w:lineRule="auto"/>
              <w:jc w:val="center"/>
              <w:rPr>
                <w:rFonts w:eastAsia="Times New Roman"/>
                <w:color w:val="auto"/>
              </w:rPr>
            </w:pPr>
            <w:r w:rsidRPr="00F263C1">
              <w:rPr>
                <w:rFonts w:eastAsia="Times New Roman"/>
                <w:color w:val="auto"/>
              </w:rPr>
              <w:t>74%</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3C0EC1DC" w14:textId="77777777">
            <w:pPr>
              <w:spacing w:line="240" w:lineRule="auto"/>
              <w:jc w:val="center"/>
              <w:rPr>
                <w:rFonts w:eastAsia="Times New Roman"/>
                <w:color w:val="auto"/>
              </w:rPr>
            </w:pPr>
            <w:r w:rsidRPr="00F263C1">
              <w:rPr>
                <w:rFonts w:eastAsia="Times New Roman"/>
                <w:color w:val="auto"/>
              </w:rPr>
              <w:t>81%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1D2FF236" w14:textId="77777777">
            <w:pPr>
              <w:spacing w:line="240" w:lineRule="auto"/>
              <w:jc w:val="center"/>
              <w:rPr>
                <w:rFonts w:eastAsia="Times New Roman"/>
                <w:color w:val="auto"/>
              </w:rPr>
            </w:pPr>
            <w:r w:rsidRPr="00F263C1">
              <w:rPr>
                <w:rFonts w:eastAsia="Times New Roman"/>
                <w:color w:val="auto"/>
              </w:rPr>
              <w:t>81%</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536BBA90" w14:textId="77777777">
            <w:pPr>
              <w:spacing w:line="240" w:lineRule="auto"/>
              <w:jc w:val="center"/>
              <w:rPr>
                <w:rFonts w:eastAsia="Times New Roman"/>
                <w:color w:val="auto"/>
              </w:rPr>
            </w:pPr>
            <w:r w:rsidRPr="00F263C1">
              <w:rPr>
                <w:rFonts w:eastAsia="Times New Roman"/>
                <w:color w:val="auto"/>
              </w:rPr>
              <w:t>81%</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263C1" w:rsidR="002E5312" w:rsidP="00753705" w:rsidRDefault="002E5312" w14:paraId="66E101F3" w14:textId="77777777">
            <w:pPr>
              <w:spacing w:line="240" w:lineRule="auto"/>
              <w:jc w:val="center"/>
              <w:rPr>
                <w:rFonts w:eastAsia="Times New Roman"/>
                <w:color w:val="auto"/>
              </w:rPr>
            </w:pPr>
            <w:r>
              <w:rPr>
                <w:rFonts w:eastAsia="Times New Roman"/>
                <w:color w:val="auto"/>
              </w:rPr>
              <w:t>84%</w:t>
            </w:r>
          </w:p>
        </w:tc>
      </w:tr>
      <w:tr w:rsidR="002E5312" w:rsidTr="00753705" w14:paraId="4709B7FB"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704D63DE" w14:textId="77777777">
            <w:pPr>
              <w:spacing w:line="240" w:lineRule="auto"/>
              <w:rPr>
                <w:rFonts w:eastAsia="Times New Roman"/>
                <w:color w:val="auto"/>
              </w:rPr>
            </w:pPr>
            <w:r w:rsidRPr="00F263C1">
              <w:rPr>
                <w:rFonts w:eastAsia="Times New Roman"/>
                <w:color w:val="auto"/>
              </w:rPr>
              <w:t>Jongere(n)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63FD393A" w14:textId="77777777">
            <w:pPr>
              <w:spacing w:line="240" w:lineRule="auto"/>
              <w:jc w:val="center"/>
              <w:rPr>
                <w:rFonts w:eastAsia="Times New Roman"/>
                <w:color w:val="auto"/>
              </w:rPr>
            </w:pPr>
            <w:r w:rsidRPr="00F263C1">
              <w:rPr>
                <w:rFonts w:eastAsia="Times New Roman"/>
                <w:color w:val="auto"/>
              </w:rPr>
              <w:t>38%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04895066" w14:textId="77777777">
            <w:pPr>
              <w:spacing w:line="240" w:lineRule="auto"/>
              <w:jc w:val="center"/>
              <w:rPr>
                <w:rFonts w:eastAsia="Times New Roman"/>
                <w:color w:val="auto"/>
              </w:rPr>
            </w:pPr>
            <w:r w:rsidRPr="00F263C1">
              <w:rPr>
                <w:rFonts w:eastAsia="Times New Roman"/>
                <w:color w:val="auto"/>
              </w:rPr>
              <w:t>45%</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22DE02DE" w14:textId="77777777">
            <w:pPr>
              <w:spacing w:line="240" w:lineRule="auto"/>
              <w:jc w:val="center"/>
              <w:rPr>
                <w:rFonts w:eastAsia="Times New Roman"/>
                <w:color w:val="auto"/>
              </w:rPr>
            </w:pPr>
            <w:r w:rsidRPr="00F263C1">
              <w:rPr>
                <w:rFonts w:eastAsia="Times New Roman"/>
                <w:color w:val="auto"/>
              </w:rPr>
              <w:t>46%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3A20BFC3" w14:textId="77777777">
            <w:pPr>
              <w:spacing w:line="240" w:lineRule="auto"/>
              <w:jc w:val="center"/>
              <w:rPr>
                <w:rFonts w:eastAsia="Times New Roman"/>
                <w:color w:val="auto"/>
              </w:rPr>
            </w:pPr>
            <w:r w:rsidRPr="00F263C1">
              <w:rPr>
                <w:rFonts w:eastAsia="Times New Roman"/>
                <w:color w:val="auto"/>
              </w:rPr>
              <w:t>39%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15696FC3" w14:textId="77777777">
            <w:pPr>
              <w:spacing w:line="240" w:lineRule="auto"/>
              <w:jc w:val="center"/>
              <w:rPr>
                <w:rFonts w:eastAsia="Times New Roman"/>
                <w:color w:val="auto"/>
              </w:rPr>
            </w:pPr>
            <w:r w:rsidRPr="00F263C1">
              <w:rPr>
                <w:rFonts w:eastAsia="Times New Roman"/>
                <w:color w:val="auto"/>
              </w:rPr>
              <w:t>36%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08F1501A" w14:textId="77777777">
            <w:pPr>
              <w:spacing w:line="240" w:lineRule="auto"/>
              <w:jc w:val="center"/>
              <w:rPr>
                <w:rFonts w:eastAsia="Times New Roman"/>
                <w:color w:val="auto"/>
              </w:rPr>
            </w:pPr>
            <w:r w:rsidRPr="00F263C1">
              <w:rPr>
                <w:rFonts w:eastAsia="Times New Roman"/>
                <w:color w:val="auto"/>
              </w:rPr>
              <w:t>37%</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263C1" w:rsidR="002E5312" w:rsidP="00753705" w:rsidRDefault="002E5312" w14:paraId="2C9ABB21" w14:textId="77777777">
            <w:pPr>
              <w:spacing w:line="240" w:lineRule="auto"/>
              <w:jc w:val="center"/>
              <w:rPr>
                <w:rFonts w:eastAsia="Times New Roman"/>
                <w:color w:val="auto"/>
              </w:rPr>
            </w:pPr>
            <w:r>
              <w:rPr>
                <w:rFonts w:eastAsia="Times New Roman"/>
                <w:color w:val="auto"/>
              </w:rPr>
              <w:t>40%</w:t>
            </w:r>
          </w:p>
        </w:tc>
      </w:tr>
      <w:tr w:rsidR="002E5312" w:rsidTr="00753705" w14:paraId="3D149A04"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5AE3ED9A" w14:textId="77777777">
            <w:pPr>
              <w:spacing w:line="240" w:lineRule="auto"/>
              <w:rPr>
                <w:rFonts w:eastAsia="Times New Roman"/>
                <w:color w:val="auto"/>
              </w:rPr>
            </w:pPr>
            <w:r w:rsidRPr="00F263C1">
              <w:rPr>
                <w:rFonts w:eastAsia="Times New Roman"/>
                <w:color w:val="auto"/>
              </w:rPr>
              <w:t>Vrouw(en) en jongere(n)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751F097B" w14:textId="77777777">
            <w:pPr>
              <w:spacing w:line="240" w:lineRule="auto"/>
              <w:jc w:val="center"/>
              <w:rPr>
                <w:rFonts w:eastAsia="Times New Roman"/>
                <w:color w:val="auto"/>
              </w:rPr>
            </w:pPr>
            <w:r w:rsidRPr="00F263C1">
              <w:rPr>
                <w:rFonts w:eastAsia="Times New Roman"/>
                <w:color w:val="auto"/>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42BB9A09" w14:textId="77777777">
            <w:pPr>
              <w:spacing w:line="240" w:lineRule="auto"/>
              <w:jc w:val="center"/>
              <w:rPr>
                <w:rFonts w:eastAsia="Times New Roman"/>
                <w:color w:val="auto"/>
              </w:rPr>
            </w:pPr>
            <w:r w:rsidRPr="00F263C1">
              <w:rPr>
                <w:rFonts w:eastAsia="Times New Roman"/>
                <w:color w:val="auto"/>
              </w:rPr>
              <w:t>36%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321129E8" w14:textId="77777777">
            <w:pPr>
              <w:spacing w:line="240" w:lineRule="auto"/>
              <w:jc w:val="center"/>
              <w:rPr>
                <w:rFonts w:eastAsia="Times New Roman"/>
                <w:color w:val="auto"/>
              </w:rPr>
            </w:pPr>
            <w:r w:rsidRPr="00F263C1">
              <w:rPr>
                <w:rFonts w:eastAsia="Times New Roman"/>
                <w:color w:val="auto"/>
              </w:rPr>
              <w:t>38%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57816C91" w14:textId="77777777">
            <w:pPr>
              <w:spacing w:line="240" w:lineRule="auto"/>
              <w:jc w:val="center"/>
              <w:rPr>
                <w:rFonts w:eastAsia="Times New Roman"/>
                <w:color w:val="auto"/>
              </w:rPr>
            </w:pPr>
            <w:r w:rsidRPr="00F263C1">
              <w:rPr>
                <w:rFonts w:eastAsia="Times New Roman"/>
                <w:color w:val="auto"/>
              </w:rPr>
              <w:t>33%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1B2ED4DD" w14:textId="77777777">
            <w:pPr>
              <w:spacing w:line="240" w:lineRule="auto"/>
              <w:jc w:val="center"/>
              <w:rPr>
                <w:rFonts w:eastAsia="Times New Roman"/>
                <w:color w:val="auto"/>
              </w:rPr>
            </w:pPr>
            <w:r w:rsidRPr="00F263C1">
              <w:rPr>
                <w:rFonts w:eastAsia="Times New Roman"/>
                <w:color w:val="auto"/>
              </w:rPr>
              <w:t>33%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6EA8E21F" w14:textId="77777777">
            <w:pPr>
              <w:spacing w:line="240" w:lineRule="auto"/>
              <w:jc w:val="center"/>
              <w:rPr>
                <w:rFonts w:eastAsia="Times New Roman"/>
                <w:color w:val="auto"/>
              </w:rPr>
            </w:pPr>
            <w:r w:rsidRPr="00F263C1">
              <w:rPr>
                <w:rFonts w:eastAsia="Times New Roman"/>
                <w:color w:val="auto"/>
              </w:rPr>
              <w:t>33%</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263C1" w:rsidR="002E5312" w:rsidP="00753705" w:rsidRDefault="002E5312" w14:paraId="5FF7B62C" w14:textId="77777777">
            <w:pPr>
              <w:spacing w:line="240" w:lineRule="auto"/>
              <w:jc w:val="center"/>
              <w:rPr>
                <w:rFonts w:eastAsia="Times New Roman"/>
                <w:color w:val="auto"/>
              </w:rPr>
            </w:pPr>
            <w:r>
              <w:rPr>
                <w:rFonts w:eastAsia="Times New Roman"/>
                <w:color w:val="auto"/>
              </w:rPr>
              <w:t>36%</w:t>
            </w:r>
          </w:p>
        </w:tc>
      </w:tr>
      <w:tr w:rsidR="002E5312" w:rsidTr="00753705" w14:paraId="096888F5" w14:textId="77777777">
        <w:trPr>
          <w:trHeight w:val="438"/>
        </w:trPr>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5A6551BC" w14:textId="77777777">
            <w:pPr>
              <w:spacing w:line="240" w:lineRule="auto"/>
              <w:rPr>
                <w:rFonts w:eastAsia="Times New Roman"/>
                <w:color w:val="auto"/>
              </w:rPr>
            </w:pPr>
            <w:r w:rsidRPr="00F263C1">
              <w:rPr>
                <w:rFonts w:eastAsia="Times New Roman"/>
                <w:color w:val="auto"/>
              </w:rPr>
              <w:t>Geen vrouw en geen jongere in bestuur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7BFD81AB" w14:textId="77777777">
            <w:pPr>
              <w:spacing w:line="240" w:lineRule="auto"/>
              <w:jc w:val="center"/>
              <w:rPr>
                <w:rFonts w:eastAsia="Times New Roman"/>
                <w:color w:val="auto"/>
              </w:rPr>
            </w:pPr>
            <w:r w:rsidRPr="00F263C1">
              <w:rPr>
                <w:rFonts w:eastAsia="Times New Roman"/>
                <w:color w:val="auto"/>
              </w:rPr>
              <w:t>28%</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47647E4C" w14:textId="77777777">
            <w:pPr>
              <w:spacing w:line="240" w:lineRule="auto"/>
              <w:jc w:val="center"/>
              <w:rPr>
                <w:rFonts w:eastAsia="Times New Roman"/>
                <w:color w:val="auto"/>
              </w:rPr>
            </w:pPr>
            <w:r w:rsidRPr="00F263C1">
              <w:rPr>
                <w:rFonts w:eastAsia="Times New Roman"/>
                <w:color w:val="auto"/>
              </w:rPr>
              <w:t>19%</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754E0924" w14:textId="77777777">
            <w:pPr>
              <w:spacing w:line="240" w:lineRule="auto"/>
              <w:jc w:val="center"/>
              <w:rPr>
                <w:rFonts w:eastAsia="Times New Roman"/>
                <w:color w:val="auto"/>
              </w:rPr>
            </w:pPr>
            <w:r w:rsidRPr="00F263C1">
              <w:rPr>
                <w:rFonts w:eastAsia="Times New Roman"/>
                <w:color w:val="auto"/>
              </w:rPr>
              <w:t>17%</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4DC19A9F" w14:textId="77777777">
            <w:pPr>
              <w:spacing w:line="240" w:lineRule="auto"/>
              <w:jc w:val="center"/>
              <w:rPr>
                <w:rFonts w:eastAsia="Times New Roman"/>
                <w:color w:val="auto"/>
              </w:rPr>
            </w:pPr>
            <w:r w:rsidRPr="00F263C1">
              <w:rPr>
                <w:rFonts w:eastAsia="Times New Roman"/>
                <w:color w:val="auto"/>
              </w:rPr>
              <w:t>13%</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17559903" w14:textId="77777777">
            <w:pPr>
              <w:spacing w:line="240" w:lineRule="auto"/>
              <w:jc w:val="center"/>
              <w:rPr>
                <w:rFonts w:eastAsia="Times New Roman"/>
                <w:color w:val="auto"/>
              </w:rPr>
            </w:pPr>
            <w:r w:rsidRPr="00F263C1">
              <w:rPr>
                <w:rFonts w:eastAsia="Times New Roman"/>
                <w:color w:val="auto"/>
              </w:rPr>
              <w:t>16%</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263C1" w:rsidR="002E5312" w:rsidP="00753705" w:rsidRDefault="002E5312" w14:paraId="49DBB3FF" w14:textId="77777777">
            <w:pPr>
              <w:spacing w:line="240" w:lineRule="auto"/>
              <w:jc w:val="center"/>
              <w:rPr>
                <w:rFonts w:eastAsia="Times New Roman"/>
                <w:color w:val="auto"/>
              </w:rPr>
            </w:pPr>
            <w:r w:rsidRPr="00F263C1">
              <w:rPr>
                <w:rFonts w:eastAsia="Times New Roman"/>
                <w:color w:val="auto"/>
              </w:rPr>
              <w:t>16%</w:t>
            </w:r>
          </w:p>
        </w:tc>
        <w:tc>
          <w:tcPr>
            <w:tcW w:w="62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2E5312" w:rsidP="00753705" w:rsidRDefault="002E5312" w14:paraId="0C95286A" w14:textId="77777777">
            <w:pPr>
              <w:spacing w:line="240" w:lineRule="auto"/>
              <w:jc w:val="center"/>
              <w:rPr>
                <w:rFonts w:eastAsia="Times New Roman"/>
                <w:color w:val="auto"/>
              </w:rPr>
            </w:pPr>
            <w:r>
              <w:rPr>
                <w:rFonts w:eastAsia="Times New Roman"/>
                <w:color w:val="auto"/>
              </w:rPr>
              <w:t>12%</w:t>
            </w:r>
          </w:p>
          <w:p w:rsidRPr="00F263C1" w:rsidR="002E5312" w:rsidP="00753705" w:rsidRDefault="002E5312" w14:paraId="513C17C4" w14:textId="77777777">
            <w:pPr>
              <w:spacing w:line="240" w:lineRule="auto"/>
              <w:jc w:val="center"/>
              <w:rPr>
                <w:rFonts w:eastAsia="Times New Roman"/>
                <w:color w:val="auto"/>
              </w:rPr>
            </w:pPr>
          </w:p>
        </w:tc>
      </w:tr>
      <w:bookmarkEnd w:id="4"/>
    </w:tbl>
    <w:p w:rsidR="00BC16EE" w:rsidP="009604AF" w:rsidRDefault="00BC16EE" w14:paraId="0A5ACED0" w14:textId="77777777">
      <w:pPr>
        <w:rPr>
          <w:rFonts w:eastAsia="Times New Roman" w:cs="Times New Roman"/>
          <w:i/>
          <w:iCs/>
          <w:color w:val="auto"/>
        </w:rPr>
      </w:pPr>
    </w:p>
    <w:p w:rsidR="00BC16EE" w:rsidP="009604AF" w:rsidRDefault="00BC16EE" w14:paraId="58BCB0B1" w14:textId="77777777">
      <w:pPr>
        <w:rPr>
          <w:rFonts w:eastAsia="Times New Roman" w:cs="Times New Roman"/>
          <w:i/>
          <w:iCs/>
          <w:color w:val="auto"/>
        </w:rPr>
      </w:pPr>
    </w:p>
    <w:p w:rsidR="002E5312" w:rsidP="009604AF" w:rsidRDefault="002E5312" w14:paraId="59D359CE" w14:textId="77777777">
      <w:pPr>
        <w:rPr>
          <w:rFonts w:eastAsia="Times New Roman" w:cs="Times New Roman"/>
          <w:i/>
          <w:iCs/>
          <w:color w:val="auto"/>
        </w:rPr>
      </w:pPr>
      <w:r>
        <w:rPr>
          <w:rFonts w:eastAsia="Times New Roman" w:cs="Times New Roman"/>
          <w:i/>
          <w:iCs/>
          <w:color w:val="auto"/>
        </w:rPr>
        <w:t>Vacatures</w:t>
      </w:r>
    </w:p>
    <w:p w:rsidR="002E5312" w:rsidP="009604AF" w:rsidRDefault="002E5312" w14:paraId="1C291612" w14:textId="77777777">
      <w:pPr>
        <w:rPr>
          <w:rFonts w:eastAsia="Times New Roman" w:cs="Times New Roman"/>
          <w:color w:val="auto"/>
        </w:rPr>
      </w:pPr>
      <w:r>
        <w:rPr>
          <w:rFonts w:eastAsia="Times New Roman" w:cs="Times New Roman"/>
          <w:color w:val="auto"/>
        </w:rPr>
        <w:t xml:space="preserve">Bij het invullen van vacatures is het uiteraard van belang om te kijken naar de competenties en expertise die binnen het bestuur nodig zijn, zeker in het kader van de pensioentransitie. </w:t>
      </w:r>
      <w:r w:rsidR="008768D2">
        <w:rPr>
          <w:rFonts w:eastAsia="Times New Roman" w:cs="Times New Roman"/>
          <w:color w:val="auto"/>
        </w:rPr>
        <w:t xml:space="preserve">Dat neemt niet weg dat </w:t>
      </w:r>
      <w:r>
        <w:rPr>
          <w:rFonts w:eastAsia="Times New Roman" w:cs="Times New Roman"/>
          <w:color w:val="auto"/>
        </w:rPr>
        <w:t>he</w:t>
      </w:r>
      <w:r w:rsidR="008768D2">
        <w:rPr>
          <w:rFonts w:eastAsia="Times New Roman" w:cs="Times New Roman"/>
          <w:color w:val="auto"/>
        </w:rPr>
        <w:t xml:space="preserve">t </w:t>
      </w:r>
      <w:r>
        <w:rPr>
          <w:rFonts w:eastAsia="Times New Roman" w:cs="Times New Roman"/>
          <w:color w:val="auto"/>
        </w:rPr>
        <w:t xml:space="preserve">invullen van vacatures een manier </w:t>
      </w:r>
      <w:r w:rsidR="008768D2">
        <w:rPr>
          <w:rFonts w:eastAsia="Times New Roman" w:cs="Times New Roman"/>
          <w:color w:val="auto"/>
        </w:rPr>
        <w:t xml:space="preserve">is </w:t>
      </w:r>
      <w:r>
        <w:rPr>
          <w:rFonts w:eastAsia="Times New Roman" w:cs="Times New Roman"/>
          <w:color w:val="auto"/>
        </w:rPr>
        <w:t xml:space="preserve">om meer diversiteit in het bestuur te brengen. </w:t>
      </w:r>
      <w:r w:rsidR="00BC16EE">
        <w:rPr>
          <w:rFonts w:eastAsia="Times New Roman" w:cs="Times New Roman"/>
          <w:color w:val="auto"/>
        </w:rPr>
        <w:t xml:space="preserve">Ook kan het van belang zijn om de vacatures openbaar te maken, juist zodat er voldoende mogelijkheid bestaat dat een geschikte kandidaat zich meldt. </w:t>
      </w:r>
      <w:r>
        <w:rPr>
          <w:rFonts w:eastAsia="Times New Roman" w:cs="Times New Roman"/>
          <w:color w:val="auto"/>
        </w:rPr>
        <w:t>Bij 115 pensioenfondsen werden bestuurders benoemd. 42 pensioenfondsen binnen deze groep voldoen aan de diversiteitseisen in het pensioenfondsbestuur. De overige 73 voldeden hier nog niet (geheel) aan.</w:t>
      </w:r>
      <w:r w:rsidR="008768D2">
        <w:rPr>
          <w:rFonts w:eastAsia="Times New Roman" w:cs="Times New Roman"/>
          <w:color w:val="auto"/>
        </w:rPr>
        <w:t xml:space="preserve"> Tabel 2 geeft aan in hoeverre deze besturen door de benoeming(en) in 2022 meer divers zijn geworden. </w:t>
      </w:r>
    </w:p>
    <w:p w:rsidR="00467EC7" w:rsidP="009604AF" w:rsidRDefault="00467EC7" w14:paraId="6F406908" w14:textId="77777777">
      <w:pPr>
        <w:rPr>
          <w:rFonts w:eastAsia="Times New Roman" w:cs="Times New Roman"/>
          <w:color w:val="auto"/>
        </w:rPr>
      </w:pPr>
    </w:p>
    <w:p w:rsidR="00C47A31" w:rsidRDefault="001B5A1C" w14:paraId="150A5677" w14:textId="77777777">
      <w:pPr>
        <w:keepNext/>
        <w:spacing w:line="240" w:lineRule="auto"/>
        <w:rPr>
          <w:rFonts w:eastAsia="Calibri" w:cs="Times New Roman"/>
          <w:i/>
          <w:iCs/>
          <w:color w:val="auto"/>
          <w:kern w:val="2"/>
          <w:lang w:eastAsia="en-US"/>
          <w14:ligatures w14:val="standardContextual"/>
        </w:rPr>
      </w:pPr>
      <w:r>
        <w:rPr>
          <w:rFonts w:eastAsia="Calibri" w:cs="Times New Roman"/>
          <w:i/>
          <w:iCs/>
          <w:color w:val="auto"/>
          <w:kern w:val="2"/>
          <w:lang w:eastAsia="en-US"/>
          <w14:ligatures w14:val="standardContextual"/>
        </w:rPr>
        <w:lastRenderedPageBreak/>
        <w:br/>
        <w:t xml:space="preserve">Tabel </w:t>
      </w:r>
      <w:r>
        <w:rPr>
          <w:rFonts w:eastAsia="Calibri" w:cs="Times New Roman"/>
          <w:i/>
          <w:iCs/>
          <w:color w:val="auto"/>
          <w:kern w:val="2"/>
          <w:lang w:eastAsia="en-US"/>
          <w14:ligatures w14:val="standardContextual"/>
        </w:rPr>
        <w:fldChar w:fldCharType="begin"/>
      </w:r>
      <w:r>
        <w:rPr>
          <w:rFonts w:eastAsia="Calibri" w:cs="Times New Roman"/>
          <w:i/>
          <w:iCs/>
          <w:color w:val="auto"/>
          <w:kern w:val="2"/>
          <w:lang w:eastAsia="en-US"/>
          <w14:ligatures w14:val="standardContextual"/>
        </w:rPr>
        <w:instrText xml:space="preserve"> SEQ Tabel \* ARABIC </w:instrText>
      </w:r>
      <w:r>
        <w:rPr>
          <w:rFonts w:eastAsia="Calibri" w:cs="Times New Roman"/>
          <w:i/>
          <w:iCs/>
          <w:color w:val="auto"/>
          <w:kern w:val="2"/>
          <w:lang w:eastAsia="en-US"/>
          <w14:ligatures w14:val="standardContextual"/>
        </w:rPr>
        <w:fldChar w:fldCharType="separate"/>
      </w:r>
      <w:r>
        <w:t>2</w:t>
      </w:r>
      <w:r>
        <w:fldChar w:fldCharType="end"/>
      </w:r>
      <w:r>
        <w:rPr>
          <w:rFonts w:eastAsia="Calibri" w:cs="Times New Roman"/>
          <w:i/>
          <w:iCs/>
          <w:color w:val="auto"/>
          <w:kern w:val="2"/>
          <w:lang w:eastAsia="en-US"/>
          <w14:ligatures w14:val="standardContextual"/>
        </w:rPr>
        <w:t>: Benoemingen pensioenfondsbesturen in 2022</w:t>
      </w:r>
    </w:p>
    <w:tbl>
      <w:tblPr>
        <w:tblStyle w:val="Tabelrasterlicht"/>
        <w:tblW w:w="0" w:type="auto"/>
        <w:tblInd w:w="0" w:type="dxa"/>
        <w:tblLook w:val="04A0" w:firstRow="1" w:lastRow="0" w:firstColumn="1" w:lastColumn="0" w:noHBand="0" w:noVBand="1"/>
      </w:tblPr>
      <w:tblGrid>
        <w:gridCol w:w="2768"/>
        <w:gridCol w:w="4763"/>
      </w:tblGrid>
      <w:tr w:rsidRPr="0038519B" w:rsidR="002E5312" w:rsidTr="00753705" w14:paraId="69025993" w14:textId="77777777">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8519B" w:rsidR="002E5312" w:rsidP="00753705" w:rsidRDefault="002E5312" w14:paraId="48A3BEC3" w14:textId="77777777">
            <w:pPr>
              <w:spacing w:line="240" w:lineRule="auto"/>
              <w:rPr>
                <w:rFonts w:eastAsia="Times New Roman"/>
                <w:color w:val="auto"/>
              </w:rPr>
            </w:pPr>
            <w:bookmarkStart w:name="_Hlk161394127" w:id="5"/>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4CDA2D22" w14:textId="77777777">
            <w:pPr>
              <w:spacing w:line="240" w:lineRule="auto"/>
              <w:rPr>
                <w:rFonts w:eastAsia="Times New Roman"/>
                <w:b/>
                <w:bCs/>
                <w:color w:val="auto"/>
              </w:rPr>
            </w:pPr>
            <w:r w:rsidRPr="0038519B">
              <w:rPr>
                <w:rFonts w:eastAsia="Times New Roman"/>
                <w:b/>
                <w:bCs/>
                <w:color w:val="auto"/>
              </w:rPr>
              <w:t>Aantal pensioenfondsen met benoemingen (%) in 2023</w:t>
            </w:r>
          </w:p>
        </w:tc>
      </w:tr>
      <w:tr w:rsidRPr="0038519B" w:rsidR="002E5312" w:rsidTr="00753705" w14:paraId="6C96227C" w14:textId="77777777">
        <w:trPr>
          <w:trHeight w:val="612"/>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1A334FA5" w14:textId="77777777">
            <w:pPr>
              <w:spacing w:line="240" w:lineRule="auto"/>
              <w:rPr>
                <w:rFonts w:eastAsia="Times New Roman"/>
                <w:color w:val="auto"/>
              </w:rPr>
            </w:pPr>
            <w:r w:rsidRPr="0038519B">
              <w:rPr>
                <w:rFonts w:eastAsia="Times New Roman"/>
                <w:color w:val="auto"/>
              </w:rPr>
              <w:t>Benoemingen van vrouwen in besturen zonder vrouw</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3D832E5B" w14:textId="77777777">
            <w:pPr>
              <w:spacing w:line="240" w:lineRule="auto"/>
              <w:rPr>
                <w:rFonts w:eastAsia="Times New Roman"/>
                <w:color w:val="auto"/>
              </w:rPr>
            </w:pPr>
            <w:r>
              <w:rPr>
                <w:rFonts w:eastAsia="Times New Roman"/>
                <w:color w:val="auto"/>
              </w:rPr>
              <w:t>2</w:t>
            </w:r>
            <w:r w:rsidRPr="0038519B">
              <w:rPr>
                <w:rFonts w:eastAsia="Times New Roman"/>
                <w:color w:val="auto"/>
              </w:rPr>
              <w:t xml:space="preserve"> van de </w:t>
            </w:r>
            <w:r>
              <w:rPr>
                <w:rFonts w:eastAsia="Times New Roman"/>
                <w:color w:val="auto"/>
              </w:rPr>
              <w:t>5</w:t>
            </w:r>
            <w:r w:rsidRPr="0038519B">
              <w:rPr>
                <w:rFonts w:eastAsia="Times New Roman"/>
                <w:color w:val="auto"/>
              </w:rPr>
              <w:t xml:space="preserve"> fondsen </w:t>
            </w:r>
            <w:r>
              <w:rPr>
                <w:rFonts w:eastAsia="Times New Roman"/>
                <w:color w:val="auto"/>
              </w:rPr>
              <w:t>hebben</w:t>
            </w:r>
            <w:r w:rsidRPr="0038519B">
              <w:rPr>
                <w:rFonts w:eastAsia="Times New Roman"/>
                <w:color w:val="auto"/>
              </w:rPr>
              <w:t xml:space="preserve"> een vrouw benoemd </w:t>
            </w:r>
            <w:r>
              <w:rPr>
                <w:rFonts w:eastAsia="Times New Roman"/>
                <w:color w:val="auto"/>
              </w:rPr>
              <w:t>(40%</w:t>
            </w:r>
            <w:r w:rsidRPr="0038519B">
              <w:rPr>
                <w:rFonts w:eastAsia="Times New Roman"/>
                <w:color w:val="auto"/>
              </w:rPr>
              <w:t>).</w:t>
            </w:r>
          </w:p>
        </w:tc>
      </w:tr>
      <w:tr w:rsidRPr="0038519B" w:rsidR="002E5312" w:rsidTr="00753705" w14:paraId="362C2D8F" w14:textId="77777777">
        <w:trPr>
          <w:trHeight w:val="576"/>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56B5EF8C" w14:textId="77777777">
            <w:pPr>
              <w:spacing w:line="240" w:lineRule="auto"/>
              <w:rPr>
                <w:rFonts w:eastAsia="Times New Roman"/>
                <w:color w:val="auto"/>
              </w:rPr>
            </w:pPr>
            <w:r w:rsidRPr="0038519B">
              <w:rPr>
                <w:rFonts w:eastAsia="Times New Roman"/>
                <w:color w:val="auto"/>
              </w:rPr>
              <w:t>Benoemingen van jongeren in besturen zonder jongere</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1CB3BB7B" w14:textId="77777777">
            <w:pPr>
              <w:spacing w:line="240" w:lineRule="auto"/>
              <w:rPr>
                <w:rFonts w:eastAsia="Times New Roman"/>
                <w:color w:val="auto"/>
              </w:rPr>
            </w:pPr>
            <w:r>
              <w:rPr>
                <w:rFonts w:eastAsia="Times New Roman"/>
                <w:color w:val="auto"/>
              </w:rPr>
              <w:t>8</w:t>
            </w:r>
            <w:r w:rsidRPr="0038519B">
              <w:rPr>
                <w:rFonts w:eastAsia="Times New Roman"/>
                <w:color w:val="auto"/>
              </w:rPr>
              <w:t xml:space="preserve"> van de </w:t>
            </w:r>
            <w:r>
              <w:rPr>
                <w:rFonts w:eastAsia="Times New Roman"/>
                <w:color w:val="auto"/>
              </w:rPr>
              <w:t>53</w:t>
            </w:r>
            <w:r w:rsidRPr="0038519B">
              <w:rPr>
                <w:rFonts w:eastAsia="Times New Roman"/>
                <w:color w:val="auto"/>
              </w:rPr>
              <w:t xml:space="preserve"> fondsen hebben een jongere benoemd (1</w:t>
            </w:r>
            <w:r>
              <w:rPr>
                <w:rFonts w:eastAsia="Times New Roman"/>
                <w:color w:val="auto"/>
              </w:rPr>
              <w:t>5</w:t>
            </w:r>
            <w:r w:rsidRPr="0038519B">
              <w:rPr>
                <w:rFonts w:eastAsia="Times New Roman"/>
                <w:color w:val="auto"/>
              </w:rPr>
              <w:t>%).</w:t>
            </w:r>
          </w:p>
        </w:tc>
      </w:tr>
      <w:tr w:rsidRPr="0038519B" w:rsidR="002E5312" w:rsidTr="00753705" w14:paraId="220A1615" w14:textId="77777777">
        <w:trPr>
          <w:trHeight w:val="2528"/>
        </w:trPr>
        <w:tc>
          <w:tcPr>
            <w:tcW w:w="28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8519B" w:rsidR="002E5312" w:rsidP="00753705" w:rsidRDefault="002E5312" w14:paraId="57DC928D" w14:textId="77777777">
            <w:pPr>
              <w:spacing w:line="240" w:lineRule="auto"/>
              <w:rPr>
                <w:rFonts w:eastAsia="Times New Roman"/>
                <w:color w:val="auto"/>
              </w:rPr>
            </w:pPr>
            <w:r w:rsidRPr="0038519B">
              <w:rPr>
                <w:rFonts w:eastAsia="Times New Roman"/>
                <w:color w:val="auto"/>
              </w:rPr>
              <w:t>Benoemingen binnen besturen zonder vrouw en zonder jongere</w:t>
            </w:r>
          </w:p>
        </w:tc>
        <w:tc>
          <w:tcPr>
            <w:tcW w:w="491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8519B" w:rsidR="002E5312" w:rsidP="00753705" w:rsidRDefault="002E5312" w14:paraId="43EF0FA0" w14:textId="77777777">
            <w:pPr>
              <w:spacing w:line="240" w:lineRule="auto"/>
              <w:rPr>
                <w:rFonts w:eastAsia="Times New Roman"/>
                <w:color w:val="auto"/>
              </w:rPr>
            </w:pPr>
            <w:r>
              <w:rPr>
                <w:rFonts w:eastAsia="Times New Roman"/>
                <w:color w:val="auto"/>
              </w:rPr>
              <w:t>1</w:t>
            </w:r>
            <w:r w:rsidRPr="0038519B">
              <w:rPr>
                <w:rFonts w:eastAsia="Times New Roman"/>
                <w:color w:val="auto"/>
              </w:rPr>
              <w:t xml:space="preserve"> van de 1</w:t>
            </w:r>
            <w:r>
              <w:rPr>
                <w:rFonts w:eastAsia="Times New Roman"/>
                <w:color w:val="auto"/>
              </w:rPr>
              <w:t>5</w:t>
            </w:r>
            <w:r w:rsidRPr="0038519B">
              <w:rPr>
                <w:rFonts w:eastAsia="Times New Roman"/>
                <w:color w:val="auto"/>
              </w:rPr>
              <w:t xml:space="preserve"> fondsen heeft </w:t>
            </w:r>
            <w:r>
              <w:rPr>
                <w:rFonts w:eastAsia="Times New Roman"/>
                <w:color w:val="auto"/>
              </w:rPr>
              <w:t>een</w:t>
            </w:r>
            <w:r w:rsidRPr="0038519B">
              <w:rPr>
                <w:rFonts w:eastAsia="Times New Roman"/>
                <w:color w:val="auto"/>
              </w:rPr>
              <w:t xml:space="preserve"> jongere vrouw (&lt;40 jaar) benoemd (</w:t>
            </w:r>
            <w:r>
              <w:rPr>
                <w:rFonts w:eastAsia="Times New Roman"/>
                <w:color w:val="auto"/>
              </w:rPr>
              <w:t>7</w:t>
            </w:r>
            <w:r w:rsidRPr="0038519B">
              <w:rPr>
                <w:rFonts w:eastAsia="Times New Roman"/>
                <w:color w:val="auto"/>
              </w:rPr>
              <w:t>%).</w:t>
            </w:r>
          </w:p>
          <w:p w:rsidRPr="0038519B" w:rsidR="002E5312" w:rsidP="00753705" w:rsidRDefault="002E5312" w14:paraId="45375640" w14:textId="77777777">
            <w:pPr>
              <w:spacing w:line="240" w:lineRule="auto"/>
              <w:rPr>
                <w:rFonts w:eastAsia="Times New Roman"/>
                <w:color w:val="auto"/>
              </w:rPr>
            </w:pPr>
          </w:p>
          <w:p w:rsidRPr="0038519B" w:rsidR="002E5312" w:rsidP="00753705" w:rsidRDefault="002E5312" w14:paraId="76F4A904" w14:textId="77777777">
            <w:pPr>
              <w:spacing w:line="240" w:lineRule="auto"/>
              <w:rPr>
                <w:rFonts w:eastAsia="Times New Roman"/>
                <w:color w:val="auto"/>
              </w:rPr>
            </w:pPr>
            <w:r>
              <w:rPr>
                <w:rFonts w:eastAsia="Times New Roman"/>
                <w:color w:val="auto"/>
              </w:rPr>
              <w:t>4</w:t>
            </w:r>
            <w:r w:rsidRPr="0038519B">
              <w:rPr>
                <w:rFonts w:eastAsia="Times New Roman"/>
                <w:color w:val="auto"/>
              </w:rPr>
              <w:t xml:space="preserve"> van de 1</w:t>
            </w:r>
            <w:r>
              <w:rPr>
                <w:rFonts w:eastAsia="Times New Roman"/>
                <w:color w:val="auto"/>
              </w:rPr>
              <w:t>5</w:t>
            </w:r>
            <w:r w:rsidRPr="0038519B">
              <w:rPr>
                <w:rFonts w:eastAsia="Times New Roman"/>
                <w:color w:val="auto"/>
              </w:rPr>
              <w:t xml:space="preserve"> fondsen heeft een oudere vrouw (&gt;40 jaar) benoemd (</w:t>
            </w:r>
            <w:r>
              <w:rPr>
                <w:rFonts w:eastAsia="Times New Roman"/>
                <w:color w:val="auto"/>
              </w:rPr>
              <w:t>27</w:t>
            </w:r>
            <w:r w:rsidRPr="0038519B">
              <w:rPr>
                <w:rFonts w:eastAsia="Times New Roman"/>
                <w:color w:val="auto"/>
              </w:rPr>
              <w:t>%).</w:t>
            </w:r>
          </w:p>
          <w:p w:rsidRPr="0038519B" w:rsidR="002E5312" w:rsidP="00753705" w:rsidRDefault="002E5312" w14:paraId="23050181" w14:textId="77777777">
            <w:pPr>
              <w:spacing w:line="240" w:lineRule="auto"/>
              <w:rPr>
                <w:rFonts w:eastAsia="Times New Roman"/>
                <w:color w:val="auto"/>
              </w:rPr>
            </w:pPr>
          </w:p>
          <w:p w:rsidRPr="0038519B" w:rsidR="002E5312" w:rsidP="00753705" w:rsidRDefault="002E5312" w14:paraId="12177FDE" w14:textId="77777777">
            <w:pPr>
              <w:spacing w:line="240" w:lineRule="auto"/>
              <w:rPr>
                <w:rFonts w:eastAsia="Times New Roman"/>
                <w:color w:val="auto"/>
              </w:rPr>
            </w:pPr>
            <w:r>
              <w:rPr>
                <w:rFonts w:eastAsia="Times New Roman"/>
                <w:color w:val="auto"/>
              </w:rPr>
              <w:t>2</w:t>
            </w:r>
            <w:r w:rsidRPr="0038519B">
              <w:rPr>
                <w:rFonts w:eastAsia="Times New Roman"/>
                <w:color w:val="auto"/>
              </w:rPr>
              <w:t xml:space="preserve"> van de 1</w:t>
            </w:r>
            <w:r>
              <w:rPr>
                <w:rFonts w:eastAsia="Times New Roman"/>
                <w:color w:val="auto"/>
              </w:rPr>
              <w:t>5</w:t>
            </w:r>
            <w:r w:rsidRPr="0038519B">
              <w:rPr>
                <w:rFonts w:eastAsia="Times New Roman"/>
                <w:color w:val="auto"/>
              </w:rPr>
              <w:t xml:space="preserve"> fondsen heeft een jongere man (&lt;40 jaar benoemd) (1</w:t>
            </w:r>
            <w:r>
              <w:rPr>
                <w:rFonts w:eastAsia="Times New Roman"/>
                <w:color w:val="auto"/>
              </w:rPr>
              <w:t>3</w:t>
            </w:r>
            <w:r w:rsidRPr="0038519B">
              <w:rPr>
                <w:rFonts w:eastAsia="Times New Roman"/>
                <w:color w:val="auto"/>
              </w:rPr>
              <w:t>%).</w:t>
            </w:r>
          </w:p>
          <w:p w:rsidRPr="0038519B" w:rsidR="002E5312" w:rsidP="00753705" w:rsidRDefault="002E5312" w14:paraId="2A911E7F" w14:textId="77777777">
            <w:pPr>
              <w:spacing w:line="240" w:lineRule="auto"/>
              <w:rPr>
                <w:rFonts w:eastAsia="Times New Roman"/>
                <w:color w:val="auto"/>
              </w:rPr>
            </w:pPr>
          </w:p>
          <w:p w:rsidRPr="0038519B" w:rsidR="002E5312" w:rsidP="00753705" w:rsidRDefault="002E5312" w14:paraId="1C4BC67B" w14:textId="77777777">
            <w:pPr>
              <w:spacing w:line="240" w:lineRule="auto"/>
              <w:rPr>
                <w:rFonts w:eastAsia="Times New Roman"/>
                <w:color w:val="auto"/>
              </w:rPr>
            </w:pPr>
            <w:r w:rsidRPr="0038519B">
              <w:rPr>
                <w:rFonts w:eastAsia="Times New Roman"/>
                <w:color w:val="auto"/>
              </w:rPr>
              <w:t>8 van de 1</w:t>
            </w:r>
            <w:r>
              <w:rPr>
                <w:rFonts w:eastAsia="Times New Roman"/>
                <w:color w:val="auto"/>
              </w:rPr>
              <w:t>5</w:t>
            </w:r>
            <w:r w:rsidRPr="0038519B">
              <w:rPr>
                <w:rFonts w:eastAsia="Times New Roman"/>
                <w:color w:val="auto"/>
              </w:rPr>
              <w:t xml:space="preserve"> fondsen hebben een oudere man (&gt;40 jaar) benoemd (</w:t>
            </w:r>
            <w:r>
              <w:rPr>
                <w:rFonts w:eastAsia="Times New Roman"/>
                <w:color w:val="auto"/>
              </w:rPr>
              <w:t>53</w:t>
            </w:r>
            <w:r w:rsidRPr="0038519B">
              <w:rPr>
                <w:rFonts w:eastAsia="Times New Roman"/>
                <w:color w:val="auto"/>
              </w:rPr>
              <w:t>%).</w:t>
            </w:r>
          </w:p>
        </w:tc>
      </w:tr>
      <w:bookmarkEnd w:id="5"/>
    </w:tbl>
    <w:p w:rsidR="00F0060C" w:rsidP="000B2778" w:rsidRDefault="00F0060C" w14:paraId="77FDDC59" w14:textId="77777777"/>
    <w:p w:rsidRPr="00F0060C" w:rsidR="00F0060C" w:rsidP="00F0060C" w:rsidRDefault="00F0060C" w14:paraId="60FB2F6D" w14:textId="77777777">
      <w:pPr>
        <w:pStyle w:val="Lijstalinea"/>
        <w:numPr>
          <w:ilvl w:val="0"/>
          <w:numId w:val="9"/>
        </w:numPr>
        <w:autoSpaceDN/>
        <w:spacing w:after="160"/>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Gevolgen v</w:t>
      </w:r>
      <w:r w:rsidRPr="00F0060C">
        <w:rPr>
          <w:rFonts w:eastAsia="Calibri" w:cs="Times New Roman"/>
          <w:b/>
          <w:bCs/>
          <w:color w:val="auto"/>
          <w:kern w:val="2"/>
          <w:lang w:eastAsia="en-US"/>
          <w14:ligatures w14:val="standardContextual"/>
        </w:rPr>
        <w:t>ertraging van de behandeling wetsvoorstel verlenging pensioentransitie</w:t>
      </w:r>
    </w:p>
    <w:p w:rsidRPr="00F0060C" w:rsidR="00F0060C" w:rsidP="00F0060C" w:rsidRDefault="00F0060C" w14:paraId="1F57546C" w14:textId="77777777">
      <w:pPr>
        <w:autoSpaceDN/>
        <w:spacing w:after="160"/>
        <w:textAlignment w:val="auto"/>
        <w:rPr>
          <w:rFonts w:eastAsia="Calibri" w:cs="Times New Roman"/>
          <w:color w:val="auto"/>
          <w:kern w:val="2"/>
          <w:lang w:eastAsia="en-US"/>
          <w14:ligatures w14:val="standardContextual"/>
        </w:rPr>
      </w:pPr>
      <w:r w:rsidRPr="00F0060C">
        <w:rPr>
          <w:rFonts w:eastAsia="Calibri" w:cs="Times New Roman"/>
          <w:color w:val="auto"/>
          <w:kern w:val="2"/>
          <w:lang w:eastAsia="en-US"/>
          <w14:ligatures w14:val="standardContextual"/>
        </w:rPr>
        <w:t xml:space="preserve">Het wetsvoorstel verlenging pensioentransitie (36578) is op 20 juni 2024 bij de Tweede Kamer aangeboden. Met het wetsvoorstel verlenging pensioentransitie worden de transitiedata, waaronder de uiterste transitiedatum, uit de Wtp gehaald en overgeheveld naar een AMvB. Dit wetsvoorstel is voortgekomen uit de Wtp-behandeling in de Eerste Kamer, en </w:t>
      </w:r>
      <w:r w:rsidR="00467EC7">
        <w:rPr>
          <w:rFonts w:eastAsia="Calibri" w:cs="Times New Roman"/>
          <w:color w:val="auto"/>
          <w:kern w:val="2"/>
          <w:lang w:eastAsia="en-US"/>
          <w14:ligatures w14:val="standardContextual"/>
        </w:rPr>
        <w:t xml:space="preserve">biedt meer ruimte </w:t>
      </w:r>
      <w:r w:rsidRPr="00F0060C">
        <w:rPr>
          <w:rFonts w:eastAsia="Calibri" w:cs="Times New Roman"/>
          <w:color w:val="auto"/>
          <w:kern w:val="2"/>
          <w:lang w:eastAsia="en-US"/>
          <w14:ligatures w14:val="standardContextual"/>
        </w:rPr>
        <w:t>aan de uitvoering (T03632)</w:t>
      </w:r>
      <w:r w:rsidRPr="00F0060C">
        <w:rPr>
          <w:rFonts w:eastAsia="Calibri" w:cs="Times New Roman"/>
          <w:color w:val="auto"/>
          <w:kern w:val="2"/>
          <w:vertAlign w:val="superscript"/>
          <w:lang w:eastAsia="en-US"/>
          <w14:ligatures w14:val="standardContextual"/>
        </w:rPr>
        <w:footnoteReference w:id="7"/>
      </w:r>
      <w:r w:rsidRPr="00F0060C">
        <w:rPr>
          <w:rFonts w:eastAsia="Calibri" w:cs="Times New Roman"/>
          <w:color w:val="auto"/>
          <w:kern w:val="2"/>
          <w:lang w:eastAsia="en-US"/>
          <w14:ligatures w14:val="standardContextual"/>
        </w:rPr>
        <w:t>. Met de indiening van het amendement Joseph c.s. over het invoeren van een goedkeuringsrecht bij interne waardeoverdracht van pensioenen, is de behandeling van het wetsvoorstel uitgesteld. Het onderliggende besluit, waar de tussenliggende mijlpaal van de indiening van het implementatieplan wordt gedynamiseerd</w:t>
      </w:r>
      <w:r w:rsidR="00467EC7">
        <w:rPr>
          <w:rFonts w:eastAsia="Calibri" w:cs="Times New Roman"/>
          <w:color w:val="auto"/>
          <w:kern w:val="2"/>
          <w:lang w:eastAsia="en-US"/>
          <w14:ligatures w14:val="standardContextual"/>
        </w:rPr>
        <w:t xml:space="preserve"> mede op advies van de regeringscommissaris transitie pensioenen</w:t>
      </w:r>
      <w:r w:rsidRPr="00F0060C">
        <w:rPr>
          <w:rFonts w:eastAsia="Calibri" w:cs="Times New Roman"/>
          <w:color w:val="auto"/>
          <w:kern w:val="2"/>
          <w:lang w:eastAsia="en-US"/>
          <w14:ligatures w14:val="standardContextual"/>
        </w:rPr>
        <w:t xml:space="preserve">, wordt in het kader van de voorhangprocedure betrokken bij de parlementaire behandeling van de wet. </w:t>
      </w:r>
      <w:r w:rsidR="00364186">
        <w:rPr>
          <w:rFonts w:eastAsia="Calibri" w:cs="Times New Roman"/>
          <w:color w:val="auto"/>
          <w:kern w:val="2"/>
          <w:lang w:eastAsia="en-US"/>
          <w14:ligatures w14:val="standardContextual"/>
        </w:rPr>
        <w:t>D</w:t>
      </w:r>
      <w:r w:rsidRPr="00F0060C">
        <w:rPr>
          <w:rFonts w:eastAsia="Calibri" w:cs="Times New Roman"/>
          <w:color w:val="auto"/>
          <w:kern w:val="2"/>
          <w:lang w:eastAsia="en-US"/>
          <w14:ligatures w14:val="standardContextual"/>
        </w:rPr>
        <w:t>e tussenliggende</w:t>
      </w:r>
      <w:r w:rsidR="00364186">
        <w:rPr>
          <w:rFonts w:eastAsia="Calibri" w:cs="Times New Roman"/>
          <w:color w:val="auto"/>
          <w:kern w:val="2"/>
          <w:lang w:eastAsia="en-US"/>
          <w14:ligatures w14:val="standardContextual"/>
        </w:rPr>
        <w:t xml:space="preserve"> wettelijke</w:t>
      </w:r>
      <w:r w:rsidRPr="00F0060C">
        <w:rPr>
          <w:rFonts w:eastAsia="Calibri" w:cs="Times New Roman"/>
          <w:color w:val="auto"/>
          <w:kern w:val="2"/>
          <w:lang w:eastAsia="en-US"/>
          <w14:ligatures w14:val="standardContextual"/>
        </w:rPr>
        <w:t xml:space="preserve"> mijlpaal van 1 juli 2025</w:t>
      </w:r>
      <w:r w:rsidR="00364186">
        <w:rPr>
          <w:rFonts w:eastAsia="Calibri" w:cs="Times New Roman"/>
          <w:color w:val="auto"/>
          <w:kern w:val="2"/>
          <w:lang w:eastAsia="en-US"/>
          <w14:ligatures w14:val="standardContextual"/>
        </w:rPr>
        <w:t xml:space="preserve"> nadert echter voor pensioenuitvoerders</w:t>
      </w:r>
      <w:r w:rsidRPr="00F0060C">
        <w:rPr>
          <w:rFonts w:eastAsia="Calibri" w:cs="Times New Roman"/>
          <w:color w:val="auto"/>
          <w:kern w:val="2"/>
          <w:lang w:eastAsia="en-US"/>
          <w14:ligatures w14:val="standardContextual"/>
        </w:rPr>
        <w:t xml:space="preserve">. </w:t>
      </w:r>
      <w:r w:rsidRPr="00467EC7" w:rsidR="00467EC7">
        <w:rPr>
          <w:rFonts w:eastAsia="Calibri" w:cs="Times New Roman"/>
          <w:color w:val="auto"/>
          <w:kern w:val="2"/>
          <w:lang w:eastAsia="en-US"/>
          <w14:ligatures w14:val="standardContextual"/>
        </w:rPr>
        <w:t>De langere duur van de parlementaire behandeling, leidt daarmee op korte termijn tot twee</w:t>
      </w:r>
      <w:r w:rsidR="00EC05AA">
        <w:rPr>
          <w:rFonts w:eastAsia="Calibri" w:cs="Times New Roman"/>
          <w:color w:val="auto"/>
          <w:kern w:val="2"/>
          <w:lang w:eastAsia="en-US"/>
          <w14:ligatures w14:val="standardContextual"/>
        </w:rPr>
        <w:t xml:space="preserve"> uitvoeringsproblemen</w:t>
      </w:r>
      <w:r w:rsidRPr="00F0060C">
        <w:rPr>
          <w:rFonts w:eastAsia="Calibri" w:cs="Times New Roman"/>
          <w:color w:val="auto"/>
          <w:kern w:val="2"/>
          <w:lang w:eastAsia="en-US"/>
          <w14:ligatures w14:val="standardContextual"/>
        </w:rPr>
        <w:t>:</w:t>
      </w:r>
    </w:p>
    <w:p w:rsidRPr="00F0060C" w:rsidR="00F0060C" w:rsidP="00F0060C" w:rsidRDefault="00F0060C" w14:paraId="744E7551" w14:textId="77777777">
      <w:pPr>
        <w:numPr>
          <w:ilvl w:val="0"/>
          <w:numId w:val="11"/>
        </w:numPr>
        <w:autoSpaceDN/>
        <w:spacing w:after="160" w:line="259" w:lineRule="auto"/>
        <w:contextualSpacing/>
        <w:textAlignment w:val="auto"/>
        <w:rPr>
          <w:rFonts w:eastAsia="Calibri" w:cs="Times New Roman"/>
          <w:color w:val="auto"/>
          <w:kern w:val="2"/>
          <w:lang w:eastAsia="en-US"/>
          <w14:ligatures w14:val="standardContextual"/>
        </w:rPr>
      </w:pPr>
      <w:r w:rsidRPr="00F0060C">
        <w:rPr>
          <w:rFonts w:eastAsia="Calibri" w:cs="Times New Roman"/>
          <w:color w:val="auto"/>
          <w:kern w:val="2"/>
          <w:lang w:eastAsia="en-US"/>
          <w14:ligatures w14:val="standardContextual"/>
        </w:rPr>
        <w:t xml:space="preserve">De dynamisering van de inleverdatum van het implementatieplan kan niet op tijd worden gerealiseerd, waardoor de werklast in de sector niet </w:t>
      </w:r>
      <w:r w:rsidR="00467EC7">
        <w:rPr>
          <w:rFonts w:eastAsia="Calibri" w:cs="Times New Roman"/>
          <w:color w:val="auto"/>
          <w:kern w:val="2"/>
          <w:lang w:eastAsia="en-US"/>
          <w14:ligatures w14:val="standardContextual"/>
        </w:rPr>
        <w:t xml:space="preserve">beter </w:t>
      </w:r>
      <w:r w:rsidRPr="00F0060C">
        <w:rPr>
          <w:rFonts w:eastAsia="Calibri" w:cs="Times New Roman"/>
          <w:color w:val="auto"/>
          <w:kern w:val="2"/>
          <w:lang w:eastAsia="en-US"/>
          <w14:ligatures w14:val="standardContextual"/>
        </w:rPr>
        <w:t>gespreid kan worden.</w:t>
      </w:r>
    </w:p>
    <w:p w:rsidRPr="00F0060C" w:rsidR="00F0060C" w:rsidP="00F0060C" w:rsidRDefault="00F0060C" w14:paraId="00F7AC93" w14:textId="77777777">
      <w:pPr>
        <w:numPr>
          <w:ilvl w:val="0"/>
          <w:numId w:val="11"/>
        </w:numPr>
        <w:autoSpaceDN/>
        <w:spacing w:after="160" w:line="259" w:lineRule="auto"/>
        <w:contextualSpacing/>
        <w:textAlignment w:val="auto"/>
        <w:rPr>
          <w:rFonts w:eastAsia="Calibri" w:cs="Times New Roman"/>
          <w:color w:val="auto"/>
          <w:kern w:val="2"/>
          <w:lang w:eastAsia="en-US"/>
          <w14:ligatures w14:val="standardContextual"/>
        </w:rPr>
      </w:pPr>
      <w:r w:rsidRPr="00F0060C">
        <w:rPr>
          <w:rFonts w:eastAsia="Calibri" w:cs="Times New Roman"/>
          <w:color w:val="auto"/>
          <w:kern w:val="2"/>
          <w:lang w:eastAsia="en-US"/>
          <w14:ligatures w14:val="standardContextual"/>
        </w:rPr>
        <w:t>Fondsen die vanwege de</w:t>
      </w:r>
      <w:r w:rsidR="00364186">
        <w:rPr>
          <w:rFonts w:eastAsia="Calibri" w:cs="Times New Roman"/>
          <w:color w:val="auto"/>
          <w:kern w:val="2"/>
          <w:lang w:eastAsia="en-US"/>
          <w14:ligatures w14:val="standardContextual"/>
        </w:rPr>
        <w:t xml:space="preserve"> aangekondigde</w:t>
      </w:r>
      <w:r w:rsidRPr="00F0060C">
        <w:rPr>
          <w:rFonts w:eastAsia="Calibri" w:cs="Times New Roman"/>
          <w:color w:val="auto"/>
          <w:kern w:val="2"/>
          <w:lang w:eastAsia="en-US"/>
          <w14:ligatures w14:val="standardContextual"/>
        </w:rPr>
        <w:t xml:space="preserve"> dynamisering besloten hebben om hun implementatieplan later dan 1 juli 2025 in te leveren bij de toezichthouder, kunnen geen gebruik maken van het transitie-ftk waarin versoepelde indexatieregels mogelijk zijn voor fondsen die willen invaren. </w:t>
      </w:r>
    </w:p>
    <w:p w:rsidR="00F0060C" w:rsidP="00F0060C" w:rsidRDefault="00F0060C" w14:paraId="38A43887" w14:textId="77777777">
      <w:pPr>
        <w:ind w:left="360"/>
        <w:contextualSpacing/>
        <w:rPr>
          <w:rFonts w:eastAsia="Calibri" w:cs="Times New Roman"/>
          <w:color w:val="auto"/>
          <w:kern w:val="2"/>
          <w:lang w:eastAsia="en-US"/>
          <w14:ligatures w14:val="standardContextual"/>
        </w:rPr>
      </w:pPr>
    </w:p>
    <w:p w:rsidR="002F2A72" w:rsidP="00F0060C" w:rsidRDefault="002F2A72" w14:paraId="0F196492" w14:textId="77777777">
      <w:pPr>
        <w:ind w:left="360"/>
        <w:contextualSpacing/>
        <w:rPr>
          <w:rFonts w:eastAsia="Calibri" w:cs="Times New Roman"/>
          <w:color w:val="auto"/>
          <w:kern w:val="2"/>
          <w:lang w:eastAsia="en-US"/>
          <w14:ligatures w14:val="standardContextual"/>
        </w:rPr>
      </w:pPr>
    </w:p>
    <w:p w:rsidR="002F2A72" w:rsidP="00F0060C" w:rsidRDefault="002F2A72" w14:paraId="5C33E597" w14:textId="77777777">
      <w:pPr>
        <w:ind w:left="360"/>
        <w:contextualSpacing/>
        <w:rPr>
          <w:rFonts w:eastAsia="Calibri" w:cs="Times New Roman"/>
          <w:color w:val="auto"/>
          <w:kern w:val="2"/>
          <w:lang w:eastAsia="en-US"/>
          <w14:ligatures w14:val="standardContextual"/>
        </w:rPr>
      </w:pPr>
    </w:p>
    <w:p w:rsidR="002F2A72" w:rsidP="00F0060C" w:rsidRDefault="002F2A72" w14:paraId="4DFBC6AB" w14:textId="77777777">
      <w:pPr>
        <w:ind w:left="360"/>
        <w:contextualSpacing/>
        <w:rPr>
          <w:rFonts w:eastAsia="Calibri" w:cs="Times New Roman"/>
          <w:color w:val="auto"/>
          <w:kern w:val="2"/>
          <w:lang w:eastAsia="en-US"/>
          <w14:ligatures w14:val="standardContextual"/>
        </w:rPr>
      </w:pPr>
    </w:p>
    <w:p w:rsidR="002F2A72" w:rsidP="00F0060C" w:rsidRDefault="002F2A72" w14:paraId="4F016EC7" w14:textId="77777777">
      <w:pPr>
        <w:ind w:left="360"/>
        <w:contextualSpacing/>
        <w:rPr>
          <w:rFonts w:eastAsia="Calibri" w:cs="Times New Roman"/>
          <w:color w:val="auto"/>
          <w:kern w:val="2"/>
          <w:lang w:eastAsia="en-US"/>
          <w14:ligatures w14:val="standardContextual"/>
        </w:rPr>
      </w:pPr>
    </w:p>
    <w:p w:rsidRPr="00F0060C" w:rsidR="002F2A72" w:rsidP="00F0060C" w:rsidRDefault="002F2A72" w14:paraId="0503AE46" w14:textId="77777777">
      <w:pPr>
        <w:ind w:left="360"/>
        <w:contextualSpacing/>
        <w:rPr>
          <w:rFonts w:eastAsia="Calibri" w:cs="Times New Roman"/>
          <w:color w:val="auto"/>
          <w:kern w:val="2"/>
          <w:lang w:eastAsia="en-US"/>
          <w14:ligatures w14:val="standardContextual"/>
        </w:rPr>
      </w:pPr>
    </w:p>
    <w:p w:rsidR="00467EC7" w:rsidP="00F0060C" w:rsidRDefault="00F0060C" w14:paraId="79416F12" w14:textId="77777777">
      <w:pPr>
        <w:autoSpaceDN/>
        <w:spacing w:after="160"/>
        <w:textAlignment w:val="auto"/>
        <w:rPr>
          <w:rFonts w:eastAsia="Calibri" w:cs="Times New Roman"/>
          <w:color w:val="auto"/>
          <w:kern w:val="2"/>
          <w:lang w:eastAsia="en-US"/>
          <w14:ligatures w14:val="standardContextual"/>
        </w:rPr>
      </w:pPr>
      <w:r w:rsidRPr="00F0060C">
        <w:rPr>
          <w:rFonts w:eastAsia="Calibri" w:cs="Times New Roman"/>
          <w:color w:val="auto"/>
          <w:kern w:val="2"/>
          <w:lang w:eastAsia="en-US"/>
          <w14:ligatures w14:val="standardContextual"/>
        </w:rPr>
        <w:lastRenderedPageBreak/>
        <w:t xml:space="preserve">Het niet dynamiseren van de inleverdatum van het implementatieplan heeft grote gevolgen voor de werkdruk in de sector. Dit zorgt voor een </w:t>
      </w:r>
      <w:r w:rsidR="00467EC7">
        <w:rPr>
          <w:rFonts w:eastAsia="Calibri" w:cs="Times New Roman"/>
          <w:color w:val="auto"/>
          <w:kern w:val="2"/>
          <w:lang w:eastAsia="en-US"/>
          <w14:ligatures w14:val="standardContextual"/>
        </w:rPr>
        <w:t xml:space="preserve">onnodige </w:t>
      </w:r>
      <w:r w:rsidRPr="00F0060C">
        <w:rPr>
          <w:rFonts w:eastAsia="Calibri" w:cs="Times New Roman"/>
          <w:color w:val="auto"/>
          <w:kern w:val="2"/>
          <w:lang w:eastAsia="en-US"/>
          <w14:ligatures w14:val="standardContextual"/>
        </w:rPr>
        <w:t>piekbelasting op 1 juli 2025. Uit de voortgangsrapportage monitoring Wtp – winter 2025 en de DNB sectorbeelden Q4 2024 blijkt dat 62 pensioenfondsen een voorgenomen invaardatum hebben ná 1 juli 2026.</w:t>
      </w:r>
      <w:r w:rsidRPr="00F0060C">
        <w:rPr>
          <w:rFonts w:eastAsia="Calibri" w:cs="Times New Roman"/>
          <w:color w:val="auto"/>
          <w:kern w:val="2"/>
          <w:vertAlign w:val="superscript"/>
          <w:lang w:eastAsia="en-US"/>
          <w14:ligatures w14:val="standardContextual"/>
        </w:rPr>
        <w:footnoteReference w:id="8"/>
      </w:r>
      <w:r w:rsidRPr="00F0060C">
        <w:rPr>
          <w:rFonts w:eastAsia="Calibri" w:cs="Times New Roman"/>
          <w:color w:val="auto"/>
          <w:kern w:val="2"/>
          <w:lang w:eastAsia="en-US"/>
          <w14:ligatures w14:val="standardContextual"/>
        </w:rPr>
        <w:t xml:space="preserve"> </w:t>
      </w:r>
    </w:p>
    <w:p w:rsidRPr="00F0060C" w:rsidR="00F0060C" w:rsidP="00F0060C" w:rsidRDefault="00467EC7" w14:paraId="5E4EF5DB" w14:textId="77777777">
      <w:pPr>
        <w:autoSpaceDN/>
        <w:spacing w:after="160"/>
        <w:textAlignment w:val="auto"/>
        <w:rPr>
          <w:rFonts w:eastAsia="Calibri" w:cs="Times New Roman"/>
          <w:color w:val="auto"/>
          <w:kern w:val="2"/>
          <w:lang w:eastAsia="en-US"/>
          <w14:ligatures w14:val="standardContextual"/>
        </w:rPr>
      </w:pPr>
      <w:r w:rsidRPr="00467EC7">
        <w:rPr>
          <w:rFonts w:eastAsia="Calibri" w:cs="Times New Roman"/>
          <w:color w:val="auto"/>
          <w:kern w:val="2"/>
          <w:lang w:eastAsia="en-US"/>
          <w14:ligatures w14:val="standardContextual"/>
        </w:rPr>
        <w:t>De nadere</w:t>
      </w:r>
      <w:r w:rsidR="00364186">
        <w:rPr>
          <w:rFonts w:eastAsia="Calibri" w:cs="Times New Roman"/>
          <w:color w:val="auto"/>
          <w:kern w:val="2"/>
          <w:lang w:eastAsia="en-US"/>
          <w14:ligatures w14:val="standardContextual"/>
        </w:rPr>
        <w:t>nde</w:t>
      </w:r>
      <w:r w:rsidRPr="00467EC7">
        <w:rPr>
          <w:rFonts w:eastAsia="Calibri" w:cs="Times New Roman"/>
          <w:color w:val="auto"/>
          <w:kern w:val="2"/>
          <w:lang w:eastAsia="en-US"/>
          <w14:ligatures w14:val="standardContextual"/>
        </w:rPr>
        <w:t xml:space="preserve"> uitvoeringsproblemen voor de sector als gevolg van de vertraging van de wetsbehandeling zouden de parlementaire behandeling van het wetsvoorstel kunnen belasten. </w:t>
      </w:r>
      <w:r w:rsidRPr="00F0060C" w:rsidR="00F0060C">
        <w:rPr>
          <w:rFonts w:eastAsia="Calibri" w:cs="Times New Roman"/>
          <w:color w:val="auto"/>
          <w:kern w:val="2"/>
          <w:lang w:eastAsia="en-US"/>
          <w14:ligatures w14:val="standardContextual"/>
        </w:rPr>
        <w:t>Om deze reden ga ik de artikelen die zien op de dynamisering van de inleverdatum van het implementatie- en communicatieplan in een aparte AMvB onderbrengen en niet langer in het onderliggende besluit bij het wetsvoorstel verlenging van de transitieperiode naar het nieuwe pensioenstelsel.</w:t>
      </w:r>
      <w:r w:rsidRPr="00F0060C" w:rsidR="00F0060C">
        <w:rPr>
          <w:rFonts w:eastAsia="Calibri" w:cs="Times New Roman"/>
          <w:color w:val="auto"/>
          <w:kern w:val="2"/>
          <w:vertAlign w:val="superscript"/>
          <w:lang w:eastAsia="en-US"/>
          <w14:ligatures w14:val="standardContextual"/>
        </w:rPr>
        <w:footnoteReference w:id="9"/>
      </w:r>
      <w:r w:rsidRPr="00F0060C" w:rsidR="00F0060C">
        <w:rPr>
          <w:rFonts w:eastAsia="Calibri" w:cs="Times New Roman"/>
          <w:color w:val="auto"/>
          <w:kern w:val="2"/>
          <w:lang w:eastAsia="en-US"/>
          <w14:ligatures w14:val="standardContextual"/>
        </w:rPr>
        <w:t xml:space="preserve"> Pensioenfondsen die ná 1 juli 2026 invaren kunnen hierdoor gebruikmaken van de dynamisering en hun implementatieplan uiterlijk 12 maanden voor het invaarmoment indienen. In dit besluit wordt aanvullend geëxpliciteerd dat de transitie-informatie uiterlijk één maand voor het invaarmoment moet worden verstrekt, om duidelijkheid te geven aan de sector en zo de zorgvuldige transitie te borgen.</w:t>
      </w:r>
    </w:p>
    <w:p w:rsidRPr="00F0060C" w:rsidR="00467EC7" w:rsidP="00467EC7" w:rsidRDefault="00F0060C" w14:paraId="163AB731" w14:textId="77777777">
      <w:pPr>
        <w:autoSpaceDN/>
        <w:textAlignment w:val="auto"/>
        <w:rPr>
          <w:rFonts w:eastAsia="Calibri" w:cs="Aptos"/>
          <w:color w:val="auto"/>
          <w:lang w:eastAsia="en-US"/>
          <w14:ligatures w14:val="standardContextual"/>
        </w:rPr>
      </w:pPr>
      <w:r w:rsidRPr="00F0060C">
        <w:rPr>
          <w:rFonts w:eastAsia="Calibri" w:cs="Aptos"/>
          <w:color w:val="auto"/>
          <w:lang w:eastAsia="en-US"/>
          <w14:ligatures w14:val="standardContextual"/>
        </w:rPr>
        <w:t xml:space="preserve">Aanvullend zal ik in dit nieuwe besluit ook een versoepeling van de indexatieregels opnemen voor fondsen die voornemens zijn om in te varen. Dit is in lijn met eerder </w:t>
      </w:r>
      <w:r w:rsidR="00467EC7">
        <w:rPr>
          <w:rFonts w:eastAsia="Calibri" w:cs="Aptos"/>
          <w:color w:val="auto"/>
          <w:lang w:eastAsia="en-US"/>
          <w14:ligatures w14:val="standardContextual"/>
        </w:rPr>
        <w:t>geldende</w:t>
      </w:r>
      <w:r w:rsidRPr="00F0060C" w:rsidR="00973325">
        <w:rPr>
          <w:rFonts w:eastAsia="Calibri" w:cs="Aptos"/>
          <w:color w:val="auto"/>
          <w:lang w:eastAsia="en-US"/>
          <w14:ligatures w14:val="standardContextual"/>
        </w:rPr>
        <w:t xml:space="preserve"> </w:t>
      </w:r>
      <w:r w:rsidRPr="00F0060C">
        <w:rPr>
          <w:rFonts w:eastAsia="Calibri" w:cs="Aptos"/>
          <w:color w:val="auto"/>
          <w:lang w:eastAsia="en-US"/>
          <w14:ligatures w14:val="standardContextual"/>
        </w:rPr>
        <w:t>indexatie-AMvB</w:t>
      </w:r>
      <w:r w:rsidR="00364186">
        <w:rPr>
          <w:rFonts w:eastAsia="Calibri" w:cs="Aptos"/>
          <w:color w:val="auto"/>
          <w:lang w:eastAsia="en-US"/>
          <w14:ligatures w14:val="standardContextual"/>
        </w:rPr>
        <w:t>’</w:t>
      </w:r>
      <w:r w:rsidRPr="00F0060C">
        <w:rPr>
          <w:rFonts w:eastAsia="Calibri" w:cs="Aptos"/>
          <w:color w:val="auto"/>
          <w:lang w:eastAsia="en-US"/>
          <w14:ligatures w14:val="standardContextual"/>
        </w:rPr>
        <w:t>s. Hierdoor kunnen pensioenfondsen die gebruik willen maken van de dynamisering, gebruik blijven maken van de versoepelde indexatieregels uit het transitie-ftk. Zonder deze toevoeging in het besluit, zouden fondsen die geen implementatieplan hebben ingediend vóór 1 juli 2025, geen overbruggingsplan in kunnen dienen voor de jaren 2025 en 2026 en daardoor geen gebruik kunnen maken van het transitie-ftk</w:t>
      </w:r>
      <w:r w:rsidR="00467EC7">
        <w:rPr>
          <w:rFonts w:eastAsia="Calibri" w:cs="Aptos"/>
          <w:color w:val="auto"/>
          <w:lang w:eastAsia="en-US"/>
          <w14:ligatures w14:val="standardContextual"/>
        </w:rPr>
        <w:t xml:space="preserve"> </w:t>
      </w:r>
      <w:r w:rsidRPr="00467EC7" w:rsidR="00467EC7">
        <w:rPr>
          <w:rFonts w:eastAsia="Calibri" w:cs="Aptos"/>
          <w:color w:val="auto"/>
          <w:lang w:eastAsia="en-US"/>
          <w14:ligatures w14:val="standardContextual"/>
        </w:rPr>
        <w:t>ten dienste van hun deelnemers</w:t>
      </w:r>
      <w:r w:rsidRPr="00F0060C">
        <w:rPr>
          <w:rFonts w:eastAsia="Calibri" w:cs="Aptos"/>
          <w:color w:val="auto"/>
          <w:lang w:eastAsia="en-US"/>
          <w14:ligatures w14:val="standardContextual"/>
        </w:rPr>
        <w:t>. Het is wenselijk</w:t>
      </w:r>
      <w:r w:rsidR="00260149">
        <w:rPr>
          <w:rFonts w:eastAsia="Calibri" w:cs="Aptos"/>
          <w:color w:val="auto"/>
          <w:lang w:eastAsia="en-US"/>
          <w14:ligatures w14:val="standardContextual"/>
        </w:rPr>
        <w:t xml:space="preserve"> om</w:t>
      </w:r>
      <w:r w:rsidRPr="00F0060C">
        <w:rPr>
          <w:rFonts w:eastAsia="Calibri" w:cs="Aptos"/>
          <w:color w:val="auto"/>
          <w:lang w:eastAsia="en-US"/>
          <w14:ligatures w14:val="standardContextual"/>
        </w:rPr>
        <w:t xml:space="preserve"> </w:t>
      </w:r>
      <w:r w:rsidR="00364186">
        <w:rPr>
          <w:rFonts w:eastAsia="Calibri" w:cs="Aptos"/>
          <w:color w:val="auto"/>
          <w:lang w:eastAsia="en-US"/>
          <w14:ligatures w14:val="standardContextual"/>
        </w:rPr>
        <w:t>een dergelijke situatie</w:t>
      </w:r>
      <w:r w:rsidRPr="00F0060C">
        <w:rPr>
          <w:rFonts w:eastAsia="Calibri" w:cs="Aptos"/>
          <w:color w:val="auto"/>
          <w:lang w:eastAsia="en-US"/>
          <w14:ligatures w14:val="standardContextual"/>
        </w:rPr>
        <w:t xml:space="preserve"> te voorkomen</w:t>
      </w:r>
      <w:bookmarkStart w:name="_Hlk192076429" w:id="6"/>
      <w:r w:rsidR="00364186">
        <w:rPr>
          <w:rFonts w:eastAsia="Calibri" w:cs="Aptos"/>
          <w:color w:val="auto"/>
          <w:lang w:eastAsia="en-US"/>
          <w14:ligatures w14:val="standardContextual"/>
        </w:rPr>
        <w:t>. Een voorspelbaar wettelijk kader</w:t>
      </w:r>
      <w:r w:rsidRPr="00467EC7" w:rsidR="00467EC7">
        <w:rPr>
          <w:rFonts w:eastAsia="Calibri" w:cs="Aptos"/>
          <w:color w:val="auto"/>
          <w:lang w:eastAsia="en-US"/>
          <w14:ligatures w14:val="standardContextual"/>
        </w:rPr>
        <w:t xml:space="preserve"> biedt duidelijkheid aan deelnemers en uitvoerende partijen.</w:t>
      </w:r>
      <w:bookmarkEnd w:id="6"/>
      <w:r w:rsidR="00467EC7">
        <w:rPr>
          <w:rFonts w:eastAsia="Calibri" w:cs="Aptos"/>
          <w:color w:val="auto"/>
          <w:lang w:eastAsia="en-US"/>
          <w14:ligatures w14:val="standardContextual"/>
        </w:rPr>
        <w:t xml:space="preserve"> </w:t>
      </w:r>
      <w:r w:rsidRPr="00467EC7" w:rsidR="00467EC7">
        <w:rPr>
          <w:rFonts w:eastAsia="Calibri" w:cs="Aptos"/>
          <w:color w:val="auto"/>
          <w:lang w:eastAsia="en-US"/>
          <w14:ligatures w14:val="standardContextual"/>
        </w:rPr>
        <w:t>De planning is om dit besluit uiterlijk begin april aan te bieden aan de Raad van State</w:t>
      </w:r>
      <w:r w:rsidR="00364186">
        <w:rPr>
          <w:rFonts w:eastAsia="Calibri" w:cs="Aptos"/>
          <w:color w:val="auto"/>
          <w:lang w:eastAsia="en-US"/>
          <w14:ligatures w14:val="standardContextual"/>
        </w:rPr>
        <w:t>.</w:t>
      </w:r>
      <w:r w:rsidRPr="00467EC7" w:rsidR="00467EC7">
        <w:rPr>
          <w:rFonts w:eastAsia="Calibri" w:cs="Aptos"/>
          <w:color w:val="auto"/>
          <w:lang w:eastAsia="en-US"/>
          <w14:ligatures w14:val="standardContextual"/>
        </w:rPr>
        <w:t xml:space="preserve"> </w:t>
      </w:r>
      <w:r w:rsidR="00364186">
        <w:rPr>
          <w:rFonts w:eastAsia="Calibri" w:cs="Aptos"/>
          <w:color w:val="auto"/>
          <w:lang w:eastAsia="en-US"/>
          <w14:ligatures w14:val="standardContextual"/>
        </w:rPr>
        <w:t>H</w:t>
      </w:r>
      <w:r w:rsidRPr="00467EC7" w:rsidR="00467EC7">
        <w:rPr>
          <w:rFonts w:eastAsia="Calibri" w:cs="Aptos"/>
          <w:color w:val="auto"/>
          <w:lang w:eastAsia="en-US"/>
          <w14:ligatures w14:val="standardContextual"/>
        </w:rPr>
        <w:t xml:space="preserve">et zal op dat moment ook te raadplegen zijn via de website van de Wetgevingskalender. De beoogde inwerkingtredingsdatum van dit besluit zal uiterlijk op 1 juli 2025 zijn. Dit besluit biedt daarmee duidelijkheid aan de uitvoerende partijen en toezichthouders en draagt bij aan een zorgvuldige parlementaire behandeling van de wet. </w:t>
      </w:r>
    </w:p>
    <w:p w:rsidR="00F0060C" w:rsidP="00467EC7" w:rsidRDefault="00F0060C" w14:paraId="6592841A" w14:textId="77777777">
      <w:pPr>
        <w:autoSpaceDN/>
        <w:textAlignment w:val="auto"/>
        <w:rPr>
          <w:rFonts w:eastAsia="Calibri" w:cs="Aptos"/>
          <w:color w:val="auto"/>
          <w:lang w:eastAsia="en-US"/>
          <w14:ligatures w14:val="standardContextual"/>
        </w:rPr>
      </w:pPr>
    </w:p>
    <w:p w:rsidR="002F2A72" w:rsidP="00467EC7" w:rsidRDefault="002F2A72" w14:paraId="40E2C737" w14:textId="77777777">
      <w:pPr>
        <w:autoSpaceDN/>
        <w:textAlignment w:val="auto"/>
        <w:rPr>
          <w:rFonts w:eastAsia="Calibri" w:cs="Aptos"/>
          <w:color w:val="auto"/>
          <w:lang w:eastAsia="en-US"/>
          <w14:ligatures w14:val="standardContextual"/>
        </w:rPr>
      </w:pPr>
    </w:p>
    <w:p w:rsidR="002F2A72" w:rsidP="00467EC7" w:rsidRDefault="002F2A72" w14:paraId="570166CA" w14:textId="77777777">
      <w:pPr>
        <w:autoSpaceDN/>
        <w:textAlignment w:val="auto"/>
        <w:rPr>
          <w:rFonts w:eastAsia="Calibri" w:cs="Aptos"/>
          <w:color w:val="auto"/>
          <w:lang w:eastAsia="en-US"/>
          <w14:ligatures w14:val="standardContextual"/>
        </w:rPr>
      </w:pPr>
    </w:p>
    <w:p w:rsidR="002F2A72" w:rsidP="00467EC7" w:rsidRDefault="002F2A72" w14:paraId="6BD13D1B" w14:textId="77777777">
      <w:pPr>
        <w:autoSpaceDN/>
        <w:textAlignment w:val="auto"/>
        <w:rPr>
          <w:rFonts w:eastAsia="Calibri" w:cs="Aptos"/>
          <w:color w:val="auto"/>
          <w:lang w:eastAsia="en-US"/>
          <w14:ligatures w14:val="standardContextual"/>
        </w:rPr>
      </w:pPr>
    </w:p>
    <w:p w:rsidR="002F2A72" w:rsidP="00467EC7" w:rsidRDefault="002F2A72" w14:paraId="552219F6" w14:textId="77777777">
      <w:pPr>
        <w:autoSpaceDN/>
        <w:textAlignment w:val="auto"/>
        <w:rPr>
          <w:rFonts w:eastAsia="Calibri" w:cs="Aptos"/>
          <w:color w:val="auto"/>
          <w:lang w:eastAsia="en-US"/>
          <w14:ligatures w14:val="standardContextual"/>
        </w:rPr>
      </w:pPr>
    </w:p>
    <w:p w:rsidR="002F2A72" w:rsidP="00467EC7" w:rsidRDefault="002F2A72" w14:paraId="184AD49A" w14:textId="77777777">
      <w:pPr>
        <w:autoSpaceDN/>
        <w:textAlignment w:val="auto"/>
        <w:rPr>
          <w:rFonts w:eastAsia="Calibri" w:cs="Aptos"/>
          <w:color w:val="auto"/>
          <w:lang w:eastAsia="en-US"/>
          <w14:ligatures w14:val="standardContextual"/>
        </w:rPr>
      </w:pPr>
    </w:p>
    <w:p w:rsidR="002F2A72" w:rsidP="00467EC7" w:rsidRDefault="002F2A72" w14:paraId="09CAD072" w14:textId="77777777">
      <w:pPr>
        <w:autoSpaceDN/>
        <w:textAlignment w:val="auto"/>
        <w:rPr>
          <w:rFonts w:eastAsia="Calibri" w:cs="Aptos"/>
          <w:color w:val="auto"/>
          <w:lang w:eastAsia="en-US"/>
          <w14:ligatures w14:val="standardContextual"/>
        </w:rPr>
      </w:pPr>
    </w:p>
    <w:p w:rsidR="002F2A72" w:rsidP="00467EC7" w:rsidRDefault="002F2A72" w14:paraId="44AB573E" w14:textId="77777777">
      <w:pPr>
        <w:autoSpaceDN/>
        <w:textAlignment w:val="auto"/>
        <w:rPr>
          <w:rFonts w:eastAsia="Calibri" w:cs="Aptos"/>
          <w:color w:val="auto"/>
          <w:lang w:eastAsia="en-US"/>
          <w14:ligatures w14:val="standardContextual"/>
        </w:rPr>
      </w:pPr>
    </w:p>
    <w:p w:rsidR="002F2A72" w:rsidP="00467EC7" w:rsidRDefault="002F2A72" w14:paraId="7C3EB757" w14:textId="77777777">
      <w:pPr>
        <w:autoSpaceDN/>
        <w:textAlignment w:val="auto"/>
        <w:rPr>
          <w:rFonts w:eastAsia="Calibri" w:cs="Aptos"/>
          <w:color w:val="auto"/>
          <w:lang w:eastAsia="en-US"/>
          <w14:ligatures w14:val="standardContextual"/>
        </w:rPr>
      </w:pPr>
    </w:p>
    <w:p w:rsidR="002F2A72" w:rsidP="00467EC7" w:rsidRDefault="002F2A72" w14:paraId="0D0C924C" w14:textId="77777777">
      <w:pPr>
        <w:autoSpaceDN/>
        <w:textAlignment w:val="auto"/>
        <w:rPr>
          <w:rFonts w:eastAsia="Calibri" w:cs="Aptos"/>
          <w:color w:val="auto"/>
          <w:lang w:eastAsia="en-US"/>
          <w14:ligatures w14:val="standardContextual"/>
        </w:rPr>
      </w:pPr>
    </w:p>
    <w:p w:rsidR="002F2A72" w:rsidP="00467EC7" w:rsidRDefault="002F2A72" w14:paraId="365533AB" w14:textId="77777777">
      <w:pPr>
        <w:autoSpaceDN/>
        <w:textAlignment w:val="auto"/>
        <w:rPr>
          <w:rFonts w:eastAsia="Calibri" w:cs="Aptos"/>
          <w:color w:val="auto"/>
          <w:lang w:eastAsia="en-US"/>
          <w14:ligatures w14:val="standardContextual"/>
        </w:rPr>
      </w:pPr>
    </w:p>
    <w:p w:rsidR="002F2A72" w:rsidP="00467EC7" w:rsidRDefault="002F2A72" w14:paraId="7DABFA96" w14:textId="77777777">
      <w:pPr>
        <w:autoSpaceDN/>
        <w:textAlignment w:val="auto"/>
        <w:rPr>
          <w:rFonts w:eastAsia="Calibri" w:cs="Aptos"/>
          <w:color w:val="auto"/>
          <w:lang w:eastAsia="en-US"/>
          <w14:ligatures w14:val="standardContextual"/>
        </w:rPr>
      </w:pPr>
    </w:p>
    <w:p w:rsidR="002F2A72" w:rsidP="00467EC7" w:rsidRDefault="002F2A72" w14:paraId="49B95A08" w14:textId="77777777">
      <w:pPr>
        <w:autoSpaceDN/>
        <w:textAlignment w:val="auto"/>
        <w:rPr>
          <w:rFonts w:eastAsia="Calibri" w:cs="Aptos"/>
          <w:color w:val="auto"/>
          <w:lang w:eastAsia="en-US"/>
          <w14:ligatures w14:val="standardContextual"/>
        </w:rPr>
      </w:pPr>
    </w:p>
    <w:p w:rsidR="002F2A72" w:rsidP="00467EC7" w:rsidRDefault="002F2A72" w14:paraId="66BFC364" w14:textId="77777777">
      <w:pPr>
        <w:autoSpaceDN/>
        <w:textAlignment w:val="auto"/>
        <w:rPr>
          <w:rFonts w:eastAsia="Calibri" w:cs="Aptos"/>
          <w:color w:val="auto"/>
          <w:lang w:eastAsia="en-US"/>
          <w14:ligatures w14:val="standardContextual"/>
        </w:rPr>
      </w:pPr>
    </w:p>
    <w:p w:rsidR="002F2A72" w:rsidP="00467EC7" w:rsidRDefault="002F2A72" w14:paraId="65B7AF0A" w14:textId="77777777">
      <w:pPr>
        <w:autoSpaceDN/>
        <w:textAlignment w:val="auto"/>
        <w:rPr>
          <w:rFonts w:eastAsia="Calibri" w:cs="Aptos"/>
          <w:color w:val="auto"/>
          <w:lang w:eastAsia="en-US"/>
          <w14:ligatures w14:val="standardContextual"/>
        </w:rPr>
      </w:pPr>
    </w:p>
    <w:p w:rsidRPr="00F0060C" w:rsidR="002F2A72" w:rsidP="00467EC7" w:rsidRDefault="002F2A72" w14:paraId="52C2F90F" w14:textId="77777777">
      <w:pPr>
        <w:autoSpaceDN/>
        <w:textAlignment w:val="auto"/>
        <w:rPr>
          <w:rFonts w:eastAsia="Calibri" w:cs="Aptos"/>
          <w:color w:val="auto"/>
          <w:lang w:eastAsia="en-US"/>
          <w14:ligatures w14:val="standardContextual"/>
        </w:rPr>
      </w:pPr>
    </w:p>
    <w:p w:rsidRPr="00F0060C" w:rsidR="00F0060C" w:rsidP="00F0060C" w:rsidRDefault="00F0060C" w14:paraId="1CD999E8" w14:textId="77777777">
      <w:pPr>
        <w:autoSpaceDN/>
        <w:textAlignment w:val="auto"/>
        <w:rPr>
          <w:rFonts w:eastAsia="Calibri" w:cs="Aptos"/>
          <w:color w:val="auto"/>
          <w:lang w:eastAsia="en-US"/>
          <w14:ligatures w14:val="standardContextual"/>
        </w:rPr>
      </w:pPr>
      <w:r w:rsidRPr="00F0060C">
        <w:rPr>
          <w:rFonts w:eastAsia="Calibri" w:cs="Aptos"/>
          <w:i/>
          <w:iCs/>
          <w:color w:val="auto"/>
          <w:lang w:eastAsia="en-US"/>
          <w14:ligatures w14:val="standardContextual"/>
        </w:rPr>
        <w:lastRenderedPageBreak/>
        <w:t>Gevolgen voor ontwerpbesluit transitietermijnen</w:t>
      </w:r>
    </w:p>
    <w:p w:rsidR="00F47D6D" w:rsidP="002F2A72" w:rsidRDefault="00973325" w14:paraId="62F20A82" w14:textId="77777777">
      <w:pPr>
        <w:autoSpaceDN/>
        <w:textAlignment w:val="auto"/>
        <w:rPr>
          <w:rFonts w:eastAsia="Calibri" w:cs="Aptos"/>
          <w:color w:val="auto"/>
          <w:lang w:eastAsia="en-US"/>
          <w14:ligatures w14:val="standardContextual"/>
        </w:rPr>
      </w:pPr>
      <w:r>
        <w:rPr>
          <w:rFonts w:eastAsia="Calibri" w:cs="Aptos"/>
          <w:color w:val="auto"/>
          <w:lang w:eastAsia="en-US"/>
          <w14:ligatures w14:val="standardContextual"/>
        </w:rPr>
        <w:t xml:space="preserve">De dynamisering </w:t>
      </w:r>
      <w:r w:rsidR="00273F39">
        <w:rPr>
          <w:rFonts w:eastAsia="Calibri" w:cs="Aptos"/>
          <w:color w:val="auto"/>
          <w:lang w:eastAsia="en-US"/>
          <w14:ligatures w14:val="standardContextual"/>
        </w:rPr>
        <w:t xml:space="preserve">en de </w:t>
      </w:r>
      <w:r w:rsidR="00273F39">
        <w:rPr>
          <w:rFonts w:eastAsia="Calibri" w:cs="Times New Roman"/>
          <w:color w:val="auto"/>
          <w:kern w:val="2"/>
          <w:lang w:eastAsia="en-US"/>
          <w14:ligatures w14:val="standardContextual"/>
        </w:rPr>
        <w:t>verduidelijking dat de</w:t>
      </w:r>
      <w:r w:rsidRPr="00F0060C" w:rsidR="00273F39">
        <w:rPr>
          <w:rFonts w:eastAsia="Calibri" w:cs="Times New Roman"/>
          <w:color w:val="auto"/>
          <w:kern w:val="2"/>
          <w:lang w:eastAsia="en-US"/>
          <w14:ligatures w14:val="standardContextual"/>
        </w:rPr>
        <w:t xml:space="preserve"> transitie-informatie uiterlijk één maand voor het invaarmoment moet worden verstrekt</w:t>
      </w:r>
      <w:r w:rsidR="00273F39">
        <w:rPr>
          <w:rFonts w:eastAsia="Calibri" w:cs="Aptos"/>
          <w:color w:val="auto"/>
          <w:lang w:eastAsia="en-US"/>
          <w14:ligatures w14:val="standardContextual"/>
        </w:rPr>
        <w:t xml:space="preserve"> waren</w:t>
      </w:r>
      <w:r>
        <w:rPr>
          <w:rFonts w:eastAsia="Calibri" w:cs="Aptos"/>
          <w:color w:val="auto"/>
          <w:lang w:eastAsia="en-US"/>
          <w14:ligatures w14:val="standardContextual"/>
        </w:rPr>
        <w:t xml:space="preserve"> al opgenomen i</w:t>
      </w:r>
      <w:r w:rsidRPr="00F0060C" w:rsidR="00F0060C">
        <w:rPr>
          <w:rFonts w:eastAsia="Calibri" w:cs="Aptos"/>
          <w:color w:val="auto"/>
          <w:lang w:eastAsia="en-US"/>
          <w14:ligatures w14:val="standardContextual"/>
        </w:rPr>
        <w:t>n het ontwerpbesluit transitietermijnen</w:t>
      </w:r>
      <w:r>
        <w:rPr>
          <w:rFonts w:eastAsia="Calibri" w:cs="Aptos"/>
          <w:color w:val="auto"/>
          <w:lang w:eastAsia="en-US"/>
          <w14:ligatures w14:val="standardContextual"/>
        </w:rPr>
        <w:t xml:space="preserve">, het besluit dat hoort bij het wetsvoorstel verlenging pensioentransitie. </w:t>
      </w:r>
      <w:r w:rsidRPr="00F0060C" w:rsidR="00F0060C">
        <w:rPr>
          <w:rFonts w:eastAsia="Calibri" w:cs="Aptos"/>
          <w:color w:val="auto"/>
          <w:lang w:eastAsia="en-US"/>
          <w14:ligatures w14:val="standardContextual"/>
        </w:rPr>
        <w:t xml:space="preserve">Dit besluit ligt op dit moment in voorhang bij de Tweede Kamer. </w:t>
      </w:r>
      <w:r>
        <w:rPr>
          <w:rFonts w:eastAsia="Calibri" w:cs="Aptos"/>
          <w:color w:val="auto"/>
          <w:lang w:eastAsia="en-US"/>
          <w14:ligatures w14:val="standardContextual"/>
        </w:rPr>
        <w:t>Zoals hiervoor beschreven, word</w:t>
      </w:r>
      <w:r w:rsidR="00C31FDA">
        <w:rPr>
          <w:rFonts w:eastAsia="Calibri" w:cs="Aptos"/>
          <w:color w:val="auto"/>
          <w:lang w:eastAsia="en-US"/>
          <w14:ligatures w14:val="standardContextual"/>
        </w:rPr>
        <w:t xml:space="preserve">en deze onderdelen </w:t>
      </w:r>
      <w:r>
        <w:rPr>
          <w:rFonts w:eastAsia="Calibri" w:cs="Aptos"/>
          <w:color w:val="auto"/>
          <w:lang w:eastAsia="en-US"/>
          <w14:ligatures w14:val="standardContextual"/>
        </w:rPr>
        <w:t>overgeheveld naar een apart besluit</w:t>
      </w:r>
      <w:r w:rsidR="00C31FDA">
        <w:rPr>
          <w:rFonts w:eastAsia="Calibri" w:cs="Aptos"/>
          <w:color w:val="auto"/>
          <w:lang w:eastAsia="en-US"/>
          <w14:ligatures w14:val="standardContextual"/>
        </w:rPr>
        <w:t>.</w:t>
      </w:r>
      <w:r>
        <w:rPr>
          <w:rFonts w:eastAsia="Calibri" w:cs="Aptos"/>
          <w:color w:val="auto"/>
          <w:lang w:eastAsia="en-US"/>
          <w14:ligatures w14:val="standardContextual"/>
        </w:rPr>
        <w:t xml:space="preserve"> </w:t>
      </w:r>
      <w:r w:rsidR="00C31FDA">
        <w:rPr>
          <w:rFonts w:eastAsia="Calibri" w:cs="Aptos"/>
          <w:color w:val="auto"/>
          <w:lang w:eastAsia="en-US"/>
          <w14:ligatures w14:val="standardContextual"/>
        </w:rPr>
        <w:t>D</w:t>
      </w:r>
      <w:r>
        <w:rPr>
          <w:rFonts w:eastAsia="Calibri" w:cs="Aptos"/>
          <w:color w:val="auto"/>
          <w:lang w:eastAsia="en-US"/>
          <w14:ligatures w14:val="standardContextual"/>
        </w:rPr>
        <w:t>e Pensioenwet biedt daar al een grondslag voor waar geen voorhangprocedure voor geldt</w:t>
      </w:r>
      <w:r w:rsidR="00273F39">
        <w:rPr>
          <w:rFonts w:eastAsia="Calibri" w:cs="Aptos"/>
          <w:color w:val="auto"/>
          <w:lang w:eastAsia="en-US"/>
          <w14:ligatures w14:val="standardContextual"/>
        </w:rPr>
        <w:t xml:space="preserve"> en waarmee dus niet gewacht hoeft te worden tot het wetsvoorstel verlenging pensioentransitie door beide Kamers is aanvaard</w:t>
      </w:r>
      <w:r>
        <w:rPr>
          <w:rFonts w:eastAsia="Calibri" w:cs="Aptos"/>
          <w:color w:val="auto"/>
          <w:lang w:eastAsia="en-US"/>
          <w14:ligatures w14:val="standardContextual"/>
        </w:rPr>
        <w:t>.</w:t>
      </w:r>
      <w:r>
        <w:rPr>
          <w:rStyle w:val="Voetnootmarkering"/>
          <w:rFonts w:eastAsia="Calibri" w:cs="Aptos"/>
          <w:color w:val="auto"/>
          <w:lang w:eastAsia="en-US"/>
          <w14:ligatures w14:val="standardContextual"/>
        </w:rPr>
        <w:footnoteReference w:id="10"/>
      </w:r>
      <w:r>
        <w:rPr>
          <w:rFonts w:eastAsia="Calibri" w:cs="Aptos"/>
          <w:color w:val="auto"/>
          <w:lang w:eastAsia="en-US"/>
          <w14:ligatures w14:val="standardContextual"/>
        </w:rPr>
        <w:t xml:space="preserve"> Het</w:t>
      </w:r>
      <w:r w:rsidRPr="00F0060C" w:rsidR="00F0060C">
        <w:rPr>
          <w:rFonts w:eastAsia="Calibri" w:cs="Aptos"/>
          <w:color w:val="auto"/>
          <w:lang w:eastAsia="en-US"/>
          <w14:ligatures w14:val="standardContextual"/>
        </w:rPr>
        <w:t xml:space="preserve"> ontwerpbesluit transitietermijnen</w:t>
      </w:r>
      <w:r>
        <w:rPr>
          <w:rFonts w:eastAsia="Calibri" w:cs="Aptos"/>
          <w:color w:val="auto"/>
          <w:lang w:eastAsia="en-US"/>
          <w14:ligatures w14:val="standardContextual"/>
        </w:rPr>
        <w:t xml:space="preserve"> zal worden aangepast</w:t>
      </w:r>
      <w:r w:rsidR="00273F39">
        <w:rPr>
          <w:rFonts w:eastAsia="Calibri" w:cs="Aptos"/>
          <w:color w:val="auto"/>
          <w:lang w:eastAsia="en-US"/>
          <w14:ligatures w14:val="standardContextual"/>
        </w:rPr>
        <w:t xml:space="preserve"> zodat het weer spoort met dit aparte besluit</w:t>
      </w:r>
      <w:r w:rsidRPr="00F0060C" w:rsidR="00F0060C">
        <w:rPr>
          <w:rFonts w:eastAsia="Calibri" w:cs="Aptos"/>
          <w:color w:val="auto"/>
          <w:lang w:eastAsia="en-US"/>
          <w14:ligatures w14:val="standardContextual"/>
        </w:rPr>
        <w:t xml:space="preserve">. </w:t>
      </w:r>
      <w:r w:rsidR="00BC7C8C">
        <w:rPr>
          <w:rFonts w:eastAsia="Calibri" w:cs="Aptos"/>
          <w:color w:val="auto"/>
          <w:lang w:eastAsia="en-US"/>
          <w14:ligatures w14:val="standardContextual"/>
        </w:rPr>
        <w:t>Een gewijzigde versie van dit ontwerpbesluit</w:t>
      </w:r>
      <w:r w:rsidRPr="00F0060C" w:rsidR="00F0060C">
        <w:rPr>
          <w:rFonts w:eastAsia="Calibri" w:cs="Aptos"/>
          <w:color w:val="auto"/>
          <w:lang w:eastAsia="en-US"/>
          <w14:ligatures w14:val="standardContextual"/>
        </w:rPr>
        <w:t xml:space="preserve"> zal </w:t>
      </w:r>
      <w:r w:rsidR="00BC7C8C">
        <w:rPr>
          <w:rFonts w:eastAsia="Calibri" w:cs="Aptos"/>
          <w:color w:val="auto"/>
          <w:lang w:eastAsia="en-US"/>
          <w14:ligatures w14:val="standardContextual"/>
        </w:rPr>
        <w:t>in het kader van</w:t>
      </w:r>
      <w:r w:rsidRPr="00F0060C" w:rsidR="00BC7C8C">
        <w:rPr>
          <w:rFonts w:eastAsia="Calibri" w:cs="Aptos"/>
          <w:color w:val="auto"/>
          <w:lang w:eastAsia="en-US"/>
          <w14:ligatures w14:val="standardContextual"/>
        </w:rPr>
        <w:t xml:space="preserve"> </w:t>
      </w:r>
      <w:r w:rsidRPr="00F0060C" w:rsidR="00F0060C">
        <w:rPr>
          <w:rFonts w:eastAsia="Calibri" w:cs="Aptos"/>
          <w:color w:val="auto"/>
          <w:lang w:eastAsia="en-US"/>
          <w14:ligatures w14:val="standardContextual"/>
        </w:rPr>
        <w:t xml:space="preserve">de voorhang </w:t>
      </w:r>
      <w:r w:rsidR="00BC7C8C">
        <w:rPr>
          <w:rFonts w:eastAsia="Calibri" w:cs="Aptos"/>
          <w:color w:val="auto"/>
          <w:lang w:eastAsia="en-US"/>
          <w14:ligatures w14:val="standardContextual"/>
        </w:rPr>
        <w:t>met</w:t>
      </w:r>
      <w:r w:rsidRPr="00F0060C" w:rsidR="00F0060C">
        <w:rPr>
          <w:rFonts w:eastAsia="Calibri" w:cs="Aptos"/>
          <w:color w:val="auto"/>
          <w:lang w:eastAsia="en-US"/>
          <w14:ligatures w14:val="standardContextual"/>
        </w:rPr>
        <w:t xml:space="preserve"> de Tweede </w:t>
      </w:r>
      <w:r w:rsidR="00BC7C8C">
        <w:rPr>
          <w:rFonts w:eastAsia="Calibri" w:cs="Aptos"/>
          <w:color w:val="auto"/>
          <w:lang w:eastAsia="en-US"/>
          <w14:ligatures w14:val="standardContextual"/>
        </w:rPr>
        <w:t xml:space="preserve">en Eerste </w:t>
      </w:r>
      <w:r w:rsidRPr="00F0060C" w:rsidR="00F0060C">
        <w:rPr>
          <w:rFonts w:eastAsia="Calibri" w:cs="Aptos"/>
          <w:color w:val="auto"/>
          <w:lang w:eastAsia="en-US"/>
          <w14:ligatures w14:val="standardContextual"/>
        </w:rPr>
        <w:t xml:space="preserve">Kamer worden </w:t>
      </w:r>
      <w:r w:rsidR="00BC7C8C">
        <w:rPr>
          <w:rFonts w:eastAsia="Calibri" w:cs="Aptos"/>
          <w:color w:val="auto"/>
          <w:lang w:eastAsia="en-US"/>
          <w14:ligatures w14:val="standardContextual"/>
        </w:rPr>
        <w:t>gedeeld</w:t>
      </w:r>
      <w:r w:rsidRPr="00F0060C" w:rsidR="00F0060C">
        <w:rPr>
          <w:rFonts w:eastAsia="Calibri" w:cs="Aptos"/>
          <w:color w:val="auto"/>
          <w:lang w:eastAsia="en-US"/>
          <w14:ligatures w14:val="standardContextual"/>
        </w:rPr>
        <w:t xml:space="preserve">. </w:t>
      </w:r>
    </w:p>
    <w:p w:rsidRPr="00F0060C" w:rsidR="00F0060C" w:rsidP="00F0060C" w:rsidRDefault="00F0060C" w14:paraId="7A8A0406" w14:textId="77777777">
      <w:pPr>
        <w:autoSpaceDN/>
        <w:textAlignment w:val="auto"/>
        <w:rPr>
          <w:rFonts w:eastAsia="Calibri" w:cs="Aptos"/>
          <w:color w:val="auto"/>
          <w:lang w:eastAsia="en-US"/>
          <w14:ligatures w14:val="standardContextual"/>
        </w:rPr>
      </w:pPr>
    </w:p>
    <w:p w:rsidR="00557B2C" w:rsidRDefault="000B2778" w14:paraId="1BC9627A" w14:textId="77777777">
      <w:r>
        <w:t xml:space="preserve">De Minister van Sociale Zaken </w:t>
      </w:r>
      <w:r>
        <w:br/>
        <w:t>en Werkgelegenheid,</w:t>
      </w:r>
    </w:p>
    <w:p w:rsidR="00557B2C" w:rsidRDefault="00557B2C" w14:paraId="17D3A562" w14:textId="77777777"/>
    <w:p w:rsidR="00557B2C" w:rsidRDefault="00557B2C" w14:paraId="2D7C69E2" w14:textId="77777777"/>
    <w:p w:rsidR="00557B2C" w:rsidRDefault="00557B2C" w14:paraId="18F6CF4E" w14:textId="77777777"/>
    <w:p w:rsidR="00557B2C" w:rsidRDefault="00557B2C" w14:paraId="4F7BB2C2" w14:textId="77777777"/>
    <w:p w:rsidR="00557B2C" w:rsidRDefault="00557B2C" w14:paraId="5785AAFF" w14:textId="77777777"/>
    <w:p w:rsidR="00557B2C" w:rsidRDefault="000B2778" w14:paraId="3DFDCF67" w14:textId="77777777">
      <w:r>
        <w:t>Y.J. van Hijum</w:t>
      </w:r>
    </w:p>
    <w:sectPr w:rsidR="00557B2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F6A4" w14:textId="77777777" w:rsidR="000B2778" w:rsidRDefault="000B2778">
      <w:pPr>
        <w:spacing w:line="240" w:lineRule="auto"/>
      </w:pPr>
      <w:r>
        <w:separator/>
      </w:r>
    </w:p>
  </w:endnote>
  <w:endnote w:type="continuationSeparator" w:id="0">
    <w:p w14:paraId="4894C0F9" w14:textId="77777777" w:rsidR="000B2778" w:rsidRDefault="000B2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A376" w14:textId="77777777" w:rsidR="003C4482" w:rsidRDefault="003C4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C9C4" w14:textId="77777777" w:rsidR="003C4482" w:rsidRDefault="003C44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B97" w14:textId="77777777" w:rsidR="003C4482" w:rsidRDefault="003C4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5419" w14:textId="77777777" w:rsidR="000B2778" w:rsidRDefault="000B2778">
      <w:pPr>
        <w:spacing w:line="240" w:lineRule="auto"/>
      </w:pPr>
      <w:r>
        <w:separator/>
      </w:r>
    </w:p>
  </w:footnote>
  <w:footnote w:type="continuationSeparator" w:id="0">
    <w:p w14:paraId="11C051FC" w14:textId="77777777" w:rsidR="000B2778" w:rsidRDefault="000B2778">
      <w:pPr>
        <w:spacing w:line="240" w:lineRule="auto"/>
      </w:pPr>
      <w:r>
        <w:continuationSeparator/>
      </w:r>
    </w:p>
  </w:footnote>
  <w:footnote w:id="1">
    <w:p w14:paraId="1AEED07A" w14:textId="77777777" w:rsidR="004D561F" w:rsidRPr="00F0060C" w:rsidRDefault="004D561F" w:rsidP="004D561F">
      <w:pPr>
        <w:pStyle w:val="Voetnoottekst"/>
        <w:rPr>
          <w:rFonts w:ascii="Verdana" w:hAnsi="Verdana"/>
          <w:sz w:val="16"/>
          <w:szCs w:val="16"/>
        </w:rPr>
      </w:pPr>
      <w:r w:rsidRPr="00F0060C">
        <w:rPr>
          <w:rStyle w:val="Voetnootmarkering"/>
          <w:rFonts w:ascii="Verdana" w:hAnsi="Verdana"/>
          <w:sz w:val="16"/>
          <w:szCs w:val="16"/>
        </w:rPr>
        <w:footnoteRef/>
      </w:r>
      <w:r w:rsidRPr="00F0060C">
        <w:rPr>
          <w:rFonts w:ascii="Verdana" w:hAnsi="Verdana"/>
          <w:sz w:val="16"/>
          <w:szCs w:val="16"/>
        </w:rPr>
        <w:t xml:space="preserve"> Kamerstukken II, 2022/23, 36 067, nr. 126.</w:t>
      </w:r>
    </w:p>
  </w:footnote>
  <w:footnote w:id="2">
    <w:p w14:paraId="56C09B4E" w14:textId="77777777" w:rsidR="004D561F" w:rsidRPr="00F0060C" w:rsidRDefault="004D561F" w:rsidP="004D561F">
      <w:pPr>
        <w:pStyle w:val="Voetnoottekst"/>
        <w:rPr>
          <w:rFonts w:ascii="Verdana" w:hAnsi="Verdana" w:cstheme="minorHAnsi"/>
          <w:sz w:val="16"/>
          <w:szCs w:val="16"/>
        </w:rPr>
      </w:pPr>
      <w:r w:rsidRPr="00F0060C">
        <w:rPr>
          <w:rStyle w:val="Voetnootmarkering"/>
          <w:rFonts w:ascii="Verdana" w:hAnsi="Verdana"/>
          <w:sz w:val="16"/>
          <w:szCs w:val="16"/>
        </w:rPr>
        <w:footnoteRef/>
      </w:r>
      <w:r w:rsidRPr="00F0060C">
        <w:rPr>
          <w:rFonts w:ascii="Verdana" w:hAnsi="Verdana"/>
          <w:sz w:val="16"/>
          <w:szCs w:val="16"/>
        </w:rPr>
        <w:t xml:space="preserve"> </w:t>
      </w:r>
      <w:hyperlink r:id="rId1" w:history="1">
        <w:r w:rsidRPr="00F0060C">
          <w:rPr>
            <w:rStyle w:val="cf01"/>
            <w:rFonts w:ascii="Verdana" w:hAnsi="Verdana" w:cstheme="minorHAnsi"/>
            <w:color w:val="0000FF"/>
            <w:sz w:val="16"/>
            <w:szCs w:val="16"/>
            <w:u w:val="single"/>
          </w:rPr>
          <w:t>Aanvalsplan witte vlek pensioenen - Stichting van de Arbeid | Publicatie | Rijksoverheid.nl</w:t>
        </w:r>
      </w:hyperlink>
    </w:p>
  </w:footnote>
  <w:footnote w:id="3">
    <w:p w14:paraId="3612E803" w14:textId="77777777" w:rsidR="004D561F" w:rsidRDefault="004D561F" w:rsidP="004D561F">
      <w:pPr>
        <w:pStyle w:val="Voetnoottekst"/>
      </w:pPr>
      <w:r w:rsidRPr="00F0060C">
        <w:rPr>
          <w:rStyle w:val="Voetnootmarkering"/>
          <w:rFonts w:ascii="Verdana" w:hAnsi="Verdana"/>
          <w:sz w:val="16"/>
          <w:szCs w:val="16"/>
        </w:rPr>
        <w:footnoteRef/>
      </w:r>
      <w:r w:rsidRPr="00F0060C">
        <w:rPr>
          <w:rFonts w:ascii="Verdana" w:hAnsi="Verdana"/>
          <w:sz w:val="16"/>
          <w:szCs w:val="16"/>
        </w:rPr>
        <w:t xml:space="preserve"> De verplichtstelling is het besluit op grond van de Wet Bpf 2000 dat aan bedrijven de verplichting oplegt om deel te nemen aan een bedrijfstakpensioenfonds.</w:t>
      </w:r>
      <w:r w:rsidRPr="00BE4EC7">
        <w:rPr>
          <w:sz w:val="18"/>
          <w:szCs w:val="18"/>
        </w:rPr>
        <w:t xml:space="preserve"> </w:t>
      </w:r>
    </w:p>
  </w:footnote>
  <w:footnote w:id="4">
    <w:p w14:paraId="0E5B8B6B" w14:textId="77777777" w:rsidR="002E5312" w:rsidRPr="00F47D6D" w:rsidRDefault="002E5312" w:rsidP="002E5312">
      <w:pPr>
        <w:pStyle w:val="Voetnoottekst"/>
        <w:rPr>
          <w:rFonts w:ascii="Verdana" w:hAnsi="Verdana"/>
          <w:sz w:val="16"/>
          <w:szCs w:val="16"/>
        </w:rPr>
      </w:pPr>
      <w:r w:rsidRPr="00F47D6D">
        <w:rPr>
          <w:rStyle w:val="Voetnootmarkering"/>
          <w:rFonts w:ascii="Verdana" w:hAnsi="Verdana"/>
          <w:sz w:val="16"/>
          <w:szCs w:val="16"/>
        </w:rPr>
        <w:footnoteRef/>
      </w:r>
      <w:r w:rsidRPr="00F47D6D">
        <w:rPr>
          <w:rFonts w:ascii="Verdana" w:hAnsi="Verdana"/>
          <w:sz w:val="16"/>
          <w:szCs w:val="16"/>
        </w:rPr>
        <w:t xml:space="preserve"> </w:t>
      </w:r>
      <w:hyperlink r:id="rId2" w:history="1">
        <w:r w:rsidRPr="00F47D6D">
          <w:rPr>
            <w:rStyle w:val="Hyperlink"/>
            <w:rFonts w:ascii="Verdana" w:hAnsi="Verdana"/>
            <w:sz w:val="16"/>
            <w:szCs w:val="16"/>
          </w:rPr>
          <w:t>Code Pensioenfondsen 2024 (pensioenfederatie.nl)</w:t>
        </w:r>
      </w:hyperlink>
    </w:p>
  </w:footnote>
  <w:footnote w:id="5">
    <w:p w14:paraId="6900308E" w14:textId="77777777" w:rsidR="002E5312" w:rsidRPr="00467EC7" w:rsidRDefault="002E5312" w:rsidP="002E5312">
      <w:pPr>
        <w:pStyle w:val="Voetnoottekst"/>
        <w:rPr>
          <w:rFonts w:ascii="Verdana" w:hAnsi="Verdana"/>
          <w:sz w:val="16"/>
          <w:szCs w:val="16"/>
        </w:rPr>
      </w:pPr>
      <w:r w:rsidRPr="00467EC7">
        <w:rPr>
          <w:rStyle w:val="Voetnootmarkering"/>
          <w:rFonts w:ascii="Verdana" w:hAnsi="Verdana"/>
          <w:sz w:val="16"/>
          <w:szCs w:val="16"/>
        </w:rPr>
        <w:footnoteRef/>
      </w:r>
      <w:r w:rsidRPr="00467EC7">
        <w:rPr>
          <w:rFonts w:ascii="Verdana" w:hAnsi="Verdana"/>
          <w:sz w:val="16"/>
          <w:szCs w:val="16"/>
        </w:rPr>
        <w:t xml:space="preserve"> Kamerstukken II, 2017-2018, 32043 nr. 402.</w:t>
      </w:r>
    </w:p>
  </w:footnote>
  <w:footnote w:id="6">
    <w:p w14:paraId="4753A9A0" w14:textId="77777777" w:rsidR="00070FF8" w:rsidRPr="00070FF8" w:rsidRDefault="00070FF8">
      <w:pPr>
        <w:pStyle w:val="Voetnoottekst"/>
        <w:rPr>
          <w:rFonts w:ascii="Verdana" w:hAnsi="Verdana"/>
          <w:sz w:val="16"/>
          <w:szCs w:val="16"/>
        </w:rPr>
      </w:pPr>
      <w:r w:rsidRPr="00F47D6D">
        <w:rPr>
          <w:rStyle w:val="Voetnootmarkering"/>
          <w:rFonts w:ascii="Verdana" w:hAnsi="Verdana"/>
          <w:sz w:val="16"/>
          <w:szCs w:val="16"/>
        </w:rPr>
        <w:footnoteRef/>
      </w:r>
      <w:r w:rsidRPr="00F47D6D">
        <w:rPr>
          <w:rFonts w:ascii="Verdana" w:hAnsi="Verdana"/>
          <w:sz w:val="16"/>
          <w:szCs w:val="16"/>
        </w:rPr>
        <w:t xml:space="preserve"> </w:t>
      </w:r>
      <w:hyperlink r:id="rId3" w:history="1">
        <w:r w:rsidRPr="00CD2157">
          <w:rPr>
            <w:rStyle w:val="Hyperlink"/>
            <w:rFonts w:ascii="Verdana" w:hAnsi="Verdana"/>
            <w:sz w:val="16"/>
            <w:szCs w:val="16"/>
          </w:rPr>
          <w:t xml:space="preserve">Monitoringscommissie Code Pensioenfondsen, </w:t>
        </w:r>
        <w:r w:rsidR="00DA2F9C">
          <w:rPr>
            <w:rStyle w:val="Hyperlink"/>
            <w:rFonts w:ascii="Verdana" w:hAnsi="Verdana"/>
            <w:sz w:val="16"/>
            <w:szCs w:val="16"/>
          </w:rPr>
          <w:t>Overzicht ontwikkeling diversiteit in besturen van pensioenfondsen over 2023</w:t>
        </w:r>
        <w:r w:rsidRPr="00CD2157">
          <w:rPr>
            <w:rStyle w:val="Hyperlink"/>
            <w:rFonts w:ascii="Verdana" w:hAnsi="Verdana"/>
            <w:sz w:val="16"/>
            <w:szCs w:val="16"/>
          </w:rPr>
          <w:t>.</w:t>
        </w:r>
      </w:hyperlink>
    </w:p>
  </w:footnote>
  <w:footnote w:id="7">
    <w:p w14:paraId="6F9F4A7F" w14:textId="77777777" w:rsidR="00F0060C" w:rsidRPr="00F0060C" w:rsidRDefault="00F0060C" w:rsidP="00F0060C">
      <w:pPr>
        <w:pStyle w:val="Voetnoottekst"/>
        <w:rPr>
          <w:rFonts w:ascii="Verdana" w:hAnsi="Verdana"/>
          <w:sz w:val="16"/>
          <w:szCs w:val="16"/>
        </w:rPr>
      </w:pPr>
      <w:r w:rsidRPr="00F0060C">
        <w:rPr>
          <w:rStyle w:val="Voetnootmarkering"/>
          <w:rFonts w:ascii="Verdana" w:hAnsi="Verdana"/>
          <w:sz w:val="16"/>
          <w:szCs w:val="16"/>
        </w:rPr>
        <w:footnoteRef/>
      </w:r>
      <w:r w:rsidRPr="00F0060C">
        <w:rPr>
          <w:rFonts w:ascii="Verdana" w:hAnsi="Verdana"/>
          <w:sz w:val="16"/>
          <w:szCs w:val="16"/>
        </w:rPr>
        <w:t xml:space="preserve"> Handelingen I, 2022/23, nr. 32, item 3 – blz. 6.</w:t>
      </w:r>
    </w:p>
  </w:footnote>
  <w:footnote w:id="8">
    <w:p w14:paraId="4CF9CF24" w14:textId="77777777" w:rsidR="00F0060C" w:rsidRPr="00467EC7" w:rsidRDefault="00F0060C" w:rsidP="00F0060C">
      <w:pPr>
        <w:pStyle w:val="Voetnoottekst"/>
        <w:rPr>
          <w:rFonts w:ascii="Verdana" w:hAnsi="Verdana"/>
          <w:sz w:val="16"/>
          <w:szCs w:val="16"/>
        </w:rPr>
      </w:pPr>
      <w:r w:rsidRPr="00467EC7">
        <w:rPr>
          <w:rStyle w:val="Voetnootmarkering"/>
          <w:rFonts w:ascii="Verdana" w:hAnsi="Verdana"/>
          <w:sz w:val="16"/>
          <w:szCs w:val="16"/>
        </w:rPr>
        <w:footnoteRef/>
      </w:r>
      <w:r w:rsidRPr="00467EC7">
        <w:rPr>
          <w:rFonts w:ascii="Verdana" w:hAnsi="Verdana"/>
          <w:sz w:val="16"/>
          <w:szCs w:val="16"/>
        </w:rPr>
        <w:t xml:space="preserve"> Kamerstukken II, 2024-2025, 32 043, nr. 681.</w:t>
      </w:r>
    </w:p>
  </w:footnote>
  <w:footnote w:id="9">
    <w:p w14:paraId="268C6C39" w14:textId="77777777" w:rsidR="00F0060C" w:rsidRPr="00F47D6D" w:rsidRDefault="00F0060C" w:rsidP="00F0060C">
      <w:pPr>
        <w:pStyle w:val="Voetnoottekst"/>
        <w:rPr>
          <w:rFonts w:ascii="Verdana" w:hAnsi="Verdana"/>
          <w:sz w:val="16"/>
          <w:szCs w:val="16"/>
        </w:rPr>
      </w:pPr>
      <w:r w:rsidRPr="00467EC7">
        <w:rPr>
          <w:rStyle w:val="Voetnootmarkering"/>
          <w:rFonts w:ascii="Verdana" w:hAnsi="Verdana"/>
          <w:sz w:val="16"/>
          <w:szCs w:val="16"/>
        </w:rPr>
        <w:footnoteRef/>
      </w:r>
      <w:r w:rsidRPr="00467EC7">
        <w:rPr>
          <w:rFonts w:ascii="Verdana" w:hAnsi="Verdana"/>
          <w:sz w:val="16"/>
          <w:szCs w:val="16"/>
        </w:rPr>
        <w:t xml:space="preserve"> Grondslag hiervoor is artikel 150c van de Pensioenwet.</w:t>
      </w:r>
    </w:p>
  </w:footnote>
  <w:footnote w:id="10">
    <w:p w14:paraId="74209FDE" w14:textId="77777777" w:rsidR="00973325" w:rsidRDefault="00973325">
      <w:pPr>
        <w:pStyle w:val="Voetnoottekst"/>
      </w:pPr>
      <w:r w:rsidRPr="00F47D6D">
        <w:rPr>
          <w:rStyle w:val="Voetnootmarkering"/>
          <w:rFonts w:ascii="Verdana" w:hAnsi="Verdana"/>
          <w:sz w:val="16"/>
          <w:szCs w:val="16"/>
        </w:rPr>
        <w:footnoteRef/>
      </w:r>
      <w:r w:rsidRPr="00F47D6D">
        <w:rPr>
          <w:rFonts w:ascii="Verdana" w:hAnsi="Verdana"/>
          <w:sz w:val="16"/>
          <w:szCs w:val="16"/>
        </w:rPr>
        <w:t xml:space="preserve"> Artikel 150c, derde lid, en 150j, vierde lid, van de Pensioenwet en de artikelen 145b, derde lid, en 145i, vierde lid, van de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5336" w14:textId="77777777" w:rsidR="003C4482" w:rsidRDefault="003C4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35D" w14:textId="77777777" w:rsidR="00557B2C" w:rsidRDefault="000B2778">
    <w:r>
      <w:rPr>
        <w:noProof/>
      </w:rPr>
      <mc:AlternateContent>
        <mc:Choice Requires="wps">
          <w:drawing>
            <wp:anchor distT="0" distB="0" distL="0" distR="0" simplePos="0" relativeHeight="251654144" behindDoc="0" locked="1" layoutInCell="1" allowOverlap="1" wp14:anchorId="67A5FB05" wp14:editId="659BCCC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DF43DDB" w14:textId="77777777" w:rsidR="00557B2C" w:rsidRDefault="000B2778">
                          <w:pPr>
                            <w:pStyle w:val="Referentiegegevenskopjes"/>
                          </w:pPr>
                          <w:r>
                            <w:t>Datum</w:t>
                          </w:r>
                        </w:p>
                        <w:p w14:paraId="5DF5CC61" w14:textId="77777777" w:rsidR="00C47A31" w:rsidRDefault="001B5A1C">
                          <w:pPr>
                            <w:pStyle w:val="Referentiegegevens"/>
                          </w:pPr>
                          <w:r>
                            <w:fldChar w:fldCharType="begin"/>
                          </w:r>
                          <w:r>
                            <w:instrText xml:space="preserve"> DOCPROPERTY  "iDatum"  \* MERGEFORMAT </w:instrText>
                          </w:r>
                          <w:r>
                            <w:fldChar w:fldCharType="separate"/>
                          </w:r>
                          <w:r>
                            <w:t>10 maart 2025</w:t>
                          </w:r>
                          <w:r>
                            <w:fldChar w:fldCharType="end"/>
                          </w:r>
                        </w:p>
                        <w:p w14:paraId="39AE8C91" w14:textId="77777777" w:rsidR="00557B2C" w:rsidRDefault="00557B2C">
                          <w:pPr>
                            <w:pStyle w:val="WitregelW1"/>
                          </w:pPr>
                        </w:p>
                        <w:p w14:paraId="78535CA8" w14:textId="77777777" w:rsidR="00557B2C" w:rsidRDefault="000B2778">
                          <w:pPr>
                            <w:pStyle w:val="Referentiegegevenskopjes"/>
                          </w:pPr>
                          <w:r>
                            <w:t>Onze referentie</w:t>
                          </w:r>
                        </w:p>
                        <w:p w14:paraId="31168BE6" w14:textId="77777777" w:rsidR="00C47A31" w:rsidRDefault="001B5A1C">
                          <w:pPr>
                            <w:pStyle w:val="ReferentiegegevensHL"/>
                          </w:pPr>
                          <w:r>
                            <w:fldChar w:fldCharType="begin"/>
                          </w:r>
                          <w:r>
                            <w:instrText xml:space="preserve"> DOCPROPERTY  "iOnsKenmerk"  \* MERGEFORMAT </w:instrText>
                          </w:r>
                          <w:r>
                            <w:fldChar w:fldCharType="separate"/>
                          </w:r>
                          <w:r>
                            <w:t>2025-0000042665</w:t>
                          </w:r>
                          <w:r>
                            <w:fldChar w:fldCharType="end"/>
                          </w:r>
                        </w:p>
                      </w:txbxContent>
                    </wps:txbx>
                    <wps:bodyPr vert="horz" wrap="square" lIns="0" tIns="0" rIns="0" bIns="0" anchor="t" anchorCtr="0"/>
                  </wps:wsp>
                </a:graphicData>
              </a:graphic>
            </wp:anchor>
          </w:drawing>
        </mc:Choice>
        <mc:Fallback>
          <w:pict>
            <v:shapetype w14:anchorId="67A5FB0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DF43DDB" w14:textId="77777777" w:rsidR="00557B2C" w:rsidRDefault="000B2778">
                    <w:pPr>
                      <w:pStyle w:val="Referentiegegevenskopjes"/>
                    </w:pPr>
                    <w:r>
                      <w:t>Datum</w:t>
                    </w:r>
                  </w:p>
                  <w:p w14:paraId="5DF5CC61" w14:textId="77777777" w:rsidR="00C47A31" w:rsidRDefault="001B5A1C">
                    <w:pPr>
                      <w:pStyle w:val="Referentiegegevens"/>
                    </w:pPr>
                    <w:r>
                      <w:fldChar w:fldCharType="begin"/>
                    </w:r>
                    <w:r>
                      <w:instrText xml:space="preserve"> DOCPROPERTY  "iDatum"  \* MERGEFORMAT </w:instrText>
                    </w:r>
                    <w:r>
                      <w:fldChar w:fldCharType="separate"/>
                    </w:r>
                    <w:r>
                      <w:t>10 maart 2025</w:t>
                    </w:r>
                    <w:r>
                      <w:fldChar w:fldCharType="end"/>
                    </w:r>
                  </w:p>
                  <w:p w14:paraId="39AE8C91" w14:textId="77777777" w:rsidR="00557B2C" w:rsidRDefault="00557B2C">
                    <w:pPr>
                      <w:pStyle w:val="WitregelW1"/>
                    </w:pPr>
                  </w:p>
                  <w:p w14:paraId="78535CA8" w14:textId="77777777" w:rsidR="00557B2C" w:rsidRDefault="000B2778">
                    <w:pPr>
                      <w:pStyle w:val="Referentiegegevenskopjes"/>
                    </w:pPr>
                    <w:r>
                      <w:t>Onze referentie</w:t>
                    </w:r>
                  </w:p>
                  <w:p w14:paraId="31168BE6" w14:textId="77777777" w:rsidR="00C47A31" w:rsidRDefault="001B5A1C">
                    <w:pPr>
                      <w:pStyle w:val="ReferentiegegevensHL"/>
                    </w:pPr>
                    <w:r>
                      <w:fldChar w:fldCharType="begin"/>
                    </w:r>
                    <w:r>
                      <w:instrText xml:space="preserve"> DOCPROPERTY  "iOnsKenmerk"  \* MERGEFORMAT </w:instrText>
                    </w:r>
                    <w:r>
                      <w:fldChar w:fldCharType="separate"/>
                    </w:r>
                    <w:r>
                      <w:t>2025-0000042665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0BBF98" wp14:editId="4EC1E0C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2856850" w14:textId="77777777" w:rsidR="00C47A31" w:rsidRDefault="001B5A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0BBF9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2856850" w14:textId="77777777" w:rsidR="00C47A31" w:rsidRDefault="001B5A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E92F" w14:textId="77777777" w:rsidR="00557B2C" w:rsidRDefault="000B2778">
    <w:pPr>
      <w:spacing w:after="7029" w:line="14" w:lineRule="exact"/>
    </w:pPr>
    <w:r>
      <w:rPr>
        <w:noProof/>
      </w:rPr>
      <mc:AlternateContent>
        <mc:Choice Requires="wps">
          <w:drawing>
            <wp:anchor distT="0" distB="0" distL="0" distR="0" simplePos="0" relativeHeight="251656192" behindDoc="0" locked="1" layoutInCell="1" allowOverlap="1" wp14:anchorId="7ED8A208" wp14:editId="57CCFD2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651D35" w14:textId="77777777" w:rsidR="00557B2C" w:rsidRDefault="000B2778">
                          <w:pPr>
                            <w:spacing w:line="240" w:lineRule="auto"/>
                          </w:pPr>
                          <w:r>
                            <w:rPr>
                              <w:noProof/>
                            </w:rPr>
                            <w:drawing>
                              <wp:inline distT="0" distB="0" distL="0" distR="0" wp14:anchorId="09B1EA0A" wp14:editId="096C460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D8A20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651D35" w14:textId="77777777" w:rsidR="00557B2C" w:rsidRDefault="000B2778">
                    <w:pPr>
                      <w:spacing w:line="240" w:lineRule="auto"/>
                    </w:pPr>
                    <w:r>
                      <w:rPr>
                        <w:noProof/>
                      </w:rPr>
                      <w:drawing>
                        <wp:inline distT="0" distB="0" distL="0" distR="0" wp14:anchorId="09B1EA0A" wp14:editId="096C460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E18788A" wp14:editId="3BD528E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AD6684" w14:textId="77777777" w:rsidR="00557B2C" w:rsidRPr="002F2A72" w:rsidRDefault="000B2778">
                          <w:pPr>
                            <w:pStyle w:val="Afzendgegevens"/>
                            <w:rPr>
                              <w:lang w:val="de-DE"/>
                            </w:rPr>
                          </w:pPr>
                          <w:r w:rsidRPr="002F2A72">
                            <w:rPr>
                              <w:lang w:val="de-DE"/>
                            </w:rPr>
                            <w:t>Postbus 90801</w:t>
                          </w:r>
                        </w:p>
                        <w:p w14:paraId="5E42C72B" w14:textId="77777777" w:rsidR="00557B2C" w:rsidRPr="002F2A72" w:rsidRDefault="000B2778">
                          <w:pPr>
                            <w:pStyle w:val="Afzendgegevens"/>
                            <w:rPr>
                              <w:lang w:val="de-DE"/>
                            </w:rPr>
                          </w:pPr>
                          <w:r w:rsidRPr="002F2A72">
                            <w:rPr>
                              <w:lang w:val="de-DE"/>
                            </w:rPr>
                            <w:t>2509 LV  Den Haag</w:t>
                          </w:r>
                        </w:p>
                        <w:p w14:paraId="42DFA825" w14:textId="77777777" w:rsidR="00557B2C" w:rsidRPr="002F2A72" w:rsidRDefault="000B2778">
                          <w:pPr>
                            <w:pStyle w:val="Afzendgegevens"/>
                            <w:rPr>
                              <w:lang w:val="de-DE"/>
                            </w:rPr>
                          </w:pPr>
                          <w:r w:rsidRPr="002F2A72">
                            <w:rPr>
                              <w:lang w:val="de-DE"/>
                            </w:rPr>
                            <w:t>T   070 333 44 44</w:t>
                          </w:r>
                        </w:p>
                        <w:p w14:paraId="19426005" w14:textId="77777777" w:rsidR="00557B2C" w:rsidRPr="002F2A72" w:rsidRDefault="00557B2C">
                          <w:pPr>
                            <w:pStyle w:val="WitregelW2"/>
                            <w:rPr>
                              <w:lang w:val="de-DE"/>
                            </w:rPr>
                          </w:pPr>
                        </w:p>
                        <w:p w14:paraId="226A6BB9" w14:textId="77777777" w:rsidR="00557B2C" w:rsidRDefault="000B2778">
                          <w:pPr>
                            <w:pStyle w:val="Referentiegegevenskopjes"/>
                          </w:pPr>
                          <w:r>
                            <w:t>Onze referentie</w:t>
                          </w:r>
                        </w:p>
                        <w:p w14:paraId="67B34BC1" w14:textId="77777777" w:rsidR="00C47A31" w:rsidRDefault="001B5A1C">
                          <w:pPr>
                            <w:pStyle w:val="ReferentiegegevensHL"/>
                          </w:pPr>
                          <w:r>
                            <w:fldChar w:fldCharType="begin"/>
                          </w:r>
                          <w:r>
                            <w:instrText xml:space="preserve"> DOCPROPERTY  "iOnsKenmerk"  \* MERGEFORMAT </w:instrText>
                          </w:r>
                          <w:r>
                            <w:fldChar w:fldCharType="separate"/>
                          </w:r>
                          <w:r>
                            <w:t>2025-0000042665</w:t>
                          </w:r>
                          <w:r>
                            <w:fldChar w:fldCharType="end"/>
                          </w:r>
                          <w:r>
                            <w:br/>
                          </w:r>
                        </w:p>
                        <w:p w14:paraId="646E2A1D" w14:textId="77777777" w:rsidR="00557B2C" w:rsidRDefault="00557B2C">
                          <w:pPr>
                            <w:pStyle w:val="WitregelW1"/>
                          </w:pPr>
                        </w:p>
                        <w:p w14:paraId="7152962A" w14:textId="77777777" w:rsidR="00C47A31" w:rsidRDefault="001B5A1C">
                          <w:pPr>
                            <w:pStyle w:val="Referentiegegevens"/>
                            <w:rPr>
                              <w:b/>
                              <w:bCs/>
                            </w:rPr>
                          </w:pPr>
                          <w:r>
                            <w:rPr>
                              <w:b/>
                              <w:bCs/>
                            </w:rPr>
                            <w:fldChar w:fldCharType="begin"/>
                          </w:r>
                          <w:r>
                            <w:rPr>
                              <w:b/>
                              <w:bCs/>
                            </w:rPr>
                            <w:instrText xml:space="preserve"> DOCPROPERTY  "iCC"  \* MERGEFORMAT </w:instrText>
                          </w:r>
                          <w:r>
                            <w:rPr>
                              <w:b/>
                              <w:bCs/>
                            </w:rPr>
                            <w:fldChar w:fldCharType="separate"/>
                          </w:r>
                          <w:r>
                            <w:rPr>
                              <w:b/>
                              <w:bCs/>
                            </w:rPr>
                            <w:t>Bijlage</w:t>
                          </w:r>
                          <w:r>
                            <w:fldChar w:fldCharType="end"/>
                          </w:r>
                        </w:p>
                        <w:p w14:paraId="0857BE39" w14:textId="77777777" w:rsidR="00C47A31" w:rsidRDefault="001B5A1C">
                          <w:pPr>
                            <w:pStyle w:val="Referentiegegevens"/>
                          </w:pPr>
                          <w:r>
                            <w:fldChar w:fldCharType="begin"/>
                          </w:r>
                          <w:r>
                            <w:instrText xml:space="preserve"> DOCPROPERTY  "iBijlagen"  \* MERGEFORMAT </w:instrText>
                          </w:r>
                          <w:r>
                            <w:fldChar w:fldCharType="separate"/>
                          </w:r>
                          <w:r>
                            <w:t>1: DVLP Advies pensioencriteria in aanbestedingen</w:t>
                          </w:r>
                          <w:r>
                            <w:fldChar w:fldCharType="end"/>
                          </w:r>
                        </w:p>
                      </w:txbxContent>
                    </wps:txbx>
                    <wps:bodyPr vert="horz" wrap="square" lIns="0" tIns="0" rIns="0" bIns="0" anchor="t" anchorCtr="0"/>
                  </wps:wsp>
                </a:graphicData>
              </a:graphic>
            </wp:anchor>
          </w:drawing>
        </mc:Choice>
        <mc:Fallback>
          <w:pict>
            <v:shape w14:anchorId="6E18788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3AD6684" w14:textId="77777777" w:rsidR="00557B2C" w:rsidRPr="002F2A72" w:rsidRDefault="000B2778">
                    <w:pPr>
                      <w:pStyle w:val="Afzendgegevens"/>
                      <w:rPr>
                        <w:lang w:val="de-DE"/>
                      </w:rPr>
                    </w:pPr>
                    <w:r w:rsidRPr="002F2A72">
                      <w:rPr>
                        <w:lang w:val="de-DE"/>
                      </w:rPr>
                      <w:t>Postbus 90801</w:t>
                    </w:r>
                  </w:p>
                  <w:p w14:paraId="5E42C72B" w14:textId="77777777" w:rsidR="00557B2C" w:rsidRPr="002F2A72" w:rsidRDefault="000B2778">
                    <w:pPr>
                      <w:pStyle w:val="Afzendgegevens"/>
                      <w:rPr>
                        <w:lang w:val="de-DE"/>
                      </w:rPr>
                    </w:pPr>
                    <w:r w:rsidRPr="002F2A72">
                      <w:rPr>
                        <w:lang w:val="de-DE"/>
                      </w:rPr>
                      <w:t>2509 LV  Den Haag</w:t>
                    </w:r>
                  </w:p>
                  <w:p w14:paraId="42DFA825" w14:textId="77777777" w:rsidR="00557B2C" w:rsidRPr="002F2A72" w:rsidRDefault="000B2778">
                    <w:pPr>
                      <w:pStyle w:val="Afzendgegevens"/>
                      <w:rPr>
                        <w:lang w:val="de-DE"/>
                      </w:rPr>
                    </w:pPr>
                    <w:r w:rsidRPr="002F2A72">
                      <w:rPr>
                        <w:lang w:val="de-DE"/>
                      </w:rPr>
                      <w:t>T   070 333 44 44</w:t>
                    </w:r>
                  </w:p>
                  <w:p w14:paraId="19426005" w14:textId="77777777" w:rsidR="00557B2C" w:rsidRPr="002F2A72" w:rsidRDefault="00557B2C">
                    <w:pPr>
                      <w:pStyle w:val="WitregelW2"/>
                      <w:rPr>
                        <w:lang w:val="de-DE"/>
                      </w:rPr>
                    </w:pPr>
                  </w:p>
                  <w:p w14:paraId="226A6BB9" w14:textId="77777777" w:rsidR="00557B2C" w:rsidRDefault="000B2778">
                    <w:pPr>
                      <w:pStyle w:val="Referentiegegevenskopjes"/>
                    </w:pPr>
                    <w:r>
                      <w:t>Onze referentie</w:t>
                    </w:r>
                  </w:p>
                  <w:p w14:paraId="67B34BC1" w14:textId="77777777" w:rsidR="00C47A31" w:rsidRDefault="001B5A1C">
                    <w:pPr>
                      <w:pStyle w:val="ReferentiegegevensHL"/>
                    </w:pPr>
                    <w:r>
                      <w:fldChar w:fldCharType="begin"/>
                    </w:r>
                    <w:r>
                      <w:instrText xml:space="preserve"> DOCPROPERTY  "iOnsKenmerk"  \* MERGEFORMAT </w:instrText>
                    </w:r>
                    <w:r>
                      <w:fldChar w:fldCharType="separate"/>
                    </w:r>
                    <w:r>
                      <w:t>2025-0000042665</w:t>
                    </w:r>
                    <w:r>
                      <w:fldChar w:fldCharType="end"/>
                    </w:r>
                    <w:r>
                      <w:br/>
                    </w:r>
                  </w:p>
                  <w:p w14:paraId="646E2A1D" w14:textId="77777777" w:rsidR="00557B2C" w:rsidRDefault="00557B2C">
                    <w:pPr>
                      <w:pStyle w:val="WitregelW1"/>
                    </w:pPr>
                  </w:p>
                  <w:p w14:paraId="7152962A" w14:textId="77777777" w:rsidR="00C47A31" w:rsidRDefault="001B5A1C">
                    <w:pPr>
                      <w:pStyle w:val="Referentiegegevens"/>
                      <w:rPr>
                        <w:b/>
                        <w:bCs/>
                      </w:rPr>
                    </w:pPr>
                    <w:r>
                      <w:rPr>
                        <w:b/>
                        <w:bCs/>
                      </w:rPr>
                      <w:fldChar w:fldCharType="begin"/>
                    </w:r>
                    <w:r>
                      <w:rPr>
                        <w:b/>
                        <w:bCs/>
                      </w:rPr>
                      <w:instrText xml:space="preserve"> DOCPROPERTY  "iCC"  \* MERGEFORMAT </w:instrText>
                    </w:r>
                    <w:r>
                      <w:rPr>
                        <w:b/>
                        <w:bCs/>
                      </w:rPr>
                      <w:fldChar w:fldCharType="separate"/>
                    </w:r>
                    <w:r>
                      <w:rPr>
                        <w:b/>
                        <w:bCs/>
                      </w:rPr>
                      <w:t>Bijlage</w:t>
                    </w:r>
                    <w:r>
                      <w:fldChar w:fldCharType="end"/>
                    </w:r>
                  </w:p>
                  <w:p w14:paraId="0857BE39" w14:textId="77777777" w:rsidR="00C47A31" w:rsidRDefault="001B5A1C">
                    <w:pPr>
                      <w:pStyle w:val="Referentiegegevens"/>
                    </w:pPr>
                    <w:r>
                      <w:fldChar w:fldCharType="begin"/>
                    </w:r>
                    <w:r>
                      <w:instrText xml:space="preserve"> DOCPROPERTY  "iBijlagen"  \* MERGEFORMAT </w:instrText>
                    </w:r>
                    <w:r>
                      <w:fldChar w:fldCharType="separate"/>
                    </w:r>
                    <w:r>
                      <w:t>1: DVLP Advies pensioencriteria in aanbestedingen</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8E75E3" wp14:editId="234D751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248ACCB" w14:textId="77777777" w:rsidR="00557B2C" w:rsidRDefault="000B277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B8E75E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248ACCB" w14:textId="77777777" w:rsidR="00557B2C" w:rsidRDefault="000B277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D927F85" wp14:editId="2833150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CDC60E3" w14:textId="77777777" w:rsidR="00557B2C" w:rsidRDefault="000B2778">
                          <w:r>
                            <w:t>De voorzitter van de Tweede Kamer der Staten-Generaal</w:t>
                          </w:r>
                        </w:p>
                        <w:p w14:paraId="0D7DC2A7" w14:textId="77777777" w:rsidR="00557B2C" w:rsidRDefault="000B2778">
                          <w:r>
                            <w:t>Prinses Irenestraat 6</w:t>
                          </w:r>
                        </w:p>
                        <w:p w14:paraId="2CA14082" w14:textId="77777777" w:rsidR="00557B2C" w:rsidRDefault="000B2778">
                          <w:r>
                            <w:t>2595 BD  Den Haag</w:t>
                          </w:r>
                        </w:p>
                      </w:txbxContent>
                    </wps:txbx>
                    <wps:bodyPr vert="horz" wrap="square" lIns="0" tIns="0" rIns="0" bIns="0" anchor="t" anchorCtr="0"/>
                  </wps:wsp>
                </a:graphicData>
              </a:graphic>
            </wp:anchor>
          </w:drawing>
        </mc:Choice>
        <mc:Fallback>
          <w:pict>
            <v:shape w14:anchorId="6D927F85"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CDC60E3" w14:textId="77777777" w:rsidR="00557B2C" w:rsidRDefault="000B2778">
                    <w:r>
                      <w:t>De voorzitter van de Tweede Kamer der Staten-Generaal</w:t>
                    </w:r>
                  </w:p>
                  <w:p w14:paraId="0D7DC2A7" w14:textId="77777777" w:rsidR="00557B2C" w:rsidRDefault="000B2778">
                    <w:r>
                      <w:t>Prinses Irenestraat 6</w:t>
                    </w:r>
                  </w:p>
                  <w:p w14:paraId="2CA14082" w14:textId="77777777" w:rsidR="00557B2C" w:rsidRDefault="000B277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ABB070F" wp14:editId="040AAFE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57B2C" w14:paraId="40B593CA" w14:textId="77777777">
                            <w:trPr>
                              <w:trHeight w:val="200"/>
                            </w:trPr>
                            <w:tc>
                              <w:tcPr>
                                <w:tcW w:w="1134" w:type="dxa"/>
                              </w:tcPr>
                              <w:p w14:paraId="17E30EE3" w14:textId="77777777" w:rsidR="00557B2C" w:rsidRDefault="00557B2C"/>
                            </w:tc>
                            <w:tc>
                              <w:tcPr>
                                <w:tcW w:w="5244" w:type="dxa"/>
                              </w:tcPr>
                              <w:p w14:paraId="7CBED9C7" w14:textId="77777777" w:rsidR="00557B2C" w:rsidRDefault="00557B2C"/>
                            </w:tc>
                          </w:tr>
                          <w:tr w:rsidR="00557B2C" w14:paraId="22DB53C1" w14:textId="77777777">
                            <w:trPr>
                              <w:trHeight w:val="240"/>
                            </w:trPr>
                            <w:tc>
                              <w:tcPr>
                                <w:tcW w:w="1134" w:type="dxa"/>
                              </w:tcPr>
                              <w:p w14:paraId="10F386D3" w14:textId="77777777" w:rsidR="00557B2C" w:rsidRDefault="000B2778">
                                <w:r>
                                  <w:t>Datum</w:t>
                                </w:r>
                              </w:p>
                            </w:tc>
                            <w:tc>
                              <w:tcPr>
                                <w:tcW w:w="5244" w:type="dxa"/>
                              </w:tcPr>
                              <w:p w14:paraId="69880958" w14:textId="77777777" w:rsidR="00C47A31" w:rsidRDefault="001B5A1C">
                                <w:r>
                                  <w:fldChar w:fldCharType="begin"/>
                                </w:r>
                                <w:r>
                                  <w:instrText xml:space="preserve"> DOCPROPERTY  "iDatum"  \* MERGEFORMAT </w:instrText>
                                </w:r>
                                <w:r>
                                  <w:fldChar w:fldCharType="separate"/>
                                </w:r>
                                <w:r>
                                  <w:t>10 maart 2025</w:t>
                                </w:r>
                                <w:r>
                                  <w:fldChar w:fldCharType="end"/>
                                </w:r>
                              </w:p>
                            </w:tc>
                          </w:tr>
                          <w:tr w:rsidR="00557B2C" w14:paraId="5C512B06" w14:textId="77777777">
                            <w:trPr>
                              <w:trHeight w:val="240"/>
                            </w:trPr>
                            <w:tc>
                              <w:tcPr>
                                <w:tcW w:w="1134" w:type="dxa"/>
                              </w:tcPr>
                              <w:p w14:paraId="5328E456" w14:textId="77777777" w:rsidR="00557B2C" w:rsidRDefault="000B2778">
                                <w:r>
                                  <w:t>Betreft</w:t>
                                </w:r>
                              </w:p>
                            </w:tc>
                            <w:tc>
                              <w:tcPr>
                                <w:tcW w:w="5244" w:type="dxa"/>
                              </w:tcPr>
                              <w:p w14:paraId="62CC8D2F" w14:textId="77777777" w:rsidR="00C47A31" w:rsidRDefault="001B5A1C">
                                <w:r>
                                  <w:fldChar w:fldCharType="begin"/>
                                </w:r>
                                <w:r>
                                  <w:instrText xml:space="preserve"> DOCPROPERTY  "iOnderwerp"  \* MERGEFORMAT </w:instrText>
                                </w:r>
                                <w:r>
                                  <w:fldChar w:fldCharType="separate"/>
                                </w:r>
                                <w:r>
                                  <w:t>Verzamelbrief pensioenonderwerpen voorjaar 2025</w:t>
                                </w:r>
                                <w:r>
                                  <w:fldChar w:fldCharType="end"/>
                                </w:r>
                              </w:p>
                            </w:tc>
                          </w:tr>
                          <w:tr w:rsidR="00557B2C" w14:paraId="642A74A7" w14:textId="77777777">
                            <w:trPr>
                              <w:trHeight w:val="200"/>
                            </w:trPr>
                            <w:tc>
                              <w:tcPr>
                                <w:tcW w:w="1134" w:type="dxa"/>
                              </w:tcPr>
                              <w:p w14:paraId="30EC750D" w14:textId="77777777" w:rsidR="00557B2C" w:rsidRDefault="00557B2C"/>
                            </w:tc>
                            <w:tc>
                              <w:tcPr>
                                <w:tcW w:w="5244" w:type="dxa"/>
                              </w:tcPr>
                              <w:p w14:paraId="7A532E77" w14:textId="77777777" w:rsidR="00557B2C" w:rsidRDefault="00557B2C"/>
                            </w:tc>
                          </w:tr>
                        </w:tbl>
                        <w:p w14:paraId="4BCA1A63" w14:textId="77777777" w:rsidR="000B2778" w:rsidRDefault="000B2778"/>
                      </w:txbxContent>
                    </wps:txbx>
                    <wps:bodyPr vert="horz" wrap="square" lIns="0" tIns="0" rIns="0" bIns="0" anchor="t" anchorCtr="0"/>
                  </wps:wsp>
                </a:graphicData>
              </a:graphic>
            </wp:anchor>
          </w:drawing>
        </mc:Choice>
        <mc:Fallback>
          <w:pict>
            <v:shape w14:anchorId="4ABB070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557B2C" w14:paraId="40B593CA" w14:textId="77777777">
                      <w:trPr>
                        <w:trHeight w:val="200"/>
                      </w:trPr>
                      <w:tc>
                        <w:tcPr>
                          <w:tcW w:w="1134" w:type="dxa"/>
                        </w:tcPr>
                        <w:p w14:paraId="17E30EE3" w14:textId="77777777" w:rsidR="00557B2C" w:rsidRDefault="00557B2C"/>
                      </w:tc>
                      <w:tc>
                        <w:tcPr>
                          <w:tcW w:w="5244" w:type="dxa"/>
                        </w:tcPr>
                        <w:p w14:paraId="7CBED9C7" w14:textId="77777777" w:rsidR="00557B2C" w:rsidRDefault="00557B2C"/>
                      </w:tc>
                    </w:tr>
                    <w:tr w:rsidR="00557B2C" w14:paraId="22DB53C1" w14:textId="77777777">
                      <w:trPr>
                        <w:trHeight w:val="240"/>
                      </w:trPr>
                      <w:tc>
                        <w:tcPr>
                          <w:tcW w:w="1134" w:type="dxa"/>
                        </w:tcPr>
                        <w:p w14:paraId="10F386D3" w14:textId="77777777" w:rsidR="00557B2C" w:rsidRDefault="000B2778">
                          <w:r>
                            <w:t>Datum</w:t>
                          </w:r>
                        </w:p>
                      </w:tc>
                      <w:tc>
                        <w:tcPr>
                          <w:tcW w:w="5244" w:type="dxa"/>
                        </w:tcPr>
                        <w:p w14:paraId="69880958" w14:textId="77777777" w:rsidR="00C47A31" w:rsidRDefault="001B5A1C">
                          <w:r>
                            <w:fldChar w:fldCharType="begin"/>
                          </w:r>
                          <w:r>
                            <w:instrText xml:space="preserve"> DOCPROPERTY  "iDatum"  \* MERGEFORMAT </w:instrText>
                          </w:r>
                          <w:r>
                            <w:fldChar w:fldCharType="separate"/>
                          </w:r>
                          <w:r>
                            <w:t>10 maart 2025</w:t>
                          </w:r>
                          <w:r>
                            <w:fldChar w:fldCharType="end"/>
                          </w:r>
                        </w:p>
                      </w:tc>
                    </w:tr>
                    <w:tr w:rsidR="00557B2C" w14:paraId="5C512B06" w14:textId="77777777">
                      <w:trPr>
                        <w:trHeight w:val="240"/>
                      </w:trPr>
                      <w:tc>
                        <w:tcPr>
                          <w:tcW w:w="1134" w:type="dxa"/>
                        </w:tcPr>
                        <w:p w14:paraId="5328E456" w14:textId="77777777" w:rsidR="00557B2C" w:rsidRDefault="000B2778">
                          <w:r>
                            <w:t>Betreft</w:t>
                          </w:r>
                        </w:p>
                      </w:tc>
                      <w:tc>
                        <w:tcPr>
                          <w:tcW w:w="5244" w:type="dxa"/>
                        </w:tcPr>
                        <w:p w14:paraId="62CC8D2F" w14:textId="77777777" w:rsidR="00C47A31" w:rsidRDefault="001B5A1C">
                          <w:r>
                            <w:fldChar w:fldCharType="begin"/>
                          </w:r>
                          <w:r>
                            <w:instrText xml:space="preserve"> DOCPROPERTY  "iOnderwerp"  \* MERGEFORMAT </w:instrText>
                          </w:r>
                          <w:r>
                            <w:fldChar w:fldCharType="separate"/>
                          </w:r>
                          <w:r>
                            <w:t>Verzamelbrief pensioenonderwerpen voorjaar 2025</w:t>
                          </w:r>
                          <w:r>
                            <w:fldChar w:fldCharType="end"/>
                          </w:r>
                        </w:p>
                      </w:tc>
                    </w:tr>
                    <w:tr w:rsidR="00557B2C" w14:paraId="642A74A7" w14:textId="77777777">
                      <w:trPr>
                        <w:trHeight w:val="200"/>
                      </w:trPr>
                      <w:tc>
                        <w:tcPr>
                          <w:tcW w:w="1134" w:type="dxa"/>
                        </w:tcPr>
                        <w:p w14:paraId="30EC750D" w14:textId="77777777" w:rsidR="00557B2C" w:rsidRDefault="00557B2C"/>
                      </w:tc>
                      <w:tc>
                        <w:tcPr>
                          <w:tcW w:w="5244" w:type="dxa"/>
                        </w:tcPr>
                        <w:p w14:paraId="7A532E77" w14:textId="77777777" w:rsidR="00557B2C" w:rsidRDefault="00557B2C"/>
                      </w:tc>
                    </w:tr>
                  </w:tbl>
                  <w:p w14:paraId="4BCA1A63" w14:textId="77777777" w:rsidR="000B2778" w:rsidRDefault="000B277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0B0883" wp14:editId="27524A0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14D905" w14:textId="77777777" w:rsidR="00C47A31" w:rsidRDefault="001B5A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0B088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C14D905" w14:textId="77777777" w:rsidR="00C47A31" w:rsidRDefault="001B5A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93BFC"/>
    <w:multiLevelType w:val="multilevel"/>
    <w:tmpl w:val="6B7AC93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C3E2890"/>
    <w:multiLevelType w:val="multilevel"/>
    <w:tmpl w:val="44996E3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225C2"/>
    <w:multiLevelType w:val="multilevel"/>
    <w:tmpl w:val="D2D73B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8B6F03E"/>
    <w:multiLevelType w:val="multilevel"/>
    <w:tmpl w:val="A71BEF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396DDF"/>
    <w:multiLevelType w:val="hybridMultilevel"/>
    <w:tmpl w:val="EE28380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5AB3B052"/>
    <w:multiLevelType w:val="multilevel"/>
    <w:tmpl w:val="7E5EFE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D944E79"/>
    <w:multiLevelType w:val="hybridMultilevel"/>
    <w:tmpl w:val="06B80E8C"/>
    <w:lvl w:ilvl="0" w:tplc="4E0EBFC2">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CDA48F"/>
    <w:multiLevelType w:val="multilevel"/>
    <w:tmpl w:val="43EDA31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A900CD"/>
    <w:multiLevelType w:val="hybridMultilevel"/>
    <w:tmpl w:val="F9467B5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D03BA08"/>
    <w:multiLevelType w:val="multilevel"/>
    <w:tmpl w:val="56631FA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9A266A"/>
    <w:multiLevelType w:val="multilevel"/>
    <w:tmpl w:val="30EE70B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5090890">
    <w:abstractNumId w:val="9"/>
  </w:num>
  <w:num w:numId="2" w16cid:durableId="301353331">
    <w:abstractNumId w:val="1"/>
  </w:num>
  <w:num w:numId="3" w16cid:durableId="890262181">
    <w:abstractNumId w:val="5"/>
  </w:num>
  <w:num w:numId="4" w16cid:durableId="1118598321">
    <w:abstractNumId w:val="2"/>
  </w:num>
  <w:num w:numId="5" w16cid:durableId="2020815397">
    <w:abstractNumId w:val="10"/>
  </w:num>
  <w:num w:numId="6" w16cid:durableId="1599681496">
    <w:abstractNumId w:val="0"/>
  </w:num>
  <w:num w:numId="7" w16cid:durableId="455026268">
    <w:abstractNumId w:val="7"/>
  </w:num>
  <w:num w:numId="8" w16cid:durableId="1409841408">
    <w:abstractNumId w:val="3"/>
  </w:num>
  <w:num w:numId="9" w16cid:durableId="1871870793">
    <w:abstractNumId w:val="6"/>
  </w:num>
  <w:num w:numId="10" w16cid:durableId="944920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342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2C"/>
    <w:rsid w:val="000124A6"/>
    <w:rsid w:val="000171B9"/>
    <w:rsid w:val="0004427A"/>
    <w:rsid w:val="000575DA"/>
    <w:rsid w:val="00070FF8"/>
    <w:rsid w:val="000B2778"/>
    <w:rsid w:val="0012403D"/>
    <w:rsid w:val="001A2B70"/>
    <w:rsid w:val="001B5A1C"/>
    <w:rsid w:val="00260149"/>
    <w:rsid w:val="002646A8"/>
    <w:rsid w:val="00273F39"/>
    <w:rsid w:val="002E5312"/>
    <w:rsid w:val="002F2A72"/>
    <w:rsid w:val="00303EE1"/>
    <w:rsid w:val="00354384"/>
    <w:rsid w:val="00356CA2"/>
    <w:rsid w:val="00357873"/>
    <w:rsid w:val="00364186"/>
    <w:rsid w:val="003C4482"/>
    <w:rsid w:val="00435DF0"/>
    <w:rsid w:val="00467EC7"/>
    <w:rsid w:val="004D561F"/>
    <w:rsid w:val="004D7E17"/>
    <w:rsid w:val="004F4536"/>
    <w:rsid w:val="00522174"/>
    <w:rsid w:val="005230AF"/>
    <w:rsid w:val="00557B2C"/>
    <w:rsid w:val="00560C47"/>
    <w:rsid w:val="005E27F9"/>
    <w:rsid w:val="006457B1"/>
    <w:rsid w:val="00693900"/>
    <w:rsid w:val="006A269F"/>
    <w:rsid w:val="006D7877"/>
    <w:rsid w:val="007560B5"/>
    <w:rsid w:val="00762886"/>
    <w:rsid w:val="0078545C"/>
    <w:rsid w:val="007D3245"/>
    <w:rsid w:val="00866FB4"/>
    <w:rsid w:val="008768D2"/>
    <w:rsid w:val="008B0494"/>
    <w:rsid w:val="0093786A"/>
    <w:rsid w:val="00945C8F"/>
    <w:rsid w:val="00947DC2"/>
    <w:rsid w:val="00952206"/>
    <w:rsid w:val="009604AF"/>
    <w:rsid w:val="00973325"/>
    <w:rsid w:val="00A47DB5"/>
    <w:rsid w:val="00A60FD1"/>
    <w:rsid w:val="00AA5B5E"/>
    <w:rsid w:val="00AA5BB1"/>
    <w:rsid w:val="00B12E6F"/>
    <w:rsid w:val="00B14F6E"/>
    <w:rsid w:val="00B30B68"/>
    <w:rsid w:val="00BB7904"/>
    <w:rsid w:val="00BC16EE"/>
    <w:rsid w:val="00BC7C8C"/>
    <w:rsid w:val="00BD78A5"/>
    <w:rsid w:val="00C31FDA"/>
    <w:rsid w:val="00C47A31"/>
    <w:rsid w:val="00CA2D8C"/>
    <w:rsid w:val="00CC74A6"/>
    <w:rsid w:val="00CD2157"/>
    <w:rsid w:val="00D14012"/>
    <w:rsid w:val="00D301D8"/>
    <w:rsid w:val="00D34CDB"/>
    <w:rsid w:val="00DA2F9C"/>
    <w:rsid w:val="00DC2E09"/>
    <w:rsid w:val="00E452D6"/>
    <w:rsid w:val="00E90807"/>
    <w:rsid w:val="00E90CCA"/>
    <w:rsid w:val="00EC05AA"/>
    <w:rsid w:val="00ED23D4"/>
    <w:rsid w:val="00F0060C"/>
    <w:rsid w:val="00F47D6D"/>
    <w:rsid w:val="00FB096D"/>
    <w:rsid w:val="00FF7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E3A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778"/>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D7877"/>
    <w:pPr>
      <w:ind w:left="720"/>
      <w:contextualSpacing/>
    </w:pPr>
  </w:style>
  <w:style w:type="paragraph" w:styleId="Voetnoottekst">
    <w:name w:val="footnote text"/>
    <w:basedOn w:val="Standaard"/>
    <w:link w:val="VoetnoottekstChar"/>
    <w:uiPriority w:val="99"/>
    <w:semiHidden/>
    <w:unhideWhenUsed/>
    <w:rsid w:val="002E5312"/>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E5312"/>
    <w:rPr>
      <w:rFonts w:ascii="Calibri" w:eastAsia="Calibri" w:hAnsi="Calibri" w:cs="Times New Roman"/>
      <w:kern w:val="2"/>
      <w:lang w:eastAsia="en-US"/>
      <w14:ligatures w14:val="standardContextual"/>
    </w:rPr>
  </w:style>
  <w:style w:type="character" w:styleId="Voetnootmarkering">
    <w:name w:val="footnote reference"/>
    <w:basedOn w:val="Standaardalinea-lettertype"/>
    <w:uiPriority w:val="99"/>
    <w:semiHidden/>
    <w:unhideWhenUsed/>
    <w:rsid w:val="002E5312"/>
    <w:rPr>
      <w:vertAlign w:val="superscript"/>
    </w:rPr>
  </w:style>
  <w:style w:type="table" w:styleId="Tabelrasterlicht">
    <w:name w:val="Grid Table Light"/>
    <w:basedOn w:val="Standaardtabel"/>
    <w:uiPriority w:val="40"/>
    <w:rsid w:val="002E5312"/>
    <w:pPr>
      <w:autoSpaceDN/>
      <w:textAlignment w:val="auto"/>
    </w:pPr>
    <w:rPr>
      <w:rFonts w:ascii="Calibri" w:eastAsia="Calibri" w:hAnsi="Calibri" w:cs="Times New Roman"/>
      <w:kern w:val="2"/>
      <w:sz w:val="22"/>
      <w:szCs w:val="22"/>
      <w:lang w:eastAsia="en-US"/>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2E5312"/>
    <w:rPr>
      <w:sz w:val="16"/>
      <w:szCs w:val="16"/>
    </w:rPr>
  </w:style>
  <w:style w:type="paragraph" w:styleId="Tekstopmerking">
    <w:name w:val="annotation text"/>
    <w:basedOn w:val="Standaard"/>
    <w:link w:val="TekstopmerkingChar"/>
    <w:uiPriority w:val="99"/>
    <w:unhideWhenUsed/>
    <w:rsid w:val="002E5312"/>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2E5312"/>
    <w:rPr>
      <w:rFonts w:ascii="Verdana" w:hAnsi="Verdana"/>
      <w:color w:val="000000"/>
    </w:rPr>
  </w:style>
  <w:style w:type="character" w:customStyle="1" w:styleId="cf01">
    <w:name w:val="cf01"/>
    <w:basedOn w:val="Standaardalinea-lettertype"/>
    <w:rsid w:val="004D561F"/>
    <w:rPr>
      <w:rFonts w:ascii="Segoe UI" w:hAnsi="Segoe UI" w:cs="Segoe UI" w:hint="default"/>
      <w:sz w:val="18"/>
      <w:szCs w:val="18"/>
    </w:rPr>
  </w:style>
  <w:style w:type="paragraph" w:styleId="Revisie">
    <w:name w:val="Revision"/>
    <w:hidden/>
    <w:uiPriority w:val="99"/>
    <w:semiHidden/>
    <w:rsid w:val="00BC7C8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D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cpf.nl/wp-content/uploads/2024/11/241122-briefadvies-bijlage-2-overzicht-ontwikkeling-diversiteit-in-besturen-van-pensioenfondsen-over-2023.pdf" TargetMode="External"/><Relationship Id="rId2" Type="http://schemas.openxmlformats.org/officeDocument/2006/relationships/hyperlink" Target="https://www.pensioenfederatie.nl/website/publicaties/servicedocumenten/code-pensioenfondsen-2024" TargetMode="External"/><Relationship Id="rId1" Type="http://schemas.openxmlformats.org/officeDocument/2006/relationships/hyperlink" Target="https://www.rijksoverheid.nl/documenten/publicaties/2020/07/06/aanvalsplan-witte-vle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2100</ap:Words>
  <ap:Characters>11551</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Kamer - Verzamelbrief pensioenonderwerpen voorjaar 2025</vt:lpstr>
    </vt:vector>
  </ap:TitlesOfParts>
  <ap:LinksUpToDate>false</ap:LinksUpToDate>
  <ap:CharactersWithSpaces>13624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2025-02-27T14:28:00.0000000Z</dcterms:created>
  <dcterms:modified xsi:type="dcterms:W3CDTF">2025-03-10T12:34:00.0000000Z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Verzamelbrief pensioenonderwerpen voorjaar 2025</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M.M.A. van der Ligt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DVLP Advies pensioencriteria in aanbestedingen</vt:lpwstr>
  </property>
  <property fmtid="{D5CDD505-2E9C-101B-9397-08002B2CF9AE}" pid="31" name="iCC">
    <vt:lpwstr>Bijlage</vt:lpwstr>
  </property>
  <property fmtid="{D5CDD505-2E9C-101B-9397-08002B2CF9AE}" pid="32" name="iDatum">
    <vt:lpwstr>10 maart 2025</vt:lpwstr>
  </property>
  <property fmtid="{D5CDD505-2E9C-101B-9397-08002B2CF9AE}" pid="33" name="iKixcode">
    <vt:lpwstr/>
  </property>
  <property fmtid="{D5CDD505-2E9C-101B-9397-08002B2CF9AE}" pid="34" name="iNr">
    <vt:lpwstr/>
  </property>
  <property fmtid="{D5CDD505-2E9C-101B-9397-08002B2CF9AE}" pid="35" name="iOnderwerp">
    <vt:lpwstr>Verzamelbrief pensioenonderwerpen voorjaar 2025</vt:lpwstr>
  </property>
  <property fmtid="{D5CDD505-2E9C-101B-9397-08002B2CF9AE}" pid="36" name="iOnsKenmerk">
    <vt:lpwstr>2025-0000042665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