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63A" w:rsidP="002D063A" w:rsidRDefault="002D063A" w14:paraId="05E6F708" w14:textId="77777777">
      <w:bookmarkStart w:name="_GoBack" w:id="0"/>
      <w:bookmarkEnd w:id="0"/>
    </w:p>
    <w:p w:rsidR="002D063A" w:rsidP="002D063A" w:rsidRDefault="002D063A" w14:paraId="089FB252" w14:textId="77777777">
      <w:r>
        <w:t>Hierbij bied ik u de antwoorden aan op de schriftelijke vragen v</w:t>
      </w:r>
      <w:r w:rsidRPr="00C81E56">
        <w:t>an het lid Eerdmans (JA21) over de stand van zaken van de Top X-lijst</w:t>
      </w:r>
      <w:r>
        <w:t>.</w:t>
      </w:r>
    </w:p>
    <w:p w:rsidR="002D063A" w:rsidP="002D063A" w:rsidRDefault="002D063A" w14:paraId="7188A10B" w14:textId="77777777"/>
    <w:p w:rsidR="002D063A" w:rsidP="002D063A" w:rsidRDefault="002D063A" w14:paraId="2197181C" w14:textId="77777777">
      <w:r>
        <w:t>Deze vragen werden ingezonden op 11 februari 2025 met kenmerk 2025Z02481.</w:t>
      </w:r>
    </w:p>
    <w:p w:rsidR="002D063A" w:rsidP="002D063A" w:rsidRDefault="002D063A" w14:paraId="3C84C06A" w14:textId="77777777"/>
    <w:p w:rsidR="002D063A" w:rsidP="002D063A" w:rsidRDefault="002D063A" w14:paraId="4BD67EF8" w14:textId="77777777"/>
    <w:p w:rsidR="002D063A" w:rsidP="002D063A" w:rsidRDefault="002D063A" w14:paraId="7ED1CF79" w14:textId="77777777">
      <w:r>
        <w:t xml:space="preserve">De Minister van Asiel en Migratie, </w:t>
      </w:r>
    </w:p>
    <w:p w:rsidR="002D063A" w:rsidP="002D063A" w:rsidRDefault="002D063A" w14:paraId="52115DED" w14:textId="77777777"/>
    <w:p w:rsidR="002D063A" w:rsidP="002D063A" w:rsidRDefault="002D063A" w14:paraId="7F4D286F" w14:textId="77777777"/>
    <w:p w:rsidR="002D063A" w:rsidP="002D063A" w:rsidRDefault="002D063A" w14:paraId="4E151446" w14:textId="77777777"/>
    <w:p w:rsidR="002D063A" w:rsidP="002D063A" w:rsidRDefault="002D063A" w14:paraId="19B79547" w14:textId="77777777"/>
    <w:p w:rsidR="002D063A" w:rsidP="002D063A" w:rsidRDefault="002D063A" w14:paraId="32E68216" w14:textId="77777777">
      <w:r>
        <w:t>M.H.M. Faber- van de Klashorst</w:t>
      </w:r>
    </w:p>
    <w:p w:rsidR="002D063A" w:rsidP="002D063A" w:rsidRDefault="002D063A" w14:paraId="50194FCC" w14:textId="77777777">
      <w:pPr>
        <w:pStyle w:val="WitregelW1bodytekst"/>
      </w:pPr>
    </w:p>
    <w:p w:rsidR="002D063A" w:rsidP="002D063A" w:rsidRDefault="002D063A" w14:paraId="76171BB9" w14:textId="77777777"/>
    <w:p w:rsidR="002D063A" w:rsidP="002D063A" w:rsidRDefault="002D063A" w14:paraId="6F8F8782" w14:textId="77777777"/>
    <w:p w:rsidR="002D063A" w:rsidP="002D063A" w:rsidRDefault="002D063A" w14:paraId="704E7771" w14:textId="77777777"/>
    <w:p w:rsidR="002D063A" w:rsidP="002D063A" w:rsidRDefault="002D063A" w14:paraId="0D491594" w14:textId="77777777"/>
    <w:p w:rsidR="002D063A" w:rsidP="002D063A" w:rsidRDefault="002D063A" w14:paraId="47CD750E" w14:textId="77777777"/>
    <w:p w:rsidR="002D063A" w:rsidP="002D063A" w:rsidRDefault="002D063A" w14:paraId="30106CF5" w14:textId="77777777"/>
    <w:p w:rsidR="002D063A" w:rsidP="002D063A" w:rsidRDefault="002D063A" w14:paraId="0130C8CD" w14:textId="77777777"/>
    <w:p w:rsidR="002D063A" w:rsidP="002D063A" w:rsidRDefault="002D063A" w14:paraId="47941320" w14:textId="77777777"/>
    <w:p w:rsidR="002D063A" w:rsidP="002D063A" w:rsidRDefault="002D063A" w14:paraId="16AE8460" w14:textId="77777777"/>
    <w:p w:rsidR="002D063A" w:rsidP="002D063A" w:rsidRDefault="002D063A" w14:paraId="40191C55" w14:textId="77777777">
      <w:pPr>
        <w:spacing w:line="240" w:lineRule="auto"/>
      </w:pPr>
      <w:r>
        <w:br w:type="page"/>
      </w:r>
    </w:p>
    <w:p w:rsidRPr="002773BA" w:rsidR="002D063A" w:rsidP="002D063A" w:rsidRDefault="002D063A" w14:paraId="7E79F005" w14:textId="77777777">
      <w:pPr>
        <w:rPr>
          <w:b/>
          <w:bCs/>
        </w:rPr>
      </w:pPr>
      <w:r w:rsidRPr="002773BA">
        <w:rPr>
          <w:b/>
          <w:bCs/>
        </w:rPr>
        <w:lastRenderedPageBreak/>
        <w:t>Vragen van het lid Eerdmans (JA21) aan de minister van Asiel en Migratie over de stand van zaken van de Top X-lijst.</w:t>
      </w:r>
    </w:p>
    <w:p w:rsidRPr="002773BA" w:rsidR="002D063A" w:rsidP="002773BA" w:rsidRDefault="002773BA" w14:paraId="26F9E0BD" w14:textId="76335E38">
      <w:pPr>
        <w:pBdr>
          <w:bottom w:val="single" w:color="auto" w:sz="4" w:space="1"/>
        </w:pBdr>
        <w:rPr>
          <w:b/>
          <w:bCs/>
        </w:rPr>
      </w:pPr>
      <w:r w:rsidRPr="002773BA">
        <w:rPr>
          <w:b/>
          <w:bCs/>
        </w:rPr>
        <w:t>(ingezonden 11 februari 2025</w:t>
      </w:r>
      <w:r>
        <w:rPr>
          <w:b/>
          <w:bCs/>
        </w:rPr>
        <w:t xml:space="preserve">, </w:t>
      </w:r>
      <w:r w:rsidRPr="002773BA">
        <w:rPr>
          <w:b/>
          <w:bCs/>
        </w:rPr>
        <w:t>2025Z02481</w:t>
      </w:r>
      <w:r>
        <w:rPr>
          <w:b/>
          <w:bCs/>
        </w:rPr>
        <w:t>)</w:t>
      </w:r>
    </w:p>
    <w:p w:rsidR="002773BA" w:rsidP="002D063A" w:rsidRDefault="002773BA" w14:paraId="78F04BD5" w14:textId="77777777">
      <w:pPr>
        <w:rPr>
          <w:b/>
          <w:bCs/>
        </w:rPr>
      </w:pPr>
    </w:p>
    <w:p w:rsidR="002773BA" w:rsidP="002D063A" w:rsidRDefault="002773BA" w14:paraId="7332EC66" w14:textId="77777777">
      <w:pPr>
        <w:rPr>
          <w:b/>
          <w:bCs/>
        </w:rPr>
      </w:pPr>
    </w:p>
    <w:p w:rsidRPr="00BF501F" w:rsidR="002D063A" w:rsidP="002D063A" w:rsidRDefault="002D063A" w14:paraId="5B2F72DF" w14:textId="359A1561">
      <w:pPr>
        <w:rPr>
          <w:b/>
          <w:bCs/>
        </w:rPr>
      </w:pPr>
      <w:r w:rsidRPr="00BF501F">
        <w:rPr>
          <w:b/>
          <w:bCs/>
        </w:rPr>
        <w:t>Vraag 1</w:t>
      </w:r>
    </w:p>
    <w:p w:rsidRPr="00BF501F" w:rsidR="002D063A" w:rsidP="002D063A" w:rsidRDefault="002D063A" w14:paraId="4656C867" w14:textId="77777777">
      <w:pPr>
        <w:rPr>
          <w:b/>
          <w:bCs/>
        </w:rPr>
      </w:pPr>
      <w:r w:rsidRPr="00BF501F">
        <w:rPr>
          <w:b/>
          <w:bCs/>
        </w:rPr>
        <w:t>Deelt u de mening dat criminele asielzoekers die op de Top X-lijst staan geen verblijfsvergunning meer zouden moeten krijgen?</w:t>
      </w:r>
    </w:p>
    <w:p w:rsidR="002D063A" w:rsidP="002D063A" w:rsidRDefault="002D063A" w14:paraId="0A52E6C5" w14:textId="77777777"/>
    <w:p w:rsidRPr="00C10563" w:rsidR="002D063A" w:rsidP="002D063A" w:rsidRDefault="002D063A" w14:paraId="296BD4C1" w14:textId="77777777">
      <w:pPr>
        <w:rPr>
          <w:b/>
          <w:bCs/>
        </w:rPr>
      </w:pPr>
      <w:r w:rsidRPr="00C10563">
        <w:rPr>
          <w:b/>
          <w:bCs/>
        </w:rPr>
        <w:t>Antwoord op vraag 1</w:t>
      </w:r>
    </w:p>
    <w:p w:rsidR="002D063A" w:rsidP="002D063A" w:rsidRDefault="002D063A" w14:paraId="28CDCB01" w14:textId="77777777">
      <w:r>
        <w:t>Zoals uw Kamer bekend is, is in het Regeerprogramma opgenomen dat in Nederland geen plaats is voor vreemdelingen die overlast veroorzaken en strafbare feiten plegen. Het kabinet zal er alles aan doen om het verblijfsrecht te weigeren of in te trekken van asielzoekers of statushouders die misdrijven begaan. De IND kan de verblijfsvergunning asiel weigeren of intrekken op grond van openbare orde indien de vreemdeling (onherroepelijk) is veroordeeld voor een (bijzonder) ernstig misdrijf. Zoals bij brief eerder aan uw Kamer vermeld worden in de jurisprudentie op grond van de Kwalificatierichtlijn hoge eisen gesteld aan het weigeren en intrekken van een verblijfsvergunning op grond van openbare orde.</w:t>
      </w:r>
      <w:r>
        <w:rPr>
          <w:rStyle w:val="Voetnootmarkering"/>
        </w:rPr>
        <w:footnoteReference w:id="1"/>
      </w:r>
      <w:r>
        <w:t xml:space="preserve"> Een garantie dat vreemdelingen op de Top-X lijst niet in aanmerking komen voor een verblijfsvergunning, kan daarom niet worden gegeven.</w:t>
      </w:r>
    </w:p>
    <w:p w:rsidRPr="00C81E56" w:rsidR="002D063A" w:rsidP="002D063A" w:rsidRDefault="002D063A" w14:paraId="79F1A580" w14:textId="77777777"/>
    <w:p w:rsidRPr="00BF501F" w:rsidR="002D063A" w:rsidP="002D063A" w:rsidRDefault="002D063A" w14:paraId="46670BEC" w14:textId="77777777">
      <w:pPr>
        <w:rPr>
          <w:b/>
          <w:bCs/>
        </w:rPr>
      </w:pPr>
      <w:r w:rsidRPr="004D3DF5">
        <w:rPr>
          <w:b/>
          <w:bCs/>
        </w:rPr>
        <w:t>Vraag 2</w:t>
      </w:r>
    </w:p>
    <w:p w:rsidRPr="00BF501F" w:rsidR="002D063A" w:rsidP="002D063A" w:rsidRDefault="002D063A" w14:paraId="7A413047" w14:textId="77777777">
      <w:pPr>
        <w:rPr>
          <w:b/>
          <w:bCs/>
        </w:rPr>
      </w:pPr>
      <w:r w:rsidRPr="00BF501F">
        <w:rPr>
          <w:b/>
          <w:bCs/>
        </w:rPr>
        <w:t>Hoeveel asielzoekers staan er op dit moment op de Top X-lijst? Kunt u de aantallen specificeren per provincie?</w:t>
      </w:r>
    </w:p>
    <w:p w:rsidR="002D063A" w:rsidP="002D063A" w:rsidRDefault="002D063A" w14:paraId="31E601F0" w14:textId="77777777"/>
    <w:p w:rsidRPr="00C10563" w:rsidR="002D063A" w:rsidP="002D063A" w:rsidRDefault="002D063A" w14:paraId="5FE52EA0" w14:textId="77777777">
      <w:pPr>
        <w:rPr>
          <w:b/>
          <w:bCs/>
        </w:rPr>
      </w:pPr>
      <w:r w:rsidRPr="00C10563">
        <w:rPr>
          <w:b/>
          <w:bCs/>
        </w:rPr>
        <w:t>Antwoord op vraag 2</w:t>
      </w:r>
    </w:p>
    <w:p w:rsidRPr="00763C39" w:rsidR="00763C39" w:rsidP="00763C39" w:rsidRDefault="002D063A" w14:paraId="4E4BA1A8" w14:textId="77777777">
      <w:pPr>
        <w:spacing w:line="240" w:lineRule="auto"/>
        <w:rPr>
          <w:rFonts w:ascii="Times New Roman" w:hAnsi="Times New Roman" w:cs="Times New Roman"/>
          <w:sz w:val="22"/>
          <w:szCs w:val="22"/>
        </w:rPr>
      </w:pPr>
      <w:r w:rsidRPr="00B810BC">
        <w:t xml:space="preserve">Voor de </w:t>
      </w:r>
      <w:r>
        <w:t>T</w:t>
      </w:r>
      <w:r w:rsidRPr="00B810BC">
        <w:t xml:space="preserve">op X-aanpak worden een zogeheten brutolijst samengesteld </w:t>
      </w:r>
      <w:r>
        <w:t xml:space="preserve">met </w:t>
      </w:r>
      <w:r w:rsidRPr="00B810BC">
        <w:t>overlastgevende en/of criminele bewoners van COA</w:t>
      </w:r>
      <w:r>
        <w:t xml:space="preserve">, </w:t>
      </w:r>
      <w:r w:rsidRPr="00B810BC">
        <w:t xml:space="preserve">aan de hand van de incidentenregistraties van het COA en de verdachtenregistraties van de politie. In de lokale ketenoverleggen (LKO’s) wordt bepaald op wie de top X-aanpak daadwerkelijk wordt toegepast. </w:t>
      </w:r>
      <w:r w:rsidRPr="00763C39" w:rsidR="00763C39">
        <w:rPr>
          <w:rFonts w:eastAsiaTheme="minorEastAsia"/>
        </w:rPr>
        <w:t xml:space="preserve">Op deze manier vormen de LKO’s de brutolijst om tot een nettolijst. </w:t>
      </w:r>
    </w:p>
    <w:p w:rsidRPr="00B810BC" w:rsidR="002D063A" w:rsidP="002D063A" w:rsidRDefault="002D063A" w14:paraId="763A932D" w14:textId="46857BC7"/>
    <w:p w:rsidR="002D063A" w:rsidP="002D063A" w:rsidRDefault="002D063A" w14:paraId="402D2A7F" w14:textId="77777777"/>
    <w:p w:rsidR="002D063A" w:rsidP="002D063A" w:rsidRDefault="002D063A" w14:paraId="1FC41B70" w14:textId="77777777">
      <w:r w:rsidRPr="00B178DE">
        <w:t>Op de Top X-brutolijst van januari 2025</w:t>
      </w:r>
      <w:r>
        <w:t xml:space="preserve"> staan 1.180 bewoners van COA. Voor deze brutolijst was het aantal COA-bewoners per provincie als volgt. </w:t>
      </w:r>
    </w:p>
    <w:p w:rsidR="002D063A" w:rsidP="002D063A" w:rsidRDefault="002D063A" w14:paraId="415D4E3C" w14:textId="77777777"/>
    <w:tbl>
      <w:tblPr>
        <w:tblStyle w:val="Tabelraster"/>
        <w:tblW w:w="0" w:type="auto"/>
        <w:tblInd w:w="0" w:type="dxa"/>
        <w:tblLook w:val="04A0" w:firstRow="1" w:lastRow="0" w:firstColumn="1" w:lastColumn="0" w:noHBand="0" w:noVBand="1"/>
      </w:tblPr>
      <w:tblGrid>
        <w:gridCol w:w="3964"/>
        <w:gridCol w:w="1843"/>
      </w:tblGrid>
      <w:tr w:rsidRPr="00905B78" w:rsidR="002D063A" w:rsidTr="00AD3AE4" w14:paraId="728F5BBB" w14:textId="77777777">
        <w:trPr>
          <w:trHeight w:val="255"/>
        </w:trPr>
        <w:tc>
          <w:tcPr>
            <w:tcW w:w="3964" w:type="dxa"/>
            <w:noWrap/>
          </w:tcPr>
          <w:p w:rsidRPr="00905B78" w:rsidR="002D063A" w:rsidP="00AD3AE4" w:rsidRDefault="002D063A" w14:paraId="338F36A1" w14:textId="77777777">
            <w:pPr>
              <w:rPr>
                <w:b/>
                <w:bCs/>
              </w:rPr>
            </w:pPr>
            <w:r w:rsidRPr="00905B78">
              <w:rPr>
                <w:b/>
                <w:bCs/>
              </w:rPr>
              <w:t>Provincie</w:t>
            </w:r>
          </w:p>
        </w:tc>
        <w:tc>
          <w:tcPr>
            <w:tcW w:w="1843" w:type="dxa"/>
            <w:noWrap/>
          </w:tcPr>
          <w:p w:rsidRPr="00905B78" w:rsidR="002D063A" w:rsidP="00AD3AE4" w:rsidRDefault="002D063A" w14:paraId="182F885F" w14:textId="77777777">
            <w:pPr>
              <w:jc w:val="right"/>
              <w:rPr>
                <w:b/>
                <w:bCs/>
              </w:rPr>
            </w:pPr>
            <w:r w:rsidRPr="00905B78">
              <w:rPr>
                <w:b/>
                <w:bCs/>
              </w:rPr>
              <w:t>Aantal</w:t>
            </w:r>
          </w:p>
        </w:tc>
      </w:tr>
      <w:tr w:rsidRPr="00905B78" w:rsidR="002D063A" w:rsidTr="00AD3AE4" w14:paraId="162645AF" w14:textId="77777777">
        <w:trPr>
          <w:trHeight w:val="255"/>
        </w:trPr>
        <w:tc>
          <w:tcPr>
            <w:tcW w:w="3964" w:type="dxa"/>
            <w:noWrap/>
            <w:hideMark/>
          </w:tcPr>
          <w:p w:rsidRPr="00905B78" w:rsidR="002D063A" w:rsidP="00AD3AE4" w:rsidRDefault="002D063A" w14:paraId="00BF101F" w14:textId="77777777">
            <w:r w:rsidRPr="00905B78">
              <w:t>Drenthe</w:t>
            </w:r>
          </w:p>
        </w:tc>
        <w:tc>
          <w:tcPr>
            <w:tcW w:w="1843" w:type="dxa"/>
            <w:noWrap/>
            <w:hideMark/>
          </w:tcPr>
          <w:p w:rsidRPr="00905B78" w:rsidR="002D063A" w:rsidP="00AD3AE4" w:rsidRDefault="002D063A" w14:paraId="3CDA1A0D" w14:textId="77777777">
            <w:pPr>
              <w:jc w:val="right"/>
            </w:pPr>
            <w:r w:rsidRPr="00905B78">
              <w:t>70</w:t>
            </w:r>
          </w:p>
        </w:tc>
      </w:tr>
      <w:tr w:rsidRPr="00905B78" w:rsidR="002D063A" w:rsidTr="00AD3AE4" w14:paraId="17E400F3" w14:textId="77777777">
        <w:trPr>
          <w:trHeight w:val="255"/>
        </w:trPr>
        <w:tc>
          <w:tcPr>
            <w:tcW w:w="3964" w:type="dxa"/>
            <w:noWrap/>
            <w:hideMark/>
          </w:tcPr>
          <w:p w:rsidRPr="00905B78" w:rsidR="002D063A" w:rsidP="00AD3AE4" w:rsidRDefault="002D063A" w14:paraId="554C0B29" w14:textId="77777777">
            <w:r w:rsidRPr="00905B78">
              <w:t>Flevoland</w:t>
            </w:r>
          </w:p>
        </w:tc>
        <w:tc>
          <w:tcPr>
            <w:tcW w:w="1843" w:type="dxa"/>
            <w:noWrap/>
            <w:hideMark/>
          </w:tcPr>
          <w:p w:rsidRPr="00905B78" w:rsidR="002D063A" w:rsidP="00AD3AE4" w:rsidRDefault="002D063A" w14:paraId="615513C3" w14:textId="77777777">
            <w:pPr>
              <w:jc w:val="right"/>
            </w:pPr>
            <w:r w:rsidRPr="00905B78">
              <w:t>70</w:t>
            </w:r>
          </w:p>
        </w:tc>
      </w:tr>
      <w:tr w:rsidRPr="00905B78" w:rsidR="002D063A" w:rsidTr="00AD3AE4" w14:paraId="1B056FAB" w14:textId="77777777">
        <w:trPr>
          <w:trHeight w:val="255"/>
        </w:trPr>
        <w:tc>
          <w:tcPr>
            <w:tcW w:w="3964" w:type="dxa"/>
            <w:noWrap/>
            <w:hideMark/>
          </w:tcPr>
          <w:p w:rsidRPr="00905B78" w:rsidR="002D063A" w:rsidP="00AD3AE4" w:rsidRDefault="002D063A" w14:paraId="21052D57" w14:textId="77777777">
            <w:r w:rsidRPr="00905B78">
              <w:t>Fryslân</w:t>
            </w:r>
          </w:p>
        </w:tc>
        <w:tc>
          <w:tcPr>
            <w:tcW w:w="1843" w:type="dxa"/>
            <w:noWrap/>
            <w:hideMark/>
          </w:tcPr>
          <w:p w:rsidRPr="00905B78" w:rsidR="002D063A" w:rsidP="00AD3AE4" w:rsidRDefault="002D063A" w14:paraId="5EA92BE2" w14:textId="77777777">
            <w:pPr>
              <w:jc w:val="right"/>
            </w:pPr>
            <w:r w:rsidRPr="00905B78">
              <w:t>70</w:t>
            </w:r>
          </w:p>
        </w:tc>
      </w:tr>
      <w:tr w:rsidRPr="00905B78" w:rsidR="002D063A" w:rsidTr="00AD3AE4" w14:paraId="3E369938" w14:textId="77777777">
        <w:trPr>
          <w:trHeight w:val="255"/>
        </w:trPr>
        <w:tc>
          <w:tcPr>
            <w:tcW w:w="3964" w:type="dxa"/>
            <w:noWrap/>
            <w:hideMark/>
          </w:tcPr>
          <w:p w:rsidRPr="00905B78" w:rsidR="002D063A" w:rsidP="00AD3AE4" w:rsidRDefault="002D063A" w14:paraId="3A99C28C" w14:textId="77777777">
            <w:r w:rsidRPr="00905B78">
              <w:t>Gelderland</w:t>
            </w:r>
          </w:p>
        </w:tc>
        <w:tc>
          <w:tcPr>
            <w:tcW w:w="1843" w:type="dxa"/>
            <w:noWrap/>
            <w:hideMark/>
          </w:tcPr>
          <w:p w:rsidRPr="00905B78" w:rsidR="002D063A" w:rsidP="00AD3AE4" w:rsidRDefault="002D063A" w14:paraId="37C93D04" w14:textId="77777777">
            <w:pPr>
              <w:jc w:val="right"/>
            </w:pPr>
            <w:r w:rsidRPr="00905B78">
              <w:t>170</w:t>
            </w:r>
          </w:p>
        </w:tc>
      </w:tr>
      <w:tr w:rsidRPr="00905B78" w:rsidR="002D063A" w:rsidTr="00AD3AE4" w14:paraId="05F108C1" w14:textId="77777777">
        <w:trPr>
          <w:trHeight w:val="255"/>
        </w:trPr>
        <w:tc>
          <w:tcPr>
            <w:tcW w:w="3964" w:type="dxa"/>
            <w:noWrap/>
            <w:hideMark/>
          </w:tcPr>
          <w:p w:rsidRPr="00905B78" w:rsidR="002D063A" w:rsidP="00AD3AE4" w:rsidRDefault="002D063A" w14:paraId="4FA0E038" w14:textId="77777777">
            <w:r w:rsidRPr="00905B78">
              <w:t>Groningen</w:t>
            </w:r>
          </w:p>
        </w:tc>
        <w:tc>
          <w:tcPr>
            <w:tcW w:w="1843" w:type="dxa"/>
            <w:noWrap/>
            <w:hideMark/>
          </w:tcPr>
          <w:p w:rsidRPr="00905B78" w:rsidR="002D063A" w:rsidP="00AD3AE4" w:rsidRDefault="002D063A" w14:paraId="69C6AD3E" w14:textId="77777777">
            <w:pPr>
              <w:jc w:val="right"/>
            </w:pPr>
            <w:r w:rsidRPr="00905B78">
              <w:t>70</w:t>
            </w:r>
          </w:p>
        </w:tc>
      </w:tr>
      <w:tr w:rsidRPr="00905B78" w:rsidR="002D063A" w:rsidTr="00AD3AE4" w14:paraId="5EC9753C" w14:textId="77777777">
        <w:trPr>
          <w:trHeight w:val="255"/>
        </w:trPr>
        <w:tc>
          <w:tcPr>
            <w:tcW w:w="3964" w:type="dxa"/>
            <w:noWrap/>
            <w:hideMark/>
          </w:tcPr>
          <w:p w:rsidRPr="00905B78" w:rsidR="002D063A" w:rsidP="00AD3AE4" w:rsidRDefault="002D063A" w14:paraId="0AE996CE" w14:textId="77777777">
            <w:r w:rsidRPr="00905B78">
              <w:t>Limburg</w:t>
            </w:r>
          </w:p>
        </w:tc>
        <w:tc>
          <w:tcPr>
            <w:tcW w:w="1843" w:type="dxa"/>
            <w:noWrap/>
            <w:hideMark/>
          </w:tcPr>
          <w:p w:rsidRPr="00905B78" w:rsidR="002D063A" w:rsidP="00AD3AE4" w:rsidRDefault="002D063A" w14:paraId="3E4B0346" w14:textId="77777777">
            <w:pPr>
              <w:jc w:val="right"/>
            </w:pPr>
            <w:r w:rsidRPr="00905B78">
              <w:t>60</w:t>
            </w:r>
          </w:p>
        </w:tc>
      </w:tr>
      <w:tr w:rsidRPr="00905B78" w:rsidR="002D063A" w:rsidTr="00AD3AE4" w14:paraId="5FDA6DF4" w14:textId="77777777">
        <w:trPr>
          <w:trHeight w:val="255"/>
        </w:trPr>
        <w:tc>
          <w:tcPr>
            <w:tcW w:w="3964" w:type="dxa"/>
            <w:noWrap/>
            <w:hideMark/>
          </w:tcPr>
          <w:p w:rsidRPr="00905B78" w:rsidR="002D063A" w:rsidP="00AD3AE4" w:rsidRDefault="002D063A" w14:paraId="71A372B5" w14:textId="77777777">
            <w:r w:rsidRPr="00905B78">
              <w:t>Noord-Brabant</w:t>
            </w:r>
          </w:p>
        </w:tc>
        <w:tc>
          <w:tcPr>
            <w:tcW w:w="1843" w:type="dxa"/>
            <w:noWrap/>
            <w:hideMark/>
          </w:tcPr>
          <w:p w:rsidRPr="00905B78" w:rsidR="002D063A" w:rsidP="00AD3AE4" w:rsidRDefault="002D063A" w14:paraId="267489E2" w14:textId="77777777">
            <w:pPr>
              <w:jc w:val="right"/>
            </w:pPr>
            <w:r w:rsidRPr="00905B78">
              <w:t>180</w:t>
            </w:r>
          </w:p>
        </w:tc>
      </w:tr>
      <w:tr w:rsidRPr="00905B78" w:rsidR="002D063A" w:rsidTr="00AD3AE4" w14:paraId="1A124BC2" w14:textId="77777777">
        <w:trPr>
          <w:trHeight w:val="255"/>
        </w:trPr>
        <w:tc>
          <w:tcPr>
            <w:tcW w:w="3964" w:type="dxa"/>
            <w:noWrap/>
            <w:hideMark/>
          </w:tcPr>
          <w:p w:rsidRPr="00905B78" w:rsidR="002D063A" w:rsidP="00AD3AE4" w:rsidRDefault="002D063A" w14:paraId="59B91516" w14:textId="77777777">
            <w:r w:rsidRPr="00905B78">
              <w:t>Noord-Holland</w:t>
            </w:r>
          </w:p>
        </w:tc>
        <w:tc>
          <w:tcPr>
            <w:tcW w:w="1843" w:type="dxa"/>
            <w:noWrap/>
            <w:hideMark/>
          </w:tcPr>
          <w:p w:rsidRPr="00905B78" w:rsidR="002D063A" w:rsidP="00AD3AE4" w:rsidRDefault="002D063A" w14:paraId="2C6AD8F7" w14:textId="77777777">
            <w:pPr>
              <w:jc w:val="right"/>
            </w:pPr>
            <w:r w:rsidRPr="00905B78">
              <w:t>180</w:t>
            </w:r>
          </w:p>
        </w:tc>
      </w:tr>
      <w:tr w:rsidRPr="00905B78" w:rsidR="002D063A" w:rsidTr="00AD3AE4" w14:paraId="5AABECE3" w14:textId="77777777">
        <w:trPr>
          <w:trHeight w:val="255"/>
        </w:trPr>
        <w:tc>
          <w:tcPr>
            <w:tcW w:w="3964" w:type="dxa"/>
            <w:noWrap/>
            <w:hideMark/>
          </w:tcPr>
          <w:p w:rsidRPr="00905B78" w:rsidR="002D063A" w:rsidP="00AD3AE4" w:rsidRDefault="002D063A" w14:paraId="4AF104A7" w14:textId="77777777">
            <w:r w:rsidRPr="00905B78">
              <w:t>Overijssel</w:t>
            </w:r>
          </w:p>
        </w:tc>
        <w:tc>
          <w:tcPr>
            <w:tcW w:w="1843" w:type="dxa"/>
            <w:noWrap/>
            <w:hideMark/>
          </w:tcPr>
          <w:p w:rsidRPr="00905B78" w:rsidR="002D063A" w:rsidP="00AD3AE4" w:rsidRDefault="002D063A" w14:paraId="1B4C56D5" w14:textId="77777777">
            <w:pPr>
              <w:jc w:val="right"/>
            </w:pPr>
            <w:r w:rsidRPr="00905B78">
              <w:t>80</w:t>
            </w:r>
          </w:p>
        </w:tc>
      </w:tr>
      <w:tr w:rsidRPr="00905B78" w:rsidR="002D063A" w:rsidTr="00AD3AE4" w14:paraId="6E5FAF44" w14:textId="77777777">
        <w:trPr>
          <w:trHeight w:val="255"/>
        </w:trPr>
        <w:tc>
          <w:tcPr>
            <w:tcW w:w="3964" w:type="dxa"/>
            <w:noWrap/>
            <w:hideMark/>
          </w:tcPr>
          <w:p w:rsidRPr="00905B78" w:rsidR="002D063A" w:rsidP="00AD3AE4" w:rsidRDefault="002D063A" w14:paraId="10ABB38F" w14:textId="77777777">
            <w:r w:rsidRPr="00905B78">
              <w:t>Utrecht</w:t>
            </w:r>
          </w:p>
        </w:tc>
        <w:tc>
          <w:tcPr>
            <w:tcW w:w="1843" w:type="dxa"/>
            <w:noWrap/>
            <w:hideMark/>
          </w:tcPr>
          <w:p w:rsidRPr="00905B78" w:rsidR="002D063A" w:rsidP="00AD3AE4" w:rsidRDefault="002D063A" w14:paraId="2614286D" w14:textId="77777777">
            <w:pPr>
              <w:jc w:val="right"/>
            </w:pPr>
            <w:r w:rsidRPr="00905B78">
              <w:t>70</w:t>
            </w:r>
          </w:p>
        </w:tc>
      </w:tr>
      <w:tr w:rsidRPr="00905B78" w:rsidR="002D063A" w:rsidTr="00AD3AE4" w14:paraId="4F300A8E" w14:textId="77777777">
        <w:trPr>
          <w:trHeight w:val="255"/>
        </w:trPr>
        <w:tc>
          <w:tcPr>
            <w:tcW w:w="3964" w:type="dxa"/>
            <w:noWrap/>
            <w:hideMark/>
          </w:tcPr>
          <w:p w:rsidRPr="00905B78" w:rsidR="002D063A" w:rsidP="00AD3AE4" w:rsidRDefault="002D063A" w14:paraId="67D3C374" w14:textId="77777777">
            <w:r w:rsidRPr="00905B78">
              <w:t>Zeeland</w:t>
            </w:r>
          </w:p>
        </w:tc>
        <w:tc>
          <w:tcPr>
            <w:tcW w:w="1843" w:type="dxa"/>
            <w:noWrap/>
            <w:hideMark/>
          </w:tcPr>
          <w:p w:rsidRPr="00905B78" w:rsidR="002D063A" w:rsidP="00AD3AE4" w:rsidRDefault="002D063A" w14:paraId="41FE2DCE" w14:textId="77777777">
            <w:pPr>
              <w:jc w:val="right"/>
            </w:pPr>
            <w:r w:rsidRPr="00905B78">
              <w:t>30</w:t>
            </w:r>
          </w:p>
        </w:tc>
      </w:tr>
      <w:tr w:rsidRPr="00905B78" w:rsidR="002D063A" w:rsidTr="00AD3AE4" w14:paraId="6431F8B7" w14:textId="77777777">
        <w:trPr>
          <w:trHeight w:val="255"/>
        </w:trPr>
        <w:tc>
          <w:tcPr>
            <w:tcW w:w="3964" w:type="dxa"/>
            <w:noWrap/>
            <w:hideMark/>
          </w:tcPr>
          <w:p w:rsidRPr="00905B78" w:rsidR="002D063A" w:rsidP="00AD3AE4" w:rsidRDefault="002D063A" w14:paraId="0111D7CF" w14:textId="77777777">
            <w:r w:rsidRPr="00905B78">
              <w:t>Zuid-Holland</w:t>
            </w:r>
          </w:p>
        </w:tc>
        <w:tc>
          <w:tcPr>
            <w:tcW w:w="1843" w:type="dxa"/>
            <w:noWrap/>
            <w:hideMark/>
          </w:tcPr>
          <w:p w:rsidRPr="00905B78" w:rsidR="002D063A" w:rsidP="00AD3AE4" w:rsidRDefault="002D063A" w14:paraId="2490DB18" w14:textId="77777777">
            <w:pPr>
              <w:jc w:val="right"/>
            </w:pPr>
            <w:r w:rsidRPr="00905B78">
              <w:t>140</w:t>
            </w:r>
          </w:p>
        </w:tc>
      </w:tr>
      <w:tr w:rsidRPr="00905B78" w:rsidR="002D063A" w:rsidTr="00AD3AE4" w14:paraId="734611E5" w14:textId="77777777">
        <w:trPr>
          <w:trHeight w:val="255"/>
        </w:trPr>
        <w:tc>
          <w:tcPr>
            <w:tcW w:w="3964" w:type="dxa"/>
            <w:noWrap/>
            <w:hideMark/>
          </w:tcPr>
          <w:p w:rsidRPr="00905B78" w:rsidR="002D063A" w:rsidP="00AD3AE4" w:rsidRDefault="002D063A" w14:paraId="6C1F7761" w14:textId="77777777">
            <w:pPr>
              <w:rPr>
                <w:b/>
                <w:bCs/>
              </w:rPr>
            </w:pPr>
            <w:r>
              <w:rPr>
                <w:b/>
                <w:bCs/>
              </w:rPr>
              <w:t>T</w:t>
            </w:r>
            <w:r w:rsidRPr="00905B78">
              <w:rPr>
                <w:b/>
                <w:bCs/>
              </w:rPr>
              <w:t>otaal</w:t>
            </w:r>
          </w:p>
        </w:tc>
        <w:tc>
          <w:tcPr>
            <w:tcW w:w="1843" w:type="dxa"/>
            <w:noWrap/>
            <w:hideMark/>
          </w:tcPr>
          <w:p w:rsidRPr="00905B78" w:rsidR="002D063A" w:rsidP="00AD3AE4" w:rsidRDefault="002D063A" w14:paraId="0E33C62B" w14:textId="77777777">
            <w:pPr>
              <w:jc w:val="right"/>
              <w:rPr>
                <w:b/>
                <w:bCs/>
              </w:rPr>
            </w:pPr>
            <w:r w:rsidRPr="00905B78">
              <w:rPr>
                <w:b/>
                <w:bCs/>
              </w:rPr>
              <w:t>1.180</w:t>
            </w:r>
          </w:p>
        </w:tc>
      </w:tr>
    </w:tbl>
    <w:p w:rsidR="002D063A" w:rsidP="002D063A" w:rsidRDefault="002D063A" w14:paraId="622979D2" w14:textId="77777777">
      <w:r>
        <w:t>Tabel: Aantal COA-bewoners op de Top X-brutolijst van januari 2025 per provincie, afgerond op tientallen</w:t>
      </w:r>
    </w:p>
    <w:p w:rsidRPr="00C81E56" w:rsidR="002D063A" w:rsidP="002D063A" w:rsidRDefault="002D063A" w14:paraId="6C336266" w14:textId="77777777"/>
    <w:p w:rsidRPr="00BF501F" w:rsidR="002D063A" w:rsidP="002D063A" w:rsidRDefault="002D063A" w14:paraId="0A52DF97" w14:textId="77777777">
      <w:pPr>
        <w:rPr>
          <w:b/>
          <w:bCs/>
        </w:rPr>
      </w:pPr>
      <w:r w:rsidRPr="004D3DF5">
        <w:rPr>
          <w:b/>
          <w:bCs/>
        </w:rPr>
        <w:t>Vraag 3</w:t>
      </w:r>
    </w:p>
    <w:p w:rsidRPr="00BF501F" w:rsidR="002D063A" w:rsidP="002D063A" w:rsidRDefault="002D063A" w14:paraId="28585323" w14:textId="77777777">
      <w:pPr>
        <w:rPr>
          <w:b/>
          <w:bCs/>
        </w:rPr>
      </w:pPr>
      <w:r w:rsidRPr="00BF501F">
        <w:rPr>
          <w:b/>
          <w:bCs/>
        </w:rPr>
        <w:t>Kunt u aangegeven hoeveel asielzoekers op de Top X-lijst op dit moment verblijven in locaties van het Centraal Orgaan opvang Asielzoekers (COA)?</w:t>
      </w:r>
    </w:p>
    <w:p w:rsidR="002D063A" w:rsidP="002D063A" w:rsidRDefault="002D063A" w14:paraId="5F7A30CB" w14:textId="77777777"/>
    <w:p w:rsidRPr="00C10563" w:rsidR="002D063A" w:rsidP="002D063A" w:rsidRDefault="002D063A" w14:paraId="6DAEB5BC" w14:textId="77777777">
      <w:pPr>
        <w:rPr>
          <w:b/>
          <w:bCs/>
        </w:rPr>
      </w:pPr>
      <w:r w:rsidRPr="00C10563">
        <w:rPr>
          <w:b/>
          <w:bCs/>
        </w:rPr>
        <w:t>Antwoord op vraag 3</w:t>
      </w:r>
    </w:p>
    <w:p w:rsidRPr="001E47E9" w:rsidR="002D063A" w:rsidP="002D063A" w:rsidRDefault="002D063A" w14:paraId="627ECCE7" w14:textId="77777777">
      <w:r>
        <w:t xml:space="preserve">Een van de voorwaarden voor plaatsing op de </w:t>
      </w:r>
      <w:r w:rsidRPr="001E47E9">
        <w:t>Top X-brutolijst</w:t>
      </w:r>
      <w:r>
        <w:t xml:space="preserve"> is dat betrokkene bewoner is van het COA. Alle vreemdelingen op de </w:t>
      </w:r>
      <w:r w:rsidRPr="001E47E9">
        <w:t>Top X-brutolijst</w:t>
      </w:r>
      <w:r>
        <w:t xml:space="preserve"> verblijven dus bij COA.  </w:t>
      </w:r>
    </w:p>
    <w:p w:rsidRPr="00C81E56" w:rsidR="002D063A" w:rsidP="002D063A" w:rsidRDefault="002D063A" w14:paraId="3587B16E" w14:textId="77777777"/>
    <w:p w:rsidRPr="00BF501F" w:rsidR="002D063A" w:rsidP="002D063A" w:rsidRDefault="002D063A" w14:paraId="31AE97F0" w14:textId="77777777">
      <w:pPr>
        <w:rPr>
          <w:b/>
          <w:bCs/>
        </w:rPr>
      </w:pPr>
      <w:r w:rsidRPr="004D3DF5">
        <w:rPr>
          <w:b/>
          <w:bCs/>
        </w:rPr>
        <w:t>Vraag 4</w:t>
      </w:r>
    </w:p>
    <w:p w:rsidRPr="00BF501F" w:rsidR="002D063A" w:rsidP="002D063A" w:rsidRDefault="002D063A" w14:paraId="120796E6" w14:textId="77777777">
      <w:pPr>
        <w:rPr>
          <w:b/>
          <w:bCs/>
        </w:rPr>
      </w:pPr>
      <w:r w:rsidRPr="00BF501F">
        <w:rPr>
          <w:b/>
          <w:bCs/>
        </w:rPr>
        <w:t>Kunt u aangeven hoe groot het aandeel veelplegers en het aandeel ernstige misdrijven op de Top X-lijst is?</w:t>
      </w:r>
    </w:p>
    <w:p w:rsidR="002D063A" w:rsidP="002D063A" w:rsidRDefault="002D063A" w14:paraId="4834BEAF" w14:textId="77777777"/>
    <w:p w:rsidRPr="00C10563" w:rsidR="002D063A" w:rsidP="002D063A" w:rsidRDefault="002D063A" w14:paraId="2A842434" w14:textId="77777777">
      <w:pPr>
        <w:rPr>
          <w:b/>
          <w:bCs/>
        </w:rPr>
      </w:pPr>
      <w:r w:rsidRPr="00C10563">
        <w:rPr>
          <w:b/>
          <w:bCs/>
        </w:rPr>
        <w:t>Antwoord op vraag 4</w:t>
      </w:r>
    </w:p>
    <w:p w:rsidR="002D063A" w:rsidP="002D063A" w:rsidRDefault="002D063A" w14:paraId="2A6DB68F" w14:textId="77777777">
      <w:r>
        <w:t xml:space="preserve">Van alle vreemdelingen op de brutolijst </w:t>
      </w:r>
      <w:r w:rsidRPr="00B178DE">
        <w:t>van januari 2025</w:t>
      </w:r>
      <w:r>
        <w:t xml:space="preserve"> was 17% veelpleger en 17% verdachte van misdrijf met grote impact. Vreemdelingen kunnen onder beide groepen vallen. </w:t>
      </w:r>
    </w:p>
    <w:p w:rsidR="00652F4B" w:rsidP="00652F4B" w:rsidRDefault="00652F4B" w14:paraId="2F5E9CE0" w14:textId="5A11157D">
      <w:r>
        <w:t xml:space="preserve">Overigens is het doel van de Top-X aanpak niet het uitzetten van asielzoekers, maar </w:t>
      </w:r>
      <w:r w:rsidRPr="006B4016">
        <w:t>het verkrijgen van zicht op, en inzicht in de omvang en aard van de zwaarste groep overlastgevende en/of criminele asielzoekers die bij COA verblijven</w:t>
      </w:r>
      <w:r>
        <w:t xml:space="preserve">. </w:t>
      </w:r>
      <w:r w:rsidRPr="00470C36">
        <w:rPr>
          <w:color w:val="auto"/>
        </w:rPr>
        <w:t xml:space="preserve">De meeste </w:t>
      </w:r>
      <w:r>
        <w:rPr>
          <w:color w:val="auto"/>
        </w:rPr>
        <w:t>vreemdelingen</w:t>
      </w:r>
      <w:r w:rsidRPr="00470C36">
        <w:rPr>
          <w:color w:val="auto"/>
        </w:rPr>
        <w:t xml:space="preserve"> op de Top</w:t>
      </w:r>
      <w:r>
        <w:rPr>
          <w:color w:val="auto"/>
        </w:rPr>
        <w:t xml:space="preserve"> </w:t>
      </w:r>
      <w:r w:rsidRPr="00470C36">
        <w:rPr>
          <w:color w:val="auto"/>
        </w:rPr>
        <w:t>X</w:t>
      </w:r>
      <w:r>
        <w:rPr>
          <w:color w:val="auto"/>
        </w:rPr>
        <w:t>-bruto</w:t>
      </w:r>
      <w:r w:rsidRPr="00470C36">
        <w:rPr>
          <w:color w:val="auto"/>
        </w:rPr>
        <w:t xml:space="preserve">lijst </w:t>
      </w:r>
      <w:r>
        <w:rPr>
          <w:color w:val="auto"/>
        </w:rPr>
        <w:t>staan op de lijst vanwege incidenten bij het COA</w:t>
      </w:r>
      <w:r w:rsidRPr="00BE259B">
        <w:rPr>
          <w:color w:val="auto"/>
        </w:rPr>
        <w:t xml:space="preserve">. </w:t>
      </w:r>
      <w:r w:rsidRPr="00BE259B" w:rsidR="00912E00">
        <w:rPr>
          <w:color w:val="auto"/>
        </w:rPr>
        <w:t xml:space="preserve">Daarbij geldt dat er verschillende type incidenten zijn, die naar gelang de aard van het incident niet altijd </w:t>
      </w:r>
      <w:r w:rsidR="00BE259B">
        <w:rPr>
          <w:color w:val="auto"/>
        </w:rPr>
        <w:t xml:space="preserve">leiden tot </w:t>
      </w:r>
      <w:r w:rsidRPr="00BE259B" w:rsidR="00912E00">
        <w:rPr>
          <w:color w:val="auto"/>
        </w:rPr>
        <w:t>strafrechtelijk</w:t>
      </w:r>
      <w:r w:rsidR="00BE259B">
        <w:rPr>
          <w:color w:val="auto"/>
        </w:rPr>
        <w:t>e vervolging</w:t>
      </w:r>
      <w:r w:rsidRPr="00BE259B" w:rsidR="00912E00">
        <w:rPr>
          <w:color w:val="auto"/>
        </w:rPr>
        <w:t>.</w:t>
      </w:r>
      <w:r w:rsidRPr="00BE259B">
        <w:rPr>
          <w:color w:val="auto"/>
        </w:rPr>
        <w:t xml:space="preserve"> </w:t>
      </w:r>
      <w:r w:rsidRPr="00BE259B" w:rsidR="00912E00">
        <w:rPr>
          <w:color w:val="auto"/>
        </w:rPr>
        <w:t xml:space="preserve">In zulke gevallen </w:t>
      </w:r>
      <w:r w:rsidRPr="00BE259B">
        <w:rPr>
          <w:color w:val="auto"/>
        </w:rPr>
        <w:t xml:space="preserve">zullen </w:t>
      </w:r>
      <w:r w:rsidRPr="00BE259B" w:rsidR="00912E00">
        <w:rPr>
          <w:color w:val="auto"/>
        </w:rPr>
        <w:t xml:space="preserve">overlastgevers </w:t>
      </w:r>
      <w:r w:rsidRPr="00BE259B">
        <w:rPr>
          <w:color w:val="auto"/>
        </w:rPr>
        <w:t>niet snel voldoen aan de strengere criteria die de jurisprudentie op grond van de Kwalificatierichtlijn stelt aan het weigeren of intrekken van een asielvergunning.</w:t>
      </w:r>
      <w:r w:rsidRPr="00BE259B">
        <w:t xml:space="preserve"> Door deze groep goed in beeld te brengen, is op lokaal niveau wel een geïntensiveerde, individuele aanpak mogelijk met als doel het verminderen en stopzetten van ove</w:t>
      </w:r>
      <w:r>
        <w:t xml:space="preserve">rlastgevend gedrag. </w:t>
      </w:r>
    </w:p>
    <w:p w:rsidRPr="00C81E56" w:rsidR="002D063A" w:rsidP="002D063A" w:rsidRDefault="002D063A" w14:paraId="4E01535B" w14:textId="77777777"/>
    <w:p w:rsidRPr="00BF501F" w:rsidR="002D063A" w:rsidP="002D063A" w:rsidRDefault="002D063A" w14:paraId="23E7A7DF" w14:textId="77777777">
      <w:pPr>
        <w:rPr>
          <w:b/>
          <w:bCs/>
        </w:rPr>
      </w:pPr>
      <w:r w:rsidRPr="004D3DF5">
        <w:rPr>
          <w:b/>
          <w:bCs/>
        </w:rPr>
        <w:t>Vraag 5</w:t>
      </w:r>
    </w:p>
    <w:p w:rsidRPr="00BF501F" w:rsidR="002D063A" w:rsidP="002D063A" w:rsidRDefault="002D063A" w14:paraId="091FD960" w14:textId="77777777">
      <w:pPr>
        <w:rPr>
          <w:b/>
          <w:bCs/>
        </w:rPr>
      </w:pPr>
      <w:r w:rsidRPr="00BF501F">
        <w:rPr>
          <w:b/>
          <w:bCs/>
        </w:rPr>
        <w:t>Kunt u inzichtelijk maken uit welke landen asielzoekers die op de Top X-lijst staan, komen?</w:t>
      </w:r>
    </w:p>
    <w:p w:rsidR="002D063A" w:rsidP="002D063A" w:rsidRDefault="002D063A" w14:paraId="25E2F6AB" w14:textId="77777777"/>
    <w:p w:rsidRPr="00C10563" w:rsidR="002D063A" w:rsidP="002D063A" w:rsidRDefault="002D063A" w14:paraId="0F1DB9D8" w14:textId="77777777">
      <w:pPr>
        <w:rPr>
          <w:b/>
          <w:bCs/>
        </w:rPr>
      </w:pPr>
      <w:r w:rsidRPr="00C10563">
        <w:rPr>
          <w:b/>
          <w:bCs/>
        </w:rPr>
        <w:t>Antwoord op vraag 5</w:t>
      </w:r>
    </w:p>
    <w:p w:rsidRPr="00140CA8" w:rsidR="002D063A" w:rsidP="002D063A" w:rsidRDefault="002D063A" w14:paraId="026F3E08" w14:textId="77777777">
      <w:r w:rsidRPr="00140CA8">
        <w:t xml:space="preserve">In onderstaande tabel </w:t>
      </w:r>
      <w:r>
        <w:t xml:space="preserve">zijn de nationaliteiten opgenomen van de </w:t>
      </w:r>
      <w:r w:rsidRPr="00140CA8">
        <w:t>personen op de Top X-brutolijst van januari 2025</w:t>
      </w:r>
      <w:r>
        <w:t xml:space="preserve">. </w:t>
      </w:r>
    </w:p>
    <w:p w:rsidR="002D063A" w:rsidP="002D063A" w:rsidRDefault="002D063A" w14:paraId="00AB72FB" w14:textId="77777777">
      <w:pPr>
        <w:rPr>
          <w:b/>
          <w:bCs/>
        </w:rPr>
      </w:pPr>
    </w:p>
    <w:tbl>
      <w:tblPr>
        <w:tblStyle w:val="Tabelraster"/>
        <w:tblW w:w="0" w:type="auto"/>
        <w:tblInd w:w="0" w:type="dxa"/>
        <w:tblLook w:val="04A0" w:firstRow="1" w:lastRow="0" w:firstColumn="1" w:lastColumn="0" w:noHBand="0" w:noVBand="1"/>
      </w:tblPr>
      <w:tblGrid>
        <w:gridCol w:w="2325"/>
        <w:gridCol w:w="5206"/>
      </w:tblGrid>
      <w:tr w:rsidRPr="00555C79" w:rsidR="002D063A" w:rsidTr="00AD3AE4" w14:paraId="58A6BA2F" w14:textId="77777777">
        <w:trPr>
          <w:trHeight w:val="255"/>
        </w:trPr>
        <w:tc>
          <w:tcPr>
            <w:tcW w:w="2405" w:type="dxa"/>
            <w:noWrap/>
            <w:hideMark/>
          </w:tcPr>
          <w:p w:rsidRPr="00555C79" w:rsidR="002D063A" w:rsidP="00AD3AE4" w:rsidRDefault="002D063A" w14:paraId="4C66B1E5" w14:textId="77777777">
            <w:pPr>
              <w:rPr>
                <w:b/>
                <w:bCs/>
              </w:rPr>
            </w:pPr>
            <w:r w:rsidRPr="00555C79">
              <w:rPr>
                <w:b/>
                <w:bCs/>
              </w:rPr>
              <w:t>Nationaliteit</w:t>
            </w:r>
          </w:p>
        </w:tc>
        <w:tc>
          <w:tcPr>
            <w:tcW w:w="5387" w:type="dxa"/>
            <w:noWrap/>
            <w:hideMark/>
          </w:tcPr>
          <w:p w:rsidRPr="00555C79" w:rsidR="002D063A" w:rsidP="00AD3AE4" w:rsidRDefault="002D063A" w14:paraId="1AC37D32" w14:textId="77777777">
            <w:pPr>
              <w:jc w:val="right"/>
              <w:rPr>
                <w:b/>
                <w:bCs/>
              </w:rPr>
            </w:pPr>
            <w:r w:rsidRPr="00555C79">
              <w:rPr>
                <w:b/>
                <w:bCs/>
              </w:rPr>
              <w:t xml:space="preserve">Aantal </w:t>
            </w:r>
            <w:r>
              <w:rPr>
                <w:b/>
                <w:bCs/>
              </w:rPr>
              <w:t xml:space="preserve">personen </w:t>
            </w:r>
            <w:r w:rsidRPr="00555C79">
              <w:rPr>
                <w:b/>
                <w:bCs/>
              </w:rPr>
              <w:t>op brutolijst van januari 2025</w:t>
            </w:r>
          </w:p>
        </w:tc>
      </w:tr>
      <w:tr w:rsidRPr="00555C79" w:rsidR="002D063A" w:rsidTr="00AD3AE4" w14:paraId="4BEA462B" w14:textId="77777777">
        <w:trPr>
          <w:trHeight w:val="255"/>
        </w:trPr>
        <w:tc>
          <w:tcPr>
            <w:tcW w:w="2405" w:type="dxa"/>
            <w:noWrap/>
            <w:hideMark/>
          </w:tcPr>
          <w:p w:rsidRPr="00555C79" w:rsidR="002D063A" w:rsidP="00AD3AE4" w:rsidRDefault="002D063A" w14:paraId="0F4180CF" w14:textId="77777777">
            <w:r w:rsidRPr="00555C79">
              <w:t>Syrische</w:t>
            </w:r>
          </w:p>
        </w:tc>
        <w:tc>
          <w:tcPr>
            <w:tcW w:w="5387" w:type="dxa"/>
            <w:noWrap/>
            <w:hideMark/>
          </w:tcPr>
          <w:p w:rsidRPr="00555C79" w:rsidR="002D063A" w:rsidP="00AD3AE4" w:rsidRDefault="002D063A" w14:paraId="5EF72F9B" w14:textId="77777777">
            <w:pPr>
              <w:jc w:val="right"/>
            </w:pPr>
            <w:r w:rsidRPr="00555C79">
              <w:t>580</w:t>
            </w:r>
          </w:p>
        </w:tc>
      </w:tr>
      <w:tr w:rsidRPr="00555C79" w:rsidR="002D063A" w:rsidTr="00AD3AE4" w14:paraId="2211635D" w14:textId="77777777">
        <w:trPr>
          <w:trHeight w:val="255"/>
        </w:trPr>
        <w:tc>
          <w:tcPr>
            <w:tcW w:w="2405" w:type="dxa"/>
            <w:noWrap/>
            <w:hideMark/>
          </w:tcPr>
          <w:p w:rsidRPr="00555C79" w:rsidR="002D063A" w:rsidP="00AD3AE4" w:rsidRDefault="002D063A" w14:paraId="7592B8EF" w14:textId="77777777">
            <w:r w:rsidRPr="00555C79">
              <w:t>Eritrese</w:t>
            </w:r>
          </w:p>
        </w:tc>
        <w:tc>
          <w:tcPr>
            <w:tcW w:w="5387" w:type="dxa"/>
            <w:noWrap/>
            <w:hideMark/>
          </w:tcPr>
          <w:p w:rsidRPr="00555C79" w:rsidR="002D063A" w:rsidP="00AD3AE4" w:rsidRDefault="002D063A" w14:paraId="18CD9672" w14:textId="77777777">
            <w:pPr>
              <w:jc w:val="right"/>
            </w:pPr>
            <w:r w:rsidRPr="00555C79">
              <w:t>80</w:t>
            </w:r>
          </w:p>
        </w:tc>
      </w:tr>
      <w:tr w:rsidRPr="00555C79" w:rsidR="002D063A" w:rsidTr="00AD3AE4" w14:paraId="0318CB1C" w14:textId="77777777">
        <w:trPr>
          <w:trHeight w:val="255"/>
        </w:trPr>
        <w:tc>
          <w:tcPr>
            <w:tcW w:w="2405" w:type="dxa"/>
            <w:noWrap/>
            <w:hideMark/>
          </w:tcPr>
          <w:p w:rsidRPr="00555C79" w:rsidR="002D063A" w:rsidP="00AD3AE4" w:rsidRDefault="002D063A" w14:paraId="101DB95C" w14:textId="77777777">
            <w:r w:rsidRPr="00555C79">
              <w:t>Somalische</w:t>
            </w:r>
          </w:p>
        </w:tc>
        <w:tc>
          <w:tcPr>
            <w:tcW w:w="5387" w:type="dxa"/>
            <w:noWrap/>
            <w:hideMark/>
          </w:tcPr>
          <w:p w:rsidRPr="00555C79" w:rsidR="002D063A" w:rsidP="00AD3AE4" w:rsidRDefault="002D063A" w14:paraId="5F5CB857" w14:textId="77777777">
            <w:pPr>
              <w:jc w:val="right"/>
            </w:pPr>
            <w:r w:rsidRPr="00555C79">
              <w:t>50</w:t>
            </w:r>
          </w:p>
        </w:tc>
      </w:tr>
      <w:tr w:rsidRPr="00555C79" w:rsidR="002D063A" w:rsidTr="00AD3AE4" w14:paraId="405D8635" w14:textId="77777777">
        <w:trPr>
          <w:trHeight w:val="255"/>
        </w:trPr>
        <w:tc>
          <w:tcPr>
            <w:tcW w:w="2405" w:type="dxa"/>
            <w:noWrap/>
            <w:hideMark/>
          </w:tcPr>
          <w:p w:rsidRPr="00555C79" w:rsidR="002D063A" w:rsidP="00AD3AE4" w:rsidRDefault="002D063A" w14:paraId="69349B0E" w14:textId="77777777">
            <w:r w:rsidRPr="00555C79">
              <w:t>Algerijnse</w:t>
            </w:r>
          </w:p>
        </w:tc>
        <w:tc>
          <w:tcPr>
            <w:tcW w:w="5387" w:type="dxa"/>
            <w:noWrap/>
            <w:hideMark/>
          </w:tcPr>
          <w:p w:rsidRPr="00555C79" w:rsidR="002D063A" w:rsidP="00AD3AE4" w:rsidRDefault="002D063A" w14:paraId="222D5689" w14:textId="77777777">
            <w:pPr>
              <w:jc w:val="right"/>
            </w:pPr>
            <w:r w:rsidRPr="00555C79">
              <w:t>50</w:t>
            </w:r>
          </w:p>
        </w:tc>
      </w:tr>
      <w:tr w:rsidRPr="00555C79" w:rsidR="002D063A" w:rsidTr="00AD3AE4" w14:paraId="3C3904E9" w14:textId="77777777">
        <w:trPr>
          <w:trHeight w:val="255"/>
        </w:trPr>
        <w:tc>
          <w:tcPr>
            <w:tcW w:w="2405" w:type="dxa"/>
            <w:noWrap/>
            <w:hideMark/>
          </w:tcPr>
          <w:p w:rsidRPr="00555C79" w:rsidR="002D063A" w:rsidP="00AD3AE4" w:rsidRDefault="002D063A" w14:paraId="5EF2812F" w14:textId="77777777">
            <w:r w:rsidRPr="00555C79">
              <w:t>Nigeriaanse</w:t>
            </w:r>
          </w:p>
        </w:tc>
        <w:tc>
          <w:tcPr>
            <w:tcW w:w="5387" w:type="dxa"/>
            <w:noWrap/>
            <w:hideMark/>
          </w:tcPr>
          <w:p w:rsidRPr="00555C79" w:rsidR="002D063A" w:rsidP="00AD3AE4" w:rsidRDefault="002D063A" w14:paraId="1852D16D" w14:textId="77777777">
            <w:pPr>
              <w:jc w:val="right"/>
            </w:pPr>
            <w:r w:rsidRPr="00555C79">
              <w:t>40</w:t>
            </w:r>
          </w:p>
        </w:tc>
      </w:tr>
      <w:tr w:rsidRPr="00555C79" w:rsidR="002D063A" w:rsidTr="00AD3AE4" w14:paraId="4637EA32" w14:textId="77777777">
        <w:trPr>
          <w:trHeight w:val="255"/>
        </w:trPr>
        <w:tc>
          <w:tcPr>
            <w:tcW w:w="2405" w:type="dxa"/>
            <w:noWrap/>
            <w:hideMark/>
          </w:tcPr>
          <w:p w:rsidRPr="00555C79" w:rsidR="002D063A" w:rsidP="00AD3AE4" w:rsidRDefault="002D063A" w14:paraId="727E2EF7" w14:textId="77777777">
            <w:r w:rsidRPr="00555C79">
              <w:t>Onbekend</w:t>
            </w:r>
          </w:p>
        </w:tc>
        <w:tc>
          <w:tcPr>
            <w:tcW w:w="5387" w:type="dxa"/>
            <w:noWrap/>
            <w:hideMark/>
          </w:tcPr>
          <w:p w:rsidRPr="00555C79" w:rsidR="002D063A" w:rsidP="00AD3AE4" w:rsidRDefault="002D063A" w14:paraId="6DDCAF24" w14:textId="77777777">
            <w:pPr>
              <w:jc w:val="right"/>
            </w:pPr>
            <w:r w:rsidRPr="00555C79">
              <w:t>30</w:t>
            </w:r>
          </w:p>
        </w:tc>
      </w:tr>
      <w:tr w:rsidRPr="00555C79" w:rsidR="002D063A" w:rsidTr="00AD3AE4" w14:paraId="74D0D8C6" w14:textId="77777777">
        <w:trPr>
          <w:trHeight w:val="255"/>
        </w:trPr>
        <w:tc>
          <w:tcPr>
            <w:tcW w:w="2405" w:type="dxa"/>
            <w:noWrap/>
            <w:hideMark/>
          </w:tcPr>
          <w:p w:rsidRPr="00555C79" w:rsidR="002D063A" w:rsidP="00AD3AE4" w:rsidRDefault="002D063A" w14:paraId="6A204C37" w14:textId="77777777">
            <w:r w:rsidRPr="00555C79">
              <w:t>Jemenitische</w:t>
            </w:r>
          </w:p>
        </w:tc>
        <w:tc>
          <w:tcPr>
            <w:tcW w:w="5387" w:type="dxa"/>
            <w:noWrap/>
            <w:hideMark/>
          </w:tcPr>
          <w:p w:rsidRPr="00555C79" w:rsidR="002D063A" w:rsidP="00AD3AE4" w:rsidRDefault="002D063A" w14:paraId="7418C1D4" w14:textId="77777777">
            <w:pPr>
              <w:jc w:val="right"/>
            </w:pPr>
            <w:r w:rsidRPr="00555C79">
              <w:t>30</w:t>
            </w:r>
          </w:p>
        </w:tc>
      </w:tr>
      <w:tr w:rsidRPr="00555C79" w:rsidR="002D063A" w:rsidTr="00AD3AE4" w14:paraId="31DF36E8" w14:textId="77777777">
        <w:trPr>
          <w:trHeight w:val="255"/>
        </w:trPr>
        <w:tc>
          <w:tcPr>
            <w:tcW w:w="2405" w:type="dxa"/>
            <w:noWrap/>
            <w:hideMark/>
          </w:tcPr>
          <w:p w:rsidRPr="00555C79" w:rsidR="002D063A" w:rsidP="00AD3AE4" w:rsidRDefault="002D063A" w14:paraId="0B192064" w14:textId="77777777">
            <w:r w:rsidRPr="00555C79">
              <w:t>Marokkaanse</w:t>
            </w:r>
          </w:p>
        </w:tc>
        <w:tc>
          <w:tcPr>
            <w:tcW w:w="5387" w:type="dxa"/>
            <w:noWrap/>
            <w:hideMark/>
          </w:tcPr>
          <w:p w:rsidRPr="00555C79" w:rsidR="002D063A" w:rsidP="00AD3AE4" w:rsidRDefault="002D063A" w14:paraId="5DFC4490" w14:textId="77777777">
            <w:pPr>
              <w:jc w:val="right"/>
            </w:pPr>
            <w:r w:rsidRPr="00555C79">
              <w:t>30</w:t>
            </w:r>
          </w:p>
        </w:tc>
      </w:tr>
      <w:tr w:rsidRPr="00555C79" w:rsidR="002D063A" w:rsidTr="00AD3AE4" w14:paraId="2DEF2688" w14:textId="77777777">
        <w:trPr>
          <w:trHeight w:val="255"/>
        </w:trPr>
        <w:tc>
          <w:tcPr>
            <w:tcW w:w="2405" w:type="dxa"/>
            <w:noWrap/>
            <w:hideMark/>
          </w:tcPr>
          <w:p w:rsidRPr="00555C79" w:rsidR="002D063A" w:rsidP="00AD3AE4" w:rsidRDefault="002D063A" w14:paraId="5B4A4004" w14:textId="77777777">
            <w:r w:rsidRPr="00555C79">
              <w:t>Soedanese</w:t>
            </w:r>
          </w:p>
        </w:tc>
        <w:tc>
          <w:tcPr>
            <w:tcW w:w="5387" w:type="dxa"/>
            <w:noWrap/>
            <w:hideMark/>
          </w:tcPr>
          <w:p w:rsidRPr="00555C79" w:rsidR="002D063A" w:rsidP="00AD3AE4" w:rsidRDefault="002D063A" w14:paraId="4A86BC35" w14:textId="77777777">
            <w:pPr>
              <w:jc w:val="right"/>
            </w:pPr>
            <w:r w:rsidRPr="00555C79">
              <w:t>30</w:t>
            </w:r>
          </w:p>
        </w:tc>
      </w:tr>
      <w:tr w:rsidRPr="00555C79" w:rsidR="002D063A" w:rsidTr="00AD3AE4" w14:paraId="5613F8D6" w14:textId="77777777">
        <w:trPr>
          <w:trHeight w:val="255"/>
        </w:trPr>
        <w:tc>
          <w:tcPr>
            <w:tcW w:w="2405" w:type="dxa"/>
            <w:noWrap/>
            <w:hideMark/>
          </w:tcPr>
          <w:p w:rsidRPr="00555C79" w:rsidR="002D063A" w:rsidP="00AD3AE4" w:rsidRDefault="002D063A" w14:paraId="4AA5EAC0" w14:textId="77777777">
            <w:r w:rsidRPr="00555C79">
              <w:t>Iraakse</w:t>
            </w:r>
          </w:p>
        </w:tc>
        <w:tc>
          <w:tcPr>
            <w:tcW w:w="5387" w:type="dxa"/>
            <w:noWrap/>
            <w:hideMark/>
          </w:tcPr>
          <w:p w:rsidRPr="00555C79" w:rsidR="002D063A" w:rsidP="00AD3AE4" w:rsidRDefault="002D063A" w14:paraId="5A2B9C31" w14:textId="77777777">
            <w:pPr>
              <w:jc w:val="right"/>
            </w:pPr>
            <w:r w:rsidRPr="00555C79">
              <w:t>30</w:t>
            </w:r>
          </w:p>
        </w:tc>
      </w:tr>
      <w:tr w:rsidRPr="00555C79" w:rsidR="002D063A" w:rsidTr="00AD3AE4" w14:paraId="151A6969" w14:textId="77777777">
        <w:trPr>
          <w:trHeight w:val="70"/>
        </w:trPr>
        <w:tc>
          <w:tcPr>
            <w:tcW w:w="2405" w:type="dxa"/>
            <w:noWrap/>
            <w:hideMark/>
          </w:tcPr>
          <w:p w:rsidRPr="00555C79" w:rsidR="002D063A" w:rsidP="00AD3AE4" w:rsidRDefault="002D063A" w14:paraId="573E1F4E" w14:textId="77777777">
            <w:r w:rsidRPr="00555C79">
              <w:t>Overige</w:t>
            </w:r>
          </w:p>
        </w:tc>
        <w:tc>
          <w:tcPr>
            <w:tcW w:w="5387" w:type="dxa"/>
            <w:noWrap/>
            <w:hideMark/>
          </w:tcPr>
          <w:p w:rsidRPr="00555C79" w:rsidR="002D063A" w:rsidP="00AD3AE4" w:rsidRDefault="002D063A" w14:paraId="0543CCF4" w14:textId="77777777">
            <w:pPr>
              <w:jc w:val="right"/>
            </w:pPr>
            <w:r w:rsidRPr="00555C79">
              <w:t>250</w:t>
            </w:r>
          </w:p>
        </w:tc>
      </w:tr>
      <w:tr w:rsidRPr="00555C79" w:rsidR="002D063A" w:rsidTr="00AD3AE4" w14:paraId="14796555" w14:textId="77777777">
        <w:trPr>
          <w:trHeight w:val="255"/>
        </w:trPr>
        <w:tc>
          <w:tcPr>
            <w:tcW w:w="2405" w:type="dxa"/>
            <w:noWrap/>
            <w:hideMark/>
          </w:tcPr>
          <w:p w:rsidRPr="00555C79" w:rsidR="002D063A" w:rsidP="00AD3AE4" w:rsidRDefault="002D063A" w14:paraId="314AA089" w14:textId="77777777">
            <w:r w:rsidRPr="00555C79">
              <w:t>Totaal</w:t>
            </w:r>
          </w:p>
        </w:tc>
        <w:tc>
          <w:tcPr>
            <w:tcW w:w="5387" w:type="dxa"/>
            <w:noWrap/>
            <w:hideMark/>
          </w:tcPr>
          <w:p w:rsidRPr="00555C79" w:rsidR="002D063A" w:rsidP="00AD3AE4" w:rsidRDefault="002D063A" w14:paraId="16FD74E0" w14:textId="77777777">
            <w:pPr>
              <w:jc w:val="right"/>
            </w:pPr>
            <w:r w:rsidRPr="00555C79">
              <w:t>1.180</w:t>
            </w:r>
          </w:p>
        </w:tc>
      </w:tr>
    </w:tbl>
    <w:p w:rsidR="002D063A" w:rsidP="002D063A" w:rsidRDefault="002D063A" w14:paraId="10312AF3" w14:textId="77777777">
      <w:r>
        <w:t>Tabel: Nationaliteiten van personen op de Top X-brutolijst van januari 2025, afgerond op tientallen</w:t>
      </w:r>
    </w:p>
    <w:p w:rsidR="002D063A" w:rsidP="002D063A" w:rsidRDefault="002D063A" w14:paraId="4949612D" w14:textId="77777777"/>
    <w:p w:rsidRPr="00B178DE" w:rsidR="002D063A" w:rsidP="002D063A" w:rsidRDefault="002D063A" w14:paraId="1F21DE55" w14:textId="77777777">
      <w:r>
        <w:t>Overigens speelt nationaliteit geen rol bij de plaatsing op de Top-X brutolijst.</w:t>
      </w:r>
    </w:p>
    <w:p w:rsidR="002D063A" w:rsidP="002D063A" w:rsidRDefault="002D063A" w14:paraId="715B1454" w14:textId="77777777">
      <w:pPr>
        <w:rPr>
          <w:b/>
          <w:bCs/>
        </w:rPr>
      </w:pPr>
    </w:p>
    <w:p w:rsidRPr="001027D5" w:rsidR="002D063A" w:rsidP="002D063A" w:rsidRDefault="002D063A" w14:paraId="69521E59" w14:textId="736E90F4">
      <w:pPr>
        <w:rPr>
          <w:b/>
          <w:bCs/>
        </w:rPr>
      </w:pPr>
      <w:r w:rsidRPr="001027D5">
        <w:rPr>
          <w:b/>
          <w:bCs/>
        </w:rPr>
        <w:t xml:space="preserve">Vraag </w:t>
      </w:r>
      <w:r w:rsidR="001027D5">
        <w:rPr>
          <w:b/>
          <w:bCs/>
        </w:rPr>
        <w:t>6</w:t>
      </w:r>
    </w:p>
    <w:p w:rsidRPr="001027D5" w:rsidR="002D063A" w:rsidP="002D063A" w:rsidRDefault="002D063A" w14:paraId="0E632DC7" w14:textId="77777777">
      <w:pPr>
        <w:rPr>
          <w:b/>
          <w:bCs/>
        </w:rPr>
      </w:pPr>
      <w:r w:rsidRPr="001027D5">
        <w:rPr>
          <w:b/>
          <w:bCs/>
        </w:rPr>
        <w:t>Kunt u aangeven hoe groot het aandeel alleenstaande minderjarige vreemdelingen (amv's) op de Top X-lijst is?</w:t>
      </w:r>
    </w:p>
    <w:p w:rsidR="002D063A" w:rsidP="002D063A" w:rsidRDefault="002D063A" w14:paraId="0DDFDEEC" w14:textId="77777777"/>
    <w:p w:rsidRPr="00C10563" w:rsidR="002D063A" w:rsidP="002D063A" w:rsidRDefault="002D063A" w14:paraId="6077BCFA" w14:textId="44161A50">
      <w:pPr>
        <w:rPr>
          <w:b/>
          <w:bCs/>
        </w:rPr>
      </w:pPr>
      <w:r w:rsidRPr="00C10563">
        <w:rPr>
          <w:b/>
          <w:bCs/>
        </w:rPr>
        <w:t xml:space="preserve">Antwoord op vraag </w:t>
      </w:r>
      <w:r w:rsidRPr="00C10563" w:rsidR="001027D5">
        <w:rPr>
          <w:b/>
          <w:bCs/>
        </w:rPr>
        <w:t>6</w:t>
      </w:r>
    </w:p>
    <w:p w:rsidRPr="001E47E9" w:rsidR="002D063A" w:rsidP="002D063A" w:rsidRDefault="002D063A" w14:paraId="6C99BA54" w14:textId="77777777">
      <w:r w:rsidRPr="001E47E9">
        <w:t>Het aandeel amv op de Top X-brutolijst van januari 2025 was</w:t>
      </w:r>
      <w:r>
        <w:t xml:space="preserve"> 41%. </w:t>
      </w:r>
    </w:p>
    <w:p w:rsidRPr="00C81E56" w:rsidR="002D063A" w:rsidP="002D063A" w:rsidRDefault="002D063A" w14:paraId="608E1DDA" w14:textId="77777777"/>
    <w:p w:rsidRPr="00BF501F" w:rsidR="002D063A" w:rsidP="002D063A" w:rsidRDefault="002D063A" w14:paraId="471C1F6B" w14:textId="0A4E88FA">
      <w:pPr>
        <w:rPr>
          <w:b/>
          <w:bCs/>
        </w:rPr>
      </w:pPr>
      <w:r w:rsidRPr="004D3DF5">
        <w:rPr>
          <w:b/>
          <w:bCs/>
        </w:rPr>
        <w:t xml:space="preserve">Vraag </w:t>
      </w:r>
      <w:r w:rsidR="001027D5">
        <w:rPr>
          <w:b/>
          <w:bCs/>
        </w:rPr>
        <w:t>7</w:t>
      </w:r>
    </w:p>
    <w:p w:rsidRPr="00BF501F" w:rsidR="002D063A" w:rsidP="002D063A" w:rsidRDefault="002D063A" w14:paraId="1CEE22F1" w14:textId="77777777">
      <w:pPr>
        <w:rPr>
          <w:b/>
          <w:bCs/>
        </w:rPr>
      </w:pPr>
      <w:r w:rsidRPr="00BF501F">
        <w:rPr>
          <w:b/>
          <w:bCs/>
        </w:rPr>
        <w:t>Kunt u inzichtelijk maken hoeveel asielzoekers op de Top X-lijst op dit moment vastzitten, hoeveel er in een handhavings-en toezichtslocatie verblijven, hoeveel er een gebiedsverbod hebben en hoeveel er een meldplicht hebben?</w:t>
      </w:r>
    </w:p>
    <w:p w:rsidR="002D063A" w:rsidP="002D063A" w:rsidRDefault="002D063A" w14:paraId="76BF2D92" w14:textId="77777777"/>
    <w:p w:rsidRPr="00C10563" w:rsidR="002D063A" w:rsidP="002D063A" w:rsidRDefault="002D063A" w14:paraId="1F4438D2" w14:textId="5006F1C5">
      <w:pPr>
        <w:rPr>
          <w:b/>
          <w:bCs/>
        </w:rPr>
      </w:pPr>
      <w:r w:rsidRPr="00C10563">
        <w:rPr>
          <w:b/>
          <w:bCs/>
        </w:rPr>
        <w:t xml:space="preserve">Antwoord op vraag </w:t>
      </w:r>
      <w:r w:rsidRPr="00C10563" w:rsidR="001027D5">
        <w:rPr>
          <w:b/>
          <w:bCs/>
        </w:rPr>
        <w:t>7</w:t>
      </w:r>
    </w:p>
    <w:p w:rsidR="002D063A" w:rsidP="002D063A" w:rsidRDefault="002D063A" w14:paraId="174490A8" w14:textId="77777777">
      <w:r w:rsidRPr="00FF4A1F">
        <w:t>Personen</w:t>
      </w:r>
      <w:r>
        <w:t xml:space="preserve"> die in strafrechtelijke detentie zitten, zijn geen bewoner van COA en staan derhalve niet op de Top X-brutolijst. Van de personen op de Top X-brutolijst van januari 2025 zaten er circa 20 in de </w:t>
      </w:r>
      <w:r w:rsidRPr="00FF4A1F">
        <w:t>handhavings-en toezichtslocatie</w:t>
      </w:r>
      <w:r>
        <w:t xml:space="preserve"> (HTL). </w:t>
      </w:r>
      <w:r>
        <w:rPr>
          <w:rFonts w:eastAsia="Times New Roman"/>
        </w:rPr>
        <w:t xml:space="preserve">Het aantal keren dat een gebiedsverbod of meldplicht werd opgelegd kan niet aan </w:t>
      </w:r>
      <w:r w:rsidRPr="006E3C26">
        <w:rPr>
          <w:rFonts w:eastAsia="Times New Roman"/>
        </w:rPr>
        <w:t>de geautomatiseerde informatie</w:t>
      </w:r>
      <w:r>
        <w:rPr>
          <w:rFonts w:eastAsia="Times New Roman"/>
        </w:rPr>
        <w:t>s</w:t>
      </w:r>
      <w:r w:rsidRPr="006E3C26">
        <w:rPr>
          <w:rFonts w:eastAsia="Times New Roman"/>
        </w:rPr>
        <w:t xml:space="preserve">ystemen </w:t>
      </w:r>
      <w:r>
        <w:rPr>
          <w:rFonts w:eastAsia="Times New Roman"/>
        </w:rPr>
        <w:t>van de migratieketen worden ontleend</w:t>
      </w:r>
      <w:r w:rsidRPr="006E3C26">
        <w:rPr>
          <w:rFonts w:eastAsia="Times New Roman"/>
        </w:rPr>
        <w:t>.</w:t>
      </w:r>
      <w:r>
        <w:rPr>
          <w:rFonts w:eastAsia="Times New Roman"/>
        </w:rPr>
        <w:t xml:space="preserve"> </w:t>
      </w:r>
    </w:p>
    <w:p w:rsidRPr="00C81E56" w:rsidR="002D063A" w:rsidP="002D063A" w:rsidRDefault="002D063A" w14:paraId="3C6E31A2" w14:textId="77777777"/>
    <w:p w:rsidRPr="00BF501F" w:rsidR="002D063A" w:rsidP="002D063A" w:rsidRDefault="002D063A" w14:paraId="6A72DAF5" w14:textId="08DE393D">
      <w:pPr>
        <w:rPr>
          <w:b/>
          <w:bCs/>
        </w:rPr>
      </w:pPr>
      <w:r w:rsidRPr="00BF501F">
        <w:rPr>
          <w:b/>
          <w:bCs/>
        </w:rPr>
        <w:t xml:space="preserve">Vraag </w:t>
      </w:r>
      <w:r w:rsidR="001027D5">
        <w:rPr>
          <w:b/>
          <w:bCs/>
        </w:rPr>
        <w:t>8</w:t>
      </w:r>
    </w:p>
    <w:p w:rsidR="002D063A" w:rsidP="002D063A" w:rsidRDefault="002D063A" w14:paraId="5346D14E" w14:textId="77777777">
      <w:pPr>
        <w:rPr>
          <w:b/>
          <w:bCs/>
        </w:rPr>
      </w:pPr>
      <w:r w:rsidRPr="00BF501F">
        <w:rPr>
          <w:b/>
          <w:bCs/>
        </w:rPr>
        <w:t>Hoeveel asielzoekers op de Top X-lijst zijn er sinds uw aantreden uitgezet?</w:t>
      </w:r>
    </w:p>
    <w:p w:rsidR="002D063A" w:rsidP="002D063A" w:rsidRDefault="002D063A" w14:paraId="5ED8712E" w14:textId="77777777">
      <w:pPr>
        <w:rPr>
          <w:b/>
          <w:bCs/>
        </w:rPr>
      </w:pPr>
    </w:p>
    <w:p w:rsidRPr="00BF501F" w:rsidR="002D063A" w:rsidP="002D063A" w:rsidRDefault="002D063A" w14:paraId="307AD55E" w14:textId="4070D9A6">
      <w:pPr>
        <w:rPr>
          <w:b/>
          <w:bCs/>
        </w:rPr>
      </w:pPr>
      <w:r w:rsidRPr="00BF501F">
        <w:rPr>
          <w:b/>
          <w:bCs/>
        </w:rPr>
        <w:t xml:space="preserve">Vraag </w:t>
      </w:r>
      <w:r w:rsidR="001027D5">
        <w:rPr>
          <w:b/>
          <w:bCs/>
        </w:rPr>
        <w:t>9</w:t>
      </w:r>
      <w:r>
        <w:rPr>
          <w:b/>
          <w:bCs/>
        </w:rPr>
        <w:t xml:space="preserve"> </w:t>
      </w:r>
    </w:p>
    <w:p w:rsidR="002D063A" w:rsidP="002D063A" w:rsidRDefault="002D063A" w14:paraId="735840F3" w14:textId="04305481">
      <w:pPr>
        <w:rPr>
          <w:b/>
          <w:bCs/>
        </w:rPr>
      </w:pPr>
      <w:r w:rsidRPr="00BF501F">
        <w:rPr>
          <w:b/>
          <w:bCs/>
        </w:rPr>
        <w:t>Kunt u aangeven hoeveel asielzoekers die op de Top X-lijst staan sinds de aangenomen motie van het lid Eerdmans alsnog een verblijfsvergunning hebben gekregen?</w:t>
      </w:r>
      <w:r w:rsidR="00D448E5">
        <w:rPr>
          <w:rStyle w:val="Voetnootmarkering"/>
          <w:b/>
          <w:bCs/>
        </w:rPr>
        <w:footnoteReference w:id="2"/>
      </w:r>
    </w:p>
    <w:p w:rsidR="002D063A" w:rsidP="002D063A" w:rsidRDefault="002D063A" w14:paraId="1BC0A743" w14:textId="77777777">
      <w:pPr>
        <w:rPr>
          <w:b/>
          <w:bCs/>
        </w:rPr>
      </w:pPr>
    </w:p>
    <w:p w:rsidRPr="00BF501F" w:rsidR="002D063A" w:rsidP="002D063A" w:rsidRDefault="002D063A" w14:paraId="48DD67EB" w14:textId="61DAEA9A">
      <w:pPr>
        <w:rPr>
          <w:b/>
          <w:bCs/>
        </w:rPr>
      </w:pPr>
      <w:r w:rsidRPr="00BF501F">
        <w:rPr>
          <w:b/>
          <w:bCs/>
        </w:rPr>
        <w:t xml:space="preserve">Vraag </w:t>
      </w:r>
      <w:r w:rsidR="001027D5">
        <w:rPr>
          <w:b/>
          <w:bCs/>
        </w:rPr>
        <w:t>10</w:t>
      </w:r>
    </w:p>
    <w:p w:rsidRPr="00BF501F" w:rsidR="002D063A" w:rsidP="002D063A" w:rsidRDefault="002D063A" w14:paraId="70E86D26" w14:textId="77777777">
      <w:pPr>
        <w:rPr>
          <w:b/>
          <w:bCs/>
        </w:rPr>
      </w:pPr>
      <w:r w:rsidRPr="00BF501F">
        <w:rPr>
          <w:b/>
          <w:bCs/>
        </w:rPr>
        <w:t>Indien er sinds bovengenoemde aangenomen motie van het lid Eerdmans alsnog verblijfsvergunningen zijn afgegeven, wat is daar dan uw verklaring voor?</w:t>
      </w:r>
    </w:p>
    <w:p w:rsidR="002D063A" w:rsidP="002D063A" w:rsidRDefault="002D063A" w14:paraId="1FB02F49" w14:textId="77777777"/>
    <w:p w:rsidRPr="00C10563" w:rsidR="002D063A" w:rsidP="002D063A" w:rsidRDefault="002D063A" w14:paraId="4512CD53" w14:textId="6317F272">
      <w:pPr>
        <w:rPr>
          <w:b/>
          <w:bCs/>
        </w:rPr>
      </w:pPr>
      <w:r w:rsidRPr="00C10563">
        <w:rPr>
          <w:b/>
          <w:bCs/>
        </w:rPr>
        <w:t xml:space="preserve">Antwoorden op vraag </w:t>
      </w:r>
      <w:r w:rsidRPr="00C10563" w:rsidR="001027D5">
        <w:rPr>
          <w:b/>
          <w:bCs/>
        </w:rPr>
        <w:t>8</w:t>
      </w:r>
      <w:r w:rsidRPr="00C10563">
        <w:rPr>
          <w:b/>
          <w:bCs/>
        </w:rPr>
        <w:t xml:space="preserve">, vraag </w:t>
      </w:r>
      <w:r w:rsidRPr="00C10563" w:rsidR="001027D5">
        <w:rPr>
          <w:b/>
          <w:bCs/>
        </w:rPr>
        <w:t>9</w:t>
      </w:r>
      <w:r w:rsidRPr="00C10563">
        <w:rPr>
          <w:b/>
          <w:bCs/>
        </w:rPr>
        <w:t xml:space="preserve"> en vraag </w:t>
      </w:r>
      <w:r w:rsidRPr="00C10563" w:rsidR="001027D5">
        <w:rPr>
          <w:b/>
          <w:bCs/>
        </w:rPr>
        <w:t>10</w:t>
      </w:r>
    </w:p>
    <w:p w:rsidRPr="008F1CE3" w:rsidR="002D063A" w:rsidP="002D063A" w:rsidRDefault="00C94A09" w14:paraId="7D5BBFC4" w14:textId="6761538E">
      <w:r>
        <w:t xml:space="preserve">Omdat de gevraagde cijfers op </w:t>
      </w:r>
      <w:r w:rsidR="009345AC">
        <w:t>die manier niet systematisch worden bijgehouden,</w:t>
      </w:r>
      <w:r w:rsidRPr="004F51FF" w:rsidR="002D063A">
        <w:t xml:space="preserve"> en gegeven de beantwoordingstermijn</w:t>
      </w:r>
      <w:r>
        <w:t>,</w:t>
      </w:r>
      <w:r w:rsidRPr="004F51FF" w:rsidR="002D063A">
        <w:t xml:space="preserve"> is het niet mogelijk gebleken de in vra</w:t>
      </w:r>
      <w:r w:rsidR="002D063A">
        <w:t>gen</w:t>
      </w:r>
      <w:r w:rsidRPr="004F51FF" w:rsidR="002D063A">
        <w:t xml:space="preserve"> </w:t>
      </w:r>
      <w:r w:rsidR="00652F4B">
        <w:t>8</w:t>
      </w:r>
      <w:r w:rsidR="002D063A">
        <w:t xml:space="preserve"> en </w:t>
      </w:r>
      <w:r w:rsidR="00652F4B">
        <w:t>9</w:t>
      </w:r>
      <w:r w:rsidRPr="004F51FF" w:rsidR="002D063A">
        <w:t xml:space="preserve"> </w:t>
      </w:r>
      <w:r w:rsidRPr="008F1CE3" w:rsidR="002D063A">
        <w:t xml:space="preserve">gevraagde cijfers te genereren. </w:t>
      </w:r>
    </w:p>
    <w:p w:rsidRPr="008F1CE3" w:rsidR="00F059C2" w:rsidP="002D063A" w:rsidRDefault="00D448E5" w14:paraId="2109D362" w14:textId="1705F9ED">
      <w:pPr>
        <w:rPr>
          <w:color w:val="auto"/>
        </w:rPr>
      </w:pPr>
      <w:r w:rsidRPr="008F1CE3">
        <w:rPr>
          <w:color w:val="auto"/>
        </w:rPr>
        <w:t>Zoals toegelicht in antwoord op vraag 4, geldt dat de jurisprudentie op grond van de Kwalificatierichtlijn strengere criteria stelt bij het weigeren of intrekken van een asielvergunning.</w:t>
      </w:r>
    </w:p>
    <w:sectPr w:rsidRPr="008F1CE3" w:rsidR="00F059C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3EDD5" w14:textId="77777777" w:rsidR="006657A3" w:rsidRDefault="006657A3">
      <w:pPr>
        <w:spacing w:line="240" w:lineRule="auto"/>
      </w:pPr>
      <w:r>
        <w:separator/>
      </w:r>
    </w:p>
  </w:endnote>
  <w:endnote w:type="continuationSeparator" w:id="0">
    <w:p w14:paraId="6BC84D38" w14:textId="77777777" w:rsidR="006657A3" w:rsidRDefault="00665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6E127" w14:textId="77777777" w:rsidR="00C10563" w:rsidRDefault="00C105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7E403" w14:textId="77777777" w:rsidR="00F059C2" w:rsidRDefault="00F059C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F0D4" w14:textId="77777777" w:rsidR="00C10563" w:rsidRDefault="00C105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2C468" w14:textId="77777777" w:rsidR="006657A3" w:rsidRDefault="006657A3">
      <w:pPr>
        <w:spacing w:line="240" w:lineRule="auto"/>
      </w:pPr>
      <w:r>
        <w:separator/>
      </w:r>
    </w:p>
  </w:footnote>
  <w:footnote w:type="continuationSeparator" w:id="0">
    <w:p w14:paraId="2228ED0C" w14:textId="77777777" w:rsidR="006657A3" w:rsidRDefault="006657A3">
      <w:pPr>
        <w:spacing w:line="240" w:lineRule="auto"/>
      </w:pPr>
      <w:r>
        <w:continuationSeparator/>
      </w:r>
    </w:p>
  </w:footnote>
  <w:footnote w:id="1">
    <w:p w14:paraId="2E508BC1" w14:textId="77777777" w:rsidR="002D063A" w:rsidRPr="00096BF3" w:rsidRDefault="002D063A" w:rsidP="002D063A">
      <w:pPr>
        <w:pStyle w:val="Voetnoottekst"/>
        <w:rPr>
          <w:sz w:val="18"/>
          <w:szCs w:val="18"/>
        </w:rPr>
      </w:pPr>
      <w:r>
        <w:rPr>
          <w:rStyle w:val="Voetnootmarkering"/>
        </w:rPr>
        <w:footnoteRef/>
      </w:r>
      <w:r>
        <w:t xml:space="preserve"> </w:t>
      </w:r>
      <w:r>
        <w:rPr>
          <w:sz w:val="18"/>
          <w:szCs w:val="18"/>
        </w:rPr>
        <w:t>Kamerstuk 19637, nr. 3327.</w:t>
      </w:r>
    </w:p>
  </w:footnote>
  <w:footnote w:id="2">
    <w:p w14:paraId="29717D7D" w14:textId="7EAB3410" w:rsidR="00D448E5" w:rsidRPr="00D448E5" w:rsidRDefault="00D448E5">
      <w:pPr>
        <w:pStyle w:val="Voetnoottekst"/>
        <w:rPr>
          <w:sz w:val="18"/>
          <w:szCs w:val="18"/>
        </w:rPr>
      </w:pPr>
      <w:r w:rsidRPr="00D448E5">
        <w:rPr>
          <w:rStyle w:val="Voetnootmarkering"/>
          <w:sz w:val="18"/>
          <w:szCs w:val="18"/>
        </w:rPr>
        <w:footnoteRef/>
      </w:r>
      <w:r w:rsidRPr="00D448E5">
        <w:rPr>
          <w:sz w:val="18"/>
          <w:szCs w:val="18"/>
        </w:rPr>
        <w:t xml:space="preserve"> Kamerstuk 19637, nr. 3280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8A8EB" w14:textId="77777777" w:rsidR="00C10563" w:rsidRDefault="00C105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A2339" w14:textId="77777777" w:rsidR="00F059C2" w:rsidRDefault="001027D5">
    <w:r>
      <w:rPr>
        <w:noProof/>
      </w:rPr>
      <mc:AlternateContent>
        <mc:Choice Requires="wps">
          <w:drawing>
            <wp:anchor distT="0" distB="0" distL="0" distR="0" simplePos="0" relativeHeight="251652608" behindDoc="0" locked="1" layoutInCell="1" allowOverlap="1" wp14:anchorId="0C1740C1" wp14:editId="731BE73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03ECBD" w14:textId="77777777" w:rsidR="00F059C2" w:rsidRDefault="001027D5">
                          <w:pPr>
                            <w:pStyle w:val="Referentiegegevensbold"/>
                          </w:pPr>
                          <w:r>
                            <w:t>Directoraat-Generaal Migratie</w:t>
                          </w:r>
                        </w:p>
                        <w:p w14:paraId="119DED4C" w14:textId="77777777" w:rsidR="00F059C2" w:rsidRDefault="00F059C2">
                          <w:pPr>
                            <w:pStyle w:val="WitregelW2"/>
                          </w:pPr>
                        </w:p>
                        <w:p w14:paraId="72A53FE4" w14:textId="77777777" w:rsidR="00F059C2" w:rsidRDefault="001027D5">
                          <w:pPr>
                            <w:pStyle w:val="Referentiegegevensbold"/>
                          </w:pPr>
                          <w:r>
                            <w:t>Datum</w:t>
                          </w:r>
                        </w:p>
                        <w:p w14:paraId="48911260" w14:textId="7A9781F9" w:rsidR="00F059C2" w:rsidRDefault="002773BA">
                          <w:pPr>
                            <w:pStyle w:val="Referentiegegevens"/>
                          </w:pPr>
                          <w:r>
                            <w:t>11 maart 2025</w:t>
                          </w:r>
                        </w:p>
                        <w:p w14:paraId="007AD328" w14:textId="77777777" w:rsidR="00F059C2" w:rsidRDefault="00F059C2">
                          <w:pPr>
                            <w:pStyle w:val="WitregelW1"/>
                          </w:pPr>
                        </w:p>
                        <w:p w14:paraId="030356B0" w14:textId="77777777" w:rsidR="00F059C2" w:rsidRDefault="001027D5">
                          <w:pPr>
                            <w:pStyle w:val="Referentiegegevensbold"/>
                          </w:pPr>
                          <w:r>
                            <w:t>Onze referentie</w:t>
                          </w:r>
                        </w:p>
                        <w:p w14:paraId="32215769" w14:textId="77777777" w:rsidR="00F059C2" w:rsidRDefault="001027D5">
                          <w:pPr>
                            <w:pStyle w:val="Referentiegegevens"/>
                          </w:pPr>
                          <w:r>
                            <w:t>6177510</w:t>
                          </w:r>
                        </w:p>
                      </w:txbxContent>
                    </wps:txbx>
                    <wps:bodyPr vert="horz" wrap="square" lIns="0" tIns="0" rIns="0" bIns="0" anchor="t" anchorCtr="0"/>
                  </wps:wsp>
                </a:graphicData>
              </a:graphic>
            </wp:anchor>
          </w:drawing>
        </mc:Choice>
        <mc:Fallback>
          <w:pict>
            <v:shapetype w14:anchorId="0C1740C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003ECBD" w14:textId="77777777" w:rsidR="00F059C2" w:rsidRDefault="001027D5">
                    <w:pPr>
                      <w:pStyle w:val="Referentiegegevensbold"/>
                    </w:pPr>
                    <w:r>
                      <w:t>Directoraat-Generaal Migratie</w:t>
                    </w:r>
                  </w:p>
                  <w:p w14:paraId="119DED4C" w14:textId="77777777" w:rsidR="00F059C2" w:rsidRDefault="00F059C2">
                    <w:pPr>
                      <w:pStyle w:val="WitregelW2"/>
                    </w:pPr>
                  </w:p>
                  <w:p w14:paraId="72A53FE4" w14:textId="77777777" w:rsidR="00F059C2" w:rsidRDefault="001027D5">
                    <w:pPr>
                      <w:pStyle w:val="Referentiegegevensbold"/>
                    </w:pPr>
                    <w:r>
                      <w:t>Datum</w:t>
                    </w:r>
                  </w:p>
                  <w:p w14:paraId="48911260" w14:textId="7A9781F9" w:rsidR="00F059C2" w:rsidRDefault="002773BA">
                    <w:pPr>
                      <w:pStyle w:val="Referentiegegevens"/>
                    </w:pPr>
                    <w:r>
                      <w:t>11 maart 2025</w:t>
                    </w:r>
                  </w:p>
                  <w:p w14:paraId="007AD328" w14:textId="77777777" w:rsidR="00F059C2" w:rsidRDefault="00F059C2">
                    <w:pPr>
                      <w:pStyle w:val="WitregelW1"/>
                    </w:pPr>
                  </w:p>
                  <w:p w14:paraId="030356B0" w14:textId="77777777" w:rsidR="00F059C2" w:rsidRDefault="001027D5">
                    <w:pPr>
                      <w:pStyle w:val="Referentiegegevensbold"/>
                    </w:pPr>
                    <w:r>
                      <w:t>Onze referentie</w:t>
                    </w:r>
                  </w:p>
                  <w:p w14:paraId="32215769" w14:textId="77777777" w:rsidR="00F059C2" w:rsidRDefault="001027D5">
                    <w:pPr>
                      <w:pStyle w:val="Referentiegegevens"/>
                    </w:pPr>
                    <w:r>
                      <w:t>6177510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082A857" wp14:editId="7F80C64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E8F781" w14:textId="77777777" w:rsidR="00137839" w:rsidRDefault="00137839"/>
                      </w:txbxContent>
                    </wps:txbx>
                    <wps:bodyPr vert="horz" wrap="square" lIns="0" tIns="0" rIns="0" bIns="0" anchor="t" anchorCtr="0"/>
                  </wps:wsp>
                </a:graphicData>
              </a:graphic>
            </wp:anchor>
          </w:drawing>
        </mc:Choice>
        <mc:Fallback>
          <w:pict>
            <v:shape w14:anchorId="1082A85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12E8F781" w14:textId="77777777" w:rsidR="00137839" w:rsidRDefault="0013783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A43863C" wp14:editId="5B8169C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9C6483" w14:textId="78F29A60" w:rsidR="00F059C2" w:rsidRDefault="001027D5">
                          <w:pPr>
                            <w:pStyle w:val="Referentiegegevens"/>
                          </w:pPr>
                          <w:r>
                            <w:t xml:space="preserve">Pagina </w:t>
                          </w:r>
                          <w:r>
                            <w:fldChar w:fldCharType="begin"/>
                          </w:r>
                          <w:r>
                            <w:instrText>PAGE</w:instrText>
                          </w:r>
                          <w:r>
                            <w:fldChar w:fldCharType="separate"/>
                          </w:r>
                          <w:r w:rsidR="00C81E56">
                            <w:rPr>
                              <w:noProof/>
                            </w:rPr>
                            <w:t>2</w:t>
                          </w:r>
                          <w:r>
                            <w:fldChar w:fldCharType="end"/>
                          </w:r>
                          <w:r>
                            <w:t xml:space="preserve"> van </w:t>
                          </w:r>
                          <w:r>
                            <w:fldChar w:fldCharType="begin"/>
                          </w:r>
                          <w:r>
                            <w:instrText>NUMPAGES</w:instrText>
                          </w:r>
                          <w:r>
                            <w:fldChar w:fldCharType="separate"/>
                          </w:r>
                          <w:r w:rsidR="00C81E56">
                            <w:rPr>
                              <w:noProof/>
                            </w:rPr>
                            <w:t>2</w:t>
                          </w:r>
                          <w:r>
                            <w:fldChar w:fldCharType="end"/>
                          </w:r>
                        </w:p>
                      </w:txbxContent>
                    </wps:txbx>
                    <wps:bodyPr vert="horz" wrap="square" lIns="0" tIns="0" rIns="0" bIns="0" anchor="t" anchorCtr="0"/>
                  </wps:wsp>
                </a:graphicData>
              </a:graphic>
            </wp:anchor>
          </w:drawing>
        </mc:Choice>
        <mc:Fallback>
          <w:pict>
            <v:shape w14:anchorId="0A43863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559C6483" w14:textId="78F29A60" w:rsidR="00F059C2" w:rsidRDefault="001027D5">
                    <w:pPr>
                      <w:pStyle w:val="Referentiegegevens"/>
                    </w:pPr>
                    <w:r>
                      <w:t xml:space="preserve">Pagina </w:t>
                    </w:r>
                    <w:r>
                      <w:fldChar w:fldCharType="begin"/>
                    </w:r>
                    <w:r>
                      <w:instrText>PAGE</w:instrText>
                    </w:r>
                    <w:r>
                      <w:fldChar w:fldCharType="separate"/>
                    </w:r>
                    <w:r w:rsidR="00C81E56">
                      <w:rPr>
                        <w:noProof/>
                      </w:rPr>
                      <w:t>2</w:t>
                    </w:r>
                    <w:r>
                      <w:fldChar w:fldCharType="end"/>
                    </w:r>
                    <w:r>
                      <w:t xml:space="preserve"> van </w:t>
                    </w:r>
                    <w:r>
                      <w:fldChar w:fldCharType="begin"/>
                    </w:r>
                    <w:r>
                      <w:instrText>NUMPAGES</w:instrText>
                    </w:r>
                    <w:r>
                      <w:fldChar w:fldCharType="separate"/>
                    </w:r>
                    <w:r w:rsidR="00C81E56">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715DF" w14:textId="77777777" w:rsidR="00F059C2" w:rsidRDefault="001027D5">
    <w:pPr>
      <w:spacing w:after="6377" w:line="14" w:lineRule="exact"/>
    </w:pPr>
    <w:r>
      <w:rPr>
        <w:noProof/>
      </w:rPr>
      <mc:AlternateContent>
        <mc:Choice Requires="wps">
          <w:drawing>
            <wp:anchor distT="0" distB="0" distL="0" distR="0" simplePos="0" relativeHeight="251655680" behindDoc="0" locked="1" layoutInCell="1" allowOverlap="1" wp14:anchorId="0EC34000" wp14:editId="1BA9FD8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9C1BC1" w14:textId="77777777" w:rsidR="00C81E56" w:rsidRDefault="001027D5">
                          <w:r>
                            <w:t xml:space="preserve">Aan de Voorzitter van de Tweede Kamer </w:t>
                          </w:r>
                        </w:p>
                        <w:p w14:paraId="1805F517" w14:textId="63707DEF" w:rsidR="00F059C2" w:rsidRDefault="001027D5">
                          <w:r>
                            <w:t>der Staten-Generaal</w:t>
                          </w:r>
                        </w:p>
                        <w:p w14:paraId="37983AD7" w14:textId="77777777" w:rsidR="00F059C2" w:rsidRDefault="001027D5">
                          <w:r>
                            <w:t xml:space="preserve">Postbus 20018 </w:t>
                          </w:r>
                        </w:p>
                        <w:p w14:paraId="66160885" w14:textId="77777777" w:rsidR="00F059C2" w:rsidRDefault="001027D5">
                          <w:r>
                            <w:t>2500 EA  DEN HAAG</w:t>
                          </w:r>
                        </w:p>
                      </w:txbxContent>
                    </wps:txbx>
                    <wps:bodyPr vert="horz" wrap="square" lIns="0" tIns="0" rIns="0" bIns="0" anchor="t" anchorCtr="0"/>
                  </wps:wsp>
                </a:graphicData>
              </a:graphic>
            </wp:anchor>
          </w:drawing>
        </mc:Choice>
        <mc:Fallback>
          <w:pict>
            <v:shapetype w14:anchorId="0EC3400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D9C1BC1" w14:textId="77777777" w:rsidR="00C81E56" w:rsidRDefault="001027D5">
                    <w:r>
                      <w:t xml:space="preserve">Aan de Voorzitter van de Tweede Kamer </w:t>
                    </w:r>
                  </w:p>
                  <w:p w14:paraId="1805F517" w14:textId="63707DEF" w:rsidR="00F059C2" w:rsidRDefault="001027D5">
                    <w:r>
                      <w:t>der Staten-Generaal</w:t>
                    </w:r>
                  </w:p>
                  <w:p w14:paraId="37983AD7" w14:textId="77777777" w:rsidR="00F059C2" w:rsidRDefault="001027D5">
                    <w:r>
                      <w:t xml:space="preserve">Postbus 20018 </w:t>
                    </w:r>
                  </w:p>
                  <w:p w14:paraId="66160885" w14:textId="77777777" w:rsidR="00F059C2" w:rsidRDefault="001027D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E90A45B" wp14:editId="6B6D3E87">
              <wp:simplePos x="0" y="0"/>
              <wp:positionH relativeFrom="page">
                <wp:posOffset>1009650</wp:posOffset>
              </wp:positionH>
              <wp:positionV relativeFrom="page">
                <wp:posOffset>3352165</wp:posOffset>
              </wp:positionV>
              <wp:extent cx="4787900" cy="6381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38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059C2" w14:paraId="0E2CFC17" w14:textId="77777777">
                            <w:trPr>
                              <w:trHeight w:val="240"/>
                            </w:trPr>
                            <w:tc>
                              <w:tcPr>
                                <w:tcW w:w="1140" w:type="dxa"/>
                              </w:tcPr>
                              <w:p w14:paraId="38A30BE6" w14:textId="77777777" w:rsidR="00F059C2" w:rsidRDefault="001027D5">
                                <w:r>
                                  <w:t>Datum</w:t>
                                </w:r>
                              </w:p>
                            </w:tc>
                            <w:tc>
                              <w:tcPr>
                                <w:tcW w:w="5918" w:type="dxa"/>
                              </w:tcPr>
                              <w:p w14:paraId="620C5530" w14:textId="4C5AB414" w:rsidR="00F059C2" w:rsidRDefault="005832B9">
                                <w:sdt>
                                  <w:sdtPr>
                                    <w:id w:val="1028058804"/>
                                    <w:date w:fullDate="2025-03-11T00:00:00Z">
                                      <w:dateFormat w:val="d MMMM yyyy"/>
                                      <w:lid w:val="nl"/>
                                      <w:storeMappedDataAs w:val="dateTime"/>
                                      <w:calendar w:val="gregorian"/>
                                    </w:date>
                                  </w:sdtPr>
                                  <w:sdtEndPr/>
                                  <w:sdtContent>
                                    <w:r w:rsidR="002773BA">
                                      <w:rPr>
                                        <w:lang w:val="nl"/>
                                      </w:rPr>
                                      <w:t>11 maart 2025</w:t>
                                    </w:r>
                                  </w:sdtContent>
                                </w:sdt>
                              </w:p>
                            </w:tc>
                          </w:tr>
                          <w:tr w:rsidR="00F059C2" w14:paraId="00106BC6" w14:textId="77777777">
                            <w:trPr>
                              <w:trHeight w:val="240"/>
                            </w:trPr>
                            <w:tc>
                              <w:tcPr>
                                <w:tcW w:w="1140" w:type="dxa"/>
                              </w:tcPr>
                              <w:p w14:paraId="6ECFB62D" w14:textId="77777777" w:rsidR="00F059C2" w:rsidRDefault="001027D5">
                                <w:r>
                                  <w:t>Betreft</w:t>
                                </w:r>
                              </w:p>
                            </w:tc>
                            <w:tc>
                              <w:tcPr>
                                <w:tcW w:w="5918" w:type="dxa"/>
                              </w:tcPr>
                              <w:p w14:paraId="318CC28D" w14:textId="63BB188E" w:rsidR="00F059C2" w:rsidRDefault="001027D5">
                                <w:r>
                                  <w:t>Antwoorden Kamervragen over de stand van zaken van de Top</w:t>
                                </w:r>
                                <w:r w:rsidR="00C81E56">
                                  <w:t xml:space="preserve"> </w:t>
                                </w:r>
                                <w:r>
                                  <w:t>X</w:t>
                                </w:r>
                                <w:r w:rsidR="00C81E56">
                                  <w:t>-</w:t>
                                </w:r>
                                <w:r>
                                  <w:t>lijst</w:t>
                                </w:r>
                              </w:p>
                            </w:tc>
                          </w:tr>
                        </w:tbl>
                        <w:p w14:paraId="11034886" w14:textId="77777777" w:rsidR="00137839" w:rsidRDefault="0013783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E90A45B" id="46feebd0-aa3c-11ea-a756-beb5f67e67be" o:spid="_x0000_s1030" type="#_x0000_t202" style="position:absolute;margin-left:79.5pt;margin-top:263.95pt;width:377pt;height:50.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059C2" w14:paraId="0E2CFC17" w14:textId="77777777">
                      <w:trPr>
                        <w:trHeight w:val="240"/>
                      </w:trPr>
                      <w:tc>
                        <w:tcPr>
                          <w:tcW w:w="1140" w:type="dxa"/>
                        </w:tcPr>
                        <w:p w14:paraId="38A30BE6" w14:textId="77777777" w:rsidR="00F059C2" w:rsidRDefault="001027D5">
                          <w:r>
                            <w:t>Datum</w:t>
                          </w:r>
                        </w:p>
                      </w:tc>
                      <w:tc>
                        <w:tcPr>
                          <w:tcW w:w="5918" w:type="dxa"/>
                        </w:tcPr>
                        <w:p w14:paraId="620C5530" w14:textId="4C5AB414" w:rsidR="00F059C2" w:rsidRDefault="005832B9">
                          <w:sdt>
                            <w:sdtPr>
                              <w:id w:val="1028058804"/>
                              <w:date w:fullDate="2025-03-11T00:00:00Z">
                                <w:dateFormat w:val="d MMMM yyyy"/>
                                <w:lid w:val="nl"/>
                                <w:storeMappedDataAs w:val="dateTime"/>
                                <w:calendar w:val="gregorian"/>
                              </w:date>
                            </w:sdtPr>
                            <w:sdtEndPr/>
                            <w:sdtContent>
                              <w:r w:rsidR="002773BA">
                                <w:rPr>
                                  <w:lang w:val="nl"/>
                                </w:rPr>
                                <w:t>11 maart 2025</w:t>
                              </w:r>
                            </w:sdtContent>
                          </w:sdt>
                        </w:p>
                      </w:tc>
                    </w:tr>
                    <w:tr w:rsidR="00F059C2" w14:paraId="00106BC6" w14:textId="77777777">
                      <w:trPr>
                        <w:trHeight w:val="240"/>
                      </w:trPr>
                      <w:tc>
                        <w:tcPr>
                          <w:tcW w:w="1140" w:type="dxa"/>
                        </w:tcPr>
                        <w:p w14:paraId="6ECFB62D" w14:textId="77777777" w:rsidR="00F059C2" w:rsidRDefault="001027D5">
                          <w:r>
                            <w:t>Betreft</w:t>
                          </w:r>
                        </w:p>
                      </w:tc>
                      <w:tc>
                        <w:tcPr>
                          <w:tcW w:w="5918" w:type="dxa"/>
                        </w:tcPr>
                        <w:p w14:paraId="318CC28D" w14:textId="63BB188E" w:rsidR="00F059C2" w:rsidRDefault="001027D5">
                          <w:r>
                            <w:t>Antwoorden Kamervragen over de stand van zaken van de Top</w:t>
                          </w:r>
                          <w:r w:rsidR="00C81E56">
                            <w:t xml:space="preserve"> </w:t>
                          </w:r>
                          <w:r>
                            <w:t>X</w:t>
                          </w:r>
                          <w:r w:rsidR="00C81E56">
                            <w:t>-</w:t>
                          </w:r>
                          <w:r>
                            <w:t>lijst</w:t>
                          </w:r>
                        </w:p>
                      </w:tc>
                    </w:tr>
                  </w:tbl>
                  <w:p w14:paraId="11034886" w14:textId="77777777" w:rsidR="00137839" w:rsidRDefault="0013783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59927B6" wp14:editId="4F954BB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2D396D" w14:textId="77777777" w:rsidR="00F059C2" w:rsidRDefault="001027D5">
                          <w:pPr>
                            <w:pStyle w:val="Referentiegegevensbold"/>
                          </w:pPr>
                          <w:r>
                            <w:t>Directoraat-Generaal Migratie</w:t>
                          </w:r>
                        </w:p>
                        <w:p w14:paraId="4300DF6B" w14:textId="77777777" w:rsidR="00F059C2" w:rsidRDefault="00F059C2">
                          <w:pPr>
                            <w:pStyle w:val="WitregelW1"/>
                          </w:pPr>
                        </w:p>
                        <w:p w14:paraId="1387D707" w14:textId="77777777" w:rsidR="00F059C2" w:rsidRDefault="001027D5">
                          <w:pPr>
                            <w:pStyle w:val="Referentiegegevens"/>
                          </w:pPr>
                          <w:r>
                            <w:t>Turfmarkt 147</w:t>
                          </w:r>
                        </w:p>
                        <w:p w14:paraId="5D50E223" w14:textId="77777777" w:rsidR="00F059C2" w:rsidRDefault="001027D5">
                          <w:pPr>
                            <w:pStyle w:val="Referentiegegevens"/>
                          </w:pPr>
                          <w:r>
                            <w:t>2511 DP   Den Haag</w:t>
                          </w:r>
                        </w:p>
                        <w:p w14:paraId="03003435" w14:textId="77777777" w:rsidR="00F059C2" w:rsidRPr="00BF501F" w:rsidRDefault="001027D5">
                          <w:pPr>
                            <w:pStyle w:val="Referentiegegevens"/>
                            <w:rPr>
                              <w:lang w:val="de-DE"/>
                            </w:rPr>
                          </w:pPr>
                          <w:r w:rsidRPr="00BF501F">
                            <w:rPr>
                              <w:lang w:val="de-DE"/>
                            </w:rPr>
                            <w:t>Postbus 20011</w:t>
                          </w:r>
                        </w:p>
                        <w:p w14:paraId="39DF806A" w14:textId="77777777" w:rsidR="00F059C2" w:rsidRPr="00BF501F" w:rsidRDefault="001027D5">
                          <w:pPr>
                            <w:pStyle w:val="Referentiegegevens"/>
                            <w:rPr>
                              <w:lang w:val="de-DE"/>
                            </w:rPr>
                          </w:pPr>
                          <w:r w:rsidRPr="00BF501F">
                            <w:rPr>
                              <w:lang w:val="de-DE"/>
                            </w:rPr>
                            <w:t>2500 EH   Den Haag</w:t>
                          </w:r>
                        </w:p>
                        <w:p w14:paraId="4E4E2DF6" w14:textId="77777777" w:rsidR="00F059C2" w:rsidRPr="00BF501F" w:rsidRDefault="001027D5">
                          <w:pPr>
                            <w:pStyle w:val="Referentiegegevens"/>
                            <w:rPr>
                              <w:lang w:val="de-DE"/>
                            </w:rPr>
                          </w:pPr>
                          <w:r w:rsidRPr="00BF501F">
                            <w:rPr>
                              <w:lang w:val="de-DE"/>
                            </w:rPr>
                            <w:t>www.rijksoverheid.nl/jenv</w:t>
                          </w:r>
                        </w:p>
                        <w:p w14:paraId="284623D7" w14:textId="77777777" w:rsidR="00F059C2" w:rsidRPr="00BF501F" w:rsidRDefault="00F059C2">
                          <w:pPr>
                            <w:pStyle w:val="WitregelW2"/>
                            <w:rPr>
                              <w:lang w:val="de-DE"/>
                            </w:rPr>
                          </w:pPr>
                        </w:p>
                        <w:p w14:paraId="25D9B10B" w14:textId="77777777" w:rsidR="00F059C2" w:rsidRDefault="001027D5">
                          <w:pPr>
                            <w:pStyle w:val="Referentiegegevensbold"/>
                          </w:pPr>
                          <w:r>
                            <w:t>Onze referentie</w:t>
                          </w:r>
                        </w:p>
                        <w:p w14:paraId="2B69C6D8" w14:textId="77777777" w:rsidR="00F059C2" w:rsidRDefault="001027D5">
                          <w:pPr>
                            <w:pStyle w:val="Referentiegegevens"/>
                          </w:pPr>
                          <w:r>
                            <w:t>6177510</w:t>
                          </w:r>
                        </w:p>
                        <w:p w14:paraId="13FE09C3" w14:textId="77777777" w:rsidR="00F059C2" w:rsidRDefault="00F059C2">
                          <w:pPr>
                            <w:pStyle w:val="WitregelW1"/>
                          </w:pPr>
                        </w:p>
                        <w:p w14:paraId="13C947A6" w14:textId="77777777" w:rsidR="00F059C2" w:rsidRDefault="001027D5">
                          <w:pPr>
                            <w:pStyle w:val="Referentiegegevensbold"/>
                          </w:pPr>
                          <w:r>
                            <w:t>Uw referentie</w:t>
                          </w:r>
                        </w:p>
                        <w:p w14:paraId="2BCE5B8F" w14:textId="3C888396" w:rsidR="00F059C2" w:rsidRDefault="005832B9">
                          <w:pPr>
                            <w:pStyle w:val="Referentiegegevens"/>
                          </w:pPr>
                          <w:sdt>
                            <w:sdtPr>
                              <w:id w:val="-697466603"/>
                              <w:dataBinding w:prefixMappings="xmlns:ns0='docgen-assistant'" w:xpath="/ns0:CustomXml[1]/ns0:Variables[1]/ns0:Variable[1]/ns0:Value[1]" w:storeItemID="{00000000-0000-0000-0000-000000000000}"/>
                              <w:text/>
                            </w:sdtPr>
                            <w:sdtEndPr/>
                            <w:sdtContent>
                              <w:r w:rsidR="00C81E56">
                                <w:t>2025Z</w:t>
                              </w:r>
                            </w:sdtContent>
                          </w:sdt>
                          <w:r w:rsidR="00C81E56">
                            <w:t>02481</w:t>
                          </w:r>
                        </w:p>
                      </w:txbxContent>
                    </wps:txbx>
                    <wps:bodyPr vert="horz" wrap="square" lIns="0" tIns="0" rIns="0" bIns="0" anchor="t" anchorCtr="0"/>
                  </wps:wsp>
                </a:graphicData>
              </a:graphic>
            </wp:anchor>
          </w:drawing>
        </mc:Choice>
        <mc:Fallback>
          <w:pict>
            <v:shape w14:anchorId="359927B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52D396D" w14:textId="77777777" w:rsidR="00F059C2" w:rsidRDefault="001027D5">
                    <w:pPr>
                      <w:pStyle w:val="Referentiegegevensbold"/>
                    </w:pPr>
                    <w:r>
                      <w:t>Directoraat-Generaal Migratie</w:t>
                    </w:r>
                  </w:p>
                  <w:p w14:paraId="4300DF6B" w14:textId="77777777" w:rsidR="00F059C2" w:rsidRDefault="00F059C2">
                    <w:pPr>
                      <w:pStyle w:val="WitregelW1"/>
                    </w:pPr>
                  </w:p>
                  <w:p w14:paraId="1387D707" w14:textId="77777777" w:rsidR="00F059C2" w:rsidRDefault="001027D5">
                    <w:pPr>
                      <w:pStyle w:val="Referentiegegevens"/>
                    </w:pPr>
                    <w:r>
                      <w:t>Turfmarkt 147</w:t>
                    </w:r>
                  </w:p>
                  <w:p w14:paraId="5D50E223" w14:textId="77777777" w:rsidR="00F059C2" w:rsidRDefault="001027D5">
                    <w:pPr>
                      <w:pStyle w:val="Referentiegegevens"/>
                    </w:pPr>
                    <w:r>
                      <w:t>2511 DP   Den Haag</w:t>
                    </w:r>
                  </w:p>
                  <w:p w14:paraId="03003435" w14:textId="77777777" w:rsidR="00F059C2" w:rsidRPr="00BF501F" w:rsidRDefault="001027D5">
                    <w:pPr>
                      <w:pStyle w:val="Referentiegegevens"/>
                      <w:rPr>
                        <w:lang w:val="de-DE"/>
                      </w:rPr>
                    </w:pPr>
                    <w:r w:rsidRPr="00BF501F">
                      <w:rPr>
                        <w:lang w:val="de-DE"/>
                      </w:rPr>
                      <w:t>Postbus 20011</w:t>
                    </w:r>
                  </w:p>
                  <w:p w14:paraId="39DF806A" w14:textId="77777777" w:rsidR="00F059C2" w:rsidRPr="00BF501F" w:rsidRDefault="001027D5">
                    <w:pPr>
                      <w:pStyle w:val="Referentiegegevens"/>
                      <w:rPr>
                        <w:lang w:val="de-DE"/>
                      </w:rPr>
                    </w:pPr>
                    <w:r w:rsidRPr="00BF501F">
                      <w:rPr>
                        <w:lang w:val="de-DE"/>
                      </w:rPr>
                      <w:t>2500 EH   Den Haag</w:t>
                    </w:r>
                  </w:p>
                  <w:p w14:paraId="4E4E2DF6" w14:textId="77777777" w:rsidR="00F059C2" w:rsidRPr="00BF501F" w:rsidRDefault="001027D5">
                    <w:pPr>
                      <w:pStyle w:val="Referentiegegevens"/>
                      <w:rPr>
                        <w:lang w:val="de-DE"/>
                      </w:rPr>
                    </w:pPr>
                    <w:r w:rsidRPr="00BF501F">
                      <w:rPr>
                        <w:lang w:val="de-DE"/>
                      </w:rPr>
                      <w:t>www.rijksoverheid.nl/jenv</w:t>
                    </w:r>
                  </w:p>
                  <w:p w14:paraId="284623D7" w14:textId="77777777" w:rsidR="00F059C2" w:rsidRPr="00BF501F" w:rsidRDefault="00F059C2">
                    <w:pPr>
                      <w:pStyle w:val="WitregelW2"/>
                      <w:rPr>
                        <w:lang w:val="de-DE"/>
                      </w:rPr>
                    </w:pPr>
                  </w:p>
                  <w:p w14:paraId="25D9B10B" w14:textId="77777777" w:rsidR="00F059C2" w:rsidRDefault="001027D5">
                    <w:pPr>
                      <w:pStyle w:val="Referentiegegevensbold"/>
                    </w:pPr>
                    <w:r>
                      <w:t>Onze referentie</w:t>
                    </w:r>
                  </w:p>
                  <w:p w14:paraId="2B69C6D8" w14:textId="77777777" w:rsidR="00F059C2" w:rsidRDefault="001027D5">
                    <w:pPr>
                      <w:pStyle w:val="Referentiegegevens"/>
                    </w:pPr>
                    <w:r>
                      <w:t>6177510</w:t>
                    </w:r>
                  </w:p>
                  <w:p w14:paraId="13FE09C3" w14:textId="77777777" w:rsidR="00F059C2" w:rsidRDefault="00F059C2">
                    <w:pPr>
                      <w:pStyle w:val="WitregelW1"/>
                    </w:pPr>
                  </w:p>
                  <w:p w14:paraId="13C947A6" w14:textId="77777777" w:rsidR="00F059C2" w:rsidRDefault="001027D5">
                    <w:pPr>
                      <w:pStyle w:val="Referentiegegevensbold"/>
                    </w:pPr>
                    <w:r>
                      <w:t>Uw referentie</w:t>
                    </w:r>
                  </w:p>
                  <w:p w14:paraId="2BCE5B8F" w14:textId="3C888396" w:rsidR="00F059C2" w:rsidRDefault="005832B9">
                    <w:pPr>
                      <w:pStyle w:val="Referentiegegevens"/>
                    </w:pPr>
                    <w:sdt>
                      <w:sdtPr>
                        <w:id w:val="-697466603"/>
                        <w:dataBinding w:prefixMappings="xmlns:ns0='docgen-assistant'" w:xpath="/ns0:CustomXml[1]/ns0:Variables[1]/ns0:Variable[1]/ns0:Value[1]" w:storeItemID="{00000000-0000-0000-0000-000000000000}"/>
                        <w:text/>
                      </w:sdtPr>
                      <w:sdtEndPr/>
                      <w:sdtContent>
                        <w:r w:rsidR="00C81E56">
                          <w:t>2025Z</w:t>
                        </w:r>
                      </w:sdtContent>
                    </w:sdt>
                    <w:r w:rsidR="00C81E56">
                      <w:t>02481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D862962" wp14:editId="0EEE6B2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3AD69C" w14:textId="77777777" w:rsidR="00137839" w:rsidRDefault="00137839"/>
                      </w:txbxContent>
                    </wps:txbx>
                    <wps:bodyPr vert="horz" wrap="square" lIns="0" tIns="0" rIns="0" bIns="0" anchor="t" anchorCtr="0"/>
                  </wps:wsp>
                </a:graphicData>
              </a:graphic>
            </wp:anchor>
          </w:drawing>
        </mc:Choice>
        <mc:Fallback>
          <w:pict>
            <v:shape w14:anchorId="2D86296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03AD69C" w14:textId="77777777" w:rsidR="00137839" w:rsidRDefault="0013783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B913C69" wp14:editId="3DC77D6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EDFB1D" w14:textId="70F0C43E" w:rsidR="00F059C2" w:rsidRDefault="001027D5">
                          <w:pPr>
                            <w:pStyle w:val="Referentiegegevens"/>
                          </w:pPr>
                          <w:r>
                            <w:t xml:space="preserve">Pagina </w:t>
                          </w:r>
                          <w:r>
                            <w:fldChar w:fldCharType="begin"/>
                          </w:r>
                          <w:r>
                            <w:instrText>PAGE</w:instrText>
                          </w:r>
                          <w:r>
                            <w:fldChar w:fldCharType="separate"/>
                          </w:r>
                          <w:r w:rsidR="005832B9">
                            <w:rPr>
                              <w:noProof/>
                            </w:rPr>
                            <w:t>1</w:t>
                          </w:r>
                          <w:r>
                            <w:fldChar w:fldCharType="end"/>
                          </w:r>
                          <w:r>
                            <w:t xml:space="preserve"> van </w:t>
                          </w:r>
                          <w:r>
                            <w:fldChar w:fldCharType="begin"/>
                          </w:r>
                          <w:r>
                            <w:instrText>NUMPAGES</w:instrText>
                          </w:r>
                          <w:r>
                            <w:fldChar w:fldCharType="separate"/>
                          </w:r>
                          <w:r w:rsidR="005832B9">
                            <w:rPr>
                              <w:noProof/>
                            </w:rPr>
                            <w:t>2</w:t>
                          </w:r>
                          <w:r>
                            <w:fldChar w:fldCharType="end"/>
                          </w:r>
                        </w:p>
                      </w:txbxContent>
                    </wps:txbx>
                    <wps:bodyPr vert="horz" wrap="square" lIns="0" tIns="0" rIns="0" bIns="0" anchor="t" anchorCtr="0"/>
                  </wps:wsp>
                </a:graphicData>
              </a:graphic>
            </wp:anchor>
          </w:drawing>
        </mc:Choice>
        <mc:Fallback>
          <w:pict>
            <v:shape w14:anchorId="6B913C6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BEDFB1D" w14:textId="70F0C43E" w:rsidR="00F059C2" w:rsidRDefault="001027D5">
                    <w:pPr>
                      <w:pStyle w:val="Referentiegegevens"/>
                    </w:pPr>
                    <w:r>
                      <w:t xml:space="preserve">Pagina </w:t>
                    </w:r>
                    <w:r>
                      <w:fldChar w:fldCharType="begin"/>
                    </w:r>
                    <w:r>
                      <w:instrText>PAGE</w:instrText>
                    </w:r>
                    <w:r>
                      <w:fldChar w:fldCharType="separate"/>
                    </w:r>
                    <w:r w:rsidR="005832B9">
                      <w:rPr>
                        <w:noProof/>
                      </w:rPr>
                      <w:t>1</w:t>
                    </w:r>
                    <w:r>
                      <w:fldChar w:fldCharType="end"/>
                    </w:r>
                    <w:r>
                      <w:t xml:space="preserve"> van </w:t>
                    </w:r>
                    <w:r>
                      <w:fldChar w:fldCharType="begin"/>
                    </w:r>
                    <w:r>
                      <w:instrText>NUMPAGES</w:instrText>
                    </w:r>
                    <w:r>
                      <w:fldChar w:fldCharType="separate"/>
                    </w:r>
                    <w:r w:rsidR="005832B9">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922E2F6" wp14:editId="3A69CB9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688323" w14:textId="77777777" w:rsidR="00F059C2" w:rsidRDefault="001027D5">
                          <w:pPr>
                            <w:spacing w:line="240" w:lineRule="auto"/>
                          </w:pPr>
                          <w:r>
                            <w:rPr>
                              <w:noProof/>
                            </w:rPr>
                            <w:drawing>
                              <wp:inline distT="0" distB="0" distL="0" distR="0" wp14:anchorId="59B02AC5" wp14:editId="5665B6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22E2F6"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1688323" w14:textId="77777777" w:rsidR="00F059C2" w:rsidRDefault="001027D5">
                    <w:pPr>
                      <w:spacing w:line="240" w:lineRule="auto"/>
                    </w:pPr>
                    <w:r>
                      <w:rPr>
                        <w:noProof/>
                      </w:rPr>
                      <w:drawing>
                        <wp:inline distT="0" distB="0" distL="0" distR="0" wp14:anchorId="59B02AC5" wp14:editId="5665B6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7B419A1" wp14:editId="2347EAB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BA86E6" w14:textId="77777777" w:rsidR="00F059C2" w:rsidRDefault="001027D5">
                          <w:pPr>
                            <w:spacing w:line="240" w:lineRule="auto"/>
                          </w:pPr>
                          <w:r>
                            <w:rPr>
                              <w:noProof/>
                            </w:rPr>
                            <w:drawing>
                              <wp:inline distT="0" distB="0" distL="0" distR="0" wp14:anchorId="171B5FDB" wp14:editId="10391E9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B419A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EBA86E6" w14:textId="77777777" w:rsidR="00F059C2" w:rsidRDefault="001027D5">
                    <w:pPr>
                      <w:spacing w:line="240" w:lineRule="auto"/>
                    </w:pPr>
                    <w:r>
                      <w:rPr>
                        <w:noProof/>
                      </w:rPr>
                      <w:drawing>
                        <wp:inline distT="0" distB="0" distL="0" distR="0" wp14:anchorId="171B5FDB" wp14:editId="10391E9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9033A6E" wp14:editId="2BE5554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600F9A" w14:textId="77777777" w:rsidR="00F059C2" w:rsidRDefault="001027D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9033A6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1600F9A" w14:textId="77777777" w:rsidR="00F059C2" w:rsidRDefault="001027D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6898C5"/>
    <w:multiLevelType w:val="multilevel"/>
    <w:tmpl w:val="C011B2B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313E14B"/>
    <w:multiLevelType w:val="multilevel"/>
    <w:tmpl w:val="429D19D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6FF60D4"/>
    <w:multiLevelType w:val="multilevel"/>
    <w:tmpl w:val="99DD72C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B9ABCC10"/>
    <w:multiLevelType w:val="multilevel"/>
    <w:tmpl w:val="0E2EB6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C2D413D"/>
    <w:multiLevelType w:val="multilevel"/>
    <w:tmpl w:val="24151ED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1B900EE"/>
    <w:multiLevelType w:val="multilevel"/>
    <w:tmpl w:val="F0AD86B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C2"/>
    <w:rsid w:val="00096BF3"/>
    <w:rsid w:val="000A4199"/>
    <w:rsid w:val="001027D5"/>
    <w:rsid w:val="00136065"/>
    <w:rsid w:val="00137839"/>
    <w:rsid w:val="001C7DAB"/>
    <w:rsid w:val="0024461A"/>
    <w:rsid w:val="002773BA"/>
    <w:rsid w:val="002D063A"/>
    <w:rsid w:val="002F431B"/>
    <w:rsid w:val="003352B2"/>
    <w:rsid w:val="00441888"/>
    <w:rsid w:val="00470C36"/>
    <w:rsid w:val="004E0A1A"/>
    <w:rsid w:val="005832B9"/>
    <w:rsid w:val="00625FC9"/>
    <w:rsid w:val="00652F4B"/>
    <w:rsid w:val="006657A3"/>
    <w:rsid w:val="0069067F"/>
    <w:rsid w:val="006F7B7A"/>
    <w:rsid w:val="00763C39"/>
    <w:rsid w:val="008D0A5C"/>
    <w:rsid w:val="008F1CE3"/>
    <w:rsid w:val="00903786"/>
    <w:rsid w:val="00904702"/>
    <w:rsid w:val="00912E00"/>
    <w:rsid w:val="009345AC"/>
    <w:rsid w:val="00944016"/>
    <w:rsid w:val="009A5389"/>
    <w:rsid w:val="00A75507"/>
    <w:rsid w:val="00B3453C"/>
    <w:rsid w:val="00B5490B"/>
    <w:rsid w:val="00BA34DD"/>
    <w:rsid w:val="00BC2A78"/>
    <w:rsid w:val="00BE259B"/>
    <w:rsid w:val="00BF501F"/>
    <w:rsid w:val="00C10563"/>
    <w:rsid w:val="00C81E56"/>
    <w:rsid w:val="00C94A09"/>
    <w:rsid w:val="00C95CFA"/>
    <w:rsid w:val="00CC1EE5"/>
    <w:rsid w:val="00D448E5"/>
    <w:rsid w:val="00E212AE"/>
    <w:rsid w:val="00E3038E"/>
    <w:rsid w:val="00ED33E4"/>
    <w:rsid w:val="00F043BA"/>
    <w:rsid w:val="00F059C2"/>
    <w:rsid w:val="00FB6654"/>
    <w:rsid w:val="00FE03D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81E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1E56"/>
    <w:rPr>
      <w:rFonts w:ascii="Verdana" w:hAnsi="Verdana"/>
      <w:color w:val="000000"/>
      <w:sz w:val="18"/>
      <w:szCs w:val="18"/>
    </w:rPr>
  </w:style>
  <w:style w:type="paragraph" w:styleId="Voetnoottekst">
    <w:name w:val="footnote text"/>
    <w:basedOn w:val="Standaard"/>
    <w:link w:val="VoetnoottekstChar"/>
    <w:uiPriority w:val="99"/>
    <w:semiHidden/>
    <w:unhideWhenUsed/>
    <w:rsid w:val="00096BF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96BF3"/>
    <w:rPr>
      <w:rFonts w:ascii="Verdana" w:hAnsi="Verdana"/>
      <w:color w:val="000000"/>
    </w:rPr>
  </w:style>
  <w:style w:type="character" w:styleId="Voetnootmarkering">
    <w:name w:val="footnote reference"/>
    <w:basedOn w:val="Standaardalinea-lettertype"/>
    <w:uiPriority w:val="99"/>
    <w:semiHidden/>
    <w:unhideWhenUsed/>
    <w:rsid w:val="00096BF3"/>
    <w:rPr>
      <w:vertAlign w:val="superscript"/>
    </w:rPr>
  </w:style>
  <w:style w:type="character" w:customStyle="1" w:styleId="gmailsignatureprefix">
    <w:name w:val="gmailsignatureprefix"/>
    <w:basedOn w:val="Standaardalinea-lettertype"/>
    <w:rsid w:val="00470C36"/>
  </w:style>
  <w:style w:type="character" w:customStyle="1" w:styleId="cf01">
    <w:name w:val="cf01"/>
    <w:basedOn w:val="Standaardalinea-lettertype"/>
    <w:rsid w:val="00136065"/>
    <w:rPr>
      <w:rFonts w:ascii="Segoe UI" w:hAnsi="Segoe UI" w:cs="Segoe UI" w:hint="default"/>
      <w:sz w:val="18"/>
      <w:szCs w:val="18"/>
    </w:rPr>
  </w:style>
  <w:style w:type="paragraph" w:styleId="Revisie">
    <w:name w:val="Revision"/>
    <w:hidden/>
    <w:uiPriority w:val="99"/>
    <w:semiHidden/>
    <w:rsid w:val="00652F4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584759">
      <w:bodyDiv w:val="1"/>
      <w:marLeft w:val="0"/>
      <w:marRight w:val="0"/>
      <w:marTop w:val="0"/>
      <w:marBottom w:val="0"/>
      <w:divBdr>
        <w:top w:val="none" w:sz="0" w:space="0" w:color="auto"/>
        <w:left w:val="none" w:sz="0" w:space="0" w:color="auto"/>
        <w:bottom w:val="none" w:sz="0" w:space="0" w:color="auto"/>
        <w:right w:val="none" w:sz="0" w:space="0" w:color="auto"/>
      </w:divBdr>
    </w:div>
    <w:div w:id="197174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975</ap:Words>
  <ap:Characters>5363</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de stand van zaken van de Top-X lijst</vt:lpstr>
    </vt:vector>
  </ap:TitlesOfParts>
  <ap:LinksUpToDate>false</ap:LinksUpToDate>
  <ap:CharactersWithSpaces>6326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2025-03-11T09:44:00.0000000Z</dcterms:created>
  <dcterms:modified xsi:type="dcterms:W3CDTF">2025-03-11T09:44:00.0000000Z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de stand van zaken van de Top-X lijst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11 februari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6177510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