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46CD" w:rsidP="003F7413" w:rsidRDefault="005446CD" w14:paraId="7A8D11AE" w14:textId="4C465F6B">
      <w:r>
        <w:t>Geachte Voorzitter,</w:t>
      </w:r>
      <w:r>
        <w:br/>
      </w:r>
    </w:p>
    <w:p w:rsidR="005446CD" w:rsidP="003F7413" w:rsidRDefault="005446CD" w14:paraId="60434CA6" w14:textId="2F0BA8A6">
      <w:r>
        <w:t>Hierbij zend ik u</w:t>
      </w:r>
      <w:r w:rsidR="00B208CC">
        <w:t>, mede namens de s</w:t>
      </w:r>
      <w:r w:rsidRPr="005446CD" w:rsidR="00B208CC">
        <w:t>taatssecretaris Fiscaliteit, Belastingdienst en Douane</w:t>
      </w:r>
      <w:r w:rsidR="00B208CC">
        <w:t>,</w:t>
      </w:r>
      <w:r>
        <w:t xml:space="preserve"> de antwoorden</w:t>
      </w:r>
      <w:r w:rsidR="00B208CC">
        <w:t xml:space="preserve"> aan</w:t>
      </w:r>
      <w:r>
        <w:t xml:space="preserve"> op de vragen van het lid Dijk (SP) over </w:t>
      </w:r>
      <w:r w:rsidRPr="005446CD">
        <w:t>het bericht dat een prijsplafond voor gas wordt overwogen</w:t>
      </w:r>
      <w:r w:rsidR="00B208CC">
        <w:rPr>
          <w:rStyle w:val="Voetnootmarkering"/>
        </w:rPr>
        <w:footnoteReference w:id="1"/>
      </w:r>
      <w:r>
        <w:t xml:space="preserve">, ingezonden op 18 februari 2025. </w:t>
      </w:r>
    </w:p>
    <w:p w:rsidR="005446CD" w:rsidP="003F7413" w:rsidRDefault="005446CD" w14:paraId="2EE7D6DA" w14:textId="77777777"/>
    <w:p w:rsidR="00D51C4E" w:rsidP="003F7413" w:rsidRDefault="00D51C4E" w14:paraId="1EACD9D2" w14:textId="77777777"/>
    <w:p w:rsidR="003F7413" w:rsidP="003F7413" w:rsidRDefault="003F7413" w14:paraId="51C8BF2E" w14:textId="77777777"/>
    <w:p w:rsidR="00D51C4E" w:rsidP="003F7413" w:rsidRDefault="00D51C4E" w14:paraId="7F51D14D" w14:textId="77777777"/>
    <w:p w:rsidR="005446CD" w:rsidP="003F7413" w:rsidRDefault="005446CD" w14:paraId="3FBBEF7A" w14:textId="77777777"/>
    <w:p w:rsidR="005446CD" w:rsidP="003F7413" w:rsidRDefault="005446CD" w14:paraId="68E26288" w14:textId="77777777">
      <w:r w:rsidRPr="005446CD">
        <w:t xml:space="preserve">Sophie Hermans </w:t>
      </w:r>
    </w:p>
    <w:p w:rsidRPr="005446CD" w:rsidR="005446CD" w:rsidP="003F7413" w:rsidRDefault="005446CD" w14:paraId="4CE98826" w14:textId="3C8EB859">
      <w:r w:rsidRPr="005446CD">
        <w:t>Minister van Klimaat en Groene Groe</w:t>
      </w:r>
      <w:r>
        <w:t>i</w:t>
      </w:r>
    </w:p>
    <w:p w:rsidRPr="00F11E7C" w:rsidR="007F3645" w:rsidP="003F7413" w:rsidRDefault="007F3645" w14:paraId="360D2C41" w14:textId="233351FC">
      <w:pPr>
        <w:rPr>
          <w:szCs w:val="18"/>
        </w:rPr>
      </w:pPr>
    </w:p>
    <w:p w:rsidR="00423A19" w:rsidP="003F7413" w:rsidRDefault="00423A19" w14:paraId="32678704" w14:textId="77777777"/>
    <w:p w:rsidRPr="00747885" w:rsidR="0029019C" w:rsidP="003F7413" w:rsidRDefault="0029019C" w14:paraId="26E74D1B" w14:textId="77777777"/>
    <w:p w:rsidR="00EF6D37" w:rsidP="003F7413" w:rsidRDefault="00EF6D37" w14:paraId="1285BB36" w14:textId="77777777">
      <w:pPr>
        <w:rPr>
          <w:b/>
        </w:rPr>
      </w:pPr>
    </w:p>
    <w:p w:rsidR="00EF6D37" w:rsidP="003F7413" w:rsidRDefault="00EF6D37" w14:paraId="2F6BB526" w14:textId="77777777">
      <w:pPr>
        <w:rPr>
          <w:b/>
        </w:rPr>
      </w:pPr>
    </w:p>
    <w:p w:rsidR="00225675" w:rsidP="003F7413" w:rsidRDefault="005446CD" w14:paraId="521144ED" w14:textId="77777777">
      <w:pPr>
        <w:rPr>
          <w:b/>
        </w:rPr>
      </w:pPr>
      <w:r>
        <w:rPr>
          <w:b/>
        </w:rPr>
        <w:br w:type="page"/>
      </w:r>
    </w:p>
    <w:p w:rsidR="005446CD" w:rsidP="003F7413" w:rsidRDefault="005446CD" w14:paraId="1DBC8EC5" w14:textId="77777777">
      <w:pPr>
        <w:rPr>
          <w:b/>
          <w:bCs/>
        </w:rPr>
      </w:pPr>
      <w:r w:rsidRPr="005446CD">
        <w:rPr>
          <w:b/>
          <w:bCs/>
        </w:rPr>
        <w:t>2025Z02994</w:t>
      </w:r>
    </w:p>
    <w:p w:rsidR="00D00C4C" w:rsidP="003F7413" w:rsidRDefault="00747885" w14:paraId="3DC8BDB4" w14:textId="15FAEFCB">
      <w:pPr>
        <w:rPr>
          <w:szCs w:val="18"/>
        </w:rPr>
      </w:pPr>
      <w:r>
        <w:rPr>
          <w:b/>
        </w:rPr>
        <w:br/>
      </w:r>
      <w:r w:rsidR="00D00C4C">
        <w:rPr>
          <w:szCs w:val="18"/>
        </w:rPr>
        <w:t>1</w:t>
      </w:r>
    </w:p>
    <w:p w:rsidR="00851105" w:rsidP="003F7413" w:rsidRDefault="00851105" w14:paraId="29E875A1" w14:textId="2713CDBE">
      <w:pPr>
        <w:rPr>
          <w:szCs w:val="18"/>
        </w:rPr>
      </w:pPr>
      <w:r w:rsidRPr="007209F1">
        <w:rPr>
          <w:szCs w:val="18"/>
        </w:rPr>
        <w:t>Bent u bekend met de plannen van de Europese Commissie (EC) om een prijsplafond voor gas in te voeren? Wat vindt u van dit initiatief en welke rol bent u bereid hierin te spelen?</w:t>
      </w:r>
    </w:p>
    <w:p w:rsidR="00851105" w:rsidP="003F7413" w:rsidRDefault="00851105" w14:paraId="73112555" w14:textId="77777777">
      <w:pPr>
        <w:rPr>
          <w:szCs w:val="18"/>
        </w:rPr>
      </w:pPr>
    </w:p>
    <w:p w:rsidRPr="007209F1" w:rsidR="00D00C4C" w:rsidP="003F7413" w:rsidRDefault="00D00C4C" w14:paraId="1E7D089C" w14:textId="77777777">
      <w:pPr>
        <w:rPr>
          <w:szCs w:val="18"/>
        </w:rPr>
      </w:pPr>
      <w:r>
        <w:rPr>
          <w:szCs w:val="18"/>
        </w:rPr>
        <w:t>Antwoord</w:t>
      </w:r>
    </w:p>
    <w:p w:rsidR="00D51C4E" w:rsidP="003F7413" w:rsidRDefault="00851105" w14:paraId="203C7779" w14:textId="59B8FAC9">
      <w:pPr>
        <w:rPr>
          <w:szCs w:val="18"/>
        </w:rPr>
      </w:pPr>
      <w:r>
        <w:rPr>
          <w:szCs w:val="18"/>
        </w:rPr>
        <w:t>Het kabinet is</w:t>
      </w:r>
      <w:r w:rsidRPr="007209F1">
        <w:rPr>
          <w:szCs w:val="18"/>
        </w:rPr>
        <w:t xml:space="preserve"> bekend met de berichtgeving over </w:t>
      </w:r>
      <w:r>
        <w:rPr>
          <w:szCs w:val="18"/>
        </w:rPr>
        <w:t xml:space="preserve">de </w:t>
      </w:r>
      <w:r w:rsidRPr="007209F1">
        <w:rPr>
          <w:szCs w:val="18"/>
        </w:rPr>
        <w:t xml:space="preserve">mogelijke plannen van de Europese Commissie </w:t>
      </w:r>
      <w:r>
        <w:rPr>
          <w:szCs w:val="18"/>
        </w:rPr>
        <w:t>v</w:t>
      </w:r>
      <w:r w:rsidRPr="00962588">
        <w:rPr>
          <w:szCs w:val="18"/>
        </w:rPr>
        <w:t xml:space="preserve">oor het invoeren van een prijsplafond op </w:t>
      </w:r>
      <w:r>
        <w:rPr>
          <w:szCs w:val="18"/>
        </w:rPr>
        <w:t xml:space="preserve">de groothandelsmarkt voor </w:t>
      </w:r>
      <w:r w:rsidRPr="00962588">
        <w:rPr>
          <w:szCs w:val="18"/>
        </w:rPr>
        <w:t>gas</w:t>
      </w:r>
      <w:r w:rsidRPr="007209F1">
        <w:rPr>
          <w:szCs w:val="18"/>
        </w:rPr>
        <w:t>. De Commissie heeft in reactie op deze berichtgeving aangegeven geen plannen hiervoor te hebben.</w:t>
      </w:r>
      <w:r w:rsidRPr="007209F1">
        <w:rPr>
          <w:rStyle w:val="Voetnootmarkering"/>
          <w:szCs w:val="18"/>
        </w:rPr>
        <w:footnoteReference w:id="2"/>
      </w:r>
      <w:r w:rsidRPr="007209F1">
        <w:rPr>
          <w:szCs w:val="18"/>
        </w:rPr>
        <w:t xml:space="preserve"> In het actieplan betaalbare energieprijzen, dat de Commissie op 26 februari jl. gepresenteerd heeft, is een dergelijke maatregel ook niet opgenomen.</w:t>
      </w:r>
      <w:r w:rsidRPr="007209F1">
        <w:rPr>
          <w:rStyle w:val="Voetnootmarkering"/>
          <w:szCs w:val="18"/>
        </w:rPr>
        <w:footnoteReference w:id="3"/>
      </w:r>
      <w:r w:rsidRPr="007209F1">
        <w:rPr>
          <w:szCs w:val="18"/>
        </w:rPr>
        <w:t xml:space="preserve"> Voor zover bekend heeft de Commissie ook geen ander concreet voorstel hiertoe gepresenteerd. Daarom kan </w:t>
      </w:r>
      <w:r w:rsidR="003E71DB">
        <w:rPr>
          <w:szCs w:val="18"/>
        </w:rPr>
        <w:t>het kabinet</w:t>
      </w:r>
      <w:r w:rsidRPr="007209F1">
        <w:rPr>
          <w:szCs w:val="18"/>
        </w:rPr>
        <w:t xml:space="preserve"> hierover geen oordeel vellen.</w:t>
      </w:r>
      <w:r w:rsidR="00CB26E2">
        <w:rPr>
          <w:szCs w:val="18"/>
        </w:rPr>
        <w:t xml:space="preserve"> </w:t>
      </w:r>
    </w:p>
    <w:p w:rsidR="00D51C4E" w:rsidP="003F7413" w:rsidRDefault="00D51C4E" w14:paraId="4DBBF788" w14:textId="77777777">
      <w:pPr>
        <w:rPr>
          <w:szCs w:val="18"/>
        </w:rPr>
      </w:pPr>
    </w:p>
    <w:p w:rsidR="00851105" w:rsidP="003F7413" w:rsidRDefault="00D51C4E" w14:paraId="0649C2F4" w14:textId="3B3BA9D5">
      <w:pPr>
        <w:rPr>
          <w:szCs w:val="18"/>
        </w:rPr>
      </w:pPr>
      <w:r>
        <w:rPr>
          <w:szCs w:val="18"/>
        </w:rPr>
        <w:t>Volledigheidshalve wordt opgemerkt dat i</w:t>
      </w:r>
      <w:r w:rsidR="00851105">
        <w:rPr>
          <w:szCs w:val="18"/>
        </w:rPr>
        <w:t>n de genoemde berichtgeving werd gerefereerd aan een mogelijke maatregel die de gasprijs op de groothandelsmarkt zou begrenzen. Dat is iets anders dan het prijsplafond voor consumenten</w:t>
      </w:r>
      <w:r w:rsidRPr="36D86849" w:rsidR="00851105">
        <w:rPr>
          <w:szCs w:val="18"/>
        </w:rPr>
        <w:t xml:space="preserve"> dat</w:t>
      </w:r>
      <w:r w:rsidR="00851105">
        <w:rPr>
          <w:szCs w:val="18"/>
        </w:rPr>
        <w:t xml:space="preserve"> in Nederland eenmalig als maatregel is getroffen in 2023.</w:t>
      </w:r>
      <w:r>
        <w:rPr>
          <w:szCs w:val="18"/>
        </w:rPr>
        <w:t xml:space="preserve"> </w:t>
      </w:r>
      <w:r w:rsidRPr="007209F1" w:rsidR="00851105">
        <w:rPr>
          <w:szCs w:val="18"/>
        </w:rPr>
        <w:t xml:space="preserve">In algemene zin </w:t>
      </w:r>
      <w:r>
        <w:rPr>
          <w:szCs w:val="18"/>
        </w:rPr>
        <w:t>heeft</w:t>
      </w:r>
      <w:r w:rsidR="003E71DB">
        <w:rPr>
          <w:szCs w:val="18"/>
        </w:rPr>
        <w:t xml:space="preserve"> </w:t>
      </w:r>
      <w:r w:rsidR="00B5274F">
        <w:rPr>
          <w:szCs w:val="18"/>
        </w:rPr>
        <w:t>kabinet</w:t>
      </w:r>
      <w:r w:rsidRPr="007209F1" w:rsidR="00851105">
        <w:rPr>
          <w:szCs w:val="18"/>
        </w:rPr>
        <w:t xml:space="preserve"> aangeven een zeer kritische grondhouding ten aanzien van de </w:t>
      </w:r>
      <w:r w:rsidR="00851105">
        <w:rPr>
          <w:szCs w:val="18"/>
        </w:rPr>
        <w:t xml:space="preserve">maatregelen die de prijs op de groothandelsmarkt kunstmatig begrenzen. </w:t>
      </w:r>
      <w:r w:rsidRPr="007209F1" w:rsidR="00851105">
        <w:rPr>
          <w:szCs w:val="18"/>
        </w:rPr>
        <w:t>Tijdens de energiecrisis werd een tijdelijk ‘marktcorrectiemechanisme’ (MCM) ingevoerd. Dit was een dynamisch prijsplafond op de termijnmarkt voor gas dat per 31</w:t>
      </w:r>
      <w:r w:rsidR="003F7413">
        <w:rPr>
          <w:szCs w:val="18"/>
        </w:rPr>
        <w:t> </w:t>
      </w:r>
      <w:r w:rsidRPr="007209F1" w:rsidR="00851105">
        <w:rPr>
          <w:szCs w:val="18"/>
        </w:rPr>
        <w:t>januari jl. is afgelopen. Nederland heeft zich bij de onderhandelingen over dit MCM kritisch opgesteld ten opzichte van dergelijke marktinterventies</w:t>
      </w:r>
      <w:r w:rsidR="00851105">
        <w:rPr>
          <w:szCs w:val="18"/>
        </w:rPr>
        <w:t xml:space="preserve">. Deze maatregelen adresseren namelijk niet de oorzaak van eventuele hoge prijzen: een disbalans tussen vraag en aanbod. In plaats daarvan kunnen ze het probleem erger maken: als er geen prijsvorming kan plaatsvinden heeft dat namelijk grote risico’s voor </w:t>
      </w:r>
      <w:r w:rsidRPr="007209F1" w:rsidR="00851105">
        <w:rPr>
          <w:szCs w:val="18"/>
        </w:rPr>
        <w:t>het functioneren van de energiemarkten</w:t>
      </w:r>
      <w:r w:rsidR="00851105">
        <w:rPr>
          <w:szCs w:val="18"/>
        </w:rPr>
        <w:t>,</w:t>
      </w:r>
      <w:r w:rsidRPr="007209F1" w:rsidR="00851105">
        <w:rPr>
          <w:szCs w:val="18"/>
        </w:rPr>
        <w:t xml:space="preserve"> de liquiditeit </w:t>
      </w:r>
      <w:r w:rsidR="00851105">
        <w:rPr>
          <w:szCs w:val="18"/>
        </w:rPr>
        <w:t>(d.w.z. de omvang van volumes die worden verhandeld)</w:t>
      </w:r>
      <w:r w:rsidRPr="007209F1" w:rsidR="00851105">
        <w:rPr>
          <w:szCs w:val="18"/>
        </w:rPr>
        <w:t xml:space="preserve"> en</w:t>
      </w:r>
      <w:r w:rsidR="00851105">
        <w:rPr>
          <w:szCs w:val="18"/>
        </w:rPr>
        <w:t xml:space="preserve"> de</w:t>
      </w:r>
      <w:r w:rsidRPr="007209F1" w:rsidR="00851105">
        <w:rPr>
          <w:szCs w:val="18"/>
        </w:rPr>
        <w:t xml:space="preserve"> leveringszekerheid van gas</w:t>
      </w:r>
      <w:r w:rsidR="00851105">
        <w:rPr>
          <w:szCs w:val="18"/>
        </w:rPr>
        <w:t>, onder meer omdat de aanvoer van gas naar Europa kan worden beïnvloed</w:t>
      </w:r>
      <w:r w:rsidRPr="007209F1" w:rsidR="00851105">
        <w:rPr>
          <w:szCs w:val="18"/>
        </w:rPr>
        <w:t xml:space="preserve">. Eventuele toekomstige voorstellen voor dergelijke maatregelen zal </w:t>
      </w:r>
      <w:r w:rsidR="00851105">
        <w:rPr>
          <w:szCs w:val="18"/>
        </w:rPr>
        <w:t>het kabinet daarom</w:t>
      </w:r>
      <w:r w:rsidRPr="007209F1" w:rsidR="00851105">
        <w:rPr>
          <w:szCs w:val="18"/>
        </w:rPr>
        <w:t xml:space="preserve"> zorgvuldig op hun merites beoordelen.</w:t>
      </w:r>
    </w:p>
    <w:p w:rsidRPr="007209F1" w:rsidR="00035110" w:rsidP="003F7413" w:rsidRDefault="00035110" w14:paraId="7037262F" w14:textId="77777777">
      <w:pPr>
        <w:rPr>
          <w:szCs w:val="18"/>
        </w:rPr>
      </w:pPr>
    </w:p>
    <w:p w:rsidR="00D00C4C" w:rsidP="003F7413" w:rsidRDefault="00D00C4C" w14:paraId="678EA3DF" w14:textId="77777777">
      <w:pPr>
        <w:rPr>
          <w:szCs w:val="18"/>
        </w:rPr>
      </w:pPr>
      <w:r>
        <w:rPr>
          <w:szCs w:val="18"/>
        </w:rPr>
        <w:t>2</w:t>
      </w:r>
    </w:p>
    <w:p w:rsidR="00851105" w:rsidP="003F7413" w:rsidRDefault="00851105" w14:paraId="56C8ABE8" w14:textId="0B1CB669">
      <w:pPr>
        <w:rPr>
          <w:szCs w:val="18"/>
        </w:rPr>
      </w:pPr>
      <w:r w:rsidRPr="007209F1">
        <w:rPr>
          <w:szCs w:val="18"/>
        </w:rPr>
        <w:t>Deelt u de mening dat de overheid een verantwoordelijkheid heeft in het garanderen van de leveringszekerheid en de betaalbaarheid van gas?</w:t>
      </w:r>
    </w:p>
    <w:p w:rsidR="00851105" w:rsidP="003F7413" w:rsidRDefault="00851105" w14:paraId="7CC893F6" w14:textId="77777777">
      <w:pPr>
        <w:rPr>
          <w:szCs w:val="18"/>
        </w:rPr>
      </w:pPr>
    </w:p>
    <w:p w:rsidRPr="007209F1" w:rsidR="00D00C4C" w:rsidP="003F7413" w:rsidRDefault="00D00C4C" w14:paraId="0CF1858F" w14:textId="663CDDFE">
      <w:pPr>
        <w:rPr>
          <w:szCs w:val="18"/>
        </w:rPr>
      </w:pPr>
      <w:r>
        <w:rPr>
          <w:szCs w:val="18"/>
        </w:rPr>
        <w:t>Antwoord</w:t>
      </w:r>
    </w:p>
    <w:p w:rsidR="00035110" w:rsidP="003F7413" w:rsidRDefault="00851105" w14:paraId="64960061" w14:textId="3E134F58">
      <w:pPr>
        <w:rPr>
          <w:szCs w:val="18"/>
        </w:rPr>
      </w:pPr>
      <w:r w:rsidRPr="007209F1">
        <w:rPr>
          <w:szCs w:val="18"/>
        </w:rPr>
        <w:t>Gasleveringszekerheid is een gedeelde verantwoordelijkheid van de aardgasbedrijven en de overheid.</w:t>
      </w:r>
      <w:r w:rsidRPr="007209F1">
        <w:rPr>
          <w:rStyle w:val="Voetnootmarkering"/>
          <w:szCs w:val="18"/>
        </w:rPr>
        <w:footnoteReference w:id="4"/>
      </w:r>
      <w:r w:rsidRPr="007209F1">
        <w:rPr>
          <w:szCs w:val="18"/>
        </w:rPr>
        <w:t xml:space="preserve"> Momenteel is de Nederlandse en Europese gasmarkt zo ingericht dat vraag en aanbod efficiënt </w:t>
      </w:r>
      <w:r>
        <w:rPr>
          <w:szCs w:val="18"/>
        </w:rPr>
        <w:t>samenkomen</w:t>
      </w:r>
      <w:r w:rsidRPr="007209F1">
        <w:rPr>
          <w:szCs w:val="18"/>
        </w:rPr>
        <w:t xml:space="preserve"> tegen de laagste kosten. De gasmarkt </w:t>
      </w:r>
      <w:r>
        <w:rPr>
          <w:szCs w:val="18"/>
        </w:rPr>
        <w:t xml:space="preserve">kan </w:t>
      </w:r>
      <w:r w:rsidRPr="007209F1">
        <w:rPr>
          <w:szCs w:val="18"/>
        </w:rPr>
        <w:t xml:space="preserve">voor een groot deel ook de leveringszekerheid zelf waarborgen. Dit is ook een van de conclusies uit het </w:t>
      </w:r>
      <w:proofErr w:type="spellStart"/>
      <w:r w:rsidRPr="007209F1">
        <w:rPr>
          <w:szCs w:val="18"/>
        </w:rPr>
        <w:t>Strategy</w:t>
      </w:r>
      <w:proofErr w:type="spellEnd"/>
      <w:r w:rsidRPr="007209F1">
        <w:rPr>
          <w:szCs w:val="18"/>
        </w:rPr>
        <w:t>-rapport</w:t>
      </w:r>
      <w:r>
        <w:rPr>
          <w:rStyle w:val="Voetnootmarkering"/>
          <w:szCs w:val="18"/>
        </w:rPr>
        <w:footnoteReference w:id="5"/>
      </w:r>
      <w:r w:rsidRPr="007209F1">
        <w:rPr>
          <w:szCs w:val="18"/>
        </w:rPr>
        <w:t xml:space="preserve"> naar aanleiding van de motie</w:t>
      </w:r>
      <w:r w:rsidR="003F7413">
        <w:rPr>
          <w:szCs w:val="18"/>
        </w:rPr>
        <w:t>-</w:t>
      </w:r>
      <w:r w:rsidRPr="007209F1">
        <w:rPr>
          <w:szCs w:val="18"/>
        </w:rPr>
        <w:t>Segers</w:t>
      </w:r>
      <w:r>
        <w:rPr>
          <w:szCs w:val="18"/>
        </w:rPr>
        <w:t>-</w:t>
      </w:r>
      <w:r w:rsidRPr="007209F1">
        <w:rPr>
          <w:szCs w:val="18"/>
        </w:rPr>
        <w:t>Marijnissen</w:t>
      </w:r>
      <w:r>
        <w:rPr>
          <w:rStyle w:val="Voetnootmarkering"/>
          <w:szCs w:val="18"/>
        </w:rPr>
        <w:footnoteReference w:id="6"/>
      </w:r>
      <w:r w:rsidRPr="007209F1">
        <w:rPr>
          <w:szCs w:val="18"/>
        </w:rPr>
        <w:t>.</w:t>
      </w:r>
    </w:p>
    <w:p w:rsidR="00851105" w:rsidP="003F7413" w:rsidRDefault="00851105" w14:paraId="6B77D5FE" w14:textId="6077877F">
      <w:pPr>
        <w:rPr>
          <w:szCs w:val="18"/>
        </w:rPr>
      </w:pPr>
      <w:r w:rsidRPr="007209F1">
        <w:rPr>
          <w:szCs w:val="18"/>
        </w:rPr>
        <w:t xml:space="preserve"> </w:t>
      </w:r>
    </w:p>
    <w:p w:rsidRPr="007209F1" w:rsidR="00851105" w:rsidP="003F7413" w:rsidRDefault="00851105" w14:paraId="6F5974FF" w14:textId="4B525470">
      <w:pPr>
        <w:rPr>
          <w:szCs w:val="18"/>
        </w:rPr>
      </w:pPr>
      <w:r w:rsidRPr="007209F1">
        <w:rPr>
          <w:szCs w:val="18"/>
        </w:rPr>
        <w:t xml:space="preserve">In de praktijk is er in Nederland </w:t>
      </w:r>
      <w:r w:rsidR="00D51C4E">
        <w:rPr>
          <w:szCs w:val="18"/>
        </w:rPr>
        <w:t xml:space="preserve">daarnaast </w:t>
      </w:r>
      <w:r w:rsidRPr="007209F1">
        <w:rPr>
          <w:szCs w:val="18"/>
        </w:rPr>
        <w:t xml:space="preserve">ook nu al sprake van een stevige inmenging van de overheid via verschillende instrumenten om de publieke belangen zo goed mogelijk te dienen. Een voorbeeld hiervan is de verantwoordelijkheid om te voorzien in levering aan kleinverbruikers. </w:t>
      </w:r>
      <w:r>
        <w:rPr>
          <w:szCs w:val="18"/>
        </w:rPr>
        <w:t>Sinds 2004 is</w:t>
      </w:r>
      <w:r w:rsidRPr="007209F1">
        <w:rPr>
          <w:szCs w:val="18"/>
        </w:rPr>
        <w:t xml:space="preserve"> gekozen voor een systeem dat berust op twee pijlers: </w:t>
      </w:r>
    </w:p>
    <w:p w:rsidRPr="007209F1" w:rsidR="00851105" w:rsidP="003F7413" w:rsidRDefault="00851105" w14:paraId="55EA4110" w14:textId="3C119983">
      <w:pPr>
        <w:pStyle w:val="Lijstalinea"/>
        <w:numPr>
          <w:ilvl w:val="0"/>
          <w:numId w:val="15"/>
        </w:numPr>
        <w:spacing w:after="0" w:line="240" w:lineRule="atLeast"/>
        <w:contextualSpacing w:val="0"/>
        <w:rPr>
          <w:rStyle w:val="normaltextrun"/>
          <w:rFonts w:ascii="Verdana" w:hAnsi="Verdana"/>
          <w:color w:val="000000" w:themeColor="text1"/>
          <w:sz w:val="18"/>
          <w:szCs w:val="18"/>
        </w:rPr>
      </w:pPr>
      <w:r>
        <w:rPr>
          <w:rStyle w:val="normaltextrun"/>
          <w:rFonts w:ascii="Verdana" w:hAnsi="Verdana"/>
          <w:color w:val="000000" w:themeColor="text1"/>
          <w:sz w:val="18"/>
          <w:szCs w:val="18"/>
        </w:rPr>
        <w:t>L</w:t>
      </w:r>
      <w:r w:rsidRPr="007209F1">
        <w:rPr>
          <w:rStyle w:val="normaltextrun"/>
          <w:rFonts w:ascii="Verdana" w:hAnsi="Verdana"/>
          <w:color w:val="000000" w:themeColor="text1"/>
          <w:sz w:val="18"/>
          <w:szCs w:val="18"/>
        </w:rPr>
        <w:t xml:space="preserve">everanciers aan kleinverbruikers </w:t>
      </w:r>
      <w:r>
        <w:rPr>
          <w:rStyle w:val="normaltextrun"/>
          <w:rFonts w:ascii="Verdana" w:hAnsi="Verdana"/>
          <w:color w:val="000000" w:themeColor="text1"/>
          <w:sz w:val="18"/>
          <w:szCs w:val="18"/>
        </w:rPr>
        <w:t>zijn</w:t>
      </w:r>
      <w:r w:rsidRPr="007209F1">
        <w:rPr>
          <w:rStyle w:val="normaltextrun"/>
          <w:rFonts w:ascii="Verdana" w:hAnsi="Verdana"/>
          <w:color w:val="000000" w:themeColor="text1"/>
          <w:sz w:val="18"/>
          <w:szCs w:val="18"/>
        </w:rPr>
        <w:t xml:space="preserve"> verantwoordelijk voor basislevering (voor temperaturen tot </w:t>
      </w:r>
      <w:r w:rsidRPr="007209F1">
        <w:rPr>
          <w:rFonts w:ascii="Verdana" w:hAnsi="Verdana" w:eastAsia="Times New Roman" w:cs="Times New Roman"/>
          <w:color w:val="000000" w:themeColor="text1"/>
          <w:sz w:val="18"/>
          <w:szCs w:val="18"/>
          <w:lang w:eastAsia="nl-NL"/>
        </w:rPr>
        <w:t>-9°C)</w:t>
      </w:r>
      <w:r w:rsidRPr="007209F1">
        <w:rPr>
          <w:rStyle w:val="normaltextrun"/>
          <w:rFonts w:ascii="Verdana" w:hAnsi="Verdana"/>
          <w:color w:val="000000" w:themeColor="text1"/>
          <w:sz w:val="18"/>
          <w:szCs w:val="18"/>
        </w:rPr>
        <w:t xml:space="preserve">; en </w:t>
      </w:r>
    </w:p>
    <w:p w:rsidR="00851105" w:rsidP="003F7413" w:rsidRDefault="00851105" w14:paraId="16CEE858" w14:textId="77777777">
      <w:pPr>
        <w:pStyle w:val="Lijstalinea"/>
        <w:numPr>
          <w:ilvl w:val="0"/>
          <w:numId w:val="15"/>
        </w:numPr>
        <w:spacing w:after="0" w:line="240" w:lineRule="atLeast"/>
        <w:contextualSpacing w:val="0"/>
        <w:rPr>
          <w:rStyle w:val="normaltextrun"/>
          <w:rFonts w:ascii="Verdana" w:hAnsi="Verdana"/>
          <w:color w:val="000000" w:themeColor="text1"/>
          <w:sz w:val="18"/>
          <w:szCs w:val="18"/>
        </w:rPr>
      </w:pPr>
      <w:r w:rsidRPr="007209F1">
        <w:rPr>
          <w:rStyle w:val="normaltextrun"/>
          <w:rFonts w:ascii="Verdana" w:hAnsi="Verdana"/>
          <w:color w:val="000000" w:themeColor="text1"/>
          <w:sz w:val="18"/>
          <w:szCs w:val="18"/>
        </w:rPr>
        <w:t>GTS</w:t>
      </w:r>
      <w:r>
        <w:rPr>
          <w:rStyle w:val="normaltextrun"/>
          <w:rFonts w:ascii="Verdana" w:hAnsi="Verdana"/>
          <w:color w:val="000000" w:themeColor="text1"/>
          <w:sz w:val="18"/>
          <w:szCs w:val="18"/>
        </w:rPr>
        <w:t xml:space="preserve"> treft voorzieningen voor pieklevering bij </w:t>
      </w:r>
      <w:r w:rsidRPr="007209F1">
        <w:rPr>
          <w:rStyle w:val="normaltextrun"/>
          <w:rFonts w:ascii="Verdana" w:hAnsi="Verdana"/>
          <w:color w:val="000000" w:themeColor="text1"/>
          <w:sz w:val="18"/>
          <w:szCs w:val="18"/>
        </w:rPr>
        <w:t xml:space="preserve">extreme kou </w:t>
      </w:r>
      <w:r>
        <w:rPr>
          <w:rStyle w:val="normaltextrun"/>
          <w:rFonts w:ascii="Verdana" w:hAnsi="Verdana"/>
          <w:color w:val="000000" w:themeColor="text1"/>
          <w:sz w:val="18"/>
          <w:szCs w:val="18"/>
        </w:rPr>
        <w:t>(</w:t>
      </w:r>
      <w:r w:rsidRPr="007209F1">
        <w:rPr>
          <w:rFonts w:ascii="Verdana" w:hAnsi="Verdana" w:eastAsia="Verdana" w:cs="Verdana"/>
          <w:color w:val="000000" w:themeColor="text1"/>
          <w:sz w:val="18"/>
          <w:szCs w:val="18"/>
        </w:rPr>
        <w:t>-9 tot -17°C</w:t>
      </w:r>
      <w:r w:rsidRPr="007209F1">
        <w:rPr>
          <w:rFonts w:ascii="Verdana" w:hAnsi="Verdana" w:eastAsia="Times New Roman" w:cs="Times New Roman"/>
          <w:color w:val="000000" w:themeColor="text1"/>
          <w:sz w:val="18"/>
          <w:szCs w:val="18"/>
          <w:lang w:eastAsia="nl-NL"/>
        </w:rPr>
        <w:t xml:space="preserve">) </w:t>
      </w:r>
      <w:r w:rsidRPr="007209F1">
        <w:rPr>
          <w:rStyle w:val="normaltextrun"/>
          <w:rFonts w:ascii="Verdana" w:hAnsi="Verdana"/>
          <w:color w:val="000000" w:themeColor="text1"/>
          <w:sz w:val="18"/>
          <w:szCs w:val="18"/>
        </w:rPr>
        <w:t>voor alle kleinverbruikers in Nederland</w:t>
      </w:r>
      <w:r w:rsidRPr="007209F1">
        <w:rPr>
          <w:rStyle w:val="Voetnootmarkering"/>
          <w:color w:val="000000" w:themeColor="text1"/>
          <w:sz w:val="18"/>
          <w:szCs w:val="18"/>
        </w:rPr>
        <w:footnoteReference w:id="7"/>
      </w:r>
      <w:r w:rsidRPr="007209F1">
        <w:rPr>
          <w:rStyle w:val="normaltextrun"/>
          <w:rFonts w:ascii="Verdana" w:hAnsi="Verdana"/>
          <w:color w:val="000000" w:themeColor="text1"/>
          <w:sz w:val="18"/>
          <w:szCs w:val="18"/>
        </w:rPr>
        <w:t xml:space="preserve">. </w:t>
      </w:r>
    </w:p>
    <w:p w:rsidR="00851105" w:rsidP="003F7413" w:rsidRDefault="00851105" w14:paraId="1AB4302B" w14:textId="74390F91">
      <w:pPr>
        <w:rPr>
          <w:szCs w:val="18"/>
        </w:rPr>
      </w:pPr>
      <w:r w:rsidRPr="007209F1">
        <w:rPr>
          <w:rStyle w:val="normaltextrun"/>
          <w:color w:val="000000" w:themeColor="text1"/>
          <w:szCs w:val="18"/>
        </w:rPr>
        <w:t>In dit kader is ook voorzien in een vergunningsplicht voor leveranciers aan kleinverbruikers</w:t>
      </w:r>
      <w:r w:rsidRPr="007209F1">
        <w:rPr>
          <w:rStyle w:val="Voetnootmarkering"/>
          <w:color w:val="000000" w:themeColor="text1"/>
          <w:szCs w:val="18"/>
        </w:rPr>
        <w:footnoteReference w:id="8"/>
      </w:r>
      <w:r w:rsidRPr="007209F1">
        <w:rPr>
          <w:rStyle w:val="normaltextrun"/>
          <w:color w:val="000000" w:themeColor="text1"/>
          <w:szCs w:val="18"/>
        </w:rPr>
        <w:t xml:space="preserve">. </w:t>
      </w:r>
      <w:r w:rsidRPr="007209F1">
        <w:rPr>
          <w:szCs w:val="18"/>
        </w:rPr>
        <w:t xml:space="preserve">Een ander voorbeeld van overheidsingrijpen is de taak die EBN sinds 2022 heeft om gas op te slaan voor het geval marktpartijen dit onvoldoende doen. </w:t>
      </w:r>
    </w:p>
    <w:p w:rsidRPr="007209F1" w:rsidR="00851105" w:rsidP="003F7413" w:rsidRDefault="00851105" w14:paraId="078DF454" w14:textId="77777777">
      <w:pPr>
        <w:rPr>
          <w:szCs w:val="18"/>
        </w:rPr>
      </w:pPr>
    </w:p>
    <w:p w:rsidR="00851105" w:rsidP="003F7413" w:rsidRDefault="00851105" w14:paraId="0DA89DF1" w14:textId="0A3B17B3">
      <w:pPr>
        <w:rPr>
          <w:szCs w:val="18"/>
        </w:rPr>
      </w:pPr>
      <w:r w:rsidRPr="007209F1">
        <w:rPr>
          <w:szCs w:val="18"/>
        </w:rPr>
        <w:t xml:space="preserve">Tegelijkertijd heeft de gascrisis van 2022 laten zien dat bij extreme marktomstandigheden </w:t>
      </w:r>
      <w:r w:rsidR="00D51C4E">
        <w:rPr>
          <w:szCs w:val="18"/>
        </w:rPr>
        <w:t xml:space="preserve">aanvullend </w:t>
      </w:r>
      <w:r w:rsidRPr="007209F1">
        <w:rPr>
          <w:szCs w:val="18"/>
        </w:rPr>
        <w:t xml:space="preserve">flankerend overheidshandelen noodzakelijk kan zijn. Het gaat daarbij om maatregelen </w:t>
      </w:r>
      <w:r>
        <w:rPr>
          <w:szCs w:val="18"/>
        </w:rPr>
        <w:t>die</w:t>
      </w:r>
      <w:r w:rsidRPr="007209F1">
        <w:rPr>
          <w:szCs w:val="18"/>
        </w:rPr>
        <w:t xml:space="preserve"> de weerbaarheid van het gassysteem vergroten </w:t>
      </w:r>
      <w:r>
        <w:rPr>
          <w:szCs w:val="18"/>
        </w:rPr>
        <w:t xml:space="preserve">en een </w:t>
      </w:r>
      <w:r w:rsidRPr="007209F1">
        <w:rPr>
          <w:szCs w:val="18"/>
        </w:rPr>
        <w:t xml:space="preserve">gascrisis </w:t>
      </w:r>
      <w:r>
        <w:rPr>
          <w:szCs w:val="18"/>
        </w:rPr>
        <w:t>te</w:t>
      </w:r>
      <w:r w:rsidRPr="007209F1">
        <w:rPr>
          <w:szCs w:val="18"/>
        </w:rPr>
        <w:t xml:space="preserve"> </w:t>
      </w:r>
      <w:r>
        <w:rPr>
          <w:szCs w:val="18"/>
        </w:rPr>
        <w:t>bestrijden.</w:t>
      </w:r>
      <w:r w:rsidRPr="007209F1">
        <w:rPr>
          <w:szCs w:val="18"/>
        </w:rPr>
        <w:t xml:space="preserve"> Om deze weerbaarheid </w:t>
      </w:r>
      <w:r w:rsidR="00D51C4E">
        <w:rPr>
          <w:szCs w:val="18"/>
        </w:rPr>
        <w:t xml:space="preserve">structureel </w:t>
      </w:r>
      <w:r w:rsidRPr="007209F1">
        <w:rPr>
          <w:szCs w:val="18"/>
        </w:rPr>
        <w:t xml:space="preserve">te </w:t>
      </w:r>
      <w:r w:rsidR="00D51C4E">
        <w:rPr>
          <w:szCs w:val="18"/>
        </w:rPr>
        <w:t>borgen</w:t>
      </w:r>
      <w:r w:rsidRPr="007209F1" w:rsidR="00D51C4E">
        <w:rPr>
          <w:szCs w:val="18"/>
        </w:rPr>
        <w:t xml:space="preserve"> </w:t>
      </w:r>
      <w:r w:rsidRPr="007209F1">
        <w:rPr>
          <w:szCs w:val="18"/>
        </w:rPr>
        <w:t xml:space="preserve">werkt het kabinet aan een voorstel voor de Wet bestrijden energieleveringscrisis. Dit wetsvoorstel is op 26 februari in internetconsultatie gegaan. </w:t>
      </w:r>
    </w:p>
    <w:p w:rsidRPr="007209F1" w:rsidR="00CB26E2" w:rsidP="003F7413" w:rsidRDefault="00CB26E2" w14:paraId="56BB2DD6" w14:textId="77777777">
      <w:pPr>
        <w:rPr>
          <w:szCs w:val="18"/>
        </w:rPr>
      </w:pPr>
    </w:p>
    <w:p w:rsidR="00851105" w:rsidP="003F7413" w:rsidRDefault="00851105" w14:paraId="18BFE27F" w14:textId="6C23EA85">
      <w:pPr>
        <w:rPr>
          <w:rFonts w:eastAsia="Verdana" w:cs="Verdana"/>
          <w:szCs w:val="18"/>
        </w:rPr>
      </w:pPr>
      <w:r w:rsidRPr="007209F1">
        <w:rPr>
          <w:rFonts w:eastAsia="Verdana" w:cs="Verdana"/>
          <w:szCs w:val="18"/>
        </w:rPr>
        <w:t xml:space="preserve">Het kabinet heeft in het Regeerprogramma de ambitie uitgesproken om te werken aan de betaalbaarheid van de energierekening en een rechtvaardige energietransitie, ook voor huishoudens met een kleine portemonnee en middeninkomens. Hierbij is specifieke aandacht voor huishoudens die moeite hebben om de energierekening te betalen of en/of in energiearmoede leven. In gezamenlijk verband (Sociale Zaken en Werkgelegenheid, Volkshuisvesting en Ruimtelijke Ordening, en Klimaat en Groene Groei) werkt </w:t>
      </w:r>
      <w:r w:rsidR="00D51C4E">
        <w:rPr>
          <w:rFonts w:eastAsia="Verdana" w:cs="Verdana"/>
          <w:szCs w:val="18"/>
        </w:rPr>
        <w:t>het</w:t>
      </w:r>
      <w:r w:rsidRPr="007209F1" w:rsidR="00D51C4E">
        <w:rPr>
          <w:rFonts w:eastAsia="Verdana" w:cs="Verdana"/>
          <w:szCs w:val="18"/>
        </w:rPr>
        <w:t xml:space="preserve"> </w:t>
      </w:r>
      <w:r w:rsidRPr="007209F1">
        <w:rPr>
          <w:rFonts w:eastAsia="Verdana" w:cs="Verdana"/>
          <w:szCs w:val="18"/>
        </w:rPr>
        <w:t xml:space="preserve">kabinet hieraan. Zo zet het kabinet </w:t>
      </w:r>
      <w:r>
        <w:rPr>
          <w:rFonts w:eastAsia="Verdana" w:cs="Verdana"/>
          <w:szCs w:val="18"/>
        </w:rPr>
        <w:t xml:space="preserve">in op </w:t>
      </w:r>
      <w:r w:rsidRPr="007209F1">
        <w:rPr>
          <w:rFonts w:eastAsia="Verdana" w:cs="Verdana"/>
          <w:szCs w:val="18"/>
        </w:rPr>
        <w:t xml:space="preserve">maatregelen die structureel bijdragen aan energiebesparing in woningen op de lange termijn, bijvoorbeeld door het stimuleren van het nemen van isolerende maatregelen. </w:t>
      </w:r>
      <w:r w:rsidR="004D27E1">
        <w:rPr>
          <w:rFonts w:eastAsia="Verdana" w:cs="Verdana"/>
          <w:szCs w:val="18"/>
        </w:rPr>
        <w:t xml:space="preserve">Daarnaast ziet het kabinet, </w:t>
      </w:r>
      <w:r w:rsidR="004D27E1">
        <w:t>na diverse gesprekken met de sector, voldoende basis om in 2025 het Energiefonds op te gaan starten, zoals op 14 februari jl. met de Kamer is gedeeld.</w:t>
      </w:r>
      <w:r w:rsidR="004D27E1">
        <w:rPr>
          <w:rStyle w:val="Voetnootmarkering"/>
        </w:rPr>
        <w:footnoteReference w:id="9"/>
      </w:r>
      <w:r w:rsidR="004D27E1">
        <w:t xml:space="preserve"> Met het energiefonds worden huishoudens in energiearmoede ondersteund bij het betalen van de energierekening. Er wordt met de hoogste urgentie gewerkt aan de uitwerking van het fonds. Ook staat vanaf 2026 het </w:t>
      </w:r>
      <w:proofErr w:type="spellStart"/>
      <w:r w:rsidRPr="00D617A1" w:rsidR="004D27E1">
        <w:rPr>
          <w:i/>
          <w:iCs/>
        </w:rPr>
        <w:t>Social</w:t>
      </w:r>
      <w:proofErr w:type="spellEnd"/>
      <w:r w:rsidRPr="00D617A1" w:rsidR="004D27E1">
        <w:rPr>
          <w:i/>
          <w:iCs/>
        </w:rPr>
        <w:t xml:space="preserve"> </w:t>
      </w:r>
      <w:proofErr w:type="spellStart"/>
      <w:r w:rsidRPr="00D617A1" w:rsidR="004D27E1">
        <w:rPr>
          <w:i/>
          <w:iCs/>
        </w:rPr>
        <w:t>Climate</w:t>
      </w:r>
      <w:proofErr w:type="spellEnd"/>
      <w:r w:rsidRPr="00D617A1" w:rsidR="004D27E1">
        <w:rPr>
          <w:i/>
          <w:iCs/>
        </w:rPr>
        <w:t xml:space="preserve"> Fund</w:t>
      </w:r>
      <w:r w:rsidR="004D27E1">
        <w:t xml:space="preserve"> (SCF) ter beschikking voor het opvangen van de effecten van het emissiehandelssysteem voor CO2-emissies van de gebouwde omgeving en transport (ETS2) voor kwetsbare huishoudens en microbedrijven.</w:t>
      </w:r>
    </w:p>
    <w:p w:rsidR="00851105" w:rsidP="003F7413" w:rsidRDefault="00851105" w14:paraId="63BBA503" w14:textId="77777777">
      <w:pPr>
        <w:rPr>
          <w:rFonts w:eastAsia="Verdana" w:cs="Verdana"/>
          <w:szCs w:val="18"/>
        </w:rPr>
      </w:pPr>
    </w:p>
    <w:p w:rsidR="00D00C4C" w:rsidP="003F7413" w:rsidRDefault="00D00C4C" w14:paraId="1905DC3B" w14:textId="77777777">
      <w:pPr>
        <w:rPr>
          <w:szCs w:val="18"/>
        </w:rPr>
      </w:pPr>
      <w:r>
        <w:rPr>
          <w:szCs w:val="18"/>
        </w:rPr>
        <w:t>3</w:t>
      </w:r>
    </w:p>
    <w:p w:rsidR="00851105" w:rsidP="003F7413" w:rsidRDefault="00851105" w14:paraId="30B65CA7" w14:textId="5013E7EE">
      <w:pPr>
        <w:rPr>
          <w:szCs w:val="18"/>
        </w:rPr>
      </w:pPr>
      <w:r w:rsidRPr="007209F1">
        <w:rPr>
          <w:szCs w:val="18"/>
        </w:rPr>
        <w:t>Welk effect hebben de btw en andere belastingen op gas op de prijs die consumenten betalen en hoeveel draagt dit bij aan de inflatie? Welk budgettaire belang is hiermee gemoeid per maatregel en zijn er juridische beperkingen die voorkomen dat hiervan de tarieven worden verlaagd?</w:t>
      </w:r>
    </w:p>
    <w:p w:rsidR="00851105" w:rsidP="003F7413" w:rsidRDefault="00851105" w14:paraId="3A045077" w14:textId="77777777">
      <w:pPr>
        <w:rPr>
          <w:szCs w:val="18"/>
        </w:rPr>
      </w:pPr>
    </w:p>
    <w:p w:rsidRPr="007209F1" w:rsidR="00D00C4C" w:rsidP="003F7413" w:rsidRDefault="00D00C4C" w14:paraId="0154DCF3" w14:textId="77777777">
      <w:pPr>
        <w:rPr>
          <w:szCs w:val="18"/>
        </w:rPr>
      </w:pPr>
      <w:r>
        <w:rPr>
          <w:szCs w:val="18"/>
        </w:rPr>
        <w:t>Antwoord</w:t>
      </w:r>
    </w:p>
    <w:p w:rsidR="00ED3FBD" w:rsidP="003F7413" w:rsidRDefault="00ED3FBD" w14:paraId="292D7A9E" w14:textId="7CF3D1F7">
      <w:pPr>
        <w:rPr>
          <w:szCs w:val="18"/>
        </w:rPr>
      </w:pPr>
      <w:bookmarkStart w:name="_Hlk192087315" w:id="0"/>
      <w:r w:rsidRPr="007209F1">
        <w:rPr>
          <w:szCs w:val="18"/>
        </w:rPr>
        <w:t xml:space="preserve">De totale energierekening voor huishoudens loopt in de periode 2020-2030 op. De belangrijkste oorzaken zijn de stijgende netbeheerkosten en leveringskosten. Het onderdeel energiebelasting op de </w:t>
      </w:r>
      <w:r w:rsidR="00DD4A5B">
        <w:rPr>
          <w:szCs w:val="18"/>
        </w:rPr>
        <w:t xml:space="preserve">totale </w:t>
      </w:r>
      <w:r w:rsidRPr="007209F1">
        <w:rPr>
          <w:szCs w:val="18"/>
        </w:rPr>
        <w:t xml:space="preserve">energierekening </w:t>
      </w:r>
      <w:r w:rsidR="00DD4A5B">
        <w:rPr>
          <w:szCs w:val="18"/>
        </w:rPr>
        <w:t xml:space="preserve">voor huishoudens </w:t>
      </w:r>
      <w:r w:rsidRPr="007209F1">
        <w:rPr>
          <w:szCs w:val="18"/>
        </w:rPr>
        <w:t xml:space="preserve">nam af tot 2025, zowel in relatieve als absolute zin. </w:t>
      </w:r>
      <w:bookmarkStart w:name="_Hlk192149768" w:id="1"/>
      <w:r w:rsidRPr="007209F1">
        <w:rPr>
          <w:szCs w:val="18"/>
        </w:rPr>
        <w:t>Dit komt doordat de belastingvermindering</w:t>
      </w:r>
      <w:r>
        <w:rPr>
          <w:szCs w:val="18"/>
        </w:rPr>
        <w:t xml:space="preserve"> </w:t>
      </w:r>
      <w:r w:rsidRPr="007209F1">
        <w:rPr>
          <w:szCs w:val="18"/>
        </w:rPr>
        <w:t xml:space="preserve">in de energiebelasting is verhoogd, </w:t>
      </w:r>
      <w:r w:rsidR="00DD4A5B">
        <w:rPr>
          <w:szCs w:val="18"/>
        </w:rPr>
        <w:t xml:space="preserve">en daarnaast </w:t>
      </w:r>
      <w:r w:rsidRPr="007209F1">
        <w:rPr>
          <w:szCs w:val="18"/>
        </w:rPr>
        <w:t>de energiebelastingtarieven op elektriciteit zijn gedaald</w:t>
      </w:r>
      <w:r>
        <w:rPr>
          <w:szCs w:val="18"/>
        </w:rPr>
        <w:t xml:space="preserve"> en de energiebelastingtarieven op aardgas gestegen terwijl </w:t>
      </w:r>
      <w:r w:rsidRPr="007209F1">
        <w:rPr>
          <w:szCs w:val="18"/>
        </w:rPr>
        <w:t xml:space="preserve">het gasverbruik fors </w:t>
      </w:r>
      <w:r>
        <w:rPr>
          <w:szCs w:val="18"/>
        </w:rPr>
        <w:t xml:space="preserve">is </w:t>
      </w:r>
      <w:r w:rsidRPr="007209F1">
        <w:rPr>
          <w:szCs w:val="18"/>
        </w:rPr>
        <w:t xml:space="preserve">afgenomen. </w:t>
      </w:r>
      <w:bookmarkEnd w:id="1"/>
      <w:r>
        <w:rPr>
          <w:szCs w:val="18"/>
        </w:rPr>
        <w:t xml:space="preserve">Dit maakt dat de totale betaalde energiebelasting voor een gemiddeld huishouden de afgelopen jaren is gedaald. </w:t>
      </w:r>
      <w:r w:rsidRPr="007209F1">
        <w:rPr>
          <w:szCs w:val="18"/>
        </w:rPr>
        <w:t xml:space="preserve">Voor 2025 is eerder al in wetgeving een verlaging van de energiebelasting op elektriciteit vastgelegd. Daarnaast heeft het kabinet de energiebelasting op aardgas voor 2025 verlaagd. </w:t>
      </w:r>
    </w:p>
    <w:p w:rsidRPr="007209F1" w:rsidR="00851105" w:rsidP="003F7413" w:rsidRDefault="00851105" w14:paraId="3A3815A9" w14:textId="77777777">
      <w:pPr>
        <w:rPr>
          <w:szCs w:val="18"/>
        </w:rPr>
      </w:pPr>
    </w:p>
    <w:p w:rsidR="00851105" w:rsidP="003F7413" w:rsidRDefault="00851105" w14:paraId="17FB79EA" w14:textId="77777777">
      <w:pPr>
        <w:rPr>
          <w:szCs w:val="18"/>
        </w:rPr>
      </w:pPr>
      <w:r w:rsidRPr="007209F1">
        <w:rPr>
          <w:szCs w:val="18"/>
        </w:rPr>
        <w:t>De totale energiebelasting maakte in 2025 ongeveer 9% uit van de energierekening (excl. btw) bij een gemiddeld verbruik van 900 m</w:t>
      </w:r>
      <w:r w:rsidRPr="007209F1">
        <w:rPr>
          <w:szCs w:val="18"/>
          <w:vertAlign w:val="superscript"/>
        </w:rPr>
        <w:t>3</w:t>
      </w:r>
      <w:r w:rsidRPr="007209F1">
        <w:rPr>
          <w:szCs w:val="18"/>
        </w:rPr>
        <w:t xml:space="preserve"> aardgas en 1.920 kWh elektriciteit.</w:t>
      </w:r>
      <w:r w:rsidRPr="007209F1">
        <w:rPr>
          <w:rStyle w:val="Voetnootmarkering"/>
          <w:szCs w:val="18"/>
        </w:rPr>
        <w:footnoteReference w:id="10"/>
      </w:r>
      <w:r w:rsidRPr="007209F1">
        <w:rPr>
          <w:szCs w:val="18"/>
        </w:rPr>
        <w:t xml:space="preserve"> In d</w:t>
      </w:r>
      <w:r>
        <w:rPr>
          <w:szCs w:val="18"/>
        </w:rPr>
        <w:t>e periode 2025-2030 blijft het aandeel van de energiebelasting rond de 10%.</w:t>
      </w:r>
    </w:p>
    <w:p w:rsidRPr="007209F1" w:rsidR="00851105" w:rsidP="003F7413" w:rsidRDefault="00851105" w14:paraId="7E86FEDA" w14:textId="77777777">
      <w:pPr>
        <w:rPr>
          <w:szCs w:val="18"/>
        </w:rPr>
      </w:pPr>
    </w:p>
    <w:p w:rsidR="00851105" w:rsidP="003F7413" w:rsidRDefault="00851105" w14:paraId="2580D462" w14:textId="0C8D6269">
      <w:pPr>
        <w:rPr>
          <w:szCs w:val="18"/>
        </w:rPr>
      </w:pPr>
      <w:r w:rsidRPr="007209F1">
        <w:rPr>
          <w:szCs w:val="18"/>
        </w:rPr>
        <w:t>Consumenten betalen energiebelasting per m</w:t>
      </w:r>
      <w:r w:rsidRPr="007209F1">
        <w:rPr>
          <w:szCs w:val="18"/>
          <w:vertAlign w:val="superscript"/>
        </w:rPr>
        <w:t>3</w:t>
      </w:r>
      <w:r w:rsidRPr="007209F1">
        <w:rPr>
          <w:szCs w:val="18"/>
        </w:rPr>
        <w:t xml:space="preserve"> aardgas. In 2025 bedraagt het tarief circa 58 cent per m</w:t>
      </w:r>
      <w:r w:rsidRPr="007209F1">
        <w:rPr>
          <w:szCs w:val="18"/>
          <w:vertAlign w:val="superscript"/>
        </w:rPr>
        <w:t>3</w:t>
      </w:r>
      <w:r w:rsidRPr="007209F1">
        <w:rPr>
          <w:szCs w:val="18"/>
        </w:rPr>
        <w:t xml:space="preserve"> voor het verbruik tot 170.000 m</w:t>
      </w:r>
      <w:r w:rsidRPr="007209F1">
        <w:rPr>
          <w:szCs w:val="18"/>
          <w:vertAlign w:val="superscript"/>
        </w:rPr>
        <w:t>3</w:t>
      </w:r>
      <w:r w:rsidRPr="007209F1">
        <w:rPr>
          <w:szCs w:val="18"/>
        </w:rPr>
        <w:t>. Een gemiddeld huishouden verbruikt circa 900 m</w:t>
      </w:r>
      <w:r w:rsidRPr="007209F1">
        <w:rPr>
          <w:szCs w:val="18"/>
          <w:vertAlign w:val="superscript"/>
        </w:rPr>
        <w:t>3</w:t>
      </w:r>
      <w:r>
        <w:rPr>
          <w:szCs w:val="18"/>
        </w:rPr>
        <w:t xml:space="preserve"> per jaar</w:t>
      </w:r>
      <w:r w:rsidRPr="007209F1">
        <w:rPr>
          <w:szCs w:val="18"/>
        </w:rPr>
        <w:t xml:space="preserve">. Dit tarief is relatief hoog vergeleken met de tarieven in andere EU-lidstaten. Het </w:t>
      </w:r>
      <w:r w:rsidR="00DD4A5B">
        <w:rPr>
          <w:szCs w:val="18"/>
        </w:rPr>
        <w:t xml:space="preserve">effectieve </w:t>
      </w:r>
      <w:r w:rsidRPr="007209F1">
        <w:rPr>
          <w:szCs w:val="18"/>
        </w:rPr>
        <w:t>energiebelastingtarief dat de Nederlandse consument uiteindelijk per m</w:t>
      </w:r>
      <w:r w:rsidRPr="007209F1">
        <w:rPr>
          <w:szCs w:val="18"/>
          <w:vertAlign w:val="superscript"/>
        </w:rPr>
        <w:t>3</w:t>
      </w:r>
      <w:r w:rsidRPr="007209F1">
        <w:rPr>
          <w:szCs w:val="18"/>
        </w:rPr>
        <w:t xml:space="preserve"> aardgas betaalt, ligt evenwel aanmerkelijk lager dan 58 cent per m</w:t>
      </w:r>
      <w:r w:rsidRPr="007209F1">
        <w:rPr>
          <w:szCs w:val="18"/>
          <w:vertAlign w:val="superscript"/>
        </w:rPr>
        <w:t>3</w:t>
      </w:r>
      <w:r w:rsidRPr="007209F1">
        <w:rPr>
          <w:szCs w:val="18"/>
        </w:rPr>
        <w:t>. Dat komt door de belastingvermindering die als vast bedrag in mindering wordt gebracht op de energierekening. Andere EU-lidstaten kennen die vermindering niet. De vermindering bedraagt in 2025 €</w:t>
      </w:r>
      <w:r w:rsidR="003F7413">
        <w:rPr>
          <w:szCs w:val="18"/>
        </w:rPr>
        <w:t> </w:t>
      </w:r>
      <w:r w:rsidRPr="007209F1">
        <w:rPr>
          <w:szCs w:val="18"/>
        </w:rPr>
        <w:t xml:space="preserve">524,95 (excl. btw). Als </w:t>
      </w:r>
      <w:r>
        <w:rPr>
          <w:szCs w:val="18"/>
        </w:rPr>
        <w:t xml:space="preserve">50% van </w:t>
      </w:r>
      <w:r w:rsidRPr="007209F1">
        <w:rPr>
          <w:szCs w:val="18"/>
        </w:rPr>
        <w:t>de belastingvermindering wordt toegepast op het aardgas</w:t>
      </w:r>
      <w:r>
        <w:rPr>
          <w:szCs w:val="18"/>
        </w:rPr>
        <w:t>deel</w:t>
      </w:r>
      <w:r w:rsidRPr="007209F1">
        <w:rPr>
          <w:szCs w:val="18"/>
        </w:rPr>
        <w:t xml:space="preserve"> </w:t>
      </w:r>
      <w:r>
        <w:rPr>
          <w:szCs w:val="18"/>
        </w:rPr>
        <w:t>van</w:t>
      </w:r>
      <w:r w:rsidRPr="007209F1">
        <w:rPr>
          <w:szCs w:val="18"/>
        </w:rPr>
        <w:t xml:space="preserve"> de energierekening</w:t>
      </w:r>
      <w:r>
        <w:rPr>
          <w:szCs w:val="18"/>
        </w:rPr>
        <w:t>,</w:t>
      </w:r>
      <w:r w:rsidRPr="007209F1">
        <w:rPr>
          <w:szCs w:val="18"/>
        </w:rPr>
        <w:t xml:space="preserve"> bedraagt het effectieve energiebelastingtarief</w:t>
      </w:r>
      <w:r>
        <w:rPr>
          <w:szCs w:val="18"/>
        </w:rPr>
        <w:t xml:space="preserve"> voor aardgas</w:t>
      </w:r>
      <w:r w:rsidRPr="007209F1">
        <w:rPr>
          <w:szCs w:val="18"/>
        </w:rPr>
        <w:t xml:space="preserve"> circa 28 cent per m</w:t>
      </w:r>
      <w:r w:rsidRPr="007209F1">
        <w:rPr>
          <w:szCs w:val="18"/>
          <w:vertAlign w:val="superscript"/>
        </w:rPr>
        <w:t>3</w:t>
      </w:r>
      <w:r w:rsidRPr="007209F1">
        <w:rPr>
          <w:szCs w:val="18"/>
        </w:rPr>
        <w:t xml:space="preserve"> bij een gemiddeld</w:t>
      </w:r>
      <w:r>
        <w:rPr>
          <w:szCs w:val="18"/>
        </w:rPr>
        <w:t xml:space="preserve"> huishouden</w:t>
      </w:r>
      <w:r w:rsidRPr="007209F1">
        <w:rPr>
          <w:szCs w:val="18"/>
        </w:rPr>
        <w:t>.</w:t>
      </w:r>
    </w:p>
    <w:p w:rsidRPr="007209F1" w:rsidR="00851105" w:rsidP="003F7413" w:rsidRDefault="00851105" w14:paraId="1A1FE139" w14:textId="77777777">
      <w:pPr>
        <w:rPr>
          <w:szCs w:val="18"/>
        </w:rPr>
      </w:pPr>
    </w:p>
    <w:p w:rsidR="00851105" w:rsidP="003F7413" w:rsidRDefault="00851105" w14:paraId="5A608D4A" w14:textId="77777777">
      <w:pPr>
        <w:rPr>
          <w:szCs w:val="18"/>
        </w:rPr>
      </w:pPr>
      <w:r w:rsidRPr="007209F1">
        <w:rPr>
          <w:szCs w:val="18"/>
        </w:rPr>
        <w:t>De energiebelastingtarieven zijn onderdeel van het Nederlandse herstel- en veerkrachtplan (HVP). In het HVP is vastgelegd dat het tarief van de eerste schijf voor gas wordt verhoogd en het tarief van de eerste schijf voor elektriciteit wordt verlaagd</w:t>
      </w:r>
      <w:r>
        <w:rPr>
          <w:szCs w:val="18"/>
        </w:rPr>
        <w:t>.</w:t>
      </w:r>
      <w:r>
        <w:rPr>
          <w:i/>
          <w:iCs/>
          <w:szCs w:val="18"/>
        </w:rPr>
        <w:t xml:space="preserve"> </w:t>
      </w:r>
      <w:r w:rsidRPr="007209F1">
        <w:rPr>
          <w:szCs w:val="18"/>
        </w:rPr>
        <w:t>Binnen de afspraken van het HVP is het niet mogelijk om de energiebelasting op aardgas (tot 170.000 m</w:t>
      </w:r>
      <w:r w:rsidRPr="007209F1">
        <w:rPr>
          <w:szCs w:val="18"/>
          <w:vertAlign w:val="superscript"/>
        </w:rPr>
        <w:t>3</w:t>
      </w:r>
      <w:r w:rsidRPr="007209F1">
        <w:rPr>
          <w:szCs w:val="18"/>
        </w:rPr>
        <w:t>) verder te verlagen ten opzichte van de wijziging die met het Belastingplan 2025 al is doorgevoerd</w:t>
      </w:r>
      <w:r>
        <w:rPr>
          <w:szCs w:val="18"/>
        </w:rPr>
        <w:t xml:space="preserve"> zonder financiële consequenties</w:t>
      </w:r>
      <w:r w:rsidRPr="007209F1">
        <w:rPr>
          <w:szCs w:val="18"/>
        </w:rPr>
        <w:t>.</w:t>
      </w:r>
      <w:r>
        <w:rPr>
          <w:szCs w:val="18"/>
        </w:rPr>
        <w:t xml:space="preserve"> </w:t>
      </w:r>
      <w:r w:rsidRPr="00F43DEF">
        <w:rPr>
          <w:szCs w:val="18"/>
        </w:rPr>
        <w:t>Afwijken van de in het HVP vastgelegde afspraken kan leiden tot een korting die kan oplopen tot € 600 miljoen per mijlpaal.</w:t>
      </w:r>
    </w:p>
    <w:p w:rsidRPr="007209F1" w:rsidR="00035110" w:rsidP="003F7413" w:rsidRDefault="00035110" w14:paraId="6C0E12C5" w14:textId="77777777">
      <w:pPr>
        <w:rPr>
          <w:szCs w:val="18"/>
        </w:rPr>
      </w:pPr>
    </w:p>
    <w:p w:rsidR="00851105" w:rsidP="003F7413" w:rsidRDefault="00851105" w14:paraId="451939FB" w14:textId="30CAFDF9">
      <w:pPr>
        <w:rPr>
          <w:szCs w:val="18"/>
        </w:rPr>
      </w:pPr>
      <w:r w:rsidRPr="007209F1">
        <w:rPr>
          <w:szCs w:val="18"/>
        </w:rPr>
        <w:t>Op de energierekening is het algemene btw tarief van 21% van toepassing. Dat geldt dus ook voor het deel van de energierekening dat door aardgas wordt bepaald: de vaste leveringskosten, de netbeheertarieven, de variabele leveringskosten en de energiebelasting.</w:t>
      </w:r>
      <w:r>
        <w:rPr>
          <w:szCs w:val="18"/>
        </w:rPr>
        <w:t xml:space="preserve"> </w:t>
      </w:r>
      <w:r w:rsidRPr="007209F1">
        <w:rPr>
          <w:szCs w:val="18"/>
        </w:rPr>
        <w:t>Het is op basis van Europese regelgeving juridisch mogelijk om in plaats van het algemene btw</w:t>
      </w:r>
      <w:r w:rsidRPr="007209F1">
        <w:rPr>
          <w:szCs w:val="18"/>
        </w:rPr>
        <w:noBreakHyphen/>
        <w:t>tarief (nu 21%) tijdelijk een verlaagd btw</w:t>
      </w:r>
      <w:r w:rsidRPr="007209F1">
        <w:rPr>
          <w:szCs w:val="18"/>
        </w:rPr>
        <w:noBreakHyphen/>
        <w:t>tarief (nu 9%) op de levering van aardgas toe te passen.</w:t>
      </w:r>
      <w:r w:rsidRPr="007209F1">
        <w:rPr>
          <w:rStyle w:val="Voetnootmarkering"/>
          <w:szCs w:val="18"/>
        </w:rPr>
        <w:footnoteReference w:id="11"/>
      </w:r>
      <w:r w:rsidRPr="007209F1">
        <w:rPr>
          <w:szCs w:val="18"/>
        </w:rPr>
        <w:t xml:space="preserve"> Een verlaging op aardgas is alleen tijdelijk mogelijk omdat de btw</w:t>
      </w:r>
      <w:r w:rsidRPr="007209F1">
        <w:rPr>
          <w:szCs w:val="18"/>
        </w:rPr>
        <w:noBreakHyphen/>
        <w:t>richtlijn daarop geen verlaagd btw</w:t>
      </w:r>
      <w:r w:rsidRPr="007209F1">
        <w:rPr>
          <w:szCs w:val="18"/>
        </w:rPr>
        <w:noBreakHyphen/>
        <w:t xml:space="preserve">tarief meer toestaat vanaf 1 januari 2030. Een eventuele tijdelijke verlaging </w:t>
      </w:r>
      <w:r w:rsidR="00DD4A5B">
        <w:rPr>
          <w:szCs w:val="18"/>
        </w:rPr>
        <w:t>zou</w:t>
      </w:r>
      <w:r w:rsidRPr="007209F1" w:rsidR="00DD4A5B">
        <w:rPr>
          <w:szCs w:val="18"/>
        </w:rPr>
        <w:t xml:space="preserve"> </w:t>
      </w:r>
      <w:r w:rsidRPr="007209F1">
        <w:rPr>
          <w:szCs w:val="18"/>
        </w:rPr>
        <w:t>gepaard gaan met een stijging van de administratieve- en uitvoeringslasten, onder meer door het treffen van overgangsmaatregelen in verband met na- en vooruitbetalingen rondom het tijdstip van wijziging.</w:t>
      </w:r>
    </w:p>
    <w:p w:rsidRPr="007209F1" w:rsidR="00851105" w:rsidP="003F7413" w:rsidRDefault="00851105" w14:paraId="473873CD" w14:textId="77777777">
      <w:pPr>
        <w:rPr>
          <w:szCs w:val="18"/>
        </w:rPr>
      </w:pPr>
    </w:p>
    <w:p w:rsidR="00851105" w:rsidP="003F7413" w:rsidRDefault="00851105" w14:paraId="73D233D0" w14:textId="6F802AF1">
      <w:pPr>
        <w:rPr>
          <w:szCs w:val="18"/>
        </w:rPr>
      </w:pPr>
      <w:r w:rsidRPr="007209F1">
        <w:rPr>
          <w:szCs w:val="18"/>
        </w:rPr>
        <w:t>De totale inkomsten uit de energiebelasting op aardgas waren in 2024 €</w:t>
      </w:r>
      <w:r>
        <w:rPr>
          <w:szCs w:val="18"/>
        </w:rPr>
        <w:t xml:space="preserve"> </w:t>
      </w:r>
      <w:r w:rsidRPr="007209F1">
        <w:rPr>
          <w:szCs w:val="18"/>
        </w:rPr>
        <w:t>6 miljard. De inkomsten uit de energiebelasting op elektriciteit bedroegen € 4,1 miljard. De belastingvermindering van in totaal € 4,6 miljard moet in mindering worden gebracht op die inkomsten. Daarmee komen de netto-inkomsten in 2024 op €</w:t>
      </w:r>
      <w:r w:rsidR="003F7413">
        <w:rPr>
          <w:szCs w:val="18"/>
        </w:rPr>
        <w:t> </w:t>
      </w:r>
      <w:r w:rsidRPr="007209F1">
        <w:rPr>
          <w:szCs w:val="18"/>
        </w:rPr>
        <w:t>5,5</w:t>
      </w:r>
      <w:r w:rsidR="003F7413">
        <w:rPr>
          <w:szCs w:val="18"/>
        </w:rPr>
        <w:t> </w:t>
      </w:r>
      <w:r w:rsidRPr="007209F1">
        <w:rPr>
          <w:szCs w:val="18"/>
        </w:rPr>
        <w:t>miljard. De totale btw-inkomsten uit energie waren in 2024 naar schatting €</w:t>
      </w:r>
      <w:r w:rsidR="003F7413">
        <w:rPr>
          <w:szCs w:val="18"/>
        </w:rPr>
        <w:t> </w:t>
      </w:r>
      <w:r w:rsidRPr="007209F1">
        <w:rPr>
          <w:szCs w:val="18"/>
        </w:rPr>
        <w:t>3,4</w:t>
      </w:r>
      <w:r w:rsidR="003F7413">
        <w:rPr>
          <w:szCs w:val="18"/>
        </w:rPr>
        <w:t> </w:t>
      </w:r>
      <w:r w:rsidRPr="007209F1">
        <w:rPr>
          <w:szCs w:val="18"/>
        </w:rPr>
        <w:t xml:space="preserve">miljard. De inkomsten uit btw specifiek op aardgas zijn niet in beeld. </w:t>
      </w:r>
    </w:p>
    <w:p w:rsidR="00851105" w:rsidP="003F7413" w:rsidRDefault="00851105" w14:paraId="12514497" w14:textId="77777777">
      <w:pPr>
        <w:rPr>
          <w:szCs w:val="18"/>
        </w:rPr>
      </w:pPr>
    </w:p>
    <w:bookmarkEnd w:id="0"/>
    <w:p w:rsidRPr="007209F1" w:rsidR="004D27E1" w:rsidP="003F7413" w:rsidRDefault="004D27E1" w14:paraId="6DC88B40" w14:textId="77777777">
      <w:pPr>
        <w:rPr>
          <w:szCs w:val="18"/>
        </w:rPr>
      </w:pPr>
      <w:r w:rsidRPr="007209F1">
        <w:rPr>
          <w:szCs w:val="18"/>
        </w:rPr>
        <w:t xml:space="preserve">In algemene zin geldt dat het verhogen van </w:t>
      </w:r>
      <w:proofErr w:type="spellStart"/>
      <w:r w:rsidRPr="007209F1">
        <w:rPr>
          <w:szCs w:val="18"/>
        </w:rPr>
        <w:t>productgebonden</w:t>
      </w:r>
      <w:proofErr w:type="spellEnd"/>
      <w:r w:rsidRPr="007209F1">
        <w:rPr>
          <w:szCs w:val="18"/>
        </w:rPr>
        <w:t xml:space="preserve"> belastingen als energiebelasting en btw zorgt voor een hogere inflatie. Bijvoorbeeld, een verhoging van de btw wordt voor een deel doorberekend in de prijs die consumenten betalen. Dit betekent dat bij een verhoging van de btw de consumentenprijzen stijgen </w:t>
      </w:r>
      <w:r w:rsidRPr="00343357">
        <w:rPr>
          <w:szCs w:val="18"/>
        </w:rPr>
        <w:t>en</w:t>
      </w:r>
      <w:r w:rsidRPr="007209F1">
        <w:rPr>
          <w:szCs w:val="18"/>
        </w:rPr>
        <w:t xml:space="preserve"> er dus inflatie optreedt. Hetzelfde geldt </w:t>
      </w:r>
      <w:r>
        <w:rPr>
          <w:szCs w:val="18"/>
        </w:rPr>
        <w:t xml:space="preserve">voor </w:t>
      </w:r>
      <w:r w:rsidRPr="007209F1">
        <w:rPr>
          <w:szCs w:val="18"/>
        </w:rPr>
        <w:t>een ver</w:t>
      </w:r>
      <w:r>
        <w:rPr>
          <w:szCs w:val="18"/>
        </w:rPr>
        <w:t>hoging</w:t>
      </w:r>
      <w:r w:rsidRPr="007209F1">
        <w:rPr>
          <w:szCs w:val="18"/>
        </w:rPr>
        <w:t xml:space="preserve"> van </w:t>
      </w:r>
      <w:proofErr w:type="spellStart"/>
      <w:r w:rsidRPr="007209F1">
        <w:rPr>
          <w:szCs w:val="18"/>
        </w:rPr>
        <w:t>productgebonden</w:t>
      </w:r>
      <w:proofErr w:type="spellEnd"/>
      <w:r w:rsidRPr="007209F1">
        <w:rPr>
          <w:szCs w:val="18"/>
        </w:rPr>
        <w:t xml:space="preserve"> belastingen</w:t>
      </w:r>
      <w:r>
        <w:rPr>
          <w:szCs w:val="18"/>
        </w:rPr>
        <w:t xml:space="preserve"> als energiebelasting</w:t>
      </w:r>
      <w:r w:rsidRPr="007209F1">
        <w:rPr>
          <w:szCs w:val="18"/>
        </w:rPr>
        <w:t>. Uit cijfers van het CBS</w:t>
      </w:r>
      <w:r>
        <w:rPr>
          <w:rStyle w:val="Voetnootmarkering"/>
          <w:szCs w:val="18"/>
        </w:rPr>
        <w:footnoteReference w:id="12"/>
      </w:r>
      <w:r w:rsidRPr="007209F1">
        <w:rPr>
          <w:szCs w:val="18"/>
        </w:rPr>
        <w:t xml:space="preserve"> blijkt dat </w:t>
      </w:r>
      <w:proofErr w:type="spellStart"/>
      <w:r w:rsidRPr="007209F1">
        <w:rPr>
          <w:szCs w:val="18"/>
        </w:rPr>
        <w:t>productgebonden</w:t>
      </w:r>
      <w:proofErr w:type="spellEnd"/>
      <w:r w:rsidRPr="007209F1">
        <w:rPr>
          <w:szCs w:val="18"/>
        </w:rPr>
        <w:t xml:space="preserve"> belastingen en subsidies 0,9 procentpunt hebben bijgedragen aan inflatie. Hiervan was een zeer klein deel van 0,03 procentpunt het gevolg van aanpassingen in de energiebelasting.</w:t>
      </w:r>
    </w:p>
    <w:p w:rsidRPr="007209F1" w:rsidR="00035110" w:rsidP="003F7413" w:rsidRDefault="00035110" w14:paraId="2DE5CFAC" w14:textId="77777777">
      <w:pPr>
        <w:rPr>
          <w:szCs w:val="18"/>
        </w:rPr>
      </w:pPr>
    </w:p>
    <w:p w:rsidR="00D00C4C" w:rsidP="003F7413" w:rsidRDefault="00851105" w14:paraId="10C34EF8" w14:textId="77777777">
      <w:pPr>
        <w:pStyle w:val="Geenafstand"/>
        <w:spacing w:line="240" w:lineRule="atLeast"/>
        <w:rPr>
          <w:rFonts w:ascii="Verdana" w:hAnsi="Verdana"/>
          <w:sz w:val="18"/>
          <w:szCs w:val="18"/>
        </w:rPr>
      </w:pPr>
      <w:r>
        <w:rPr>
          <w:rFonts w:ascii="Verdana" w:hAnsi="Verdana"/>
          <w:sz w:val="18"/>
          <w:szCs w:val="18"/>
        </w:rPr>
        <w:t>4</w:t>
      </w:r>
    </w:p>
    <w:p w:rsidR="00851105" w:rsidP="003F7413" w:rsidRDefault="00851105" w14:paraId="33A51C8C" w14:textId="69698940">
      <w:pPr>
        <w:pStyle w:val="Geenafstand"/>
        <w:spacing w:line="240" w:lineRule="atLeast"/>
        <w:rPr>
          <w:rFonts w:ascii="Verdana" w:hAnsi="Verdana" w:eastAsia="Verdana" w:cs="Verdana"/>
          <w:sz w:val="18"/>
          <w:szCs w:val="18"/>
        </w:rPr>
      </w:pPr>
      <w:r w:rsidRPr="00887F38">
        <w:rPr>
          <w:rFonts w:ascii="Verdana" w:hAnsi="Verdana"/>
          <w:sz w:val="18"/>
          <w:szCs w:val="18"/>
        </w:rPr>
        <w:t>Hoe</w:t>
      </w:r>
      <w:r w:rsidRPr="007209F1">
        <w:rPr>
          <w:rFonts w:ascii="Verdana" w:hAnsi="Verdana"/>
          <w:sz w:val="18"/>
          <w:szCs w:val="18"/>
        </w:rPr>
        <w:t xml:space="preserve"> oordeelt u over het functioneren van het noodfonds energie? Hoeveel mensen zijn hiermee geholpen en wat was hiervan het budgettaire belang? Vindt u ook, gezien deze relevantie voor het publieke belang, dat het redelijkerwijs verlangd kan worden van private partijen dat zij hun medewerking voorzetten?</w:t>
      </w:r>
      <w:r w:rsidRPr="007209F1">
        <w:rPr>
          <w:rFonts w:ascii="Verdana" w:hAnsi="Verdana"/>
          <w:sz w:val="18"/>
          <w:szCs w:val="18"/>
        </w:rPr>
        <w:br/>
      </w:r>
    </w:p>
    <w:p w:rsidRPr="007209F1" w:rsidR="00D00C4C" w:rsidP="003F7413" w:rsidRDefault="00D00C4C" w14:paraId="153A5BA6" w14:textId="77777777">
      <w:pPr>
        <w:rPr>
          <w:szCs w:val="18"/>
        </w:rPr>
      </w:pPr>
      <w:r>
        <w:rPr>
          <w:szCs w:val="18"/>
        </w:rPr>
        <w:t>Antwoord</w:t>
      </w:r>
    </w:p>
    <w:p w:rsidR="00851105" w:rsidP="003F7413" w:rsidRDefault="00851105" w14:paraId="6044FBC0" w14:textId="77777777">
      <w:pPr>
        <w:rPr>
          <w:rFonts w:eastAsia="Verdana" w:cs="Verdana"/>
          <w:szCs w:val="18"/>
        </w:rPr>
      </w:pPr>
      <w:r w:rsidRPr="007209F1">
        <w:rPr>
          <w:rFonts w:eastAsia="Verdana" w:cs="Verdana"/>
          <w:szCs w:val="18"/>
        </w:rPr>
        <w:t>Het Tijdelijk Noodfonds Energie (TNE) heeft in 2023 en in 2024 steun geboden aan huishoudens in energiearmoede. Huishoudens met een laag inkomen (tot 200% van het sociaal minimum) en een hoge energierekening kwamen in aanmerking voor steun. In 2024 zijn 110.937 aanvragen goedgekeurd met een gemiddeld steunbedrag van € 97 per maand voor 6 maanden. Het aantal aanvragen en goedgekeurde aanvragen is ruim verdubbeld ten opzichte van de eerste editie van het Noodfonds in 2023.</w:t>
      </w:r>
    </w:p>
    <w:p w:rsidRPr="007209F1" w:rsidR="00115EFD" w:rsidP="003F7413" w:rsidRDefault="00115EFD" w14:paraId="3DD23D37" w14:textId="77777777">
      <w:pPr>
        <w:rPr>
          <w:szCs w:val="18"/>
        </w:rPr>
      </w:pPr>
    </w:p>
    <w:p w:rsidRPr="007209F1" w:rsidR="00851105" w:rsidP="003F7413" w:rsidRDefault="00851105" w14:paraId="517AED3C" w14:textId="3F776FB4">
      <w:pPr>
        <w:rPr>
          <w:szCs w:val="18"/>
        </w:rPr>
      </w:pPr>
      <w:r w:rsidRPr="007209F1">
        <w:rPr>
          <w:rFonts w:eastAsia="Verdana" w:cs="Verdana"/>
          <w:szCs w:val="18"/>
        </w:rPr>
        <w:t xml:space="preserve">Een deel van de huishoudens in Nederland heeft op dit moment nog steeds moeite met het betalen van de energierekening en het krijgen van grip op de hoogte hiervan. De prijzen op de energiemarkt zijn de afgelopen tijd gestabiliseerd, maar tegelijkertijd liggen de prijzen structureel hoger dan voor de Russische invasie in Oekraïne. Daarom </w:t>
      </w:r>
      <w:r w:rsidR="004C15D1">
        <w:rPr>
          <w:rFonts w:eastAsia="Verdana" w:cs="Verdana"/>
          <w:szCs w:val="18"/>
        </w:rPr>
        <w:t>werkt het</w:t>
      </w:r>
      <w:r w:rsidRPr="007209F1">
        <w:rPr>
          <w:rFonts w:eastAsia="Verdana" w:cs="Verdana"/>
          <w:szCs w:val="18"/>
        </w:rPr>
        <w:t xml:space="preserve"> kabinet aan de betaalbaarheid van de energierekening en een rechtvaardige energietransitie om problemen voor veel huishoudens te verminderen. Het is cruciaal dat de energietransitie niet ten koste gaat van mensen met een kleine beurs. </w:t>
      </w:r>
    </w:p>
    <w:p w:rsidRPr="007209F1" w:rsidR="00851105" w:rsidP="003F7413" w:rsidRDefault="00A842B6" w14:paraId="73EBF3A1" w14:textId="27E3583E">
      <w:pPr>
        <w:rPr>
          <w:szCs w:val="18"/>
        </w:rPr>
      </w:pPr>
      <w:r>
        <w:rPr>
          <w:rFonts w:eastAsia="Verdana" w:cs="Verdana"/>
          <w:szCs w:val="18"/>
        </w:rPr>
        <w:br/>
      </w:r>
      <w:r w:rsidRPr="007209F1" w:rsidR="00851105">
        <w:rPr>
          <w:rFonts w:eastAsia="Verdana" w:cs="Verdana"/>
          <w:szCs w:val="18"/>
        </w:rPr>
        <w:t xml:space="preserve">Het Noodfonds heeft in 2023 en 2024 aangetoond dat zij de doelgroep die steun op de energierekening nodig heeft, goed kan bereiken. Daarom zijn de energiesector en het kabinet opnieuw met elkaar om de tafel gegaan. Naast een financiële bijdrage van een aantal energieleveranciers ten behoeve van de uitvoeringskosten hebben de netbeheerders een welwillende grondhouding getoond om ook financieel bij te dragen aan deze uitvoeringskosten tot een maximum van € 4,35 miljoen. De totale uitvoeringskosten bedragen € 10,70 miljoen. Daarmee worden de uitvoeringskosten volledig gedekt door de energiesector. Een officieel besluit van de netbeheerders </w:t>
      </w:r>
      <w:r w:rsidRPr="00AC0962" w:rsidR="00851105">
        <w:rPr>
          <w:rFonts w:eastAsia="Verdana" w:cs="Verdana"/>
          <w:szCs w:val="18"/>
        </w:rPr>
        <w:t>moet nog worden genomen conform de geëigende procedures van de betrokken bedrijven en zal in de komende weken volgen</w:t>
      </w:r>
      <w:r w:rsidR="00851105">
        <w:rPr>
          <w:rFonts w:eastAsia="Verdana" w:cs="Verdana"/>
          <w:szCs w:val="18"/>
        </w:rPr>
        <w:t>.</w:t>
      </w:r>
    </w:p>
    <w:p w:rsidR="00F64978" w:rsidP="003F7413" w:rsidRDefault="00F64978" w14:paraId="17D18FA3" w14:textId="77777777">
      <w:pPr>
        <w:rPr>
          <w:szCs w:val="18"/>
        </w:rPr>
      </w:pPr>
    </w:p>
    <w:p w:rsidR="00D00C4C" w:rsidP="003F7413" w:rsidRDefault="00851105" w14:paraId="17F8E904" w14:textId="3174AD3F">
      <w:pPr>
        <w:rPr>
          <w:szCs w:val="18"/>
        </w:rPr>
      </w:pPr>
      <w:r>
        <w:rPr>
          <w:szCs w:val="18"/>
        </w:rPr>
        <w:t>5</w:t>
      </w:r>
    </w:p>
    <w:p w:rsidR="00851105" w:rsidP="003F7413" w:rsidRDefault="00851105" w14:paraId="3DEE69B7" w14:textId="4097BB4A">
      <w:pPr>
        <w:rPr>
          <w:szCs w:val="18"/>
        </w:rPr>
      </w:pPr>
      <w:r w:rsidRPr="007209F1">
        <w:rPr>
          <w:szCs w:val="18"/>
        </w:rPr>
        <w:t xml:space="preserve">Ziet u nu in navolging van de EC dat bedrijven in de gassector doelbewust de prijzen hoog houden om meer winst te maken? Wat doet dit met uw eerdere analyses over het fenomeen van </w:t>
      </w:r>
      <w:proofErr w:type="spellStart"/>
      <w:r w:rsidRPr="007209F1">
        <w:rPr>
          <w:szCs w:val="18"/>
        </w:rPr>
        <w:t>winstgedreven</w:t>
      </w:r>
      <w:proofErr w:type="spellEnd"/>
      <w:r w:rsidRPr="007209F1">
        <w:rPr>
          <w:szCs w:val="18"/>
        </w:rPr>
        <w:t xml:space="preserve"> inflatie?</w:t>
      </w:r>
    </w:p>
    <w:p w:rsidRPr="007209F1" w:rsidR="00851105" w:rsidP="003F7413" w:rsidRDefault="00851105" w14:paraId="4943D3A0" w14:textId="77777777">
      <w:pPr>
        <w:rPr>
          <w:szCs w:val="18"/>
        </w:rPr>
      </w:pPr>
    </w:p>
    <w:p w:rsidR="00D00C4C" w:rsidP="003F7413" w:rsidRDefault="00851105" w14:paraId="52A87BAF" w14:textId="77777777">
      <w:pPr>
        <w:rPr>
          <w:szCs w:val="18"/>
        </w:rPr>
      </w:pPr>
      <w:r>
        <w:rPr>
          <w:szCs w:val="18"/>
        </w:rPr>
        <w:t>6</w:t>
      </w:r>
    </w:p>
    <w:p w:rsidR="00851105" w:rsidP="003F7413" w:rsidRDefault="00851105" w14:paraId="7E5A5FA1" w14:textId="0BF1B48F">
      <w:pPr>
        <w:rPr>
          <w:szCs w:val="18"/>
        </w:rPr>
      </w:pPr>
      <w:r w:rsidRPr="007209F1">
        <w:rPr>
          <w:szCs w:val="18"/>
        </w:rPr>
        <w:t xml:space="preserve">Kunt u de </w:t>
      </w:r>
      <w:proofErr w:type="spellStart"/>
      <w:r w:rsidRPr="007209F1">
        <w:rPr>
          <w:szCs w:val="18"/>
        </w:rPr>
        <w:t>winstgedreven</w:t>
      </w:r>
      <w:proofErr w:type="spellEnd"/>
      <w:r w:rsidRPr="007209F1">
        <w:rPr>
          <w:szCs w:val="18"/>
        </w:rPr>
        <w:t xml:space="preserve"> inflatie van de gasprijzen in Nederland in kaart brengen? Kunt u daarbij ook opties meenemen om dit aan te pakken met bijbehorende financiële consequenties?</w:t>
      </w:r>
    </w:p>
    <w:p w:rsidR="00851105" w:rsidP="003F7413" w:rsidRDefault="00851105" w14:paraId="25F53084" w14:textId="77777777">
      <w:pPr>
        <w:rPr>
          <w:szCs w:val="18"/>
        </w:rPr>
      </w:pPr>
    </w:p>
    <w:p w:rsidRPr="007209F1" w:rsidR="00851105" w:rsidP="003F7413" w:rsidRDefault="00851105" w14:paraId="096E7E9F" w14:textId="24E0A420">
      <w:pPr>
        <w:rPr>
          <w:szCs w:val="18"/>
        </w:rPr>
      </w:pPr>
      <w:r>
        <w:rPr>
          <w:szCs w:val="18"/>
        </w:rPr>
        <w:t xml:space="preserve">Antwoord </w:t>
      </w:r>
      <w:r w:rsidR="00D00C4C">
        <w:rPr>
          <w:szCs w:val="18"/>
        </w:rPr>
        <w:t>5</w:t>
      </w:r>
      <w:r w:rsidR="009F2D2D">
        <w:rPr>
          <w:szCs w:val="18"/>
        </w:rPr>
        <w:t xml:space="preserve"> </w:t>
      </w:r>
      <w:r w:rsidR="003F7413">
        <w:rPr>
          <w:szCs w:val="18"/>
        </w:rPr>
        <w:t>en</w:t>
      </w:r>
      <w:r w:rsidR="009F2D2D">
        <w:rPr>
          <w:szCs w:val="18"/>
        </w:rPr>
        <w:t xml:space="preserve"> </w:t>
      </w:r>
      <w:r w:rsidR="00D00C4C">
        <w:rPr>
          <w:szCs w:val="18"/>
        </w:rPr>
        <w:t>6</w:t>
      </w:r>
    </w:p>
    <w:p w:rsidR="00851105" w:rsidP="003F7413" w:rsidRDefault="00A842B6" w14:paraId="6C138EA2" w14:textId="7FCC3D49">
      <w:pPr>
        <w:rPr>
          <w:szCs w:val="18"/>
        </w:rPr>
      </w:pPr>
      <w:r>
        <w:rPr>
          <w:szCs w:val="18"/>
        </w:rPr>
        <w:t>Het kabinet</w:t>
      </w:r>
      <w:r w:rsidR="00CB26E2">
        <w:rPr>
          <w:szCs w:val="18"/>
        </w:rPr>
        <w:t xml:space="preserve"> </w:t>
      </w:r>
      <w:r w:rsidRPr="007209F1" w:rsidR="00851105">
        <w:rPr>
          <w:szCs w:val="18"/>
        </w:rPr>
        <w:t>zie</w:t>
      </w:r>
      <w:r>
        <w:rPr>
          <w:szCs w:val="18"/>
        </w:rPr>
        <w:t>t</w:t>
      </w:r>
      <w:r w:rsidRPr="007209F1" w:rsidR="00851105">
        <w:rPr>
          <w:szCs w:val="18"/>
        </w:rPr>
        <w:t xml:space="preserve"> geen bewuste tactiek van de gassector om de prijzen hoog te houden om zodoende meer winst te behalen. Gasprijzen komen in een complexe dynamiek van vraag en aanbod tot stand. De stijging van de gasprijzen op de groothandelsmarkt zoals deze zijn waargenomen begin februari 2025 h</w:t>
      </w:r>
      <w:r w:rsidR="00ED3FBD">
        <w:rPr>
          <w:szCs w:val="18"/>
        </w:rPr>
        <w:t>adden</w:t>
      </w:r>
      <w:r w:rsidRPr="007209F1" w:rsidR="00851105">
        <w:rPr>
          <w:szCs w:val="18"/>
        </w:rPr>
        <w:t xml:space="preserve"> hun oorzaak in het koude weer</w:t>
      </w:r>
      <w:r w:rsidR="00ED3FBD">
        <w:rPr>
          <w:szCs w:val="18"/>
        </w:rPr>
        <w:t xml:space="preserve"> en</w:t>
      </w:r>
      <w:r w:rsidRPr="007209F1" w:rsidR="00851105">
        <w:rPr>
          <w:szCs w:val="18"/>
        </w:rPr>
        <w:t xml:space="preserve"> concurrentie met Azië om de beschikbare LNG-volumes. Ondertussen is een daling van de gasprijs zichtbaar, mede naar aanleiding van de warmere weerverwachtingen in Europa. De verwachting is dat per 2026 meer LNG op de wereldmarkt komt, waarmee de prijzen voor gas verder zullen dalen. Dit is ook zichtbaar op de prijsverwachting op de termijnmarkten, waar de prijzen voor levering in 2026 een stuk lager liggen dan levering voor komende maand.</w:t>
      </w:r>
      <w:r w:rsidR="00851105">
        <w:rPr>
          <w:szCs w:val="18"/>
        </w:rPr>
        <w:t xml:space="preserve"> </w:t>
      </w:r>
    </w:p>
    <w:p w:rsidRPr="007209F1" w:rsidR="00115EFD" w:rsidP="003F7413" w:rsidRDefault="00115EFD" w14:paraId="60BEB3E8" w14:textId="77777777">
      <w:pPr>
        <w:rPr>
          <w:szCs w:val="18"/>
        </w:rPr>
      </w:pPr>
    </w:p>
    <w:p w:rsidRPr="007209F1" w:rsidR="00851105" w:rsidP="003F7413" w:rsidRDefault="00851105" w14:paraId="4553D377" w14:textId="64051FB6">
      <w:pPr>
        <w:rPr>
          <w:szCs w:val="18"/>
        </w:rPr>
      </w:pPr>
      <w:r w:rsidRPr="007209F1">
        <w:rPr>
          <w:szCs w:val="18"/>
        </w:rPr>
        <w:t xml:space="preserve">In het kader van de retailmarkt is het </w:t>
      </w:r>
      <w:r w:rsidR="004C15D1">
        <w:rPr>
          <w:szCs w:val="18"/>
        </w:rPr>
        <w:t>tot slot</w:t>
      </w:r>
      <w:r w:rsidRPr="007209F1" w:rsidR="004C15D1">
        <w:rPr>
          <w:szCs w:val="18"/>
        </w:rPr>
        <w:t xml:space="preserve"> </w:t>
      </w:r>
      <w:r w:rsidRPr="007209F1">
        <w:rPr>
          <w:szCs w:val="18"/>
        </w:rPr>
        <w:t>goed te benoemen dat de ACM eerder onderzoek heeft gedaan bij zes grote energieleveranciers naar de gevoerde consumentenprijzen. De ACM heeft geconcludeerd</w:t>
      </w:r>
      <w:r w:rsidRPr="007209F1">
        <w:rPr>
          <w:rStyle w:val="Voetnootmarkering"/>
          <w:szCs w:val="18"/>
        </w:rPr>
        <w:footnoteReference w:id="13"/>
      </w:r>
      <w:r w:rsidR="004C15D1">
        <w:rPr>
          <w:szCs w:val="18"/>
        </w:rPr>
        <w:t xml:space="preserve"> </w:t>
      </w:r>
      <w:r w:rsidRPr="007209F1">
        <w:rPr>
          <w:rStyle w:val="Voetnootmarkering"/>
          <w:szCs w:val="18"/>
        </w:rPr>
        <w:footnoteReference w:id="14"/>
      </w:r>
      <w:r w:rsidRPr="007209F1">
        <w:rPr>
          <w:szCs w:val="18"/>
        </w:rPr>
        <w:t xml:space="preserve"> dat </w:t>
      </w:r>
      <w:r>
        <w:rPr>
          <w:szCs w:val="18"/>
        </w:rPr>
        <w:t>deze leveranciers</w:t>
      </w:r>
      <w:r w:rsidRPr="007209F1">
        <w:rPr>
          <w:szCs w:val="18"/>
        </w:rPr>
        <w:t xml:space="preserve"> geen onredelijke prijzen hebben gevoerd in de periode dat inkoopprijzen (extreem) hoog waren. </w:t>
      </w:r>
    </w:p>
    <w:p w:rsidR="00035110" w:rsidP="003F7413" w:rsidRDefault="00035110" w14:paraId="34EC454B" w14:textId="77777777">
      <w:pPr>
        <w:rPr>
          <w:szCs w:val="18"/>
        </w:rPr>
      </w:pPr>
    </w:p>
    <w:p w:rsidR="00035110" w:rsidP="003F7413" w:rsidRDefault="00851105" w14:paraId="47BC0F00" w14:textId="77777777">
      <w:pPr>
        <w:rPr>
          <w:szCs w:val="18"/>
        </w:rPr>
      </w:pPr>
      <w:r>
        <w:rPr>
          <w:szCs w:val="18"/>
        </w:rPr>
        <w:t>7</w:t>
      </w:r>
      <w:r w:rsidR="00D00C4C">
        <w:rPr>
          <w:szCs w:val="18"/>
        </w:rPr>
        <w:t xml:space="preserve"> </w:t>
      </w:r>
    </w:p>
    <w:p w:rsidR="00851105" w:rsidP="003F7413" w:rsidRDefault="00851105" w14:paraId="3F2060BB" w14:textId="0130C9D8">
      <w:pPr>
        <w:rPr>
          <w:szCs w:val="18"/>
        </w:rPr>
      </w:pPr>
      <w:r w:rsidRPr="007209F1">
        <w:rPr>
          <w:szCs w:val="18"/>
        </w:rPr>
        <w:t>Wat gaat u doen om de gasreserves te vullen zonder dat gasbedrijven zich hiermee verrijken over de rug van de belastingbetaler of mensen die in de kou zitten door de hoge gasprijzen?</w:t>
      </w:r>
    </w:p>
    <w:p w:rsidR="00851105" w:rsidP="003F7413" w:rsidRDefault="00851105" w14:paraId="706B875F" w14:textId="77777777">
      <w:pPr>
        <w:rPr>
          <w:szCs w:val="18"/>
        </w:rPr>
      </w:pPr>
    </w:p>
    <w:p w:rsidRPr="007209F1" w:rsidR="00D00C4C" w:rsidP="003F7413" w:rsidRDefault="00D00C4C" w14:paraId="1CF11A06" w14:textId="77777777">
      <w:pPr>
        <w:rPr>
          <w:szCs w:val="18"/>
        </w:rPr>
      </w:pPr>
      <w:r>
        <w:rPr>
          <w:szCs w:val="18"/>
        </w:rPr>
        <w:t>Antwoord</w:t>
      </w:r>
    </w:p>
    <w:p w:rsidR="00851105" w:rsidP="003F7413" w:rsidRDefault="00851105" w14:paraId="582BCCCF" w14:textId="54D87E04">
      <w:pPr>
        <w:rPr>
          <w:szCs w:val="18"/>
        </w:rPr>
      </w:pPr>
      <w:r w:rsidRPr="007209F1">
        <w:rPr>
          <w:szCs w:val="18"/>
        </w:rPr>
        <w:t>Gasopslagen zijn een belangrijk middel in het Nederlandse en Europese gassysteem. Daarom hecht het kabinet eraan dat er voldoende goed functionerende gasopslagen zijn in Nederland om te voorzien in seizoensopslag, pieklevering en het balanceren van het net en dat deze voldoende gevuld worden</w:t>
      </w:r>
      <w:r w:rsidRPr="007209F1">
        <w:rPr>
          <w:rStyle w:val="Voetnootmarkering"/>
          <w:szCs w:val="18"/>
        </w:rPr>
        <w:footnoteReference w:id="15"/>
      </w:r>
      <w:r w:rsidRPr="007209F1">
        <w:rPr>
          <w:szCs w:val="18"/>
        </w:rPr>
        <w:t xml:space="preserve">. Gasopslagen worden door marktpartijen gebruikt voor diverse doeleinden, onder andere om te voorzien in hun leveringsverplichtingen in </w:t>
      </w:r>
      <w:r w:rsidR="00ED3FBD">
        <w:rPr>
          <w:szCs w:val="18"/>
        </w:rPr>
        <w:t>de</w:t>
      </w:r>
      <w:r w:rsidRPr="007209F1">
        <w:rPr>
          <w:szCs w:val="18"/>
        </w:rPr>
        <w:t xml:space="preserve"> winter (als de gasvraag hoger is dan in de zomer). Het zijn dan ook </w:t>
      </w:r>
      <w:r w:rsidR="00625105">
        <w:rPr>
          <w:szCs w:val="18"/>
        </w:rPr>
        <w:t>primair</w:t>
      </w:r>
      <w:r w:rsidRPr="007209F1" w:rsidR="00625105">
        <w:rPr>
          <w:szCs w:val="18"/>
        </w:rPr>
        <w:t xml:space="preserve"> </w:t>
      </w:r>
      <w:r w:rsidRPr="007209F1">
        <w:rPr>
          <w:szCs w:val="18"/>
        </w:rPr>
        <w:t xml:space="preserve">marktpartijen die gasopslagen vullen. Het blijft voor de gasleveringszekerheid belangrijk dat marktpartijen zeker stellen dat ze aan hun leveringsverplichting kunnen voldoen. In de Energiewet worden regels gesteld voor leveranciers met een vergunning voor de levering aan kleinverbruikers, waaronder dat zij moeten voorzien in een betrouwbare levering. ACM houdt toezicht op de naleving van deze wettelijke verplichtingen. </w:t>
      </w:r>
    </w:p>
    <w:p w:rsidRPr="007209F1" w:rsidR="00035110" w:rsidP="003F7413" w:rsidRDefault="00035110" w14:paraId="08920130" w14:textId="77777777">
      <w:pPr>
        <w:rPr>
          <w:szCs w:val="18"/>
        </w:rPr>
      </w:pPr>
    </w:p>
    <w:p w:rsidR="00D22441" w:rsidP="003F7413" w:rsidRDefault="00851105" w14:paraId="0BFE827C" w14:textId="7DC26E81">
      <w:r w:rsidRPr="007209F1">
        <w:rPr>
          <w:szCs w:val="18"/>
        </w:rPr>
        <w:t xml:space="preserve">In de gascrisis hebben we gezien dat aanvullend overheidsingrijpen </w:t>
      </w:r>
      <w:r w:rsidR="004C15D1">
        <w:rPr>
          <w:szCs w:val="18"/>
        </w:rPr>
        <w:t>nodig</w:t>
      </w:r>
      <w:r w:rsidRPr="007209F1" w:rsidR="004C15D1">
        <w:rPr>
          <w:szCs w:val="18"/>
        </w:rPr>
        <w:t xml:space="preserve"> </w:t>
      </w:r>
      <w:r w:rsidRPr="007209F1">
        <w:rPr>
          <w:szCs w:val="18"/>
        </w:rPr>
        <w:t xml:space="preserve">kan zijn. Daarom heeft het kabinet ook </w:t>
      </w:r>
      <w:r w:rsidR="004C15D1">
        <w:rPr>
          <w:szCs w:val="18"/>
        </w:rPr>
        <w:t xml:space="preserve">voor dit jaar opnieuw </w:t>
      </w:r>
      <w:r w:rsidRPr="007209F1">
        <w:rPr>
          <w:szCs w:val="18"/>
        </w:rPr>
        <w:t xml:space="preserve">een vulambitie geformuleerd en EBN de taak gegeven om gas op te slaan (tot 20 </w:t>
      </w:r>
      <w:proofErr w:type="spellStart"/>
      <w:r w:rsidRPr="007209F1">
        <w:rPr>
          <w:szCs w:val="18"/>
        </w:rPr>
        <w:t>TWh</w:t>
      </w:r>
      <w:proofErr w:type="spellEnd"/>
      <w:r w:rsidRPr="007209F1">
        <w:rPr>
          <w:szCs w:val="18"/>
        </w:rPr>
        <w:t>) voor het geval marktpartijen dit onvoldoende doen</w:t>
      </w:r>
      <w:r w:rsidRPr="007209F1">
        <w:rPr>
          <w:rStyle w:val="Voetnootmarkering"/>
          <w:szCs w:val="18"/>
        </w:rPr>
        <w:footnoteReference w:id="16"/>
      </w:r>
      <w:r w:rsidRPr="007209F1">
        <w:rPr>
          <w:szCs w:val="18"/>
        </w:rPr>
        <w:t>. In de Kamerbrief stand van zaken gasmarkt en vulgraden van 14 februari 2025</w:t>
      </w:r>
      <w:r w:rsidRPr="007209F1">
        <w:rPr>
          <w:rStyle w:val="Voetnootmarkering"/>
          <w:szCs w:val="18"/>
        </w:rPr>
        <w:footnoteReference w:id="17"/>
      </w:r>
      <w:r w:rsidRPr="007209F1">
        <w:rPr>
          <w:szCs w:val="18"/>
        </w:rPr>
        <w:t xml:space="preserve"> heeft het kabinet uiteengezet waarom het terughoudend is om extra maatregelen te nemen, aanvullend op wat marktpartijen dienen te doen. Bij deze realiteit past een zorgvuldige afweging voordat aanvullende maatregelen worden getroffen.</w:t>
      </w:r>
    </w:p>
    <w:p w:rsidR="00D22441" w:rsidP="003F7413" w:rsidRDefault="00D22441" w14:paraId="3DE07928" w14:textId="77777777"/>
    <w:p w:rsidR="00D22441" w:rsidP="003F7413" w:rsidRDefault="00D22441" w14:paraId="6794D084" w14:textId="77777777"/>
    <w:p w:rsidR="00D22441" w:rsidP="003F7413" w:rsidRDefault="00D22441" w14:paraId="531041C0" w14:textId="77777777"/>
    <w:p w:rsidR="00664678" w:rsidP="003F7413" w:rsidRDefault="00664678" w14:paraId="31B74EDF" w14:textId="77777777"/>
    <w:sectPr w:rsidR="00664678" w:rsidSect="00D604B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4E37E" w14:textId="77777777" w:rsidR="006018D2" w:rsidRDefault="006018D2">
      <w:r>
        <w:separator/>
      </w:r>
    </w:p>
    <w:p w14:paraId="5CA81D1B" w14:textId="77777777" w:rsidR="006018D2" w:rsidRDefault="006018D2"/>
  </w:endnote>
  <w:endnote w:type="continuationSeparator" w:id="0">
    <w:p w14:paraId="76747C85" w14:textId="77777777" w:rsidR="006018D2" w:rsidRDefault="006018D2">
      <w:r>
        <w:continuationSeparator/>
      </w:r>
    </w:p>
    <w:p w14:paraId="6DD9F678" w14:textId="77777777" w:rsidR="006018D2" w:rsidRDefault="006018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02A54" w14:textId="77777777" w:rsidR="006E2423" w:rsidRDefault="006E242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48D6F"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E34C17" w14:paraId="1AD9A56D" w14:textId="77777777" w:rsidTr="00CA6A25">
      <w:trPr>
        <w:trHeight w:hRule="exact" w:val="240"/>
      </w:trPr>
      <w:tc>
        <w:tcPr>
          <w:tcW w:w="7601" w:type="dxa"/>
          <w:shd w:val="clear" w:color="auto" w:fill="auto"/>
        </w:tcPr>
        <w:p w14:paraId="69B28BA7" w14:textId="77777777" w:rsidR="00527BD4" w:rsidRDefault="00527BD4" w:rsidP="003F1F6B">
          <w:pPr>
            <w:pStyle w:val="Huisstijl-Rubricering"/>
          </w:pPr>
        </w:p>
      </w:tc>
      <w:tc>
        <w:tcPr>
          <w:tcW w:w="2156" w:type="dxa"/>
        </w:tcPr>
        <w:p w14:paraId="01A46595" w14:textId="4B8139A1" w:rsidR="00527BD4" w:rsidRPr="00645414" w:rsidRDefault="005446CD"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4E52F9">
              <w:t>7</w:t>
            </w:r>
          </w:fldSimple>
        </w:p>
      </w:tc>
    </w:tr>
  </w:tbl>
  <w:p w14:paraId="2AAC0517"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E34C17" w14:paraId="4BA8064E" w14:textId="77777777" w:rsidTr="00CA6A25">
      <w:trPr>
        <w:trHeight w:hRule="exact" w:val="240"/>
      </w:trPr>
      <w:tc>
        <w:tcPr>
          <w:tcW w:w="7601" w:type="dxa"/>
          <w:shd w:val="clear" w:color="auto" w:fill="auto"/>
        </w:tcPr>
        <w:p w14:paraId="7E921DCB" w14:textId="77777777" w:rsidR="00527BD4" w:rsidRDefault="00527BD4" w:rsidP="008C356D">
          <w:pPr>
            <w:pStyle w:val="Huisstijl-Rubricering"/>
          </w:pPr>
        </w:p>
      </w:tc>
      <w:tc>
        <w:tcPr>
          <w:tcW w:w="2170" w:type="dxa"/>
        </w:tcPr>
        <w:p w14:paraId="468DDEC5" w14:textId="18F9556B" w:rsidR="00527BD4" w:rsidRPr="00ED539E" w:rsidRDefault="005446CD"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5A0FFD">
              <w:t>7</w:t>
            </w:r>
          </w:fldSimple>
        </w:p>
      </w:tc>
    </w:tr>
  </w:tbl>
  <w:p w14:paraId="0806B6E8" w14:textId="77777777" w:rsidR="00527BD4" w:rsidRPr="00BC3B53" w:rsidRDefault="00527BD4" w:rsidP="008C356D">
    <w:pPr>
      <w:pStyle w:val="Voettekst"/>
      <w:spacing w:line="240" w:lineRule="auto"/>
      <w:rPr>
        <w:sz w:val="2"/>
        <w:szCs w:val="2"/>
      </w:rPr>
    </w:pPr>
  </w:p>
  <w:p w14:paraId="04A38A39"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63506" w14:textId="77777777" w:rsidR="006018D2" w:rsidRDefault="006018D2">
      <w:r>
        <w:separator/>
      </w:r>
    </w:p>
    <w:p w14:paraId="278D14A7" w14:textId="77777777" w:rsidR="006018D2" w:rsidRDefault="006018D2"/>
  </w:footnote>
  <w:footnote w:type="continuationSeparator" w:id="0">
    <w:p w14:paraId="35194A06" w14:textId="77777777" w:rsidR="006018D2" w:rsidRDefault="006018D2">
      <w:r>
        <w:continuationSeparator/>
      </w:r>
    </w:p>
    <w:p w14:paraId="2639A7B7" w14:textId="77777777" w:rsidR="006018D2" w:rsidRDefault="006018D2"/>
  </w:footnote>
  <w:footnote w:id="1">
    <w:p w14:paraId="7A2CB9F1" w14:textId="1AAB9113" w:rsidR="00B208CC" w:rsidRPr="003F7413" w:rsidRDefault="00B208CC">
      <w:pPr>
        <w:pStyle w:val="Voetnoottekst"/>
        <w:rPr>
          <w:szCs w:val="13"/>
          <w:lang w:val="en-US"/>
        </w:rPr>
      </w:pPr>
      <w:r w:rsidRPr="003F7413">
        <w:rPr>
          <w:rStyle w:val="Voetnootmarkering"/>
          <w:szCs w:val="13"/>
        </w:rPr>
        <w:footnoteRef/>
      </w:r>
      <w:r w:rsidRPr="003F7413">
        <w:rPr>
          <w:szCs w:val="13"/>
          <w:lang w:val="en-US"/>
        </w:rPr>
        <w:t xml:space="preserve"> 2025Z02994</w:t>
      </w:r>
    </w:p>
  </w:footnote>
  <w:footnote w:id="2">
    <w:p w14:paraId="52EB2DBF" w14:textId="77777777" w:rsidR="00851105" w:rsidRPr="003F7413" w:rsidRDefault="00851105" w:rsidP="00851105">
      <w:pPr>
        <w:pStyle w:val="Voetnoottekst"/>
        <w:rPr>
          <w:szCs w:val="13"/>
          <w:lang w:val="en-US"/>
        </w:rPr>
      </w:pPr>
      <w:r w:rsidRPr="003F7413">
        <w:rPr>
          <w:rStyle w:val="Voetnootmarkering"/>
          <w:szCs w:val="13"/>
        </w:rPr>
        <w:footnoteRef/>
      </w:r>
      <w:r w:rsidRPr="003F7413">
        <w:rPr>
          <w:szCs w:val="13"/>
          <w:lang w:val="en-US"/>
        </w:rPr>
        <w:t xml:space="preserve"> </w:t>
      </w:r>
      <w:hyperlink r:id="rId1" w:history="1">
        <w:r w:rsidRPr="003F7413">
          <w:rPr>
            <w:rStyle w:val="Hyperlink"/>
            <w:szCs w:val="13"/>
            <w:lang w:val="en-US"/>
          </w:rPr>
          <w:t>EU shoots down rumors it will revive divisive gas price cap – POLITICO</w:t>
        </w:r>
      </w:hyperlink>
      <w:r w:rsidRPr="003F7413">
        <w:rPr>
          <w:rStyle w:val="Hyperlink"/>
          <w:szCs w:val="13"/>
          <w:lang w:val="en-US"/>
        </w:rPr>
        <w:t>.</w:t>
      </w:r>
    </w:p>
  </w:footnote>
  <w:footnote w:id="3">
    <w:p w14:paraId="2346EB8E" w14:textId="77777777" w:rsidR="00851105" w:rsidRPr="003F7413" w:rsidRDefault="00851105" w:rsidP="00851105">
      <w:pPr>
        <w:pStyle w:val="Voetnoottekst"/>
        <w:rPr>
          <w:szCs w:val="13"/>
        </w:rPr>
      </w:pPr>
      <w:r w:rsidRPr="003F7413">
        <w:rPr>
          <w:rStyle w:val="Voetnootmarkering"/>
          <w:szCs w:val="13"/>
        </w:rPr>
        <w:footnoteRef/>
      </w:r>
      <w:r w:rsidRPr="003F7413">
        <w:rPr>
          <w:szCs w:val="13"/>
        </w:rPr>
        <w:t xml:space="preserve"> COM(2025) 79.</w:t>
      </w:r>
    </w:p>
  </w:footnote>
  <w:footnote w:id="4">
    <w:p w14:paraId="72C76107" w14:textId="77777777" w:rsidR="00851105" w:rsidRPr="003F7413" w:rsidRDefault="00851105" w:rsidP="00851105">
      <w:pPr>
        <w:pStyle w:val="Voetnoottekst"/>
        <w:rPr>
          <w:szCs w:val="13"/>
        </w:rPr>
      </w:pPr>
      <w:r w:rsidRPr="003F7413">
        <w:rPr>
          <w:rStyle w:val="Voetnootmarkering"/>
          <w:szCs w:val="13"/>
        </w:rPr>
        <w:footnoteRef/>
      </w:r>
      <w:r w:rsidRPr="003F7413">
        <w:rPr>
          <w:szCs w:val="13"/>
        </w:rPr>
        <w:t xml:space="preserve"> Zie ook artikel 3, eerste lid van de Verordening gasleveringszekerheid. </w:t>
      </w:r>
    </w:p>
  </w:footnote>
  <w:footnote w:id="5">
    <w:p w14:paraId="65E23D74" w14:textId="7A409A60" w:rsidR="00851105" w:rsidRPr="003F7413" w:rsidRDefault="00851105" w:rsidP="00851105">
      <w:pPr>
        <w:pStyle w:val="Voetnoottekst"/>
        <w:rPr>
          <w:szCs w:val="13"/>
        </w:rPr>
      </w:pPr>
      <w:r w:rsidRPr="003F7413">
        <w:rPr>
          <w:rStyle w:val="Voetnootmarkering"/>
          <w:szCs w:val="13"/>
        </w:rPr>
        <w:footnoteRef/>
      </w:r>
      <w:r w:rsidRPr="003F7413">
        <w:rPr>
          <w:szCs w:val="13"/>
        </w:rPr>
        <w:t xml:space="preserve"> Bijlage bij Kamerstuk</w:t>
      </w:r>
      <w:r w:rsidR="003F7413">
        <w:rPr>
          <w:szCs w:val="13"/>
        </w:rPr>
        <w:t xml:space="preserve"> </w:t>
      </w:r>
      <w:r w:rsidRPr="003F7413">
        <w:rPr>
          <w:szCs w:val="13"/>
        </w:rPr>
        <w:t>29023, nr. 446</w:t>
      </w:r>
    </w:p>
  </w:footnote>
  <w:footnote w:id="6">
    <w:p w14:paraId="335C8B58" w14:textId="7F298858" w:rsidR="00851105" w:rsidRPr="003F7413" w:rsidRDefault="00851105" w:rsidP="00851105">
      <w:pPr>
        <w:pStyle w:val="Voetnoottekst"/>
        <w:rPr>
          <w:szCs w:val="13"/>
        </w:rPr>
      </w:pPr>
      <w:r w:rsidRPr="003F7413">
        <w:rPr>
          <w:rStyle w:val="Voetnootmarkering"/>
          <w:szCs w:val="13"/>
        </w:rPr>
        <w:footnoteRef/>
      </w:r>
      <w:r w:rsidRPr="003F7413">
        <w:rPr>
          <w:szCs w:val="13"/>
        </w:rPr>
        <w:t xml:space="preserve"> Kamerstuk</w:t>
      </w:r>
      <w:r w:rsidR="003F7413">
        <w:rPr>
          <w:szCs w:val="13"/>
        </w:rPr>
        <w:t xml:space="preserve"> </w:t>
      </w:r>
      <w:r w:rsidRPr="003F7413">
        <w:rPr>
          <w:szCs w:val="13"/>
        </w:rPr>
        <w:t xml:space="preserve">36200, nr. 31. </w:t>
      </w:r>
    </w:p>
  </w:footnote>
  <w:footnote w:id="7">
    <w:p w14:paraId="005A80A5" w14:textId="6357C0E9" w:rsidR="00851105" w:rsidRPr="003F7413" w:rsidRDefault="00851105" w:rsidP="00851105">
      <w:pPr>
        <w:pStyle w:val="Voetnoottekst"/>
        <w:rPr>
          <w:szCs w:val="13"/>
        </w:rPr>
      </w:pPr>
      <w:r w:rsidRPr="003F7413">
        <w:rPr>
          <w:rStyle w:val="Voetnootmarkering"/>
          <w:szCs w:val="13"/>
        </w:rPr>
        <w:footnoteRef/>
      </w:r>
      <w:r w:rsidRPr="003F7413">
        <w:rPr>
          <w:szCs w:val="13"/>
        </w:rPr>
        <w:t xml:space="preserve"> Kamerstuk</w:t>
      </w:r>
      <w:r w:rsidR="003F7413">
        <w:rPr>
          <w:szCs w:val="13"/>
        </w:rPr>
        <w:t xml:space="preserve"> </w:t>
      </w:r>
      <w:r w:rsidRPr="003F7413">
        <w:rPr>
          <w:szCs w:val="13"/>
        </w:rPr>
        <w:t xml:space="preserve">28174, nr. 52 (Gewijzigd amendement over het waarborgen van leveringszekerheid door de beheerder van het landelijke hogedrukgastransportnet) en Nota van Toelichting bij het Besluit leveringszekerheid Gaswet, Staatsblad 2004, 170, </w:t>
      </w:r>
      <w:r w:rsidRPr="003F7413">
        <w:rPr>
          <w:rFonts w:cstheme="minorHAnsi"/>
          <w:szCs w:val="13"/>
        </w:rPr>
        <w:t>§</w:t>
      </w:r>
      <w:r w:rsidRPr="003F7413">
        <w:rPr>
          <w:szCs w:val="13"/>
        </w:rPr>
        <w:t xml:space="preserve"> 2.</w:t>
      </w:r>
    </w:p>
  </w:footnote>
  <w:footnote w:id="8">
    <w:p w14:paraId="2B05ECF8" w14:textId="77777777" w:rsidR="00851105" w:rsidRPr="003F7413" w:rsidRDefault="00851105" w:rsidP="00851105">
      <w:pPr>
        <w:pStyle w:val="Voetnoottekst"/>
        <w:rPr>
          <w:szCs w:val="13"/>
        </w:rPr>
      </w:pPr>
      <w:r w:rsidRPr="003F7413">
        <w:rPr>
          <w:rStyle w:val="Voetnootmarkering"/>
          <w:szCs w:val="13"/>
        </w:rPr>
        <w:footnoteRef/>
      </w:r>
      <w:r w:rsidRPr="003F7413">
        <w:rPr>
          <w:szCs w:val="13"/>
        </w:rPr>
        <w:t xml:space="preserve"> Artikel 2.17, eerste lid, van de Energiewet, voorheen artikel 43, eerste lid, van de Gaswet.</w:t>
      </w:r>
    </w:p>
  </w:footnote>
  <w:footnote w:id="9">
    <w:p w14:paraId="0CEB0ED3" w14:textId="5DBF985B" w:rsidR="004D27E1" w:rsidRPr="003F7413" w:rsidRDefault="004D27E1" w:rsidP="004D27E1">
      <w:pPr>
        <w:pStyle w:val="Voetnoottekst"/>
        <w:rPr>
          <w:szCs w:val="13"/>
        </w:rPr>
      </w:pPr>
      <w:r w:rsidRPr="003F7413">
        <w:rPr>
          <w:rStyle w:val="Voetnootmarkering"/>
          <w:szCs w:val="13"/>
        </w:rPr>
        <w:footnoteRef/>
      </w:r>
      <w:r w:rsidRPr="003F7413">
        <w:rPr>
          <w:szCs w:val="13"/>
        </w:rPr>
        <w:t xml:space="preserve"> Kamerstu</w:t>
      </w:r>
      <w:r w:rsidR="003F7413">
        <w:rPr>
          <w:szCs w:val="13"/>
        </w:rPr>
        <w:t xml:space="preserve">k </w:t>
      </w:r>
      <w:r w:rsidRPr="003F7413">
        <w:rPr>
          <w:szCs w:val="13"/>
        </w:rPr>
        <w:t>29023, nr. 533.</w:t>
      </w:r>
    </w:p>
  </w:footnote>
  <w:footnote w:id="10">
    <w:p w14:paraId="21F287EE" w14:textId="77777777" w:rsidR="00851105" w:rsidRPr="003F7413" w:rsidRDefault="00851105" w:rsidP="00851105">
      <w:pPr>
        <w:pStyle w:val="Voetnoottekst"/>
        <w:rPr>
          <w:szCs w:val="13"/>
        </w:rPr>
      </w:pPr>
      <w:r w:rsidRPr="003F7413">
        <w:rPr>
          <w:rStyle w:val="Voetnootmarkering"/>
          <w:szCs w:val="13"/>
        </w:rPr>
        <w:footnoteRef/>
      </w:r>
      <w:r w:rsidRPr="003F7413">
        <w:rPr>
          <w:szCs w:val="13"/>
        </w:rPr>
        <w:t xml:space="preserve"> Inclusief vermindering van gesaldeerde kWh elektriciteit (door bijv. zonnepanelen).</w:t>
      </w:r>
    </w:p>
  </w:footnote>
  <w:footnote w:id="11">
    <w:p w14:paraId="70557CA4" w14:textId="77777777" w:rsidR="00851105" w:rsidRPr="003F7413" w:rsidRDefault="00851105" w:rsidP="00851105">
      <w:pPr>
        <w:pStyle w:val="Voetnoottekst"/>
        <w:rPr>
          <w:szCs w:val="13"/>
        </w:rPr>
      </w:pPr>
      <w:r w:rsidRPr="003F7413">
        <w:rPr>
          <w:rStyle w:val="Voetnootmarkering"/>
          <w:szCs w:val="13"/>
        </w:rPr>
        <w:footnoteRef/>
      </w:r>
      <w:r w:rsidRPr="003F7413">
        <w:rPr>
          <w:szCs w:val="13"/>
        </w:rPr>
        <w:t xml:space="preserve"> Btw-richtlijn 2006/112, Bijlage III, post 22.</w:t>
      </w:r>
    </w:p>
  </w:footnote>
  <w:footnote w:id="12">
    <w:p w14:paraId="5AF254C1" w14:textId="77777777" w:rsidR="004D27E1" w:rsidRPr="003F7413" w:rsidRDefault="004D27E1" w:rsidP="004D27E1">
      <w:pPr>
        <w:pStyle w:val="Voetnoottekst"/>
        <w:rPr>
          <w:szCs w:val="13"/>
        </w:rPr>
      </w:pPr>
      <w:r w:rsidRPr="003F7413">
        <w:rPr>
          <w:rStyle w:val="Voetnootmarkering"/>
          <w:szCs w:val="13"/>
        </w:rPr>
        <w:footnoteRef/>
      </w:r>
      <w:r w:rsidRPr="003F7413">
        <w:rPr>
          <w:szCs w:val="13"/>
        </w:rPr>
        <w:t xml:space="preserve"> </w:t>
      </w:r>
      <w:hyperlink r:id="rId2" w:history="1">
        <w:r w:rsidRPr="003F7413">
          <w:rPr>
            <w:rStyle w:val="Hyperlink"/>
            <w:szCs w:val="13"/>
          </w:rPr>
          <w:t>Inflatie 3,3 procent in 2024 | CBS</w:t>
        </w:r>
      </w:hyperlink>
    </w:p>
  </w:footnote>
  <w:footnote w:id="13">
    <w:p w14:paraId="1A9B8ED9" w14:textId="77777777" w:rsidR="00851105" w:rsidRPr="003F7413" w:rsidRDefault="00851105" w:rsidP="00851105">
      <w:pPr>
        <w:pStyle w:val="Voetnoottekst"/>
        <w:rPr>
          <w:szCs w:val="13"/>
        </w:rPr>
      </w:pPr>
      <w:r w:rsidRPr="003F7413">
        <w:rPr>
          <w:rStyle w:val="Voetnootmarkering"/>
          <w:szCs w:val="13"/>
        </w:rPr>
        <w:footnoteRef/>
      </w:r>
      <w:r w:rsidRPr="003F7413">
        <w:rPr>
          <w:szCs w:val="13"/>
        </w:rPr>
        <w:t xml:space="preserve"> </w:t>
      </w:r>
      <w:hyperlink r:id="rId3">
        <w:r w:rsidRPr="003F7413">
          <w:rPr>
            <w:rStyle w:val="Hyperlink"/>
            <w:szCs w:val="13"/>
          </w:rPr>
          <w:t>Geen onredelijke prijzen grootste drie energieleveranciers</w:t>
        </w:r>
      </w:hyperlink>
      <w:r w:rsidRPr="003F7413">
        <w:rPr>
          <w:rStyle w:val="Hyperlink"/>
          <w:szCs w:val="13"/>
        </w:rPr>
        <w:t>.</w:t>
      </w:r>
    </w:p>
  </w:footnote>
  <w:footnote w:id="14">
    <w:p w14:paraId="5CC3EAA1" w14:textId="77777777" w:rsidR="00851105" w:rsidRPr="003F7413" w:rsidRDefault="00851105" w:rsidP="00851105">
      <w:pPr>
        <w:pStyle w:val="Voetnoottekst"/>
        <w:rPr>
          <w:szCs w:val="13"/>
        </w:rPr>
      </w:pPr>
      <w:r w:rsidRPr="003F7413">
        <w:rPr>
          <w:rStyle w:val="Voetnootmarkering"/>
          <w:szCs w:val="13"/>
        </w:rPr>
        <w:footnoteRef/>
      </w:r>
      <w:r w:rsidRPr="003F7413">
        <w:rPr>
          <w:szCs w:val="13"/>
        </w:rPr>
        <w:t xml:space="preserve"> </w:t>
      </w:r>
      <w:hyperlink r:id="rId4">
        <w:r w:rsidRPr="003F7413">
          <w:rPr>
            <w:rStyle w:val="Hyperlink"/>
            <w:szCs w:val="13"/>
          </w:rPr>
          <w:t xml:space="preserve">Geen onredelijke prijzen Budget Thuis, </w:t>
        </w:r>
        <w:proofErr w:type="spellStart"/>
        <w:r w:rsidRPr="003F7413">
          <w:rPr>
            <w:rStyle w:val="Hyperlink"/>
            <w:szCs w:val="13"/>
          </w:rPr>
          <w:t>Greenchoice</w:t>
        </w:r>
        <w:proofErr w:type="spellEnd"/>
        <w:r w:rsidRPr="003F7413">
          <w:rPr>
            <w:rStyle w:val="Hyperlink"/>
            <w:szCs w:val="13"/>
          </w:rPr>
          <w:t xml:space="preserve"> en ENGIE</w:t>
        </w:r>
      </w:hyperlink>
      <w:r w:rsidRPr="003F7413">
        <w:rPr>
          <w:rStyle w:val="Hyperlink"/>
          <w:szCs w:val="13"/>
        </w:rPr>
        <w:t>.</w:t>
      </w:r>
    </w:p>
  </w:footnote>
  <w:footnote w:id="15">
    <w:p w14:paraId="630D0D7C" w14:textId="20DD12AC" w:rsidR="00851105" w:rsidRPr="003F7413" w:rsidRDefault="00851105" w:rsidP="00851105">
      <w:pPr>
        <w:pStyle w:val="Voetnoottekst"/>
        <w:rPr>
          <w:szCs w:val="13"/>
        </w:rPr>
      </w:pPr>
      <w:r w:rsidRPr="003F7413">
        <w:rPr>
          <w:rStyle w:val="Voetnootmarkering"/>
          <w:szCs w:val="13"/>
        </w:rPr>
        <w:footnoteRef/>
      </w:r>
      <w:r w:rsidRPr="003F7413">
        <w:rPr>
          <w:szCs w:val="13"/>
        </w:rPr>
        <w:t xml:space="preserve"> Kamerstuk</w:t>
      </w:r>
      <w:r w:rsidR="003F7413">
        <w:rPr>
          <w:szCs w:val="13"/>
        </w:rPr>
        <w:t xml:space="preserve"> </w:t>
      </w:r>
      <w:r w:rsidRPr="003F7413">
        <w:rPr>
          <w:szCs w:val="13"/>
        </w:rPr>
        <w:t xml:space="preserve">29023, nr. 442. </w:t>
      </w:r>
    </w:p>
  </w:footnote>
  <w:footnote w:id="16">
    <w:p w14:paraId="06CB3693" w14:textId="7F05BC65" w:rsidR="00851105" w:rsidRPr="003F7413" w:rsidRDefault="00851105" w:rsidP="00851105">
      <w:pPr>
        <w:pStyle w:val="Voetnoottekst"/>
        <w:rPr>
          <w:szCs w:val="13"/>
        </w:rPr>
      </w:pPr>
      <w:r w:rsidRPr="003F7413">
        <w:rPr>
          <w:rStyle w:val="Voetnootmarkering"/>
          <w:szCs w:val="13"/>
        </w:rPr>
        <w:footnoteRef/>
      </w:r>
      <w:r w:rsidRPr="003F7413">
        <w:rPr>
          <w:szCs w:val="13"/>
        </w:rPr>
        <w:t xml:space="preserve"> Kamerstuk 29023, nr. 519. </w:t>
      </w:r>
    </w:p>
  </w:footnote>
  <w:footnote w:id="17">
    <w:p w14:paraId="3CF967CA" w14:textId="26668B4E" w:rsidR="00851105" w:rsidRPr="003F7413" w:rsidRDefault="00851105" w:rsidP="00851105">
      <w:pPr>
        <w:pStyle w:val="Voetnoottekst"/>
        <w:rPr>
          <w:szCs w:val="13"/>
        </w:rPr>
      </w:pPr>
      <w:r w:rsidRPr="003F7413">
        <w:rPr>
          <w:rStyle w:val="Voetnootmarkering"/>
          <w:szCs w:val="13"/>
        </w:rPr>
        <w:footnoteRef/>
      </w:r>
      <w:r w:rsidRPr="003F7413">
        <w:rPr>
          <w:szCs w:val="13"/>
        </w:rPr>
        <w:t xml:space="preserve"> Kamerstuk 29023, nr. 532.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76404" w14:textId="77777777" w:rsidR="006E2423" w:rsidRDefault="006E242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E34C17" w14:paraId="44048B25" w14:textId="77777777" w:rsidTr="00A50CF6">
      <w:tc>
        <w:tcPr>
          <w:tcW w:w="2156" w:type="dxa"/>
          <w:shd w:val="clear" w:color="auto" w:fill="auto"/>
        </w:tcPr>
        <w:p w14:paraId="79EE3F6F" w14:textId="77777777" w:rsidR="00527BD4" w:rsidRPr="005819CE" w:rsidRDefault="005446CD" w:rsidP="00A50CF6">
          <w:pPr>
            <w:pStyle w:val="Huisstijl-Adres"/>
            <w:rPr>
              <w:b/>
            </w:rPr>
          </w:pPr>
          <w:r>
            <w:rPr>
              <w:b/>
            </w:rPr>
            <w:t>Klimaat en groene Groei</w:t>
          </w:r>
          <w:r w:rsidRPr="005819CE">
            <w:rPr>
              <w:b/>
            </w:rPr>
            <w:br/>
          </w:r>
        </w:p>
      </w:tc>
    </w:tr>
    <w:tr w:rsidR="00E34C17" w14:paraId="2555D46A" w14:textId="77777777" w:rsidTr="00A50CF6">
      <w:trPr>
        <w:trHeight w:hRule="exact" w:val="200"/>
      </w:trPr>
      <w:tc>
        <w:tcPr>
          <w:tcW w:w="2156" w:type="dxa"/>
          <w:shd w:val="clear" w:color="auto" w:fill="auto"/>
        </w:tcPr>
        <w:p w14:paraId="7D5AF429" w14:textId="77777777" w:rsidR="00527BD4" w:rsidRPr="005819CE" w:rsidRDefault="00527BD4" w:rsidP="00A50CF6"/>
      </w:tc>
    </w:tr>
    <w:tr w:rsidR="00E34C17" w14:paraId="165E343C" w14:textId="77777777" w:rsidTr="00502512">
      <w:trPr>
        <w:trHeight w:hRule="exact" w:val="774"/>
      </w:trPr>
      <w:tc>
        <w:tcPr>
          <w:tcW w:w="2156" w:type="dxa"/>
          <w:shd w:val="clear" w:color="auto" w:fill="auto"/>
        </w:tcPr>
        <w:p w14:paraId="68C2A260" w14:textId="77777777" w:rsidR="00527BD4" w:rsidRDefault="005446CD" w:rsidP="003A5290">
          <w:pPr>
            <w:pStyle w:val="Huisstijl-Kopje"/>
          </w:pPr>
          <w:r>
            <w:t>Ons kenmerk</w:t>
          </w:r>
        </w:p>
        <w:p w14:paraId="6DB02EA4" w14:textId="20ACE52F" w:rsidR="003F7413" w:rsidRPr="003F7413" w:rsidRDefault="005446CD" w:rsidP="003F7413">
          <w:pPr>
            <w:shd w:val="clear" w:color="auto" w:fill="FFFFFF"/>
            <w:spacing w:line="240" w:lineRule="auto"/>
            <w:textAlignment w:val="baseline"/>
            <w:rPr>
              <w:rFonts w:ascii="Helvetica" w:hAnsi="Helvetica" w:cs="Helvetica"/>
              <w:color w:val="000000"/>
              <w:sz w:val="13"/>
              <w:szCs w:val="13"/>
            </w:rPr>
          </w:pPr>
          <w:r w:rsidRPr="003F7413">
            <w:rPr>
              <w:sz w:val="13"/>
              <w:szCs w:val="13"/>
            </w:rPr>
            <w:t>KGG /</w:t>
          </w:r>
          <w:r w:rsidR="003F7413">
            <w:rPr>
              <w:sz w:val="13"/>
              <w:szCs w:val="13"/>
            </w:rPr>
            <w:t xml:space="preserve"> </w:t>
          </w:r>
          <w:r w:rsidR="003F7413" w:rsidRPr="006E2423">
            <w:rPr>
              <w:rFonts w:cs="Helvetica"/>
              <w:color w:val="000000"/>
              <w:sz w:val="13"/>
              <w:szCs w:val="13"/>
              <w:bdr w:val="none" w:sz="0" w:space="0" w:color="auto" w:frame="1"/>
            </w:rPr>
            <w:t>97512796</w:t>
          </w:r>
        </w:p>
        <w:p w14:paraId="0DDC1BBD" w14:textId="6B33093B" w:rsidR="00502512" w:rsidRPr="00502512" w:rsidRDefault="005446CD" w:rsidP="003A5290">
          <w:pPr>
            <w:pStyle w:val="Huisstijl-Kopje"/>
            <w:rPr>
              <w:b w:val="0"/>
            </w:rPr>
          </w:pPr>
          <w:r w:rsidRPr="00502512">
            <w:rPr>
              <w:b w:val="0"/>
            </w:rPr>
            <w:t xml:space="preserve"> </w:t>
          </w:r>
        </w:p>
        <w:p w14:paraId="5020D37D" w14:textId="77777777" w:rsidR="00527BD4" w:rsidRPr="005819CE" w:rsidRDefault="00527BD4" w:rsidP="00361A56">
          <w:pPr>
            <w:pStyle w:val="Huisstijl-Kopje"/>
          </w:pPr>
        </w:p>
      </w:tc>
    </w:tr>
  </w:tbl>
  <w:p w14:paraId="3706A2C3" w14:textId="77777777" w:rsidR="00527BD4" w:rsidRDefault="00527BD4" w:rsidP="008C356D">
    <w:pPr>
      <w:pStyle w:val="Koptekst"/>
      <w:rPr>
        <w:rFonts w:cs="Verdana-Bold"/>
        <w:b/>
        <w:bCs/>
        <w:smallCaps/>
        <w:szCs w:val="18"/>
      </w:rPr>
    </w:pPr>
  </w:p>
  <w:p w14:paraId="149ED8D3" w14:textId="77777777" w:rsidR="00527BD4" w:rsidRDefault="00527BD4" w:rsidP="008C356D"/>
  <w:p w14:paraId="2CF0E328" w14:textId="77777777" w:rsidR="00527BD4" w:rsidRPr="00740712" w:rsidRDefault="00527BD4" w:rsidP="008C356D"/>
  <w:p w14:paraId="30473A77" w14:textId="77777777" w:rsidR="00527BD4" w:rsidRPr="00217880" w:rsidRDefault="00527BD4" w:rsidP="008C356D">
    <w:pPr>
      <w:spacing w:line="0" w:lineRule="atLeast"/>
      <w:rPr>
        <w:sz w:val="2"/>
        <w:szCs w:val="2"/>
      </w:rPr>
    </w:pPr>
  </w:p>
  <w:p w14:paraId="379AC544" w14:textId="77777777" w:rsidR="00527BD4" w:rsidRDefault="00527BD4" w:rsidP="004F44C2">
    <w:pPr>
      <w:pStyle w:val="Koptekst"/>
      <w:rPr>
        <w:rFonts w:cs="Verdana-Bold"/>
        <w:b/>
        <w:bCs/>
        <w:smallCaps/>
        <w:szCs w:val="18"/>
      </w:rPr>
    </w:pPr>
  </w:p>
  <w:p w14:paraId="478E99F8" w14:textId="77777777" w:rsidR="00527BD4" w:rsidRDefault="00527BD4" w:rsidP="004F44C2"/>
  <w:p w14:paraId="44B597E2" w14:textId="77777777" w:rsidR="00527BD4" w:rsidRPr="00740712" w:rsidRDefault="00527BD4" w:rsidP="004F44C2"/>
  <w:p w14:paraId="05909C4F"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E34C17" w14:paraId="024BFAFC" w14:textId="77777777" w:rsidTr="00751A6A">
      <w:trPr>
        <w:trHeight w:val="2636"/>
      </w:trPr>
      <w:tc>
        <w:tcPr>
          <w:tcW w:w="737" w:type="dxa"/>
          <w:shd w:val="clear" w:color="auto" w:fill="auto"/>
        </w:tcPr>
        <w:p w14:paraId="15D0F6DF"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0C9B8200" w14:textId="77777777" w:rsidR="00527BD4" w:rsidRDefault="005446CD"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455C792A" wp14:editId="07A11169">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44D6DF94" w14:textId="77777777" w:rsidR="00F4553F" w:rsidRDefault="00F4553F" w:rsidP="00651CEE">
          <w:pPr>
            <w:framePr w:w="6340" w:h="2750" w:hRule="exact" w:hSpace="180" w:wrap="around" w:vAnchor="page" w:hAnchor="text" w:x="3873" w:y="-140"/>
            <w:spacing w:line="240" w:lineRule="auto"/>
          </w:pPr>
        </w:p>
      </w:tc>
    </w:tr>
  </w:tbl>
  <w:p w14:paraId="37E858FC" w14:textId="77777777" w:rsidR="00527BD4" w:rsidRDefault="00527BD4" w:rsidP="00D0609E">
    <w:pPr>
      <w:framePr w:w="6340" w:h="2750" w:hRule="exact" w:hSpace="180" w:wrap="around" w:vAnchor="page" w:hAnchor="text" w:x="3873" w:y="-140"/>
    </w:pPr>
  </w:p>
  <w:p w14:paraId="67AA814E"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E34C17" w:rsidRPr="00D51C4E" w14:paraId="7D550D42" w14:textId="77777777" w:rsidTr="00A50CF6">
      <w:tc>
        <w:tcPr>
          <w:tcW w:w="2160" w:type="dxa"/>
          <w:shd w:val="clear" w:color="auto" w:fill="auto"/>
        </w:tcPr>
        <w:p w14:paraId="132F824D" w14:textId="77777777" w:rsidR="00527BD4" w:rsidRPr="005819CE" w:rsidRDefault="005446CD" w:rsidP="00A50CF6">
          <w:pPr>
            <w:pStyle w:val="Huisstijl-Adres"/>
            <w:rPr>
              <w:b/>
            </w:rPr>
          </w:pPr>
          <w:r>
            <w:rPr>
              <w:b/>
            </w:rPr>
            <w:t>Klimaat en groene Groei</w:t>
          </w:r>
          <w:r w:rsidRPr="005819CE">
            <w:rPr>
              <w:b/>
            </w:rPr>
            <w:br/>
          </w:r>
        </w:p>
        <w:p w14:paraId="20A68C35" w14:textId="77777777" w:rsidR="00527BD4" w:rsidRPr="00BE5ED9" w:rsidRDefault="005446CD" w:rsidP="00A50CF6">
          <w:pPr>
            <w:pStyle w:val="Huisstijl-Adres"/>
          </w:pPr>
          <w:r>
            <w:rPr>
              <w:b/>
            </w:rPr>
            <w:t>Bezoekadres</w:t>
          </w:r>
          <w:r>
            <w:rPr>
              <w:b/>
            </w:rPr>
            <w:br/>
          </w:r>
          <w:r>
            <w:t>Bezuidenhoutseweg 73</w:t>
          </w:r>
          <w:r w:rsidRPr="005819CE">
            <w:br/>
          </w:r>
          <w:r>
            <w:t>2594 AC Den Haag</w:t>
          </w:r>
        </w:p>
        <w:p w14:paraId="305D84A1" w14:textId="77777777" w:rsidR="00EF495B" w:rsidRDefault="005446CD" w:rsidP="0098788A">
          <w:pPr>
            <w:pStyle w:val="Huisstijl-Adres"/>
          </w:pPr>
          <w:r>
            <w:rPr>
              <w:b/>
            </w:rPr>
            <w:t>Postadres</w:t>
          </w:r>
          <w:r>
            <w:rPr>
              <w:b/>
            </w:rPr>
            <w:br/>
          </w:r>
          <w:r>
            <w:t>Postbus 20401</w:t>
          </w:r>
          <w:r w:rsidRPr="005819CE">
            <w:br/>
            <w:t>2500 E</w:t>
          </w:r>
          <w:r>
            <w:t>K</w:t>
          </w:r>
          <w:r w:rsidRPr="005819CE">
            <w:t xml:space="preserve"> Den Haag</w:t>
          </w:r>
        </w:p>
        <w:p w14:paraId="0EB5D0E2" w14:textId="77777777" w:rsidR="00EF495B" w:rsidRPr="005B3814" w:rsidRDefault="005446CD" w:rsidP="0098788A">
          <w:pPr>
            <w:pStyle w:val="Huisstijl-Adres"/>
          </w:pPr>
          <w:r>
            <w:rPr>
              <w:b/>
            </w:rPr>
            <w:t>Overheidsidentificatienr</w:t>
          </w:r>
          <w:r>
            <w:rPr>
              <w:b/>
            </w:rPr>
            <w:br/>
          </w:r>
          <w:r w:rsidR="00F323ED" w:rsidRPr="00F323ED">
            <w:t>00000001003214369000</w:t>
          </w:r>
        </w:p>
        <w:p w14:paraId="1101638F" w14:textId="2DC8BEB7" w:rsidR="00527BD4" w:rsidRPr="003F7413" w:rsidRDefault="005446CD"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E34C17" w:rsidRPr="00D51C4E" w14:paraId="3C0491D3" w14:textId="77777777" w:rsidTr="003F7413">
      <w:trPr>
        <w:trHeight w:hRule="exact" w:val="80"/>
      </w:trPr>
      <w:tc>
        <w:tcPr>
          <w:tcW w:w="2160" w:type="dxa"/>
          <w:shd w:val="clear" w:color="auto" w:fill="auto"/>
        </w:tcPr>
        <w:p w14:paraId="42EA928A" w14:textId="77777777" w:rsidR="00527BD4" w:rsidRPr="003F7413" w:rsidRDefault="00527BD4" w:rsidP="00A50CF6"/>
      </w:tc>
    </w:tr>
    <w:tr w:rsidR="00E34C17" w14:paraId="76BCA3FB" w14:textId="77777777" w:rsidTr="00A50CF6">
      <w:tc>
        <w:tcPr>
          <w:tcW w:w="2160" w:type="dxa"/>
          <w:shd w:val="clear" w:color="auto" w:fill="auto"/>
        </w:tcPr>
        <w:p w14:paraId="165B0F64" w14:textId="77777777" w:rsidR="000C0163" w:rsidRPr="005819CE" w:rsidRDefault="005446CD" w:rsidP="000C0163">
          <w:pPr>
            <w:pStyle w:val="Huisstijl-Kopje"/>
          </w:pPr>
          <w:r>
            <w:t>Ons kenmerk</w:t>
          </w:r>
          <w:r w:rsidRPr="005819CE">
            <w:t xml:space="preserve"> </w:t>
          </w:r>
        </w:p>
        <w:p w14:paraId="129B8DC1" w14:textId="38918B19" w:rsidR="003F7413" w:rsidRPr="003F7413" w:rsidRDefault="005446CD" w:rsidP="003F7413">
          <w:pPr>
            <w:shd w:val="clear" w:color="auto" w:fill="FFFFFF"/>
            <w:spacing w:line="240" w:lineRule="auto"/>
            <w:textAlignment w:val="baseline"/>
            <w:rPr>
              <w:rFonts w:ascii="Helvetica" w:hAnsi="Helvetica" w:cs="Helvetica"/>
              <w:color w:val="000000"/>
              <w:sz w:val="13"/>
              <w:szCs w:val="13"/>
            </w:rPr>
          </w:pPr>
          <w:r w:rsidRPr="003F7413">
            <w:rPr>
              <w:sz w:val="13"/>
              <w:szCs w:val="13"/>
            </w:rPr>
            <w:t>KGG</w:t>
          </w:r>
          <w:r w:rsidR="00926AE2" w:rsidRPr="003F7413">
            <w:rPr>
              <w:sz w:val="13"/>
              <w:szCs w:val="13"/>
            </w:rPr>
            <w:t xml:space="preserve"> /</w:t>
          </w:r>
          <w:r w:rsidR="00EB4E8D" w:rsidRPr="003F7413">
            <w:rPr>
              <w:sz w:val="13"/>
              <w:szCs w:val="13"/>
            </w:rPr>
            <w:t xml:space="preserve"> </w:t>
          </w:r>
          <w:r w:rsidR="003F7413" w:rsidRPr="006E2423">
            <w:rPr>
              <w:rFonts w:cs="Helvetica"/>
              <w:color w:val="000000"/>
              <w:sz w:val="13"/>
              <w:szCs w:val="13"/>
              <w:bdr w:val="none" w:sz="0" w:space="0" w:color="auto" w:frame="1"/>
            </w:rPr>
            <w:t>97512796</w:t>
          </w:r>
        </w:p>
        <w:p w14:paraId="3E6A2A99" w14:textId="7499D657" w:rsidR="000C0163" w:rsidRPr="005819CE" w:rsidRDefault="000C0163" w:rsidP="000C0163">
          <w:pPr>
            <w:pStyle w:val="Huisstijl-Gegeven"/>
          </w:pPr>
        </w:p>
        <w:p w14:paraId="0B131942" w14:textId="77777777" w:rsidR="00527BD4" w:rsidRPr="005819CE" w:rsidRDefault="00527BD4" w:rsidP="005446CD">
          <w:pPr>
            <w:pStyle w:val="Huisstijl-Kopje"/>
          </w:pPr>
        </w:p>
      </w:tc>
    </w:tr>
  </w:tbl>
  <w:p w14:paraId="3DEBDE6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E34C17" w14:paraId="2D86B2D3" w14:textId="77777777" w:rsidTr="007610AA">
      <w:trPr>
        <w:trHeight w:val="400"/>
      </w:trPr>
      <w:tc>
        <w:tcPr>
          <w:tcW w:w="7520" w:type="dxa"/>
          <w:gridSpan w:val="2"/>
          <w:shd w:val="clear" w:color="auto" w:fill="auto"/>
        </w:tcPr>
        <w:p w14:paraId="1CC0DA62" w14:textId="77777777" w:rsidR="00527BD4" w:rsidRPr="00BC3B53" w:rsidRDefault="005446CD" w:rsidP="00A50CF6">
          <w:pPr>
            <w:pStyle w:val="Huisstijl-Retouradres"/>
          </w:pPr>
          <w:r>
            <w:t>&gt; Retouradres Postbus 20401 2500 EK Den Haag</w:t>
          </w:r>
        </w:p>
      </w:tc>
    </w:tr>
    <w:tr w:rsidR="00E34C17" w14:paraId="11AD942C" w14:textId="77777777" w:rsidTr="007610AA">
      <w:tc>
        <w:tcPr>
          <w:tcW w:w="7520" w:type="dxa"/>
          <w:gridSpan w:val="2"/>
          <w:shd w:val="clear" w:color="auto" w:fill="auto"/>
        </w:tcPr>
        <w:p w14:paraId="23871E99" w14:textId="77777777" w:rsidR="00527BD4" w:rsidRPr="00983E8F" w:rsidRDefault="00527BD4" w:rsidP="00A50CF6">
          <w:pPr>
            <w:pStyle w:val="Huisstijl-Rubricering"/>
          </w:pPr>
        </w:p>
      </w:tc>
    </w:tr>
    <w:tr w:rsidR="00E34C17" w14:paraId="434ABE85" w14:textId="77777777" w:rsidTr="007610AA">
      <w:trPr>
        <w:trHeight w:hRule="exact" w:val="2440"/>
      </w:trPr>
      <w:tc>
        <w:tcPr>
          <w:tcW w:w="7520" w:type="dxa"/>
          <w:gridSpan w:val="2"/>
          <w:shd w:val="clear" w:color="auto" w:fill="auto"/>
        </w:tcPr>
        <w:p w14:paraId="4B1A257D" w14:textId="77777777" w:rsidR="00527BD4" w:rsidRDefault="005446CD" w:rsidP="00A50CF6">
          <w:pPr>
            <w:pStyle w:val="Huisstijl-NAW"/>
          </w:pPr>
          <w:r>
            <w:t xml:space="preserve">De Voorzitter van de Tweede Kamer </w:t>
          </w:r>
        </w:p>
        <w:p w14:paraId="451D0D84" w14:textId="77777777" w:rsidR="00D87195" w:rsidRDefault="005446CD" w:rsidP="00D87195">
          <w:pPr>
            <w:pStyle w:val="Huisstijl-NAW"/>
          </w:pPr>
          <w:r>
            <w:t>der Staten-Generaal</w:t>
          </w:r>
        </w:p>
        <w:p w14:paraId="069C6A62" w14:textId="77777777" w:rsidR="00EA0F13" w:rsidRDefault="005446CD" w:rsidP="00EA0F13">
          <w:pPr>
            <w:rPr>
              <w:szCs w:val="18"/>
            </w:rPr>
          </w:pPr>
          <w:r>
            <w:rPr>
              <w:szCs w:val="18"/>
            </w:rPr>
            <w:t>Prinses Irenestraat 6</w:t>
          </w:r>
        </w:p>
        <w:p w14:paraId="39A9D485" w14:textId="77777777" w:rsidR="00985E56" w:rsidRDefault="005446CD" w:rsidP="00EA0F13">
          <w:r>
            <w:rPr>
              <w:szCs w:val="18"/>
            </w:rPr>
            <w:t>2595 BD  DEN HAAG</w:t>
          </w:r>
        </w:p>
      </w:tc>
    </w:tr>
    <w:tr w:rsidR="00E34C17" w14:paraId="1811182F" w14:textId="77777777" w:rsidTr="007610AA">
      <w:trPr>
        <w:trHeight w:hRule="exact" w:val="400"/>
      </w:trPr>
      <w:tc>
        <w:tcPr>
          <w:tcW w:w="7520" w:type="dxa"/>
          <w:gridSpan w:val="2"/>
          <w:shd w:val="clear" w:color="auto" w:fill="auto"/>
        </w:tcPr>
        <w:p w14:paraId="257BC3B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E34C17" w14:paraId="0A04C511" w14:textId="77777777" w:rsidTr="007610AA">
      <w:trPr>
        <w:trHeight w:val="240"/>
      </w:trPr>
      <w:tc>
        <w:tcPr>
          <w:tcW w:w="900" w:type="dxa"/>
          <w:shd w:val="clear" w:color="auto" w:fill="auto"/>
        </w:tcPr>
        <w:p w14:paraId="62D9737A" w14:textId="77777777" w:rsidR="00527BD4" w:rsidRPr="007709EF" w:rsidRDefault="005446CD" w:rsidP="00A50CF6">
          <w:pPr>
            <w:rPr>
              <w:szCs w:val="18"/>
            </w:rPr>
          </w:pPr>
          <w:r>
            <w:rPr>
              <w:szCs w:val="18"/>
            </w:rPr>
            <w:t>Datum</w:t>
          </w:r>
        </w:p>
      </w:tc>
      <w:tc>
        <w:tcPr>
          <w:tcW w:w="6620" w:type="dxa"/>
          <w:shd w:val="clear" w:color="auto" w:fill="auto"/>
        </w:tcPr>
        <w:p w14:paraId="4B2FF632" w14:textId="7CD5592E" w:rsidR="00527BD4" w:rsidRPr="007709EF" w:rsidRDefault="005A0FFD" w:rsidP="00A50CF6">
          <w:r>
            <w:t>11 maart 2025</w:t>
          </w:r>
        </w:p>
      </w:tc>
    </w:tr>
    <w:tr w:rsidR="00E34C17" w14:paraId="5C338A86" w14:textId="77777777" w:rsidTr="007610AA">
      <w:trPr>
        <w:trHeight w:val="240"/>
      </w:trPr>
      <w:tc>
        <w:tcPr>
          <w:tcW w:w="900" w:type="dxa"/>
          <w:shd w:val="clear" w:color="auto" w:fill="auto"/>
        </w:tcPr>
        <w:p w14:paraId="7408DC0A" w14:textId="77777777" w:rsidR="00527BD4" w:rsidRPr="007709EF" w:rsidRDefault="005446CD" w:rsidP="00A50CF6">
          <w:pPr>
            <w:rPr>
              <w:szCs w:val="18"/>
            </w:rPr>
          </w:pPr>
          <w:r>
            <w:rPr>
              <w:szCs w:val="18"/>
            </w:rPr>
            <w:t>Betreft</w:t>
          </w:r>
        </w:p>
      </w:tc>
      <w:tc>
        <w:tcPr>
          <w:tcW w:w="6620" w:type="dxa"/>
          <w:shd w:val="clear" w:color="auto" w:fill="auto"/>
        </w:tcPr>
        <w:p w14:paraId="12EE54AF" w14:textId="024DBAC0" w:rsidR="00527BD4" w:rsidRPr="003F7413" w:rsidRDefault="003F7413" w:rsidP="00A50CF6">
          <w:pPr>
            <w:rPr>
              <w:szCs w:val="18"/>
            </w:rPr>
          </w:pPr>
          <w:r>
            <w:t>Beantwoording Kamervragen</w:t>
          </w:r>
          <w:r w:rsidR="005446CD">
            <w:t xml:space="preserve"> over </w:t>
          </w:r>
          <w:r w:rsidR="005446CD" w:rsidRPr="005446CD">
            <w:t>het bericht dat een prijsplafond voor gas wordt overwogen</w:t>
          </w:r>
          <w:r w:rsidR="005446CD">
            <w:t xml:space="preserve"> </w:t>
          </w:r>
        </w:p>
      </w:tc>
    </w:tr>
  </w:tbl>
  <w:p w14:paraId="4056256D" w14:textId="77777777" w:rsidR="00527BD4" w:rsidRPr="00BC4AE3" w:rsidRDefault="00527BD4" w:rsidP="003F741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8C94096"/>
    <w:multiLevelType w:val="hybridMultilevel"/>
    <w:tmpl w:val="F9D4C5BA"/>
    <w:lvl w:ilvl="0" w:tplc="D99A70E8">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A4120A4"/>
    <w:multiLevelType w:val="hybridMultilevel"/>
    <w:tmpl w:val="1D8E1FCE"/>
    <w:lvl w:ilvl="0" w:tplc="203ADCD4">
      <w:start w:val="1"/>
      <w:numFmt w:val="bullet"/>
      <w:pStyle w:val="Lijstopsomteken"/>
      <w:lvlText w:val="•"/>
      <w:lvlJc w:val="left"/>
      <w:pPr>
        <w:tabs>
          <w:tab w:val="num" w:pos="227"/>
        </w:tabs>
        <w:ind w:left="227" w:hanging="227"/>
      </w:pPr>
      <w:rPr>
        <w:rFonts w:ascii="Verdana" w:hAnsi="Verdana" w:hint="default"/>
        <w:sz w:val="18"/>
        <w:szCs w:val="18"/>
      </w:rPr>
    </w:lvl>
    <w:lvl w:ilvl="1" w:tplc="64BE6108" w:tentative="1">
      <w:start w:val="1"/>
      <w:numFmt w:val="bullet"/>
      <w:lvlText w:val="o"/>
      <w:lvlJc w:val="left"/>
      <w:pPr>
        <w:tabs>
          <w:tab w:val="num" w:pos="1440"/>
        </w:tabs>
        <w:ind w:left="1440" w:hanging="360"/>
      </w:pPr>
      <w:rPr>
        <w:rFonts w:ascii="Courier New" w:hAnsi="Courier New" w:cs="Courier New" w:hint="default"/>
      </w:rPr>
    </w:lvl>
    <w:lvl w:ilvl="2" w:tplc="0F28E3C0" w:tentative="1">
      <w:start w:val="1"/>
      <w:numFmt w:val="bullet"/>
      <w:lvlText w:val=""/>
      <w:lvlJc w:val="left"/>
      <w:pPr>
        <w:tabs>
          <w:tab w:val="num" w:pos="2160"/>
        </w:tabs>
        <w:ind w:left="2160" w:hanging="360"/>
      </w:pPr>
      <w:rPr>
        <w:rFonts w:ascii="Wingdings" w:hAnsi="Wingdings" w:hint="default"/>
      </w:rPr>
    </w:lvl>
    <w:lvl w:ilvl="3" w:tplc="F65E39BC" w:tentative="1">
      <w:start w:val="1"/>
      <w:numFmt w:val="bullet"/>
      <w:lvlText w:val=""/>
      <w:lvlJc w:val="left"/>
      <w:pPr>
        <w:tabs>
          <w:tab w:val="num" w:pos="2880"/>
        </w:tabs>
        <w:ind w:left="2880" w:hanging="360"/>
      </w:pPr>
      <w:rPr>
        <w:rFonts w:ascii="Symbol" w:hAnsi="Symbol" w:hint="default"/>
      </w:rPr>
    </w:lvl>
    <w:lvl w:ilvl="4" w:tplc="32A09D04" w:tentative="1">
      <w:start w:val="1"/>
      <w:numFmt w:val="bullet"/>
      <w:lvlText w:val="o"/>
      <w:lvlJc w:val="left"/>
      <w:pPr>
        <w:tabs>
          <w:tab w:val="num" w:pos="3600"/>
        </w:tabs>
        <w:ind w:left="3600" w:hanging="360"/>
      </w:pPr>
      <w:rPr>
        <w:rFonts w:ascii="Courier New" w:hAnsi="Courier New" w:cs="Courier New" w:hint="default"/>
      </w:rPr>
    </w:lvl>
    <w:lvl w:ilvl="5" w:tplc="268C47CA" w:tentative="1">
      <w:start w:val="1"/>
      <w:numFmt w:val="bullet"/>
      <w:lvlText w:val=""/>
      <w:lvlJc w:val="left"/>
      <w:pPr>
        <w:tabs>
          <w:tab w:val="num" w:pos="4320"/>
        </w:tabs>
        <w:ind w:left="4320" w:hanging="360"/>
      </w:pPr>
      <w:rPr>
        <w:rFonts w:ascii="Wingdings" w:hAnsi="Wingdings" w:hint="default"/>
      </w:rPr>
    </w:lvl>
    <w:lvl w:ilvl="6" w:tplc="9BE2C9E0" w:tentative="1">
      <w:start w:val="1"/>
      <w:numFmt w:val="bullet"/>
      <w:lvlText w:val=""/>
      <w:lvlJc w:val="left"/>
      <w:pPr>
        <w:tabs>
          <w:tab w:val="num" w:pos="5040"/>
        </w:tabs>
        <w:ind w:left="5040" w:hanging="360"/>
      </w:pPr>
      <w:rPr>
        <w:rFonts w:ascii="Symbol" w:hAnsi="Symbol" w:hint="default"/>
      </w:rPr>
    </w:lvl>
    <w:lvl w:ilvl="7" w:tplc="153ADA50" w:tentative="1">
      <w:start w:val="1"/>
      <w:numFmt w:val="bullet"/>
      <w:lvlText w:val="o"/>
      <w:lvlJc w:val="left"/>
      <w:pPr>
        <w:tabs>
          <w:tab w:val="num" w:pos="5760"/>
        </w:tabs>
        <w:ind w:left="5760" w:hanging="360"/>
      </w:pPr>
      <w:rPr>
        <w:rFonts w:ascii="Courier New" w:hAnsi="Courier New" w:cs="Courier New" w:hint="default"/>
      </w:rPr>
    </w:lvl>
    <w:lvl w:ilvl="8" w:tplc="DBCE26A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C682E8C6">
      <w:start w:val="1"/>
      <w:numFmt w:val="bullet"/>
      <w:pStyle w:val="Lijstopsomteken2"/>
      <w:lvlText w:val="–"/>
      <w:lvlJc w:val="left"/>
      <w:pPr>
        <w:tabs>
          <w:tab w:val="num" w:pos="227"/>
        </w:tabs>
        <w:ind w:left="227" w:firstLine="0"/>
      </w:pPr>
      <w:rPr>
        <w:rFonts w:ascii="Verdana" w:hAnsi="Verdana" w:hint="default"/>
      </w:rPr>
    </w:lvl>
    <w:lvl w:ilvl="1" w:tplc="98EAB1DA" w:tentative="1">
      <w:start w:val="1"/>
      <w:numFmt w:val="bullet"/>
      <w:lvlText w:val="o"/>
      <w:lvlJc w:val="left"/>
      <w:pPr>
        <w:tabs>
          <w:tab w:val="num" w:pos="1440"/>
        </w:tabs>
        <w:ind w:left="1440" w:hanging="360"/>
      </w:pPr>
      <w:rPr>
        <w:rFonts w:ascii="Courier New" w:hAnsi="Courier New" w:cs="Courier New" w:hint="default"/>
      </w:rPr>
    </w:lvl>
    <w:lvl w:ilvl="2" w:tplc="880E2A92" w:tentative="1">
      <w:start w:val="1"/>
      <w:numFmt w:val="bullet"/>
      <w:lvlText w:val=""/>
      <w:lvlJc w:val="left"/>
      <w:pPr>
        <w:tabs>
          <w:tab w:val="num" w:pos="2160"/>
        </w:tabs>
        <w:ind w:left="2160" w:hanging="360"/>
      </w:pPr>
      <w:rPr>
        <w:rFonts w:ascii="Wingdings" w:hAnsi="Wingdings" w:hint="default"/>
      </w:rPr>
    </w:lvl>
    <w:lvl w:ilvl="3" w:tplc="A0A4257C" w:tentative="1">
      <w:start w:val="1"/>
      <w:numFmt w:val="bullet"/>
      <w:lvlText w:val=""/>
      <w:lvlJc w:val="left"/>
      <w:pPr>
        <w:tabs>
          <w:tab w:val="num" w:pos="2880"/>
        </w:tabs>
        <w:ind w:left="2880" w:hanging="360"/>
      </w:pPr>
      <w:rPr>
        <w:rFonts w:ascii="Symbol" w:hAnsi="Symbol" w:hint="default"/>
      </w:rPr>
    </w:lvl>
    <w:lvl w:ilvl="4" w:tplc="68E6B7C8" w:tentative="1">
      <w:start w:val="1"/>
      <w:numFmt w:val="bullet"/>
      <w:lvlText w:val="o"/>
      <w:lvlJc w:val="left"/>
      <w:pPr>
        <w:tabs>
          <w:tab w:val="num" w:pos="3600"/>
        </w:tabs>
        <w:ind w:left="3600" w:hanging="360"/>
      </w:pPr>
      <w:rPr>
        <w:rFonts w:ascii="Courier New" w:hAnsi="Courier New" w:cs="Courier New" w:hint="default"/>
      </w:rPr>
    </w:lvl>
    <w:lvl w:ilvl="5" w:tplc="F666552A" w:tentative="1">
      <w:start w:val="1"/>
      <w:numFmt w:val="bullet"/>
      <w:lvlText w:val=""/>
      <w:lvlJc w:val="left"/>
      <w:pPr>
        <w:tabs>
          <w:tab w:val="num" w:pos="4320"/>
        </w:tabs>
        <w:ind w:left="4320" w:hanging="360"/>
      </w:pPr>
      <w:rPr>
        <w:rFonts w:ascii="Wingdings" w:hAnsi="Wingdings" w:hint="default"/>
      </w:rPr>
    </w:lvl>
    <w:lvl w:ilvl="6" w:tplc="B0ECD6D2" w:tentative="1">
      <w:start w:val="1"/>
      <w:numFmt w:val="bullet"/>
      <w:lvlText w:val=""/>
      <w:lvlJc w:val="left"/>
      <w:pPr>
        <w:tabs>
          <w:tab w:val="num" w:pos="5040"/>
        </w:tabs>
        <w:ind w:left="5040" w:hanging="360"/>
      </w:pPr>
      <w:rPr>
        <w:rFonts w:ascii="Symbol" w:hAnsi="Symbol" w:hint="default"/>
      </w:rPr>
    </w:lvl>
    <w:lvl w:ilvl="7" w:tplc="B0728336" w:tentative="1">
      <w:start w:val="1"/>
      <w:numFmt w:val="bullet"/>
      <w:lvlText w:val="o"/>
      <w:lvlJc w:val="left"/>
      <w:pPr>
        <w:tabs>
          <w:tab w:val="num" w:pos="5760"/>
        </w:tabs>
        <w:ind w:left="5760" w:hanging="360"/>
      </w:pPr>
      <w:rPr>
        <w:rFonts w:ascii="Courier New" w:hAnsi="Courier New" w:cs="Courier New" w:hint="default"/>
      </w:rPr>
    </w:lvl>
    <w:lvl w:ilvl="8" w:tplc="4CACD72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43099210">
    <w:abstractNumId w:val="11"/>
  </w:num>
  <w:num w:numId="2" w16cid:durableId="1618297970">
    <w:abstractNumId w:val="7"/>
  </w:num>
  <w:num w:numId="3" w16cid:durableId="1331372628">
    <w:abstractNumId w:val="6"/>
  </w:num>
  <w:num w:numId="4" w16cid:durableId="1065882868">
    <w:abstractNumId w:val="5"/>
  </w:num>
  <w:num w:numId="5" w16cid:durableId="1013800875">
    <w:abstractNumId w:val="4"/>
  </w:num>
  <w:num w:numId="6" w16cid:durableId="937830610">
    <w:abstractNumId w:val="8"/>
  </w:num>
  <w:num w:numId="7" w16cid:durableId="612368415">
    <w:abstractNumId w:val="3"/>
  </w:num>
  <w:num w:numId="8" w16cid:durableId="166139385">
    <w:abstractNumId w:val="2"/>
  </w:num>
  <w:num w:numId="9" w16cid:durableId="1349410957">
    <w:abstractNumId w:val="1"/>
  </w:num>
  <w:num w:numId="10" w16cid:durableId="1863783726">
    <w:abstractNumId w:val="0"/>
  </w:num>
  <w:num w:numId="11" w16cid:durableId="2103062972">
    <w:abstractNumId w:val="9"/>
  </w:num>
  <w:num w:numId="12" w16cid:durableId="1897424971">
    <w:abstractNumId w:val="12"/>
  </w:num>
  <w:num w:numId="13" w16cid:durableId="30497620">
    <w:abstractNumId w:val="14"/>
  </w:num>
  <w:num w:numId="14" w16cid:durableId="961881614">
    <w:abstractNumId w:val="13"/>
  </w:num>
  <w:num w:numId="15" w16cid:durableId="1227184897">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110"/>
    <w:rsid w:val="00035E67"/>
    <w:rsid w:val="000366F3"/>
    <w:rsid w:val="00042A5B"/>
    <w:rsid w:val="0005606B"/>
    <w:rsid w:val="0006024D"/>
    <w:rsid w:val="000652D4"/>
    <w:rsid w:val="00071F28"/>
    <w:rsid w:val="00074079"/>
    <w:rsid w:val="00092799"/>
    <w:rsid w:val="00092C5F"/>
    <w:rsid w:val="00096680"/>
    <w:rsid w:val="000A0F36"/>
    <w:rsid w:val="000A174A"/>
    <w:rsid w:val="000A2B10"/>
    <w:rsid w:val="000A3E0A"/>
    <w:rsid w:val="000A65AC"/>
    <w:rsid w:val="000A7159"/>
    <w:rsid w:val="000B7281"/>
    <w:rsid w:val="000B7FAB"/>
    <w:rsid w:val="000C0163"/>
    <w:rsid w:val="000C1BA1"/>
    <w:rsid w:val="000C3EA9"/>
    <w:rsid w:val="000D0225"/>
    <w:rsid w:val="000E7895"/>
    <w:rsid w:val="000F161D"/>
    <w:rsid w:val="000F3CAA"/>
    <w:rsid w:val="00102ABB"/>
    <w:rsid w:val="00115EFD"/>
    <w:rsid w:val="0011794C"/>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F3C70"/>
    <w:rsid w:val="00200D88"/>
    <w:rsid w:val="00201F68"/>
    <w:rsid w:val="00212F2A"/>
    <w:rsid w:val="00214F2B"/>
    <w:rsid w:val="00217880"/>
    <w:rsid w:val="00222D66"/>
    <w:rsid w:val="00224A8A"/>
    <w:rsid w:val="00225675"/>
    <w:rsid w:val="002309A8"/>
    <w:rsid w:val="00236CFE"/>
    <w:rsid w:val="002428E3"/>
    <w:rsid w:val="00243031"/>
    <w:rsid w:val="0025042A"/>
    <w:rsid w:val="00260BAF"/>
    <w:rsid w:val="002650F7"/>
    <w:rsid w:val="00273F3B"/>
    <w:rsid w:val="00274DB7"/>
    <w:rsid w:val="00275984"/>
    <w:rsid w:val="00280F74"/>
    <w:rsid w:val="002822CA"/>
    <w:rsid w:val="00286998"/>
    <w:rsid w:val="0029019C"/>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12BF1"/>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3E22"/>
    <w:rsid w:val="003B7EE7"/>
    <w:rsid w:val="003C2CCB"/>
    <w:rsid w:val="003D1726"/>
    <w:rsid w:val="003D39EC"/>
    <w:rsid w:val="003D5DED"/>
    <w:rsid w:val="003E3DD5"/>
    <w:rsid w:val="003E71DB"/>
    <w:rsid w:val="003F07C6"/>
    <w:rsid w:val="003F1F6B"/>
    <w:rsid w:val="003F30C0"/>
    <w:rsid w:val="003F3757"/>
    <w:rsid w:val="003F38BD"/>
    <w:rsid w:val="003F44B7"/>
    <w:rsid w:val="003F7413"/>
    <w:rsid w:val="004008E9"/>
    <w:rsid w:val="00413D48"/>
    <w:rsid w:val="00423A19"/>
    <w:rsid w:val="00441AC2"/>
    <w:rsid w:val="0044249B"/>
    <w:rsid w:val="0045023C"/>
    <w:rsid w:val="00451A5B"/>
    <w:rsid w:val="00452BCD"/>
    <w:rsid w:val="00452CEA"/>
    <w:rsid w:val="00463DA5"/>
    <w:rsid w:val="00465B52"/>
    <w:rsid w:val="0046708E"/>
    <w:rsid w:val="00472A65"/>
    <w:rsid w:val="00474463"/>
    <w:rsid w:val="00474B75"/>
    <w:rsid w:val="00483F0B"/>
    <w:rsid w:val="00496319"/>
    <w:rsid w:val="00497279"/>
    <w:rsid w:val="004A163B"/>
    <w:rsid w:val="004A670A"/>
    <w:rsid w:val="004B5465"/>
    <w:rsid w:val="004B70F0"/>
    <w:rsid w:val="004C076B"/>
    <w:rsid w:val="004C15D1"/>
    <w:rsid w:val="004C21A8"/>
    <w:rsid w:val="004C4F26"/>
    <w:rsid w:val="004D27E1"/>
    <w:rsid w:val="004D505E"/>
    <w:rsid w:val="004D72CA"/>
    <w:rsid w:val="004E04C8"/>
    <w:rsid w:val="004E2242"/>
    <w:rsid w:val="004E52F9"/>
    <w:rsid w:val="004F42FF"/>
    <w:rsid w:val="004F44C2"/>
    <w:rsid w:val="00502512"/>
    <w:rsid w:val="00503FD2"/>
    <w:rsid w:val="00505262"/>
    <w:rsid w:val="005055C2"/>
    <w:rsid w:val="00516022"/>
    <w:rsid w:val="00521CEE"/>
    <w:rsid w:val="00527BD4"/>
    <w:rsid w:val="00537095"/>
    <w:rsid w:val="005403C8"/>
    <w:rsid w:val="005429DC"/>
    <w:rsid w:val="005446CD"/>
    <w:rsid w:val="005565F9"/>
    <w:rsid w:val="00573041"/>
    <w:rsid w:val="0057388D"/>
    <w:rsid w:val="00575B80"/>
    <w:rsid w:val="0057620F"/>
    <w:rsid w:val="005819CE"/>
    <w:rsid w:val="0058298D"/>
    <w:rsid w:val="00584C1A"/>
    <w:rsid w:val="005927DB"/>
    <w:rsid w:val="00593C2B"/>
    <w:rsid w:val="00595231"/>
    <w:rsid w:val="00596166"/>
    <w:rsid w:val="00597F64"/>
    <w:rsid w:val="005A0FFD"/>
    <w:rsid w:val="005A207F"/>
    <w:rsid w:val="005A2F35"/>
    <w:rsid w:val="005B3814"/>
    <w:rsid w:val="005B463E"/>
    <w:rsid w:val="005C34E1"/>
    <w:rsid w:val="005C3FE0"/>
    <w:rsid w:val="005C740C"/>
    <w:rsid w:val="005D625B"/>
    <w:rsid w:val="005E6FDA"/>
    <w:rsid w:val="005F0D54"/>
    <w:rsid w:val="005F62D3"/>
    <w:rsid w:val="005F6D11"/>
    <w:rsid w:val="00600CF0"/>
    <w:rsid w:val="006018D2"/>
    <w:rsid w:val="006048F4"/>
    <w:rsid w:val="0060660A"/>
    <w:rsid w:val="006077D9"/>
    <w:rsid w:val="00613B1D"/>
    <w:rsid w:val="00617A44"/>
    <w:rsid w:val="006202B6"/>
    <w:rsid w:val="00625105"/>
    <w:rsid w:val="006256AD"/>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E2423"/>
    <w:rsid w:val="006E3546"/>
    <w:rsid w:val="006E3FA9"/>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7885"/>
    <w:rsid w:val="00751A6A"/>
    <w:rsid w:val="007530B2"/>
    <w:rsid w:val="00754FBF"/>
    <w:rsid w:val="007610AA"/>
    <w:rsid w:val="007709EF"/>
    <w:rsid w:val="00782701"/>
    <w:rsid w:val="00783559"/>
    <w:rsid w:val="0079551B"/>
    <w:rsid w:val="00797AA5"/>
    <w:rsid w:val="007A07D1"/>
    <w:rsid w:val="007A26BD"/>
    <w:rsid w:val="007A4105"/>
    <w:rsid w:val="007B4503"/>
    <w:rsid w:val="007C406E"/>
    <w:rsid w:val="007C5183"/>
    <w:rsid w:val="007C53DC"/>
    <w:rsid w:val="007C7573"/>
    <w:rsid w:val="007E2B20"/>
    <w:rsid w:val="007F3645"/>
    <w:rsid w:val="007F439C"/>
    <w:rsid w:val="007F5331"/>
    <w:rsid w:val="007F623C"/>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105"/>
    <w:rsid w:val="008517C6"/>
    <w:rsid w:val="008547BA"/>
    <w:rsid w:val="008553C7"/>
    <w:rsid w:val="00857FEB"/>
    <w:rsid w:val="008601AF"/>
    <w:rsid w:val="008712B6"/>
    <w:rsid w:val="00872271"/>
    <w:rsid w:val="00876818"/>
    <w:rsid w:val="00883137"/>
    <w:rsid w:val="00894A3B"/>
    <w:rsid w:val="008A1424"/>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3CBD"/>
    <w:rsid w:val="00926AE2"/>
    <w:rsid w:val="00930B13"/>
    <w:rsid w:val="009311C8"/>
    <w:rsid w:val="00933376"/>
    <w:rsid w:val="00933A2F"/>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C3F20"/>
    <w:rsid w:val="009C7CA1"/>
    <w:rsid w:val="009D043D"/>
    <w:rsid w:val="009F2D2D"/>
    <w:rsid w:val="009F3259"/>
    <w:rsid w:val="00A037D5"/>
    <w:rsid w:val="00A056DE"/>
    <w:rsid w:val="00A1247D"/>
    <w:rsid w:val="00A128AD"/>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42B6"/>
    <w:rsid w:val="00A850A2"/>
    <w:rsid w:val="00A91FA3"/>
    <w:rsid w:val="00A927D3"/>
    <w:rsid w:val="00AA0C1B"/>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08CC"/>
    <w:rsid w:val="00B23C77"/>
    <w:rsid w:val="00B259C8"/>
    <w:rsid w:val="00B26CCF"/>
    <w:rsid w:val="00B30FC2"/>
    <w:rsid w:val="00B331A2"/>
    <w:rsid w:val="00B425F0"/>
    <w:rsid w:val="00B42DFA"/>
    <w:rsid w:val="00B5274F"/>
    <w:rsid w:val="00B52A6F"/>
    <w:rsid w:val="00B531DD"/>
    <w:rsid w:val="00B55014"/>
    <w:rsid w:val="00B55136"/>
    <w:rsid w:val="00B62232"/>
    <w:rsid w:val="00B70BF3"/>
    <w:rsid w:val="00B71DC2"/>
    <w:rsid w:val="00B849F5"/>
    <w:rsid w:val="00B91CFC"/>
    <w:rsid w:val="00B93893"/>
    <w:rsid w:val="00BA1397"/>
    <w:rsid w:val="00BA51E1"/>
    <w:rsid w:val="00BA7E0A"/>
    <w:rsid w:val="00BC2C00"/>
    <w:rsid w:val="00BC3B53"/>
    <w:rsid w:val="00BC3B96"/>
    <w:rsid w:val="00BC4AE3"/>
    <w:rsid w:val="00BC5B28"/>
    <w:rsid w:val="00BD2370"/>
    <w:rsid w:val="00BE37BD"/>
    <w:rsid w:val="00BE3F88"/>
    <w:rsid w:val="00BE4756"/>
    <w:rsid w:val="00BE5ED9"/>
    <w:rsid w:val="00BE7B41"/>
    <w:rsid w:val="00C15A91"/>
    <w:rsid w:val="00C206F1"/>
    <w:rsid w:val="00C217E1"/>
    <w:rsid w:val="00C219B1"/>
    <w:rsid w:val="00C4015B"/>
    <w:rsid w:val="00C40C60"/>
    <w:rsid w:val="00C431E3"/>
    <w:rsid w:val="00C435ED"/>
    <w:rsid w:val="00C5258E"/>
    <w:rsid w:val="00C530C9"/>
    <w:rsid w:val="00C619A7"/>
    <w:rsid w:val="00C73D5F"/>
    <w:rsid w:val="00C82AFE"/>
    <w:rsid w:val="00C83DBC"/>
    <w:rsid w:val="00C97C80"/>
    <w:rsid w:val="00CA47D3"/>
    <w:rsid w:val="00CA6533"/>
    <w:rsid w:val="00CA6A25"/>
    <w:rsid w:val="00CA6A3F"/>
    <w:rsid w:val="00CA7C99"/>
    <w:rsid w:val="00CB26E2"/>
    <w:rsid w:val="00CC6290"/>
    <w:rsid w:val="00CD0FB8"/>
    <w:rsid w:val="00CD233D"/>
    <w:rsid w:val="00CD3499"/>
    <w:rsid w:val="00CD362D"/>
    <w:rsid w:val="00CE101D"/>
    <w:rsid w:val="00CE1814"/>
    <w:rsid w:val="00CE1A95"/>
    <w:rsid w:val="00CE1C84"/>
    <w:rsid w:val="00CE5055"/>
    <w:rsid w:val="00CE78E9"/>
    <w:rsid w:val="00CF053F"/>
    <w:rsid w:val="00CF1A17"/>
    <w:rsid w:val="00D00C4C"/>
    <w:rsid w:val="00D01477"/>
    <w:rsid w:val="00D0375A"/>
    <w:rsid w:val="00D0609E"/>
    <w:rsid w:val="00D078E1"/>
    <w:rsid w:val="00D100E9"/>
    <w:rsid w:val="00D17942"/>
    <w:rsid w:val="00D21E4B"/>
    <w:rsid w:val="00D22441"/>
    <w:rsid w:val="00D23522"/>
    <w:rsid w:val="00D264D6"/>
    <w:rsid w:val="00D33BF0"/>
    <w:rsid w:val="00D33DE0"/>
    <w:rsid w:val="00D36447"/>
    <w:rsid w:val="00D4445D"/>
    <w:rsid w:val="00D516BE"/>
    <w:rsid w:val="00D51C4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1B38"/>
    <w:rsid w:val="00DA241E"/>
    <w:rsid w:val="00DB36FE"/>
    <w:rsid w:val="00DB533A"/>
    <w:rsid w:val="00DB60AE"/>
    <w:rsid w:val="00DB6307"/>
    <w:rsid w:val="00DC66E7"/>
    <w:rsid w:val="00DD1DCD"/>
    <w:rsid w:val="00DD338F"/>
    <w:rsid w:val="00DD4A5B"/>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4C17"/>
    <w:rsid w:val="00E3731D"/>
    <w:rsid w:val="00E51469"/>
    <w:rsid w:val="00E634E3"/>
    <w:rsid w:val="00E717C4"/>
    <w:rsid w:val="00E77E18"/>
    <w:rsid w:val="00E77F89"/>
    <w:rsid w:val="00E80330"/>
    <w:rsid w:val="00E806C5"/>
    <w:rsid w:val="00E80E71"/>
    <w:rsid w:val="00E850D3"/>
    <w:rsid w:val="00E853D6"/>
    <w:rsid w:val="00E876B9"/>
    <w:rsid w:val="00EA0F13"/>
    <w:rsid w:val="00EB4E8D"/>
    <w:rsid w:val="00EC0DFF"/>
    <w:rsid w:val="00EC237D"/>
    <w:rsid w:val="00EC2918"/>
    <w:rsid w:val="00EC4D0E"/>
    <w:rsid w:val="00EC4E2B"/>
    <w:rsid w:val="00ED072A"/>
    <w:rsid w:val="00ED3FBD"/>
    <w:rsid w:val="00ED539E"/>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323ED"/>
    <w:rsid w:val="00F41A6F"/>
    <w:rsid w:val="00F4553F"/>
    <w:rsid w:val="00F45A25"/>
    <w:rsid w:val="00F50F86"/>
    <w:rsid w:val="00F53F91"/>
    <w:rsid w:val="00F61569"/>
    <w:rsid w:val="00F61A72"/>
    <w:rsid w:val="00F62B67"/>
    <w:rsid w:val="00F64978"/>
    <w:rsid w:val="00F66F13"/>
    <w:rsid w:val="00F74073"/>
    <w:rsid w:val="00F75603"/>
    <w:rsid w:val="00F82A17"/>
    <w:rsid w:val="00F845B4"/>
    <w:rsid w:val="00F8713B"/>
    <w:rsid w:val="00F93F9E"/>
    <w:rsid w:val="00FA2CD7"/>
    <w:rsid w:val="00FB06ED"/>
    <w:rsid w:val="00FB2A05"/>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558430"/>
  <w15:docId w15:val="{545DE195-C0D9-4F70-BEAB-D4ACF6FB4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Onopgelostemelding">
    <w:name w:val="Unresolved Mention"/>
    <w:basedOn w:val="Standaardalinea-lettertype"/>
    <w:uiPriority w:val="99"/>
    <w:semiHidden/>
    <w:unhideWhenUsed/>
    <w:rsid w:val="005446CD"/>
    <w:rPr>
      <w:color w:val="605E5C"/>
      <w:shd w:val="clear" w:color="auto" w:fill="E1DFDD"/>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851105"/>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Voetnootmarkering">
    <w:name w:val="footnote reference"/>
    <w:basedOn w:val="Standaardalinea-lettertype"/>
    <w:uiPriority w:val="99"/>
    <w:unhideWhenUsed/>
    <w:rsid w:val="00851105"/>
    <w:rPr>
      <w:vertAlign w:val="superscript"/>
    </w:rPr>
  </w:style>
  <w:style w:type="character" w:customStyle="1" w:styleId="normaltextrun">
    <w:name w:val="normaltextrun"/>
    <w:basedOn w:val="Standaardalinea-lettertype"/>
    <w:rsid w:val="00851105"/>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link w:val="Lijstalinea"/>
    <w:uiPriority w:val="34"/>
    <w:qFormat/>
    <w:locked/>
    <w:rsid w:val="00851105"/>
    <w:rPr>
      <w:rFonts w:asciiTheme="minorHAnsi" w:eastAsiaTheme="minorHAnsi" w:hAnsiTheme="minorHAnsi" w:cstheme="minorBidi"/>
      <w:kern w:val="2"/>
      <w:sz w:val="22"/>
      <w:szCs w:val="22"/>
      <w:lang w:val="nl-NL"/>
      <w14:ligatures w14:val="standardContextual"/>
    </w:rPr>
  </w:style>
  <w:style w:type="paragraph" w:styleId="Geenafstand">
    <w:name w:val="No Spacing"/>
    <w:uiPriority w:val="1"/>
    <w:qFormat/>
    <w:rsid w:val="00851105"/>
    <w:rPr>
      <w:rFonts w:asciiTheme="minorHAnsi" w:eastAsiaTheme="minorHAnsi" w:hAnsiTheme="minorHAnsi" w:cstheme="minorBidi"/>
      <w:kern w:val="2"/>
      <w:sz w:val="22"/>
      <w:szCs w:val="22"/>
      <w:lang w:val="nl-NL"/>
      <w14:ligatures w14:val="standardContextual"/>
    </w:rPr>
  </w:style>
  <w:style w:type="character" w:styleId="Verwijzingopmerking">
    <w:name w:val="annotation reference"/>
    <w:basedOn w:val="Standaardalinea-lettertype"/>
    <w:semiHidden/>
    <w:unhideWhenUsed/>
    <w:rsid w:val="00ED3FBD"/>
    <w:rPr>
      <w:sz w:val="16"/>
      <w:szCs w:val="16"/>
    </w:rPr>
  </w:style>
  <w:style w:type="paragraph" w:styleId="Tekstopmerking">
    <w:name w:val="annotation text"/>
    <w:basedOn w:val="Standaard"/>
    <w:link w:val="TekstopmerkingChar"/>
    <w:unhideWhenUsed/>
    <w:rsid w:val="00ED3FBD"/>
    <w:pPr>
      <w:spacing w:line="240" w:lineRule="auto"/>
    </w:pPr>
    <w:rPr>
      <w:sz w:val="20"/>
      <w:szCs w:val="20"/>
    </w:rPr>
  </w:style>
  <w:style w:type="character" w:customStyle="1" w:styleId="TekstopmerkingChar">
    <w:name w:val="Tekst opmerking Char"/>
    <w:basedOn w:val="Standaardalinea-lettertype"/>
    <w:link w:val="Tekstopmerking"/>
    <w:rsid w:val="00ED3FBD"/>
    <w:rPr>
      <w:rFonts w:ascii="Verdana" w:hAnsi="Verdana"/>
      <w:lang w:val="nl-NL" w:eastAsia="nl-NL"/>
    </w:rPr>
  </w:style>
  <w:style w:type="paragraph" w:styleId="Revisie">
    <w:name w:val="Revision"/>
    <w:hidden/>
    <w:uiPriority w:val="99"/>
    <w:semiHidden/>
    <w:rsid w:val="003E71DB"/>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3E71DB"/>
    <w:rPr>
      <w:b/>
      <w:bCs/>
    </w:rPr>
  </w:style>
  <w:style w:type="character" w:customStyle="1" w:styleId="OnderwerpvanopmerkingChar">
    <w:name w:val="Onderwerp van opmerking Char"/>
    <w:basedOn w:val="TekstopmerkingChar"/>
    <w:link w:val="Onderwerpvanopmerking"/>
    <w:semiHidden/>
    <w:rsid w:val="003E71DB"/>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817">
      <w:bodyDiv w:val="1"/>
      <w:marLeft w:val="0"/>
      <w:marRight w:val="0"/>
      <w:marTop w:val="0"/>
      <w:marBottom w:val="0"/>
      <w:divBdr>
        <w:top w:val="none" w:sz="0" w:space="0" w:color="auto"/>
        <w:left w:val="none" w:sz="0" w:space="0" w:color="auto"/>
        <w:bottom w:val="none" w:sz="0" w:space="0" w:color="auto"/>
        <w:right w:val="none" w:sz="0" w:space="0" w:color="auto"/>
      </w:divBdr>
    </w:div>
    <w:div w:id="400182842">
      <w:bodyDiv w:val="1"/>
      <w:marLeft w:val="0"/>
      <w:marRight w:val="0"/>
      <w:marTop w:val="0"/>
      <w:marBottom w:val="0"/>
      <w:divBdr>
        <w:top w:val="none" w:sz="0" w:space="0" w:color="auto"/>
        <w:left w:val="none" w:sz="0" w:space="0" w:color="auto"/>
        <w:bottom w:val="none" w:sz="0" w:space="0" w:color="auto"/>
        <w:right w:val="none" w:sz="0" w:space="0" w:color="auto"/>
      </w:divBdr>
    </w:div>
    <w:div w:id="654726213">
      <w:bodyDiv w:val="1"/>
      <w:marLeft w:val="0"/>
      <w:marRight w:val="0"/>
      <w:marTop w:val="0"/>
      <w:marBottom w:val="0"/>
      <w:divBdr>
        <w:top w:val="none" w:sz="0" w:space="0" w:color="auto"/>
        <w:left w:val="none" w:sz="0" w:space="0" w:color="auto"/>
        <w:bottom w:val="none" w:sz="0" w:space="0" w:color="auto"/>
        <w:right w:val="none" w:sz="0" w:space="0" w:color="auto"/>
      </w:divBdr>
      <w:divsChild>
        <w:div w:id="1263876127">
          <w:marLeft w:val="0"/>
          <w:marRight w:val="0"/>
          <w:marTop w:val="0"/>
          <w:marBottom w:val="0"/>
          <w:divBdr>
            <w:top w:val="none" w:sz="0" w:space="0" w:color="auto"/>
            <w:left w:val="none" w:sz="0" w:space="0" w:color="auto"/>
            <w:bottom w:val="none" w:sz="0" w:space="0" w:color="auto"/>
            <w:right w:val="none" w:sz="0" w:space="0" w:color="auto"/>
          </w:divBdr>
        </w:div>
      </w:divsChild>
    </w:div>
    <w:div w:id="1473518737">
      <w:bodyDiv w:val="1"/>
      <w:marLeft w:val="0"/>
      <w:marRight w:val="0"/>
      <w:marTop w:val="0"/>
      <w:marBottom w:val="0"/>
      <w:divBdr>
        <w:top w:val="none" w:sz="0" w:space="0" w:color="auto"/>
        <w:left w:val="none" w:sz="0" w:space="0" w:color="auto"/>
        <w:bottom w:val="none" w:sz="0" w:space="0" w:color="auto"/>
        <w:right w:val="none" w:sz="0" w:space="0" w:color="auto"/>
      </w:divBdr>
      <w:divsChild>
        <w:div w:id="5843431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acm.nl/system/files/documents/onderzoek-geen-onredelijke-prijzen-grootste-drie-energieleveranciers.pdf" TargetMode="External"/><Relationship Id="rId2" Type="http://schemas.openxmlformats.org/officeDocument/2006/relationships/hyperlink" Target="https://www.cbs.nl/nl-nl/nieuws/2025/03/inflatie-3-3-procent-in-2024" TargetMode="External"/><Relationship Id="rId1" Type="http://schemas.openxmlformats.org/officeDocument/2006/relationships/hyperlink" Target="https://www.politico.eu/article/eu-rumor-revive-gas-price-cap/" TargetMode="External"/><Relationship Id="rId4" Type="http://schemas.openxmlformats.org/officeDocument/2006/relationships/hyperlink" Target="https://www.acm.nl/system/files/documents/geen-onredelijke-prijzen-budget-thuis-greenchoice-en-engie.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2429</ap:Words>
  <ap:Characters>13361</ap:Characters>
  <ap:DocSecurity>0</ap:DocSecurity>
  <ap:Lines>111</ap:Lines>
  <ap:Paragraphs>31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15759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2025-03-11T10:36:00.0000000Z</dcterms:created>
  <dcterms:modified xsi:type="dcterms:W3CDTF">2025-03-11T10:36:00.0000000Z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groots3</vt:lpwstr>
  </property>
  <property fmtid="{D5CDD505-2E9C-101B-9397-08002B2CF9AE}" pid="3" name="AUTHOR_ID">
    <vt:lpwstr>groots3</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
  </property>
  <property fmtid="{D5CDD505-2E9C-101B-9397-08002B2CF9AE}" pid="7" name="DOCNAME">
    <vt:lpwstr/>
  </property>
  <property fmtid="{D5CDD505-2E9C-101B-9397-08002B2CF9AE}" pid="8" name="documentId">
    <vt:lpwstr>documentId</vt:lpwstr>
  </property>
  <property fmtid="{D5CDD505-2E9C-101B-9397-08002B2CF9AE}" pid="9" name="Header">
    <vt:lpwstr>Kamervragen beantwoording - KGG</vt:lpwstr>
  </property>
  <property fmtid="{D5CDD505-2E9C-101B-9397-08002B2CF9AE}" pid="10" name="HeaderId">
    <vt:lpwstr>69FB0ED8AA99408ABF153C9D87013B37</vt:lpwstr>
  </property>
  <property fmtid="{D5CDD505-2E9C-101B-9397-08002B2CF9AE}" pid="11" name="MSIP_Label_4bde8109-f994-4a60-a1d3-5c95e2ff3620_ActionId">
    <vt:lpwstr>d4a1f58f-86ba-4543-8a3c-d82a1c30be95</vt:lpwstr>
  </property>
  <property fmtid="{D5CDD505-2E9C-101B-9397-08002B2CF9AE}" pid="12" name="MSIP_Label_4bde8109-f994-4a60-a1d3-5c95e2ff3620_ContentBits">
    <vt:lpwstr>0</vt:lpwstr>
  </property>
  <property fmtid="{D5CDD505-2E9C-101B-9397-08002B2CF9AE}" pid="13" name="MSIP_Label_4bde8109-f994-4a60-a1d3-5c95e2ff3620_Enabled">
    <vt:lpwstr>true</vt:lpwstr>
  </property>
  <property fmtid="{D5CDD505-2E9C-101B-9397-08002B2CF9AE}" pid="14" name="MSIP_Label_4bde8109-f994-4a60-a1d3-5c95e2ff3620_Method">
    <vt:lpwstr>Privileged</vt:lpwstr>
  </property>
  <property fmtid="{D5CDD505-2E9C-101B-9397-08002B2CF9AE}" pid="15" name="MSIP_Label_4bde8109-f994-4a60-a1d3-5c95e2ff3620_Name">
    <vt:lpwstr>FLPubliek</vt:lpwstr>
  </property>
  <property fmtid="{D5CDD505-2E9C-101B-9397-08002B2CF9AE}" pid="16" name="MSIP_Label_4bde8109-f994-4a60-a1d3-5c95e2ff3620_SetDate">
    <vt:lpwstr>2022-11-15T08:07:44Z</vt:lpwstr>
  </property>
  <property fmtid="{D5CDD505-2E9C-101B-9397-08002B2CF9AE}" pid="17" name="MSIP_Label_4bde8109-f994-4a60-a1d3-5c95e2ff3620_SiteId">
    <vt:lpwstr>1321633e-f6b9-44e2-a44f-59b9d264ecb7</vt:lpwstr>
  </property>
  <property fmtid="{D5CDD505-2E9C-101B-9397-08002B2CF9AE}" pid="18" name="Template">
    <vt:lpwstr>Kamervragen beantwoording - KGG</vt:lpwstr>
  </property>
  <property fmtid="{D5CDD505-2E9C-101B-9397-08002B2CF9AE}" pid="19" name="TemplateId">
    <vt:lpwstr>3164513BC475452CA23DA24C4F9E83E3</vt:lpwstr>
  </property>
  <property fmtid="{D5CDD505-2E9C-101B-9397-08002B2CF9AE}" pid="20" name="TYPE_ID">
    <vt:lpwstr>Brief</vt:lpwstr>
  </property>
  <property fmtid="{D5CDD505-2E9C-101B-9397-08002B2CF9AE}" pid="21" name="Typist">
    <vt:lpwstr>groots3</vt:lpwstr>
  </property>
</Properties>
</file>