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A90" w:rsidP="007B3A90" w:rsidRDefault="007B3A90" w14:paraId="7495265E" w14:textId="77777777">
      <w:pPr>
        <w:jc w:val="both"/>
      </w:pPr>
    </w:p>
    <w:p w:rsidR="007B3A90" w:rsidP="007B3A90" w:rsidRDefault="007B3A90" w14:paraId="18EDD19F" w14:textId="77777777">
      <w:pPr>
        <w:jc w:val="both"/>
      </w:pPr>
      <w:r>
        <w:t>In de motie Koekkoek (Volt)</w:t>
      </w:r>
      <w:r>
        <w:rPr>
          <w:rStyle w:val="Voetnootmarkering"/>
        </w:rPr>
        <w:footnoteReference w:id="1"/>
      </w:r>
      <w:r w:rsidRPr="00316871">
        <w:t xml:space="preserve"> </w:t>
      </w:r>
      <w:r>
        <w:t xml:space="preserve">is gevraagd om inzichtelijk te maken hoeveel middelen jaarlijks worden besteed aan producten en diensten van grote niet-Europese </w:t>
      </w:r>
      <w:proofErr w:type="spellStart"/>
      <w:r>
        <w:t>techbedrijven</w:t>
      </w:r>
      <w:proofErr w:type="spellEnd"/>
      <w:r>
        <w:t xml:space="preserve">. Daarnaast is </w:t>
      </w:r>
      <w:r w:rsidRPr="00865969">
        <w:t xml:space="preserve">het commissiedebat Informatiebeveiliging bij de Overheid </w:t>
      </w:r>
      <w:r>
        <w:t xml:space="preserve">van </w:t>
      </w:r>
      <w:r w:rsidRPr="00865969">
        <w:t>12 september 2024</w:t>
      </w:r>
      <w:r>
        <w:t xml:space="preserve"> heeft </w:t>
      </w:r>
      <w:r w:rsidRPr="00865969">
        <w:t xml:space="preserve">het </w:t>
      </w:r>
      <w:r>
        <w:t xml:space="preserve">lid </w:t>
      </w:r>
      <w:r w:rsidRPr="00865969">
        <w:t xml:space="preserve">Six Dijkstra (NSC) </w:t>
      </w:r>
      <w:r>
        <w:t xml:space="preserve">verzocht </w:t>
      </w:r>
      <w:r w:rsidRPr="00865969">
        <w:t xml:space="preserve">om </w:t>
      </w:r>
      <w:r>
        <w:t xml:space="preserve">in te gaan op de vraag of de </w:t>
      </w:r>
      <w:r w:rsidRPr="00865969">
        <w:t xml:space="preserve">methodiek van de uitvoering voor de motie </w:t>
      </w:r>
      <w:proofErr w:type="spellStart"/>
      <w:r w:rsidRPr="00865969">
        <w:t>Rajkowski</w:t>
      </w:r>
      <w:proofErr w:type="spellEnd"/>
      <w:r>
        <w:t>/</w:t>
      </w:r>
      <w:r w:rsidRPr="00865969">
        <w:t>Van Weerdenburg</w:t>
      </w:r>
      <w:r>
        <w:rPr>
          <w:rStyle w:val="Voetnootmarkering"/>
        </w:rPr>
        <w:footnoteReference w:id="2"/>
      </w:r>
      <w:r>
        <w:t xml:space="preserve"> ook</w:t>
      </w:r>
      <w:r w:rsidRPr="00865969">
        <w:t xml:space="preserve"> ten goede kan komen </w:t>
      </w:r>
      <w:r>
        <w:t>aan</w:t>
      </w:r>
      <w:r w:rsidRPr="00865969">
        <w:t xml:space="preserve"> het beeld dat de Tweede Kamer kan krijgen van programmatuur, apparatuur en systemen die binnen de overheid gebruikt worden</w:t>
      </w:r>
      <w:r>
        <w:t xml:space="preserve">. Op 26 november 2024 heeft het lid </w:t>
      </w:r>
      <w:proofErr w:type="spellStart"/>
      <w:r>
        <w:t>Kathmann</w:t>
      </w:r>
      <w:proofErr w:type="spellEnd"/>
      <w:r>
        <w:t xml:space="preserve"> (GroenLinks/PvdA) gevraagd om een globaal overzicht te geven van overheids-ICT bij niet-Europese clouddiensten. D</w:t>
      </w:r>
      <w:r w:rsidRPr="00E95308">
        <w:t xml:space="preserve">e Kamer wordt over de motie </w:t>
      </w:r>
      <w:proofErr w:type="spellStart"/>
      <w:r>
        <w:t>motie</w:t>
      </w:r>
      <w:proofErr w:type="spellEnd"/>
      <w:r>
        <w:t xml:space="preserve"> </w:t>
      </w:r>
      <w:proofErr w:type="spellStart"/>
      <w:r w:rsidRPr="004969F6">
        <w:t>Rajkowski</w:t>
      </w:r>
      <w:proofErr w:type="spellEnd"/>
      <w:r w:rsidRPr="004969F6">
        <w:t xml:space="preserve"> (VVD) en Van Weerdenburg (PVV)</w:t>
      </w:r>
      <w:r>
        <w:t xml:space="preserve"> </w:t>
      </w:r>
      <w:r w:rsidRPr="00E95308">
        <w:t>geïnformeerd in een separate brief en op basis van die brief zal een technische briefing plaatsvinden</w:t>
      </w:r>
      <w:r>
        <w:t>.</w:t>
      </w:r>
      <w:r>
        <w:rPr>
          <w:rStyle w:val="Voetnootmarkering"/>
        </w:rPr>
        <w:footnoteReference w:id="3"/>
      </w:r>
      <w:r>
        <w:t xml:space="preserve"> In deze brief ga ik in op de motie Koekkoek (Volt) en de verzoeken. </w:t>
      </w:r>
    </w:p>
    <w:p w:rsidR="007B3A90" w:rsidP="007B3A90" w:rsidRDefault="007B3A90" w14:paraId="768F82C5" w14:textId="77777777">
      <w:pPr>
        <w:jc w:val="both"/>
      </w:pPr>
    </w:p>
    <w:p w:rsidR="007B3A90" w:rsidP="007B3A90" w:rsidRDefault="007B3A90" w14:paraId="7A98C0BD" w14:textId="77777777">
      <w:pPr>
        <w:jc w:val="both"/>
      </w:pPr>
      <w:r>
        <w:rPr>
          <w:b/>
          <w:bCs/>
        </w:rPr>
        <w:t>K</w:t>
      </w:r>
      <w:r w:rsidRPr="00316220">
        <w:rPr>
          <w:b/>
          <w:bCs/>
        </w:rPr>
        <w:t>aders</w:t>
      </w:r>
      <w:r>
        <w:rPr>
          <w:b/>
          <w:bCs/>
        </w:rPr>
        <w:t>, toezicht en waarborgen</w:t>
      </w:r>
      <w:r w:rsidRPr="00316220">
        <w:rPr>
          <w:b/>
          <w:bCs/>
        </w:rPr>
        <w:t xml:space="preserve"> voor IT-beheer bij de Rijksoverheid</w:t>
      </w:r>
    </w:p>
    <w:p w:rsidR="007B3A90" w:rsidP="007B3A90" w:rsidRDefault="007B3A90" w14:paraId="5127188E" w14:textId="77777777">
      <w:pPr>
        <w:jc w:val="both"/>
      </w:pPr>
      <w:r>
        <w:t xml:space="preserve">De motie en de gestelde vragen verzoeken om overzichten van programmatuur, apparatuur, leveranciers en ICT-systemen binnen de gehele Rijksoverheid. Echter, elk ministerie en elke uitvoeringsorganisatie is zelf verantwoordelijk voor het beheer van zijn IT. Alle onderdelen van de Rijksoverheid dragen de verantwoordelijkheid om intern inzicht te houden in hun eigen systemen. </w:t>
      </w:r>
      <w:proofErr w:type="spellStart"/>
      <w:r>
        <w:t>Rijksbrede</w:t>
      </w:r>
      <w:proofErr w:type="spellEnd"/>
      <w:r>
        <w:t xml:space="preserve"> registers of overzichten zijn niet beschikbaar.  </w:t>
      </w:r>
    </w:p>
    <w:p w:rsidR="007B3A90" w:rsidP="007B3A90" w:rsidRDefault="007B3A90" w14:paraId="63E5F034" w14:textId="77777777">
      <w:pPr>
        <w:jc w:val="both"/>
      </w:pPr>
    </w:p>
    <w:p w:rsidR="007B3A90" w:rsidP="007B3A90" w:rsidRDefault="007B3A90" w14:paraId="073CD4F5" w14:textId="77777777">
      <w:pPr>
        <w:jc w:val="both"/>
      </w:pPr>
      <w:r>
        <w:t xml:space="preserve">Het kabinet hecht aan transparantie en verantwoording en ziet daarin een belangrijke rol voor de bestaande controlemechanismen. </w:t>
      </w:r>
      <w:bookmarkStart w:name="_Hlk192509416" w:id="0"/>
      <w:r>
        <w:t>Departementale jaarverslagen, beleidsdoorlichtingen en verantwoordingsrapportages bieden inzicht in de uitgaven en resultaten van het beleid. Hierop wordt intern en extern controle gehouden door respectievelijk de Auditdienst Rijk en de Algemene Rekenkamer.</w:t>
      </w:r>
    </w:p>
    <w:bookmarkEnd w:id="0"/>
    <w:p w:rsidR="007B3A90" w:rsidP="007B3A90" w:rsidRDefault="007B3A90" w14:paraId="43C27B38" w14:textId="77777777">
      <w:pPr>
        <w:jc w:val="both"/>
      </w:pPr>
    </w:p>
    <w:p w:rsidR="007B3A90" w:rsidP="007B3A90" w:rsidRDefault="007B3A90" w14:paraId="16FDE05F" w14:textId="77777777">
      <w:pPr>
        <w:jc w:val="both"/>
      </w:pPr>
      <w:r>
        <w:t>Het continu in kaart brengen van risico’s en dreigingen is een essentieel onderdeel van de kabinetsbrede aanpak om de digitale en fysieke weerbaarheid van de overheid te versterken. De Rijksoverheid neemt passende maatregelen op basis van actuele dreigingen en ontwikkelingen.</w:t>
      </w:r>
      <w:r>
        <w:rPr>
          <w:rStyle w:val="Voetnootmarkering"/>
        </w:rPr>
        <w:footnoteReference w:id="4"/>
      </w:r>
      <w:r>
        <w:t xml:space="preserve"> Ministeries zijn daarbij gehouden aan verplichtingen zoals vastgelegd in de Baseline Informatiebeveiliging Overheid (BIO) en </w:t>
      </w:r>
      <w:r>
        <w:lastRenderedPageBreak/>
        <w:t>de NIS2-richtlijn. De naleving hiervan wordt getoetst en gemonitord via audits, inspecties en rapportages aan de Kamer, waaronder cybersecurity-rapportages.</w:t>
      </w:r>
    </w:p>
    <w:p w:rsidR="007B3A90" w:rsidP="007B3A90" w:rsidRDefault="007B3A90" w14:paraId="24956BDD" w14:textId="77777777">
      <w:pPr>
        <w:jc w:val="both"/>
      </w:pPr>
    </w:p>
    <w:p w:rsidR="007B3A90" w:rsidP="007B3A90" w:rsidRDefault="007B3A90" w14:paraId="1357BE7A" w14:textId="77777777">
      <w:pPr>
        <w:jc w:val="both"/>
      </w:pPr>
      <w:r w:rsidRPr="006E041C">
        <w:t>Voor het gebruik va</w:t>
      </w:r>
      <w:r>
        <w:t xml:space="preserve">n </w:t>
      </w:r>
      <w:r w:rsidRPr="006E041C">
        <w:t>cloud</w:t>
      </w:r>
      <w:r>
        <w:t>diensten</w:t>
      </w:r>
      <w:r w:rsidRPr="006E041C">
        <w:t xml:space="preserve"> geldt het </w:t>
      </w:r>
      <w:proofErr w:type="spellStart"/>
      <w:r w:rsidRPr="006E041C">
        <w:t>Rijksbrede</w:t>
      </w:r>
      <w:proofErr w:type="spellEnd"/>
      <w:r w:rsidRPr="006E041C">
        <w:t xml:space="preserve"> Cloudbeleid, waarin besluitvorming, risicoacceptatie en monitoring plaatsvinden via reguliere afspraken zoals</w:t>
      </w:r>
      <w:r>
        <w:t xml:space="preserve"> </w:t>
      </w:r>
      <w:r w:rsidRPr="006E041C">
        <w:t>de departementale mandateringsregeling</w:t>
      </w:r>
      <w:r>
        <w:t xml:space="preserve"> </w:t>
      </w:r>
      <w:r w:rsidRPr="006E041C">
        <w:t>en het CIO-stelsel.</w:t>
      </w:r>
      <w:r>
        <w:rPr>
          <w:rStyle w:val="Voetnootmarkering"/>
        </w:rPr>
        <w:footnoteReference w:id="5"/>
      </w:r>
      <w:r w:rsidRPr="006E041C">
        <w:t xml:space="preserve"> CIO</w:t>
      </w:r>
      <w:r>
        <w:t>-</w:t>
      </w:r>
      <w:r w:rsidRPr="006E041C">
        <w:t xml:space="preserve">Rijk bewaakt het </w:t>
      </w:r>
      <w:proofErr w:type="spellStart"/>
      <w:r>
        <w:t>Rijksbrede</w:t>
      </w:r>
      <w:proofErr w:type="spellEnd"/>
      <w:r>
        <w:t xml:space="preserve"> i</w:t>
      </w:r>
      <w:r w:rsidRPr="006E041C">
        <w:t>nformatiebeveiligingsbeeld en voert jaarlijkse CIO-gesprekken. Departementa</w:t>
      </w:r>
      <w:r>
        <w:t>al-overstijgende</w:t>
      </w:r>
      <w:r w:rsidRPr="006E041C">
        <w:t xml:space="preserve"> registers of overzichten zijn niet </w:t>
      </w:r>
      <w:r>
        <w:t>voorhanden</w:t>
      </w:r>
      <w:r w:rsidRPr="006E041C">
        <w:t>.</w:t>
      </w:r>
      <w:r>
        <w:t xml:space="preserve"> H</w:t>
      </w:r>
      <w:r w:rsidRPr="00316871">
        <w:t xml:space="preserve">et opstellen van dergelijke overzichten </w:t>
      </w:r>
      <w:r>
        <w:t>betekent een</w:t>
      </w:r>
      <w:r w:rsidRPr="00316871">
        <w:t xml:space="preserve"> aanzienlijke administratieve last voor de departementen, terwijl de beschikbare middelen en capaciteit hiervoor beperkt zijn.</w:t>
      </w:r>
      <w:r>
        <w:t xml:space="preserve"> Voor de globale overzichten van overheids-ICT bij niet-Europese clouddiensten vindt u de beschikbare en deelbare informatie in de </w:t>
      </w:r>
      <w:r w:rsidRPr="0031674C">
        <w:t xml:space="preserve">Kamerbrief evaluatie </w:t>
      </w:r>
      <w:proofErr w:type="spellStart"/>
      <w:r w:rsidRPr="0031674C">
        <w:t>Rijksbreed</w:t>
      </w:r>
      <w:proofErr w:type="spellEnd"/>
      <w:r w:rsidRPr="0031674C">
        <w:t xml:space="preserve"> </w:t>
      </w:r>
      <w:proofErr w:type="spellStart"/>
      <w:r w:rsidRPr="0031674C">
        <w:t>cloudbeleid</w:t>
      </w:r>
      <w:proofErr w:type="spellEnd"/>
      <w:r>
        <w:t xml:space="preserve"> en het Algemene Rekenkamerrapport ‘Het Rijk in de </w:t>
      </w:r>
      <w:proofErr w:type="spellStart"/>
      <w:r>
        <w:t>cloud</w:t>
      </w:r>
      <w:proofErr w:type="spellEnd"/>
      <w:r>
        <w:t>’.</w:t>
      </w:r>
      <w:r>
        <w:rPr>
          <w:rStyle w:val="Voetnootmarkering"/>
        </w:rPr>
        <w:footnoteReference w:id="6"/>
      </w:r>
      <w:r>
        <w:t xml:space="preserve">   </w:t>
      </w:r>
    </w:p>
    <w:p w:rsidR="007B3A90" w:rsidP="007B3A90" w:rsidRDefault="007B3A90" w14:paraId="283302D9" w14:textId="77777777">
      <w:pPr>
        <w:jc w:val="both"/>
      </w:pPr>
    </w:p>
    <w:p w:rsidR="007B3A90" w:rsidP="007B3A90" w:rsidRDefault="007B3A90" w14:paraId="4800FEF8" w14:textId="77777777">
      <w:pPr>
        <w:jc w:val="both"/>
        <w:rPr>
          <w:b/>
          <w:bCs/>
          <w:color w:val="auto"/>
        </w:rPr>
      </w:pPr>
      <w:r w:rsidRPr="00316220">
        <w:rPr>
          <w:b/>
          <w:bCs/>
          <w:color w:val="auto"/>
        </w:rPr>
        <w:t>Risico’s</w:t>
      </w:r>
      <w:r>
        <w:rPr>
          <w:b/>
          <w:bCs/>
          <w:color w:val="auto"/>
        </w:rPr>
        <w:t>, beperkingen</w:t>
      </w:r>
      <w:r w:rsidRPr="00316220">
        <w:rPr>
          <w:b/>
          <w:bCs/>
          <w:color w:val="auto"/>
        </w:rPr>
        <w:t xml:space="preserve"> en haalbaarheid van </w:t>
      </w:r>
      <w:proofErr w:type="spellStart"/>
      <w:r w:rsidRPr="00316220">
        <w:rPr>
          <w:b/>
          <w:bCs/>
          <w:color w:val="auto"/>
        </w:rPr>
        <w:t>rijksbrede</w:t>
      </w:r>
      <w:proofErr w:type="spellEnd"/>
      <w:r w:rsidRPr="00316220">
        <w:rPr>
          <w:b/>
          <w:bCs/>
          <w:color w:val="auto"/>
        </w:rPr>
        <w:t xml:space="preserve"> I</w:t>
      </w:r>
      <w:r>
        <w:rPr>
          <w:b/>
          <w:bCs/>
          <w:color w:val="auto"/>
        </w:rPr>
        <w:t>CT-overzichten</w:t>
      </w:r>
    </w:p>
    <w:p w:rsidR="007B3A90" w:rsidP="007B3A90" w:rsidRDefault="2F661334" w14:paraId="69425C83" w14:textId="77777777">
      <w:pPr>
        <w:jc w:val="both"/>
      </w:pPr>
      <w:r>
        <w:t xml:space="preserve">Een gedetailleerd </w:t>
      </w:r>
      <w:proofErr w:type="spellStart"/>
      <w:r>
        <w:t>rijksbreed</w:t>
      </w:r>
      <w:proofErr w:type="spellEnd"/>
      <w:r>
        <w:t xml:space="preserve"> overzicht van alle ICT-assets is bovendien niet haalbaar, kent juridische en praktische beperkingen en brengt bovendien veiligheidsrisico’s met zich mee. Elke dag zijn er bij de Rijksoverheid en al haar uitvoerende diensten wijzigingen in de programmatuur, apparatuur, de contracten en ICT-systemen. Op onderdelen gaat het om gevoelige informatie. Openbaarmaking kan de kans op beveiligingsincidenten vergroten en strategische keuzes van ministeries ondermijnen. De software en apparatuur wordt aangeschaft binnen de geldende wettelijke kaders, waarbij rekening moet worden gehouden met de deels vertrouwelijke aanbestedingsuitkomsten. Dit brengt tevens wettelijke belemmeringen met zich mee bij het samenstellen van een volledig overzicht. </w:t>
      </w:r>
    </w:p>
    <w:p w:rsidR="007B3A90" w:rsidP="007B3A90" w:rsidRDefault="007B3A90" w14:paraId="31E4076D" w14:textId="77777777">
      <w:pPr>
        <w:jc w:val="both"/>
      </w:pPr>
    </w:p>
    <w:p w:rsidR="007B3A90" w:rsidP="007B3A90" w:rsidRDefault="007B3A90" w14:paraId="13FDA16A" w14:textId="77777777">
      <w:pPr>
        <w:jc w:val="both"/>
      </w:pPr>
      <w:bookmarkStart w:name="_Hlk192523005" w:id="1"/>
      <w:r w:rsidRPr="000C5442">
        <w:t xml:space="preserve">Met bovenstaande informatie hoop ik voldoende duidelijkheid te hebben verschaft over de kaders, toezicht en waarborgen voor het IT-beheer binnen de Rijksoverheid, evenals de uitdagingen en beperkingen bij het opstellen van gedetailleerde ICT-overzichten. </w:t>
      </w:r>
      <w:r w:rsidRPr="00CF7ECA">
        <w:t>Ik zal u in het tweede kwartaal van 2025 verder informeren</w:t>
      </w:r>
      <w:r>
        <w:t xml:space="preserve"> over</w:t>
      </w:r>
      <w:r w:rsidRPr="00CF7ECA">
        <w:t xml:space="preserve"> </w:t>
      </w:r>
      <w:r>
        <w:t xml:space="preserve">het </w:t>
      </w:r>
      <w:r w:rsidRPr="00CF7ECA">
        <w:t xml:space="preserve">inzicht </w:t>
      </w:r>
      <w:r>
        <w:t>in</w:t>
      </w:r>
      <w:r w:rsidRPr="00CF7ECA">
        <w:t xml:space="preserve"> </w:t>
      </w:r>
      <w:proofErr w:type="spellStart"/>
      <w:r w:rsidRPr="00CF7ECA">
        <w:t>Rijksbrede</w:t>
      </w:r>
      <w:proofErr w:type="spellEnd"/>
      <w:r w:rsidRPr="00CF7ECA">
        <w:t xml:space="preserve"> digitalisering.</w:t>
      </w:r>
      <w:r>
        <w:t xml:space="preserve"> </w:t>
      </w:r>
      <w:r w:rsidRPr="000C5442">
        <w:t xml:space="preserve">Gezien de juridische, praktische en veiligheidsrisico’s die gepaard gaan met het verstrekken van dergelijke gegevens, worden de verzoeken naar aanleiding van de motie en vragen als afgedaan beschouwd. </w:t>
      </w:r>
    </w:p>
    <w:bookmarkEnd w:id="1"/>
    <w:p w:rsidR="007B3A90" w:rsidP="007B3A90" w:rsidRDefault="007B3A90" w14:paraId="0426178F" w14:textId="77777777">
      <w:pPr>
        <w:jc w:val="both"/>
      </w:pPr>
    </w:p>
    <w:p w:rsidR="007B3A90" w:rsidP="007B3A90" w:rsidRDefault="007B3A90" w14:paraId="44627754" w14:textId="77777777">
      <w:pPr>
        <w:jc w:val="both"/>
      </w:pPr>
      <w:r>
        <w:t xml:space="preserve">Het </w:t>
      </w:r>
      <w:r w:rsidR="00875444">
        <w:t>k</w:t>
      </w:r>
      <w:r>
        <w:t xml:space="preserve">abinet erkent de noodzaak om richting te geven aan de verantwoorde inzet van digitale technologie door de overheid. Dit is niet alleen van belang voor goede dienstverlening aan onze burgers, maar ook voor het beschermen van onze digitale autonomie en veiligheid. </w:t>
      </w:r>
      <w:r w:rsidRPr="002A23AC">
        <w:t xml:space="preserve">Deze uitgangspunten worden </w:t>
      </w:r>
      <w:r>
        <w:t xml:space="preserve">tot slot </w:t>
      </w:r>
      <w:r w:rsidRPr="002A23AC">
        <w:t>meegenomen in de Nederlandse Digitaliseringsstrategie, die dit voorjaar aan uw Kamer wordt gepresenteerd.</w:t>
      </w:r>
    </w:p>
    <w:p w:rsidRPr="00865969" w:rsidR="007B3A90" w:rsidP="007B3A90" w:rsidRDefault="007B3A90" w14:paraId="1088BC11" w14:textId="77777777">
      <w:pPr>
        <w:jc w:val="both"/>
      </w:pPr>
    </w:p>
    <w:p w:rsidRPr="007B3A90" w:rsidR="00707C25" w:rsidP="007B3A90" w:rsidRDefault="007B3A90" w14:paraId="68A396E3" w14:textId="77777777">
      <w:r w:rsidRPr="00865969">
        <w:t>De staatssecretaris van Binnenlandse Zaken en Koninkrijksrelaties,</w:t>
      </w:r>
      <w:r w:rsidRPr="00865969">
        <w:br/>
      </w:r>
      <w:r w:rsidRPr="00875444">
        <w:rPr>
          <w:i/>
          <w:iCs/>
        </w:rPr>
        <w:t xml:space="preserve">Digitalisering en Koninkrijksrelaties </w:t>
      </w:r>
      <w:r w:rsidRPr="00875444">
        <w:rPr>
          <w:i/>
          <w:iCs/>
        </w:rPr>
        <w:br/>
      </w:r>
      <w:r w:rsidRPr="00865969">
        <w:br/>
        <w:t xml:space="preserve">Zsolt </w:t>
      </w:r>
      <w:proofErr w:type="spellStart"/>
      <w:r w:rsidRPr="00865969">
        <w:t>Szabó</w:t>
      </w:r>
      <w:proofErr w:type="spellEnd"/>
    </w:p>
    <w:sectPr w:rsidRPr="007B3A90" w:rsidR="00707C2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1E20" w14:textId="77777777" w:rsidR="00B51072" w:rsidRDefault="00B51072">
      <w:pPr>
        <w:spacing w:line="240" w:lineRule="auto"/>
      </w:pPr>
      <w:r>
        <w:separator/>
      </w:r>
    </w:p>
  </w:endnote>
  <w:endnote w:type="continuationSeparator" w:id="0">
    <w:p w14:paraId="2A5EADAA" w14:textId="77777777" w:rsidR="00B51072" w:rsidRDefault="00B51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CFDB" w14:textId="77777777" w:rsidR="00674FEA" w:rsidRDefault="00674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326" w14:textId="77777777" w:rsidR="00674FEA" w:rsidRDefault="00674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128E" w14:textId="77777777" w:rsidR="00674FEA" w:rsidRDefault="00674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F2BA" w14:textId="77777777" w:rsidR="00B51072" w:rsidRDefault="00B51072">
      <w:pPr>
        <w:spacing w:line="240" w:lineRule="auto"/>
      </w:pPr>
      <w:r>
        <w:separator/>
      </w:r>
    </w:p>
  </w:footnote>
  <w:footnote w:type="continuationSeparator" w:id="0">
    <w:p w14:paraId="47382620" w14:textId="77777777" w:rsidR="00B51072" w:rsidRDefault="00B51072">
      <w:pPr>
        <w:spacing w:line="240" w:lineRule="auto"/>
      </w:pPr>
      <w:r>
        <w:continuationSeparator/>
      </w:r>
    </w:p>
  </w:footnote>
  <w:footnote w:id="1">
    <w:p w14:paraId="429A2655"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Kamerstuk 36 600, nr. 67.</w:t>
      </w:r>
    </w:p>
  </w:footnote>
  <w:footnote w:id="2">
    <w:p w14:paraId="2EBD5330"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Kamerstuk 26 643, nr. 830.</w:t>
      </w:r>
    </w:p>
  </w:footnote>
  <w:footnote w:id="3">
    <w:p w14:paraId="302D16C7"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Kamerstu</w:t>
      </w:r>
      <w:r>
        <w:rPr>
          <w:sz w:val="14"/>
          <w:szCs w:val="14"/>
        </w:rPr>
        <w:t>k</w:t>
      </w:r>
      <w:r w:rsidRPr="00C17314">
        <w:rPr>
          <w:sz w:val="14"/>
          <w:szCs w:val="14"/>
        </w:rPr>
        <w:t>ken II 2023/2024, 26643, nr. 874.</w:t>
      </w:r>
    </w:p>
  </w:footnote>
  <w:footnote w:id="4">
    <w:p w14:paraId="4CCFAEED"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NCTV, Cybersecuritybeeld Nederland 2024 (CSBN 2024).</w:t>
      </w:r>
    </w:p>
  </w:footnote>
  <w:footnote w:id="5">
    <w:p w14:paraId="5676A3BF"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Artikel 1c Implementatiekader risicoafweging </w:t>
      </w:r>
      <w:proofErr w:type="spellStart"/>
      <w:r w:rsidRPr="00C17314">
        <w:rPr>
          <w:color w:val="auto"/>
          <w:sz w:val="14"/>
          <w:szCs w:val="14"/>
        </w:rPr>
        <w:t>cloudgebruik</w:t>
      </w:r>
      <w:proofErr w:type="spellEnd"/>
      <w:r w:rsidRPr="00C17314">
        <w:rPr>
          <w:color w:val="auto"/>
          <w:sz w:val="14"/>
          <w:szCs w:val="14"/>
        </w:rPr>
        <w:t>.</w:t>
      </w:r>
    </w:p>
  </w:footnote>
  <w:footnote w:id="6">
    <w:p w14:paraId="2074B493" w14:textId="77777777" w:rsidR="007B3A90" w:rsidRPr="00C17314" w:rsidRDefault="007B3A90" w:rsidP="007B3A90">
      <w:pPr>
        <w:pStyle w:val="Voetnoottekst"/>
        <w:rPr>
          <w:sz w:val="14"/>
          <w:szCs w:val="14"/>
        </w:rPr>
      </w:pPr>
      <w:r w:rsidRPr="00C17314">
        <w:rPr>
          <w:rStyle w:val="Voetnootmarkering"/>
          <w:sz w:val="14"/>
          <w:szCs w:val="14"/>
        </w:rPr>
        <w:footnoteRef/>
      </w:r>
      <w:r w:rsidRPr="00C17314">
        <w:rPr>
          <w:sz w:val="14"/>
          <w:szCs w:val="14"/>
        </w:rPr>
        <w:t xml:space="preserve"> Kamerstukken II 2024/25, 26643, nr. 1225 en Algemene Rekenkamer, Het Rijk in de Cloud (Den Haag: Algemene Rekenkamer,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20C2" w14:textId="77777777" w:rsidR="00674FEA" w:rsidRDefault="00674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C7C9" w14:textId="77777777" w:rsidR="00707C25" w:rsidRDefault="000732A0">
    <w:r>
      <w:rPr>
        <w:noProof/>
      </w:rPr>
      <mc:AlternateContent>
        <mc:Choice Requires="wps">
          <w:drawing>
            <wp:anchor distT="0" distB="0" distL="0" distR="0" simplePos="0" relativeHeight="251652096" behindDoc="0" locked="1" layoutInCell="1" allowOverlap="1" wp14:anchorId="079C1AEC" wp14:editId="0AC174A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C7BA13" w14:textId="24FC7FA8"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79C1AE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0C7BA13" w14:textId="24FC7FA8"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A5D961" wp14:editId="0791317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04F74" w14:textId="77777777" w:rsidR="00707C25" w:rsidRDefault="000732A0">
                          <w:pPr>
                            <w:pStyle w:val="Referentiegegevensbold"/>
                          </w:pPr>
                          <w:r>
                            <w:t>DG Digitalisering &amp; Overheidsorganisatie</w:t>
                          </w:r>
                        </w:p>
                        <w:p w14:paraId="0364DB47" w14:textId="77777777" w:rsidR="00707C25" w:rsidRDefault="000732A0">
                          <w:pPr>
                            <w:pStyle w:val="Referentiegegevens"/>
                          </w:pPr>
                          <w:r>
                            <w:t>DGDOO-CIO-</w:t>
                          </w:r>
                          <w:proofErr w:type="spellStart"/>
                          <w:r>
                            <w:t>Inform.beveiliging</w:t>
                          </w:r>
                          <w:proofErr w:type="spellEnd"/>
                          <w:r>
                            <w:t xml:space="preserve"> &amp; Privacy</w:t>
                          </w:r>
                        </w:p>
                        <w:p w14:paraId="4F3CE6DE" w14:textId="77777777" w:rsidR="00707C25" w:rsidRDefault="00707C25">
                          <w:pPr>
                            <w:pStyle w:val="WitregelW2"/>
                          </w:pPr>
                        </w:p>
                        <w:p w14:paraId="1B54992D" w14:textId="77777777" w:rsidR="00707C25" w:rsidRDefault="00707C25">
                          <w:pPr>
                            <w:pStyle w:val="WitregelW1"/>
                          </w:pPr>
                        </w:p>
                        <w:p w14:paraId="178524A6" w14:textId="77777777" w:rsidR="00674FEA" w:rsidRPr="00674FEA" w:rsidRDefault="00674FEA" w:rsidP="00674FEA"/>
                        <w:p w14:paraId="69DBAADA" w14:textId="77777777" w:rsidR="00707C25" w:rsidRDefault="000732A0">
                          <w:pPr>
                            <w:pStyle w:val="Referentiegegevensbold"/>
                          </w:pPr>
                          <w:r>
                            <w:t>Onze referentie</w:t>
                          </w:r>
                        </w:p>
                        <w:p w14:paraId="2B365007" w14:textId="4D16D909" w:rsidR="00397C2F" w:rsidRDefault="00985941">
                          <w:pPr>
                            <w:pStyle w:val="Referentiegegevens"/>
                          </w:pPr>
                          <w:fldSimple w:instr=" DOCPROPERTY  &quot;Kenmerk&quot;  \* MERGEFORMAT ">
                            <w:r w:rsidR="00837C0B">
                              <w:t>2025-0000036239</w:t>
                            </w:r>
                          </w:fldSimple>
                        </w:p>
                      </w:txbxContent>
                    </wps:txbx>
                    <wps:bodyPr vert="horz" wrap="square" lIns="0" tIns="0" rIns="0" bIns="0" anchor="t" anchorCtr="0"/>
                  </wps:wsp>
                </a:graphicData>
              </a:graphic>
            </wp:anchor>
          </w:drawing>
        </mc:Choice>
        <mc:Fallback>
          <w:pict>
            <v:shape w14:anchorId="3AA5D96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304F74" w14:textId="77777777" w:rsidR="00707C25" w:rsidRDefault="000732A0">
                    <w:pPr>
                      <w:pStyle w:val="Referentiegegevensbold"/>
                    </w:pPr>
                    <w:r>
                      <w:t>DG Digitalisering &amp; Overheidsorganisatie</w:t>
                    </w:r>
                  </w:p>
                  <w:p w14:paraId="0364DB47" w14:textId="77777777" w:rsidR="00707C25" w:rsidRDefault="000732A0">
                    <w:pPr>
                      <w:pStyle w:val="Referentiegegevens"/>
                    </w:pPr>
                    <w:r>
                      <w:t>DGDOO-CIO-</w:t>
                    </w:r>
                    <w:proofErr w:type="spellStart"/>
                    <w:r>
                      <w:t>Inform.beveiliging</w:t>
                    </w:r>
                    <w:proofErr w:type="spellEnd"/>
                    <w:r>
                      <w:t xml:space="preserve"> &amp; Privacy</w:t>
                    </w:r>
                  </w:p>
                  <w:p w14:paraId="4F3CE6DE" w14:textId="77777777" w:rsidR="00707C25" w:rsidRDefault="00707C25">
                    <w:pPr>
                      <w:pStyle w:val="WitregelW2"/>
                    </w:pPr>
                  </w:p>
                  <w:p w14:paraId="1B54992D" w14:textId="77777777" w:rsidR="00707C25" w:rsidRDefault="00707C25">
                    <w:pPr>
                      <w:pStyle w:val="WitregelW1"/>
                    </w:pPr>
                  </w:p>
                  <w:p w14:paraId="178524A6" w14:textId="77777777" w:rsidR="00674FEA" w:rsidRPr="00674FEA" w:rsidRDefault="00674FEA" w:rsidP="00674FEA"/>
                  <w:p w14:paraId="69DBAADA" w14:textId="77777777" w:rsidR="00707C25" w:rsidRDefault="000732A0">
                    <w:pPr>
                      <w:pStyle w:val="Referentiegegevensbold"/>
                    </w:pPr>
                    <w:r>
                      <w:t>Onze referentie</w:t>
                    </w:r>
                  </w:p>
                  <w:p w14:paraId="2B365007" w14:textId="4D16D909" w:rsidR="00397C2F" w:rsidRDefault="00985941">
                    <w:pPr>
                      <w:pStyle w:val="Referentiegegevens"/>
                    </w:pPr>
                    <w:fldSimple w:instr=" DOCPROPERTY  &quot;Kenmerk&quot;  \* MERGEFORMAT ">
                      <w:r w:rsidR="00837C0B">
                        <w:t>2025-0000036239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243451" wp14:editId="4FF7F23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9C9AD2" w14:textId="6B0EABF5"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824345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39C9AD2" w14:textId="6B0EABF5"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136225" wp14:editId="60A91A8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3DE054" w14:textId="77777777" w:rsidR="00397C2F" w:rsidRDefault="009859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13622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3DE054" w14:textId="77777777" w:rsidR="00397C2F" w:rsidRDefault="009859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28E1" w14:textId="77777777" w:rsidR="00707C25" w:rsidRDefault="000732A0">
    <w:pPr>
      <w:spacing w:after="6377" w:line="14" w:lineRule="exact"/>
    </w:pPr>
    <w:r>
      <w:rPr>
        <w:noProof/>
      </w:rPr>
      <mc:AlternateContent>
        <mc:Choice Requires="wps">
          <w:drawing>
            <wp:anchor distT="0" distB="0" distL="0" distR="0" simplePos="0" relativeHeight="251656192" behindDoc="0" locked="1" layoutInCell="1" allowOverlap="1" wp14:anchorId="526C8FD4" wp14:editId="29D6947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33E5AA9" w14:textId="77777777" w:rsidR="00707C25" w:rsidRDefault="000732A0">
                          <w:pPr>
                            <w:spacing w:line="240" w:lineRule="auto"/>
                          </w:pPr>
                          <w:r>
                            <w:rPr>
                              <w:noProof/>
                            </w:rPr>
                            <w:drawing>
                              <wp:inline distT="0" distB="0" distL="0" distR="0" wp14:anchorId="692633BF" wp14:editId="799C1C7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6C8F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33E5AA9" w14:textId="77777777" w:rsidR="00707C25" w:rsidRDefault="000732A0">
                    <w:pPr>
                      <w:spacing w:line="240" w:lineRule="auto"/>
                    </w:pPr>
                    <w:r>
                      <w:rPr>
                        <w:noProof/>
                      </w:rPr>
                      <w:drawing>
                        <wp:inline distT="0" distB="0" distL="0" distR="0" wp14:anchorId="692633BF" wp14:editId="799C1C7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0AEBB5" wp14:editId="46013A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C9C0D4" w14:textId="77777777" w:rsidR="00707C25" w:rsidRDefault="000732A0">
                          <w:pPr>
                            <w:spacing w:line="240" w:lineRule="auto"/>
                          </w:pPr>
                          <w:r>
                            <w:rPr>
                              <w:noProof/>
                            </w:rPr>
                            <w:drawing>
                              <wp:inline distT="0" distB="0" distL="0" distR="0" wp14:anchorId="74FD31FC" wp14:editId="30737D4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0AEBB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C9C0D4" w14:textId="77777777" w:rsidR="00707C25" w:rsidRDefault="000732A0">
                    <w:pPr>
                      <w:spacing w:line="240" w:lineRule="auto"/>
                    </w:pPr>
                    <w:r>
                      <w:rPr>
                        <w:noProof/>
                      </w:rPr>
                      <w:drawing>
                        <wp:inline distT="0" distB="0" distL="0" distR="0" wp14:anchorId="74FD31FC" wp14:editId="30737D4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4123FA" wp14:editId="360DF168">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BDB145" w14:textId="77777777" w:rsidR="00707C25" w:rsidRDefault="000732A0">
                          <w:pPr>
                            <w:pStyle w:val="Referentiegegevens"/>
                          </w:pPr>
                          <w:r>
                            <w:t xml:space="preserve">&gt; Retouradres    </w:t>
                          </w:r>
                        </w:p>
                      </w:txbxContent>
                    </wps:txbx>
                    <wps:bodyPr vert="horz" wrap="square" lIns="0" tIns="0" rIns="0" bIns="0" anchor="t" anchorCtr="0"/>
                  </wps:wsp>
                </a:graphicData>
              </a:graphic>
            </wp:anchor>
          </w:drawing>
        </mc:Choice>
        <mc:Fallback>
          <w:pict>
            <v:shape w14:anchorId="384123F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7BDB145" w14:textId="77777777" w:rsidR="00707C25" w:rsidRDefault="000732A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F2F67A" wp14:editId="36E67C0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93ACF0" w14:textId="3CE9DE53"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B5E43F7" w14:textId="77777777" w:rsidR="00707C25" w:rsidRDefault="000732A0">
                          <w:r>
                            <w:t>Aan de Voorzitter van de Tweede Kamer der Staten-Generaal</w:t>
                          </w:r>
                        </w:p>
                        <w:p w14:paraId="3A6206DD" w14:textId="77777777" w:rsidR="00707C25" w:rsidRDefault="000732A0">
                          <w:r>
                            <w:t xml:space="preserve">Postbus 20018 </w:t>
                          </w:r>
                        </w:p>
                        <w:p w14:paraId="5DAE2599" w14:textId="77777777" w:rsidR="00707C25" w:rsidRDefault="000732A0">
                          <w:r>
                            <w:t>2500 EA  Den Haag</w:t>
                          </w:r>
                        </w:p>
                      </w:txbxContent>
                    </wps:txbx>
                    <wps:bodyPr vert="horz" wrap="square" lIns="0" tIns="0" rIns="0" bIns="0" anchor="t" anchorCtr="0"/>
                  </wps:wsp>
                </a:graphicData>
              </a:graphic>
            </wp:anchor>
          </w:drawing>
        </mc:Choice>
        <mc:Fallback>
          <w:pict>
            <v:shapetype w14:anchorId="4FF2F67A"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93ACF0" w14:textId="3CE9DE53" w:rsidR="00397C2F" w:rsidRDefault="009859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B5E43F7" w14:textId="77777777" w:rsidR="00707C25" w:rsidRDefault="000732A0">
                    <w:r>
                      <w:t>Aan de Voorzitter van de Tweede Kamer der Staten-Generaal</w:t>
                    </w:r>
                  </w:p>
                  <w:p w14:paraId="3A6206DD" w14:textId="77777777" w:rsidR="00707C25" w:rsidRDefault="000732A0">
                    <w:r>
                      <w:t xml:space="preserve">Postbus 20018 </w:t>
                    </w:r>
                  </w:p>
                  <w:p w14:paraId="5DAE2599" w14:textId="77777777" w:rsidR="00707C25" w:rsidRDefault="000732A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315DAE" wp14:editId="57E3B214">
              <wp:simplePos x="0" y="0"/>
              <wp:positionH relativeFrom="page">
                <wp:posOffset>1010285</wp:posOffset>
              </wp:positionH>
              <wp:positionV relativeFrom="page">
                <wp:posOffset>3317240</wp:posOffset>
              </wp:positionV>
              <wp:extent cx="4772025"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24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07C25" w14:paraId="52782AFB" w14:textId="77777777">
                            <w:trPr>
                              <w:trHeight w:val="240"/>
                            </w:trPr>
                            <w:tc>
                              <w:tcPr>
                                <w:tcW w:w="1140" w:type="dxa"/>
                              </w:tcPr>
                              <w:p w14:paraId="03A936C5" w14:textId="77777777" w:rsidR="00707C25" w:rsidRDefault="000732A0">
                                <w:r>
                                  <w:t>Datum</w:t>
                                </w:r>
                              </w:p>
                            </w:tc>
                            <w:tc>
                              <w:tcPr>
                                <w:tcW w:w="5918" w:type="dxa"/>
                              </w:tcPr>
                              <w:p w14:paraId="0DA6C8F6" w14:textId="61D63933" w:rsidR="00345E06" w:rsidRDefault="00985941">
                                <w:r>
                                  <w:t>12 maart 2025</w:t>
                                </w:r>
                              </w:p>
                            </w:tc>
                          </w:tr>
                          <w:tr w:rsidR="00707C25" w14:paraId="76D1224E" w14:textId="77777777">
                            <w:trPr>
                              <w:trHeight w:val="240"/>
                            </w:trPr>
                            <w:tc>
                              <w:tcPr>
                                <w:tcW w:w="1140" w:type="dxa"/>
                              </w:tcPr>
                              <w:p w14:paraId="6715C010" w14:textId="77777777" w:rsidR="00707C25" w:rsidRDefault="000732A0">
                                <w:r>
                                  <w:t>Betreft</w:t>
                                </w:r>
                              </w:p>
                            </w:tc>
                            <w:tc>
                              <w:tcPr>
                                <w:tcW w:w="5918" w:type="dxa"/>
                              </w:tcPr>
                              <w:p w14:paraId="487620B2" w14:textId="77777777" w:rsidR="00345E06" w:rsidRDefault="005A13B8">
                                <w:r>
                                  <w:t>Kamerbrief overzicht overheids-ICT van de Rijksoverheid</w:t>
                                </w:r>
                              </w:p>
                            </w:tc>
                          </w:tr>
                        </w:tbl>
                        <w:p w14:paraId="501DFBC7" w14:textId="77777777" w:rsidR="00AB2F89" w:rsidRDefault="00AB2F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315DAE" id="1670fa0c-13cb-45ec-92be-ef1f34d237c5" o:spid="_x0000_s1034" type="#_x0000_t202" style="position:absolute;margin-left:79.55pt;margin-top:261.2pt;width:375.75pt;height:4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707C25" w14:paraId="52782AFB" w14:textId="77777777">
                      <w:trPr>
                        <w:trHeight w:val="240"/>
                      </w:trPr>
                      <w:tc>
                        <w:tcPr>
                          <w:tcW w:w="1140" w:type="dxa"/>
                        </w:tcPr>
                        <w:p w14:paraId="03A936C5" w14:textId="77777777" w:rsidR="00707C25" w:rsidRDefault="000732A0">
                          <w:r>
                            <w:t>Datum</w:t>
                          </w:r>
                        </w:p>
                      </w:tc>
                      <w:tc>
                        <w:tcPr>
                          <w:tcW w:w="5918" w:type="dxa"/>
                        </w:tcPr>
                        <w:p w14:paraId="0DA6C8F6" w14:textId="61D63933" w:rsidR="00345E06" w:rsidRDefault="00985941">
                          <w:r>
                            <w:t>12 maart 2025</w:t>
                          </w:r>
                        </w:p>
                      </w:tc>
                    </w:tr>
                    <w:tr w:rsidR="00707C25" w14:paraId="76D1224E" w14:textId="77777777">
                      <w:trPr>
                        <w:trHeight w:val="240"/>
                      </w:trPr>
                      <w:tc>
                        <w:tcPr>
                          <w:tcW w:w="1140" w:type="dxa"/>
                        </w:tcPr>
                        <w:p w14:paraId="6715C010" w14:textId="77777777" w:rsidR="00707C25" w:rsidRDefault="000732A0">
                          <w:r>
                            <w:t>Betreft</w:t>
                          </w:r>
                        </w:p>
                      </w:tc>
                      <w:tc>
                        <w:tcPr>
                          <w:tcW w:w="5918" w:type="dxa"/>
                        </w:tcPr>
                        <w:p w14:paraId="487620B2" w14:textId="77777777" w:rsidR="00345E06" w:rsidRDefault="005A13B8">
                          <w:r>
                            <w:t>Kamerbrief overzicht overheids-ICT van de Rijksoverheid</w:t>
                          </w:r>
                        </w:p>
                      </w:tc>
                    </w:tr>
                  </w:tbl>
                  <w:p w14:paraId="501DFBC7" w14:textId="77777777" w:rsidR="00AB2F89" w:rsidRDefault="00AB2F8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33893F" wp14:editId="352529E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FEF882" w14:textId="77777777" w:rsidR="00707C25" w:rsidRDefault="000732A0">
                          <w:pPr>
                            <w:pStyle w:val="Referentiegegevensbold"/>
                          </w:pPr>
                          <w:r>
                            <w:t>DG Digitalisering &amp; Overheidsorganisatie</w:t>
                          </w:r>
                        </w:p>
                        <w:p w14:paraId="59905C21" w14:textId="77777777" w:rsidR="00707C25" w:rsidRDefault="000732A0">
                          <w:pPr>
                            <w:pStyle w:val="Referentiegegevens"/>
                          </w:pPr>
                          <w:r>
                            <w:t>DGDOO-CIO-</w:t>
                          </w:r>
                          <w:proofErr w:type="spellStart"/>
                          <w:r>
                            <w:t>Inform.beveiliging</w:t>
                          </w:r>
                          <w:proofErr w:type="spellEnd"/>
                          <w:r>
                            <w:t xml:space="preserve"> &amp; Privacy</w:t>
                          </w:r>
                        </w:p>
                        <w:p w14:paraId="122B5414" w14:textId="77777777" w:rsidR="00707C25" w:rsidRDefault="00707C25">
                          <w:pPr>
                            <w:pStyle w:val="WitregelW1"/>
                          </w:pPr>
                        </w:p>
                        <w:p w14:paraId="234540EF" w14:textId="77777777" w:rsidR="00707C25" w:rsidRDefault="000732A0">
                          <w:pPr>
                            <w:pStyle w:val="Referentiegegevens"/>
                          </w:pPr>
                          <w:r>
                            <w:t>Turfmarkt 147</w:t>
                          </w:r>
                        </w:p>
                        <w:p w14:paraId="32D8D71C" w14:textId="77777777" w:rsidR="00707C25" w:rsidRDefault="000732A0">
                          <w:pPr>
                            <w:pStyle w:val="Referentiegegevens"/>
                          </w:pPr>
                          <w:r>
                            <w:t>2511 DP  Den Haag</w:t>
                          </w:r>
                        </w:p>
                        <w:p w14:paraId="43C10F2F" w14:textId="77777777" w:rsidR="00707C25" w:rsidRDefault="00707C25">
                          <w:pPr>
                            <w:pStyle w:val="WitregelW1"/>
                          </w:pPr>
                        </w:p>
                        <w:p w14:paraId="607058E3" w14:textId="77777777" w:rsidR="00707C25" w:rsidRDefault="000732A0" w:rsidP="00613977">
                          <w:pPr>
                            <w:pStyle w:val="Referentiegegevensbold"/>
                          </w:pPr>
                          <w:r>
                            <w:t>Contactpersoon</w:t>
                          </w:r>
                        </w:p>
                        <w:p w14:paraId="510EDBFF" w14:textId="77777777" w:rsidR="00613977" w:rsidRPr="00613977" w:rsidRDefault="00613977" w:rsidP="00613977"/>
                        <w:p w14:paraId="421AB62E" w14:textId="77777777" w:rsidR="00707C25" w:rsidRDefault="000732A0">
                          <w:pPr>
                            <w:pStyle w:val="Referentiegegevensbold"/>
                          </w:pPr>
                          <w:r>
                            <w:t>Onze referentie</w:t>
                          </w:r>
                        </w:p>
                        <w:p w14:paraId="15CBD5CF" w14:textId="53281029" w:rsidR="00397C2F" w:rsidRDefault="00985941">
                          <w:pPr>
                            <w:pStyle w:val="Referentiegegevens"/>
                          </w:pPr>
                          <w:fldSimple w:instr=" DOCPROPERTY  &quot;Kenmerk&quot;  \* MERGEFORMAT ">
                            <w:r w:rsidR="00837C0B">
                              <w:t>2025-0000036239</w:t>
                            </w:r>
                          </w:fldSimple>
                        </w:p>
                        <w:p w14:paraId="47D62A89" w14:textId="77777777" w:rsidR="00707C25" w:rsidRDefault="00707C25">
                          <w:pPr>
                            <w:pStyle w:val="WitregelW1"/>
                          </w:pPr>
                        </w:p>
                        <w:p w14:paraId="7E2A966B" w14:textId="77777777" w:rsidR="00707C25" w:rsidRDefault="000732A0">
                          <w:pPr>
                            <w:pStyle w:val="Referentiegegevensbold"/>
                          </w:pPr>
                          <w:r>
                            <w:t>Uw referentie</w:t>
                          </w:r>
                        </w:p>
                        <w:p w14:paraId="42D9801B" w14:textId="111ED2F0" w:rsidR="00397C2F" w:rsidRDefault="0098594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533893F"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DFEF882" w14:textId="77777777" w:rsidR="00707C25" w:rsidRDefault="000732A0">
                    <w:pPr>
                      <w:pStyle w:val="Referentiegegevensbold"/>
                    </w:pPr>
                    <w:r>
                      <w:t>DG Digitalisering &amp; Overheidsorganisatie</w:t>
                    </w:r>
                  </w:p>
                  <w:p w14:paraId="59905C21" w14:textId="77777777" w:rsidR="00707C25" w:rsidRDefault="000732A0">
                    <w:pPr>
                      <w:pStyle w:val="Referentiegegevens"/>
                    </w:pPr>
                    <w:r>
                      <w:t>DGDOO-CIO-</w:t>
                    </w:r>
                    <w:proofErr w:type="spellStart"/>
                    <w:r>
                      <w:t>Inform.beveiliging</w:t>
                    </w:r>
                    <w:proofErr w:type="spellEnd"/>
                    <w:r>
                      <w:t xml:space="preserve"> &amp; Privacy</w:t>
                    </w:r>
                  </w:p>
                  <w:p w14:paraId="122B5414" w14:textId="77777777" w:rsidR="00707C25" w:rsidRDefault="00707C25">
                    <w:pPr>
                      <w:pStyle w:val="WitregelW1"/>
                    </w:pPr>
                  </w:p>
                  <w:p w14:paraId="234540EF" w14:textId="77777777" w:rsidR="00707C25" w:rsidRDefault="000732A0">
                    <w:pPr>
                      <w:pStyle w:val="Referentiegegevens"/>
                    </w:pPr>
                    <w:r>
                      <w:t>Turfmarkt 147</w:t>
                    </w:r>
                  </w:p>
                  <w:p w14:paraId="32D8D71C" w14:textId="77777777" w:rsidR="00707C25" w:rsidRDefault="000732A0">
                    <w:pPr>
                      <w:pStyle w:val="Referentiegegevens"/>
                    </w:pPr>
                    <w:r>
                      <w:t>2511 DP  Den Haag</w:t>
                    </w:r>
                  </w:p>
                  <w:p w14:paraId="43C10F2F" w14:textId="77777777" w:rsidR="00707C25" w:rsidRDefault="00707C25">
                    <w:pPr>
                      <w:pStyle w:val="WitregelW1"/>
                    </w:pPr>
                  </w:p>
                  <w:p w14:paraId="607058E3" w14:textId="77777777" w:rsidR="00707C25" w:rsidRDefault="000732A0" w:rsidP="00613977">
                    <w:pPr>
                      <w:pStyle w:val="Referentiegegevensbold"/>
                    </w:pPr>
                    <w:r>
                      <w:t>Contactpersoon</w:t>
                    </w:r>
                  </w:p>
                  <w:p w14:paraId="510EDBFF" w14:textId="77777777" w:rsidR="00613977" w:rsidRPr="00613977" w:rsidRDefault="00613977" w:rsidP="00613977"/>
                  <w:p w14:paraId="421AB62E" w14:textId="77777777" w:rsidR="00707C25" w:rsidRDefault="000732A0">
                    <w:pPr>
                      <w:pStyle w:val="Referentiegegevensbold"/>
                    </w:pPr>
                    <w:r>
                      <w:t>Onze referentie</w:t>
                    </w:r>
                  </w:p>
                  <w:p w14:paraId="15CBD5CF" w14:textId="53281029" w:rsidR="00397C2F" w:rsidRDefault="00985941">
                    <w:pPr>
                      <w:pStyle w:val="Referentiegegevens"/>
                    </w:pPr>
                    <w:fldSimple w:instr=" DOCPROPERTY  &quot;Kenmerk&quot;  \* MERGEFORMAT ">
                      <w:r w:rsidR="00837C0B">
                        <w:t>2025-0000036239</w:t>
                      </w:r>
                    </w:fldSimple>
                  </w:p>
                  <w:p w14:paraId="47D62A89" w14:textId="77777777" w:rsidR="00707C25" w:rsidRDefault="00707C25">
                    <w:pPr>
                      <w:pStyle w:val="WitregelW1"/>
                    </w:pPr>
                  </w:p>
                  <w:p w14:paraId="7E2A966B" w14:textId="77777777" w:rsidR="00707C25" w:rsidRDefault="000732A0">
                    <w:pPr>
                      <w:pStyle w:val="Referentiegegevensbold"/>
                    </w:pPr>
                    <w:r>
                      <w:t>Uw referentie</w:t>
                    </w:r>
                  </w:p>
                  <w:p w14:paraId="42D9801B" w14:textId="111ED2F0" w:rsidR="00397C2F" w:rsidRDefault="0098594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C4571B" wp14:editId="204E93C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F6E9B5" w14:textId="77777777" w:rsidR="00397C2F" w:rsidRDefault="009859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C4571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1F6E9B5" w14:textId="77777777" w:rsidR="00397C2F" w:rsidRDefault="009859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873127" wp14:editId="3A75571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4E9D4E" w14:textId="77777777" w:rsidR="00AB2F89" w:rsidRDefault="00AB2F89"/>
                      </w:txbxContent>
                    </wps:txbx>
                    <wps:bodyPr vert="horz" wrap="square" lIns="0" tIns="0" rIns="0" bIns="0" anchor="t" anchorCtr="0"/>
                  </wps:wsp>
                </a:graphicData>
              </a:graphic>
            </wp:anchor>
          </w:drawing>
        </mc:Choice>
        <mc:Fallback>
          <w:pict>
            <v:shape w14:anchorId="0187312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B4E9D4E" w14:textId="77777777" w:rsidR="00AB2F89" w:rsidRDefault="00AB2F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5CBEE"/>
    <w:multiLevelType w:val="multilevel"/>
    <w:tmpl w:val="F04B85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9040F7"/>
    <w:multiLevelType w:val="multilevel"/>
    <w:tmpl w:val="85C4CC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B41FE1"/>
    <w:multiLevelType w:val="multilevel"/>
    <w:tmpl w:val="D286CD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E74934"/>
    <w:multiLevelType w:val="multilevel"/>
    <w:tmpl w:val="376A92D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770A1D"/>
    <w:multiLevelType w:val="hybridMultilevel"/>
    <w:tmpl w:val="2F16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EEF230"/>
    <w:multiLevelType w:val="multilevel"/>
    <w:tmpl w:val="E4D780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03018640">
    <w:abstractNumId w:val="3"/>
  </w:num>
  <w:num w:numId="2" w16cid:durableId="1953316475">
    <w:abstractNumId w:val="0"/>
  </w:num>
  <w:num w:numId="3" w16cid:durableId="232811476">
    <w:abstractNumId w:val="5"/>
  </w:num>
  <w:num w:numId="4" w16cid:durableId="1105345113">
    <w:abstractNumId w:val="1"/>
  </w:num>
  <w:num w:numId="5" w16cid:durableId="1696269252">
    <w:abstractNumId w:val="2"/>
  </w:num>
  <w:num w:numId="6" w16cid:durableId="161593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36"/>
    <w:rsid w:val="000310EE"/>
    <w:rsid w:val="000352E0"/>
    <w:rsid w:val="00041BE4"/>
    <w:rsid w:val="000732A0"/>
    <w:rsid w:val="00095AA3"/>
    <w:rsid w:val="000A63D8"/>
    <w:rsid w:val="000B4484"/>
    <w:rsid w:val="000B7E51"/>
    <w:rsid w:val="00101E32"/>
    <w:rsid w:val="00102814"/>
    <w:rsid w:val="0010454C"/>
    <w:rsid w:val="001110FE"/>
    <w:rsid w:val="00135973"/>
    <w:rsid w:val="00146577"/>
    <w:rsid w:val="0014753A"/>
    <w:rsid w:val="001561FA"/>
    <w:rsid w:val="001B0E97"/>
    <w:rsid w:val="001C7CFE"/>
    <w:rsid w:val="001D3B73"/>
    <w:rsid w:val="00240192"/>
    <w:rsid w:val="00254464"/>
    <w:rsid w:val="00255811"/>
    <w:rsid w:val="002725AD"/>
    <w:rsid w:val="00277334"/>
    <w:rsid w:val="0028637D"/>
    <w:rsid w:val="002A6F49"/>
    <w:rsid w:val="002F5373"/>
    <w:rsid w:val="002F5CEA"/>
    <w:rsid w:val="00327329"/>
    <w:rsid w:val="00330171"/>
    <w:rsid w:val="00345E06"/>
    <w:rsid w:val="00353DED"/>
    <w:rsid w:val="0037425B"/>
    <w:rsid w:val="003768E6"/>
    <w:rsid w:val="00387314"/>
    <w:rsid w:val="00396F54"/>
    <w:rsid w:val="00397C2F"/>
    <w:rsid w:val="003F4217"/>
    <w:rsid w:val="00403550"/>
    <w:rsid w:val="00405ABB"/>
    <w:rsid w:val="004212DC"/>
    <w:rsid w:val="00454BDB"/>
    <w:rsid w:val="00466055"/>
    <w:rsid w:val="004A3CEA"/>
    <w:rsid w:val="004C1D66"/>
    <w:rsid w:val="004E1CAE"/>
    <w:rsid w:val="004E5370"/>
    <w:rsid w:val="004E5E21"/>
    <w:rsid w:val="004F59D8"/>
    <w:rsid w:val="0054028C"/>
    <w:rsid w:val="00542B26"/>
    <w:rsid w:val="0055055F"/>
    <w:rsid w:val="005655D2"/>
    <w:rsid w:val="00572B43"/>
    <w:rsid w:val="005A091E"/>
    <w:rsid w:val="005A13B8"/>
    <w:rsid w:val="005C27C5"/>
    <w:rsid w:val="00613977"/>
    <w:rsid w:val="00625D81"/>
    <w:rsid w:val="00674FEA"/>
    <w:rsid w:val="00683059"/>
    <w:rsid w:val="00707C25"/>
    <w:rsid w:val="0076286E"/>
    <w:rsid w:val="007B3A90"/>
    <w:rsid w:val="007C7141"/>
    <w:rsid w:val="007E6094"/>
    <w:rsid w:val="008213A7"/>
    <w:rsid w:val="008369AB"/>
    <w:rsid w:val="00837C0B"/>
    <w:rsid w:val="0084285A"/>
    <w:rsid w:val="008433CF"/>
    <w:rsid w:val="00865969"/>
    <w:rsid w:val="00875444"/>
    <w:rsid w:val="008D1AF4"/>
    <w:rsid w:val="008D2D23"/>
    <w:rsid w:val="00913BF0"/>
    <w:rsid w:val="009163F2"/>
    <w:rsid w:val="00965481"/>
    <w:rsid w:val="0096737E"/>
    <w:rsid w:val="00985941"/>
    <w:rsid w:val="009E4AF6"/>
    <w:rsid w:val="00A13E18"/>
    <w:rsid w:val="00A26651"/>
    <w:rsid w:val="00A51044"/>
    <w:rsid w:val="00A56167"/>
    <w:rsid w:val="00A671FE"/>
    <w:rsid w:val="00A72AFF"/>
    <w:rsid w:val="00A75ED6"/>
    <w:rsid w:val="00A76E5F"/>
    <w:rsid w:val="00AB2F89"/>
    <w:rsid w:val="00AD585A"/>
    <w:rsid w:val="00B33C4C"/>
    <w:rsid w:val="00B51072"/>
    <w:rsid w:val="00B54002"/>
    <w:rsid w:val="00B61085"/>
    <w:rsid w:val="00B75EDD"/>
    <w:rsid w:val="00BD047C"/>
    <w:rsid w:val="00BD4506"/>
    <w:rsid w:val="00BE71A8"/>
    <w:rsid w:val="00BF78BC"/>
    <w:rsid w:val="00C23BB3"/>
    <w:rsid w:val="00C52AF1"/>
    <w:rsid w:val="00CC0D13"/>
    <w:rsid w:val="00D0105A"/>
    <w:rsid w:val="00D03784"/>
    <w:rsid w:val="00D70860"/>
    <w:rsid w:val="00D773AD"/>
    <w:rsid w:val="00D81B4F"/>
    <w:rsid w:val="00D9553B"/>
    <w:rsid w:val="00DB39AA"/>
    <w:rsid w:val="00DC6847"/>
    <w:rsid w:val="00DF1908"/>
    <w:rsid w:val="00E200CF"/>
    <w:rsid w:val="00E244EB"/>
    <w:rsid w:val="00E31B34"/>
    <w:rsid w:val="00E475D5"/>
    <w:rsid w:val="00E63876"/>
    <w:rsid w:val="00E64E15"/>
    <w:rsid w:val="00E95954"/>
    <w:rsid w:val="00EA00FF"/>
    <w:rsid w:val="00EA1E18"/>
    <w:rsid w:val="00EA2B98"/>
    <w:rsid w:val="00EB7B07"/>
    <w:rsid w:val="00EC7D9F"/>
    <w:rsid w:val="00ED4708"/>
    <w:rsid w:val="00EF3A36"/>
    <w:rsid w:val="00F11E56"/>
    <w:rsid w:val="00F21F85"/>
    <w:rsid w:val="00F26D1E"/>
    <w:rsid w:val="00F60E04"/>
    <w:rsid w:val="00F82C35"/>
    <w:rsid w:val="00F97CA9"/>
    <w:rsid w:val="00FB05CE"/>
    <w:rsid w:val="00FC2F69"/>
    <w:rsid w:val="2F661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A0485"/>
  <w15:docId w15:val="{E862CC6D-16AA-4476-B80D-44DE0D28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3A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3A36"/>
    <w:rPr>
      <w:rFonts w:ascii="Verdana" w:hAnsi="Verdana"/>
      <w:color w:val="000000"/>
      <w:sz w:val="18"/>
      <w:szCs w:val="18"/>
    </w:rPr>
  </w:style>
  <w:style w:type="paragraph" w:styleId="Voettekst">
    <w:name w:val="footer"/>
    <w:basedOn w:val="Standaard"/>
    <w:link w:val="VoettekstChar"/>
    <w:uiPriority w:val="99"/>
    <w:unhideWhenUsed/>
    <w:rsid w:val="00EF3A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3A36"/>
    <w:rPr>
      <w:rFonts w:ascii="Verdana" w:hAnsi="Verdana"/>
      <w:color w:val="000000"/>
      <w:sz w:val="18"/>
      <w:szCs w:val="18"/>
    </w:rPr>
  </w:style>
  <w:style w:type="paragraph" w:styleId="Revisie">
    <w:name w:val="Revision"/>
    <w:hidden/>
    <w:uiPriority w:val="99"/>
    <w:semiHidden/>
    <w:rsid w:val="002A6F49"/>
    <w:pPr>
      <w:autoSpaceDN/>
      <w:textAlignment w:val="auto"/>
    </w:pPr>
    <w:rPr>
      <w:rFonts w:ascii="Verdana" w:hAnsi="Verdana"/>
      <w:color w:val="000000"/>
      <w:sz w:val="18"/>
      <w:szCs w:val="18"/>
    </w:rPr>
  </w:style>
  <w:style w:type="paragraph" w:styleId="Lijstalinea">
    <w:name w:val="List Paragraph"/>
    <w:basedOn w:val="Standaard"/>
    <w:uiPriority w:val="34"/>
    <w:semiHidden/>
    <w:rsid w:val="00BD4506"/>
    <w:pPr>
      <w:ind w:left="720"/>
      <w:contextualSpacing/>
    </w:pPr>
  </w:style>
  <w:style w:type="paragraph" w:styleId="Voetnoottekst">
    <w:name w:val="footnote text"/>
    <w:basedOn w:val="Standaard"/>
    <w:link w:val="VoetnoottekstChar"/>
    <w:uiPriority w:val="99"/>
    <w:semiHidden/>
    <w:unhideWhenUsed/>
    <w:rsid w:val="004212DC"/>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4212DC"/>
    <w:rPr>
      <w:rFonts w:ascii="Verdana" w:hAnsi="Verdana"/>
      <w:color w:val="000000"/>
    </w:rPr>
  </w:style>
  <w:style w:type="character" w:styleId="Voetnootmarkering">
    <w:name w:val="footnote reference"/>
    <w:basedOn w:val="Standaardalinea-lettertype"/>
    <w:uiPriority w:val="99"/>
    <w:semiHidden/>
    <w:unhideWhenUsed/>
    <w:rsid w:val="004212DC"/>
    <w:rPr>
      <w:vertAlign w:val="superscript"/>
    </w:rPr>
  </w:style>
  <w:style w:type="character" w:styleId="Verwijzingopmerking">
    <w:name w:val="annotation reference"/>
    <w:basedOn w:val="Standaardalinea-lettertype"/>
    <w:uiPriority w:val="99"/>
    <w:semiHidden/>
    <w:unhideWhenUsed/>
    <w:rsid w:val="00EC7D9F"/>
    <w:rPr>
      <w:sz w:val="16"/>
      <w:szCs w:val="16"/>
    </w:rPr>
  </w:style>
  <w:style w:type="paragraph" w:styleId="Tekstopmerking">
    <w:name w:val="annotation text"/>
    <w:basedOn w:val="Standaard"/>
    <w:link w:val="TekstopmerkingChar"/>
    <w:uiPriority w:val="99"/>
    <w:unhideWhenUsed/>
    <w:rsid w:val="00EC7D9F"/>
    <w:pPr>
      <w:spacing w:line="240" w:lineRule="auto"/>
    </w:pPr>
    <w:rPr>
      <w:sz w:val="20"/>
      <w:szCs w:val="20"/>
    </w:rPr>
  </w:style>
  <w:style w:type="character" w:customStyle="1" w:styleId="TekstopmerkingChar">
    <w:name w:val="Tekst opmerking Char"/>
    <w:basedOn w:val="Standaardalinea-lettertype"/>
    <w:link w:val="Tekstopmerking"/>
    <w:uiPriority w:val="99"/>
    <w:rsid w:val="00EC7D9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7D9F"/>
    <w:rPr>
      <w:b/>
      <w:bCs/>
    </w:rPr>
  </w:style>
  <w:style w:type="character" w:customStyle="1" w:styleId="OnderwerpvanopmerkingChar">
    <w:name w:val="Onderwerp van opmerking Char"/>
    <w:basedOn w:val="TekstopmerkingChar"/>
    <w:link w:val="Onderwerpvanopmerking"/>
    <w:uiPriority w:val="99"/>
    <w:semiHidden/>
    <w:rsid w:val="00EC7D9F"/>
    <w:rPr>
      <w:rFonts w:ascii="Verdana" w:hAnsi="Verdana"/>
      <w:b/>
      <w:bCs/>
      <w:color w:val="000000"/>
    </w:rPr>
  </w:style>
  <w:style w:type="character" w:customStyle="1" w:styleId="Kop1Char">
    <w:name w:val="Kop 1 Char"/>
    <w:basedOn w:val="Standaardalinea-lettertype"/>
    <w:link w:val="Kop1"/>
    <w:uiPriority w:val="1"/>
    <w:rsid w:val="007E6094"/>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795</ap:Words>
  <ap:Characters>4373</ap:Characters>
  <ap:DocSecurity>0</ap:DocSecurity>
  <ap:Lines>36</ap:Lines>
  <ap:Paragraphs>10</ap:Paragraphs>
  <ap:ScaleCrop>false</ap:ScaleCrop>
  <ap:LinksUpToDate>false</ap:LinksUpToDate>
  <ap:CharactersWithSpaces>5158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2025-01-20T10:23:00.0000000Z</dcterms:created>
  <dcterms:modified xsi:type="dcterms:W3CDTF">2025-03-12T07:14:00.0000000Z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Methodiek scan t.a.v. programmatuur, apparatuur en systemen binnen de Rijksoverheid</vt:lpwstr>
  </property>
  <property fmtid="{D5CDD505-2E9C-101B-9397-08002B2CF9AE}" pid="5" name="Publicatiedatum">
    <vt:lpwstr/>
  </property>
  <property fmtid="{D5CDD505-2E9C-101B-9397-08002B2CF9AE}" pid="6" name="Verantwoordelijke organisatie">
    <vt:lpwstr>DGDOO-CIO-Inform.beveiliging &amp; Privacy</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oktober 2024</vt:lpwstr>
  </property>
  <property fmtid="{D5CDD505-2E9C-101B-9397-08002B2CF9AE}" pid="13" name="Opgesteld door, Naam">
    <vt:lpwstr>Willem Vos</vt:lpwstr>
  </property>
  <property fmtid="{D5CDD505-2E9C-101B-9397-08002B2CF9AE}" pid="14" name="Opgesteld door, Telefoonnummer">
    <vt:lpwstr/>
  </property>
  <property fmtid="{D5CDD505-2E9C-101B-9397-08002B2CF9AE}" pid="15" name="Kenmerk">
    <vt:lpwstr>2025-0000036239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Methodiek scan t.a.v. programmatuur, apparatuur en systemen binnen de Rijksoverheid</vt:lpwstr>
  </property>
  <property fmtid="{D5CDD505-2E9C-101B-9397-08002B2CF9AE}" pid="30" name="UwKenmerk">
    <vt:lpwstr/>
  </property>
</Properties>
</file>